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中医问诊系统 · 七模型评审要点与验收清单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读者</w:t>
      </w:r>
      <w:r>
        <w:rPr>
          <w:rFonts w:ascii="宋体" w:hAnsi="宋体" w:eastAsia="宋体"/>
          <w:i/>
          <w:color w:val="595959"/>
          <w:sz w:val="19"/>
        </w:rPr>
        <w:t>：需求方（SMO/信息科）、业务评审人、质量评审人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用途</w:t>
      </w:r>
      <w:r>
        <w:rPr>
          <w:rFonts w:ascii="宋体" w:hAnsi="宋体" w:eastAsia="宋体"/>
          <w:i/>
          <w:color w:val="595959"/>
          <w:sz w:val="19"/>
        </w:rPr>
        <w:t>：对阶段二产出的七模型本体做一次结构化评审，判断「可否据此开发」。本文只给</w:t>
      </w:r>
      <w:r>
        <w:rPr>
          <w:rFonts w:ascii="宋体" w:hAnsi="宋体" w:eastAsia="宋体"/>
          <w:b/>
          <w:i/>
          <w:color w:val="595959"/>
          <w:sz w:val="19"/>
        </w:rPr>
        <w:t>评审要点与判定标准</w:t>
      </w:r>
      <w:r>
        <w:rPr>
          <w:rFonts w:ascii="宋体" w:hAnsi="宋体" w:eastAsia="宋体"/>
          <w:i/>
          <w:color w:val="595959"/>
          <w:sz w:val="19"/>
        </w:rPr>
        <w:t>，不给建模过程。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配套</w:t>
      </w:r>
      <w:r>
        <w:rPr>
          <w:rFonts w:ascii="宋体" w:hAnsi="宋体" w:eastAsia="宋体"/>
          <w:i/>
          <w:color w:val="595959"/>
          <w:sz w:val="19"/>
        </w:rPr>
        <w:t>：《中医问诊系统-需求规格说明书-V9.md》（v1.3）、《阶段二-本体建模交付说明.md》、《开发实施说明-七模型落地指南.md》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0. 建议评审流程（约 60 分钟）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时段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动作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输出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0–5 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跑一次自动校验（第 1 节命令），确认「无阻断问题」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校验输出留档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5–20 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业务方逐模型看</w:t>
            </w:r>
            <w:r>
              <w:rPr>
                <w:rFonts w:ascii="宋体" w:hAnsi="宋体" w:eastAsia="宋体"/>
                <w:b/>
                <w:sz w:val="17"/>
              </w:rPr>
              <w:t>业务正确性</w:t>
            </w:r>
            <w:r>
              <w:rPr>
                <w:rFonts w:ascii="宋体" w:hAnsi="宋体" w:eastAsia="宋体"/>
                <w:sz w:val="17"/>
              </w:rPr>
              <w:t>（第 2 节，重点是 M1 属性、M2 行为、M6 流程）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业务异议清单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20–35 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评审人抽查</w:t>
            </w:r>
            <w:r>
              <w:rPr>
                <w:rFonts w:ascii="宋体" w:hAnsi="宋体" w:eastAsia="宋体"/>
                <w:b/>
                <w:sz w:val="17"/>
              </w:rPr>
              <w:t>跨模型门禁</w:t>
            </w:r>
            <w:r>
              <w:rPr>
                <w:rFonts w:ascii="宋体" w:hAnsi="宋体" w:eastAsia="宋体"/>
                <w:sz w:val="17"/>
              </w:rPr>
              <w:t>（第 3 节 5 条）与</w:t>
            </w:r>
            <w:r>
              <w:rPr>
                <w:rFonts w:ascii="宋体" w:hAnsi="宋体" w:eastAsia="宋体"/>
                <w:b/>
                <w:sz w:val="17"/>
              </w:rPr>
              <w:t>需求可追溯性</w:t>
            </w:r>
            <w:r>
              <w:rPr>
                <w:rFonts w:ascii="宋体" w:hAnsi="宋体" w:eastAsia="宋体"/>
                <w:sz w:val="17"/>
              </w:rPr>
              <w:t>（第 4 节）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门禁结论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35–45 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过</w:t>
            </w:r>
            <w:r>
              <w:rPr>
                <w:rFonts w:ascii="宋体" w:hAnsi="宋体" w:eastAsia="宋体"/>
                <w:b/>
                <w:sz w:val="17"/>
              </w:rPr>
              <w:t>已知偏差与待确认口径</w:t>
            </w:r>
            <w:r>
              <w:rPr>
                <w:rFonts w:ascii="宋体" w:hAnsi="宋体" w:eastAsia="宋体"/>
                <w:sz w:val="17"/>
              </w:rPr>
              <w:t>（第 5 节 6 项），现场拍板或限期答复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决议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45–60 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填第 6 节评审结论表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通过 / 有条件通过 / 退回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1. 评审前 5 分钟：自动校验（唯一硬性前置）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D:/hermes/tools/docx-venv/Scripts/python.exe tools/validate_ontology.py yaml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期望输出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全部跨模型一致性门禁通过。</w:t>
      </w:r>
      <w:r>
        <w:rPr>
          <w:rFonts w:ascii="宋体" w:hAnsi="宋体" w:eastAsia="宋体"/>
          <w:sz w:val="21"/>
        </w:rPr>
        <w:t>（阻断 0 条、提示 0 条）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 xml:space="preserve">若出现 </w:t>
      </w:r>
      <w:r>
        <w:rPr>
          <w:rFonts w:ascii="宋体" w:hAnsi="宋体" w:eastAsia="宋体"/>
          <w:color w:val="C0392B"/>
          <w:sz w:val="18"/>
        </w:rPr>
        <w:t>[X]</w:t>
      </w:r>
      <w:r>
        <w:rPr>
          <w:rFonts w:ascii="宋体" w:hAnsi="宋体" w:eastAsia="宋体"/>
          <w:sz w:val="21"/>
        </w:rPr>
        <w:t xml:space="preserve"> 开头的阻断问题，</w:t>
      </w:r>
      <w:r>
        <w:rPr>
          <w:rFonts w:ascii="宋体" w:hAnsi="宋体" w:eastAsia="宋体"/>
          <w:b/>
          <w:sz w:val="21"/>
        </w:rPr>
        <w:t>不予评审</w:t>
      </w:r>
      <w:r>
        <w:rPr>
          <w:rFonts w:ascii="宋体" w:hAnsi="宋体" w:eastAsia="宋体"/>
          <w:sz w:val="21"/>
        </w:rPr>
        <w:t>，先修复。该脚本覆盖 10 类检查：文件可解析、M1 id/关联、M2 引用与跨聚合联动、M3 无孤立规则、M5 权限可解析、M6 活动与网关与可达性、M7 一对一与预聚合、MU 菜单/布局/覆盖、框架 §10.2 清单可判定项、M2 后置条件字段 ⊆ M1。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2. 逐模型评审要点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M1 对象模型（`m1-object-model.yaml`）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聚合边界是否合理（一个聚合 = 一个业务完整性边界）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 个聚合：患者 / 就诊记录 / 辨证结论 / 证型字典 / 方剂模板 / 中药饮片 / 处方 / 调剂发药记录 / 复诊随访记录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一次业务操作只改一个聚合；跨聚合只通过 ID 引用（本项目 14 个 </w:t>
            </w:r>
            <w:r>
              <w:rPr>
                <w:rFonts w:ascii="宋体" w:hAnsi="宋体" w:eastAsia="宋体"/>
                <w:color w:val="C0392B"/>
                <w:sz w:val="14"/>
              </w:rPr>
              <w:t>AggregateRootRef</w:t>
            </w:r>
            <w:r>
              <w:rPr>
                <w:rFonts w:ascii="宋体" w:hAnsi="宋体" w:eastAsia="宋体"/>
                <w:sz w:val="17"/>
              </w:rPr>
              <w:t>，无对象内嵌）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业务对象是否齐（OBJ-01～OBJ-12）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个业务对象全部落为聚合根或子实体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需求第三部分每个 OBJ 都能找到归属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属性是否够用（有字段才能开发）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138 个属性 / 11 个数据字典（24 字典项）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需求每个功能点输入输出项都能找到字段；</w:t>
            </w:r>
            <w:r>
              <w:rPr>
                <w:rFonts w:ascii="宋体" w:hAnsi="宋体" w:eastAsia="宋体"/>
                <w:b/>
                <w:sz w:val="17"/>
              </w:rPr>
              <w:t>字段缺失 = 议程外必退回项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状态与初值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每聚合 </w:t>
            </w:r>
            <w:r>
              <w:rPr>
                <w:rFonts w:ascii="宋体" w:hAnsi="宋体" w:eastAsia="宋体"/>
                <w:color w:val="C0392B"/>
                <w:sz w:val="14"/>
              </w:rPr>
              <w:t>lifecycle</w:t>
            </w:r>
            <w:r>
              <w:rPr>
                <w:rFonts w:ascii="宋体" w:hAnsi="宋体" w:eastAsia="宋体"/>
                <w:sz w:val="17"/>
              </w:rPr>
              <w:t xml:space="preserve"> + 状态字段默认值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每个状态机初态都能被某个行为置入（本项目曾漏「待调剂」初态，已补 B-05/B-06）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业务方重点抽查：四诊信息分层结构（子实体 </w:t>
      </w:r>
      <w:r>
        <w:rPr>
          <w:rFonts w:ascii="宋体" w:hAnsi="宋体" w:eastAsia="宋体"/>
          <w:i/>
          <w:color w:val="595959"/>
          <w:sz w:val="16"/>
        </w:rPr>
        <w:t>FourDiagnosis</w:t>
      </w:r>
      <w:r>
        <w:rPr>
          <w:rFonts w:ascii="宋体" w:hAnsi="宋体" w:eastAsia="宋体"/>
          <w:i/>
          <w:color w:val="595959"/>
          <w:sz w:val="19"/>
        </w:rPr>
        <w:t>）、处方明细（</w:t>
      </w:r>
      <w:r>
        <w:rPr>
          <w:rFonts w:ascii="宋体" w:hAnsi="宋体" w:eastAsia="宋体"/>
          <w:i/>
          <w:color w:val="595959"/>
          <w:sz w:val="16"/>
        </w:rPr>
        <w:t>PrescriptionItem</w:t>
      </w:r>
      <w:r>
        <w:rPr>
          <w:rFonts w:ascii="宋体" w:hAnsi="宋体" w:eastAsia="宋体"/>
          <w:i/>
          <w:color w:val="595959"/>
          <w:sz w:val="19"/>
        </w:rPr>
        <w:t xml:space="preserve"> 含单剂剂量/剂数/特殊煎法）、饮片毒性上限字段。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M2 行为模型（`m2-behavior-model.yaml`）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行为粒度（原子行为，只操作单一对象）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 个：24 人工命令 + 7 查询 + 6 系统自动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一个行为不跨聚合直接改数据；跨聚合走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每个行为有前置/后置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全部命令行为有 </w:t>
            </w:r>
            <w:r>
              <w:rPr>
                <w:rFonts w:ascii="宋体" w:hAnsi="宋体" w:eastAsia="宋体"/>
                <w:color w:val="C0392B"/>
                <w:sz w:val="14"/>
              </w:rPr>
              <w:t>preconditions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postconditions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后置字段必须能在 M1 解析（已做常设门禁）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查询行为与报表一对一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个 QUERY 行为各绑 1 个 M7 对象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queryReportRef</w:t>
            </w:r>
            <w:r>
              <w:rPr>
                <w:rFonts w:ascii="宋体" w:hAnsi="宋体" w:eastAsia="宋体"/>
                <w:sz w:val="17"/>
              </w:rPr>
              <w:t xml:space="preserve"> ↔ M7 </w:t>
            </w:r>
            <w:r>
              <w:rPr>
                <w:rFonts w:ascii="宋体" w:hAnsi="宋体" w:eastAsia="宋体"/>
                <w:color w:val="C0392B"/>
                <w:sz w:val="14"/>
              </w:rPr>
              <w:t>behaviorRef</w:t>
            </w:r>
            <w:r>
              <w:rPr>
                <w:rFonts w:ascii="宋体" w:hAnsi="宋体" w:eastAsia="宋体"/>
                <w:sz w:val="17"/>
              </w:rPr>
              <w:t xml:space="preserve"> 双向一致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跨聚合联动是否必要且带条件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6 条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>，其中 4 条引用 M3 规则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有条件必须引 M3 规则；无条件联动仅限「上游完成即下游生成」事实链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M3 规则模型（`m3-rule-model.yaml`）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承载对象正确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只有 6 条</w:t>
            </w:r>
            <w:r>
              <w:rPr>
                <w:rFonts w:ascii="宋体" w:hAnsi="宋体" w:eastAsia="宋体"/>
                <w:b/>
                <w:sz w:val="17"/>
              </w:rPr>
              <w:t>跨对象/跨行为</w:t>
            </w:r>
            <w:r>
              <w:rPr>
                <w:rFonts w:ascii="宋体" w:hAnsi="宋体" w:eastAsia="宋体"/>
                <w:sz w:val="17"/>
              </w:rPr>
              <w:t>规则：R-01 剂量、R-02 库存、R-03 毒性、R-04 作废分派、R-05 随访日期、R-06 库存对账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属性级校验留 M1 </w:t>
            </w:r>
            <w:r>
              <w:rPr>
                <w:rFonts w:ascii="宋体" w:hAnsi="宋体" w:eastAsia="宋体"/>
                <w:color w:val="C0392B"/>
                <w:sz w:val="14"/>
              </w:rPr>
              <w:t>refRules</w:t>
            </w:r>
            <w:r>
              <w:rPr>
                <w:rFonts w:ascii="宋体" w:hAnsi="宋体" w:eastAsia="宋体"/>
                <w:sz w:val="17"/>
              </w:rPr>
              <w:t xml:space="preserve">，聚合级留 M1 </w:t>
            </w:r>
            <w:r>
              <w:rPr>
                <w:rFonts w:ascii="宋体" w:hAnsi="宋体" w:eastAsia="宋体"/>
                <w:color w:val="C0392B"/>
                <w:sz w:val="14"/>
              </w:rPr>
              <w:t>invariants</w:t>
            </w:r>
            <w:r>
              <w:rPr>
                <w:rFonts w:ascii="宋体" w:hAnsi="宋体" w:eastAsia="宋体"/>
                <w:sz w:val="17"/>
              </w:rPr>
              <w:t>，规则模型不重复承载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无孤立规则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每条至少被 M2 或 M6 引用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校验器已强制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判定可执行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每条含判定表达式与结果分派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开发能直接写成 </w:t>
            </w:r>
            <w:r>
              <w:rPr>
                <w:rFonts w:ascii="宋体" w:hAnsi="宋体" w:eastAsia="宋体"/>
                <w:color w:val="C0392B"/>
                <w:sz w:val="14"/>
              </w:rPr>
              <w:t>if/else</w:t>
            </w:r>
            <w:r>
              <w:rPr>
                <w:rFonts w:ascii="宋体" w:hAnsi="宋体" w:eastAsia="宋体"/>
                <w:sz w:val="17"/>
              </w:rPr>
              <w:t xml:space="preserve"> 或规则表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业务方重点确认：</w:t>
      </w:r>
      <w:r>
        <w:rPr>
          <w:rFonts w:ascii="宋体" w:hAnsi="宋体" w:eastAsia="宋体"/>
          <w:b/>
          <w:i/>
          <w:color w:val="595959"/>
          <w:sz w:val="19"/>
        </w:rPr>
        <w:t>R-01 超量处理</w:t>
      </w:r>
      <w:r>
        <w:rPr>
          <w:rFonts w:ascii="宋体" w:hAnsi="宋体" w:eastAsia="宋体"/>
          <w:i/>
          <w:color w:val="595959"/>
          <w:sz w:val="19"/>
        </w:rPr>
        <w:t>（超上限 1～2 倍填理由并强制药师审核；超 2 倍阻断）、</w:t>
      </w:r>
      <w:r>
        <w:rPr>
          <w:rFonts w:ascii="宋体" w:hAnsi="宋体" w:eastAsia="宋体"/>
          <w:b/>
          <w:i/>
          <w:color w:val="595959"/>
          <w:sz w:val="19"/>
        </w:rPr>
        <w:t>R-04 处方作废三分派</w:t>
      </w:r>
      <w:r>
        <w:rPr>
          <w:rFonts w:ascii="宋体" w:hAnsi="宋体" w:eastAsia="宋体"/>
          <w:i/>
          <w:color w:val="595959"/>
          <w:sz w:val="19"/>
        </w:rPr>
        <w:t>（无记录/待调剂→允许；已调剂未发药→允许并回冲库存；已发药→阻断）。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M5 主体模型（`m5-actor-model.yaml`）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角色与需求一致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角色（导诊员 / 中医师 / 中药师 / 库房管理员 / 科室管理员 / 系统管理员 / 系统自动主体）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与需求第六部分角色清单一致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权限粒度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 条</w:t>
            </w:r>
            <w:r>
              <w:rPr>
                <w:rFonts w:ascii="宋体" w:hAnsi="宋体" w:eastAsia="宋体"/>
                <w:b/>
                <w:sz w:val="17"/>
              </w:rPr>
              <w:t>行为级</w:t>
            </w:r>
            <w:r>
              <w:rPr>
                <w:rFonts w:ascii="宋体" w:hAnsi="宋体" w:eastAsia="宋体"/>
                <w:sz w:val="17"/>
              </w:rPr>
              <w:t>权限（</w:t>
            </w:r>
            <w:r>
              <w:rPr>
                <w:rFonts w:ascii="宋体" w:hAnsi="宋体" w:eastAsia="宋体"/>
                <w:color w:val="C0392B"/>
                <w:sz w:val="14"/>
              </w:rPr>
              <w:t>targetType=BEHAVIOR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每个可执行行为都有权限点；无「未被任一角色引用」的权限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开方与审核分离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中医师与中药师权限不交叉（提交与审核分属两角色）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合规硬要求</w:t>
            </w:r>
            <w:r>
              <w:rPr>
                <w:rFonts w:ascii="宋体" w:hAnsi="宋体" w:eastAsia="宋体"/>
                <w:sz w:val="17"/>
              </w:rPr>
              <w:t>，不得由同一角色兼任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数据范围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全部 </w:t>
            </w:r>
            <w:r>
              <w:rPr>
                <w:rFonts w:ascii="宋体" w:hAnsi="宋体" w:eastAsia="宋体"/>
                <w:color w:val="C0392B"/>
                <w:sz w:val="14"/>
              </w:rPr>
              <w:t>ALL</w:t>
            </w:r>
            <w:r>
              <w:rPr>
                <w:rFonts w:ascii="宋体" w:hAnsi="宋体" w:eastAsia="宋体"/>
                <w:sz w:val="17"/>
              </w:rPr>
              <w:t>（决策 D-32：本期不做数据行级权限）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如业务要求医师只能看自己患者，须在本轮提出并改 M5（会新增 ABAC 条件）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ROLE-06</w:t>
            </w:r>
            <w:r>
              <w:rPr>
                <w:rFonts w:ascii="宋体" w:hAnsi="宋体" w:eastAsia="宋体"/>
                <w:sz w:val="17"/>
              </w:rPr>
              <w:t xml:space="preserve"> 零业务权限，只管用户/角色/菜单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系统管理不进本体模型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M6 流程模型（`m6-flow-model.yaml`）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端到端流程齐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条协同流（门诊问诊开方 / 复诊调方 / 饮片入库）+ 1 条审批流（中药处方审核）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与需求 1.4 流程图一一对应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无不可达活动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75 个活动全部从 START 可达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校验器已强制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网关条件完整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 个网关：≥2 分支、≤1 默认分支、非默认分支必须有条件/规则/审批结论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校验器已强制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审批结论闭环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APPROVE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REJECT</w:t>
            </w:r>
            <w:r>
              <w:rPr>
                <w:rFonts w:ascii="宋体" w:hAnsi="宋体" w:eastAsia="宋体"/>
                <w:sz w:val="17"/>
              </w:rPr>
              <w:t xml:space="preserve"> 均有分支；驳回回到医师修改后重提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本系统不设「退回修改」独立结论（D-25），退回等同驳回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人工活动都有角色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全部 </w:t>
            </w:r>
            <w:r>
              <w:rPr>
                <w:rFonts w:ascii="宋体" w:hAnsi="宋体" w:eastAsia="宋体"/>
                <w:color w:val="C0392B"/>
                <w:sz w:val="14"/>
              </w:rPr>
              <w:t>USER_TASK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APPROVAL_TASK</w:t>
            </w:r>
            <w:r>
              <w:rPr>
                <w:rFonts w:ascii="宋体" w:hAnsi="宋体" w:eastAsia="宋体"/>
                <w:sz w:val="17"/>
              </w:rPr>
              <w:t xml:space="preserve"> 带 </w:t>
            </w:r>
            <w:r>
              <w:rPr>
                <w:rFonts w:ascii="宋体" w:hAnsi="宋体" w:eastAsia="宋体"/>
                <w:color w:val="C0392B"/>
                <w:sz w:val="14"/>
              </w:rPr>
              <w:t>roleRef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校验器已强制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联动不在流程里重复定义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流程仅用 </w:t>
            </w:r>
            <w:r>
              <w:rPr>
                <w:rFonts w:ascii="宋体" w:hAnsi="宋体" w:eastAsia="宋体"/>
                <w:color w:val="C0392B"/>
                <w:sz w:val="14"/>
              </w:rPr>
              <w:t>SYSTEM_TASK</w:t>
            </w:r>
            <w:r>
              <w:rPr>
                <w:rFonts w:ascii="宋体" w:hAnsi="宋体" w:eastAsia="宋体"/>
                <w:sz w:val="17"/>
              </w:rPr>
              <w:t xml:space="preserve"> 标注联动结果活动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避免「同一逻辑两处实现」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易被质疑的两点，已在本模型定案：① 审批流边界止于「通过后创建待调剂记录」，调剂/发药属协同流；② 审核通过创建待调剂记录由</w:t>
      </w:r>
      <w:r>
        <w:rPr>
          <w:rFonts w:ascii="宋体" w:hAnsi="宋体" w:eastAsia="宋体"/>
          <w:b/>
          <w:i/>
          <w:color w:val="595959"/>
          <w:sz w:val="19"/>
        </w:rPr>
        <w:t>审批结果分支</w:t>
      </w:r>
      <w:r>
        <w:rPr>
          <w:rFonts w:ascii="宋体" w:hAnsi="宋体" w:eastAsia="宋体"/>
          <w:i/>
          <w:color w:val="595959"/>
          <w:sz w:val="19"/>
        </w:rPr>
        <w:t>驱动（</w:t>
      </w:r>
      <w:r>
        <w:rPr>
          <w:rFonts w:ascii="宋体" w:hAnsi="宋体" w:eastAsia="宋体"/>
          <w:i/>
          <w:color w:val="595959"/>
          <w:sz w:val="16"/>
        </w:rPr>
        <w:t>approvalOutcome=APPROVE</w:t>
      </w:r>
      <w:r>
        <w:rPr>
          <w:rFonts w:ascii="宋体" w:hAnsi="宋体" w:eastAsia="宋体"/>
          <w:i/>
          <w:color w:val="595959"/>
          <w:sz w:val="19"/>
        </w:rPr>
        <w:t xml:space="preserve">），不写进 </w:t>
      </w:r>
      <w:r>
        <w:rPr>
          <w:rFonts w:ascii="宋体" w:hAnsi="宋体" w:eastAsia="宋体"/>
          <w:i/>
          <w:color w:val="595959"/>
          <w:sz w:val="16"/>
        </w:rPr>
        <w:t>syncTriggers</w:t>
      </w:r>
      <w:r>
        <w:rPr>
          <w:rFonts w:ascii="宋体" w:hAnsi="宋体" w:eastAsia="宋体"/>
          <w:i/>
          <w:color w:val="595959"/>
          <w:sz w:val="19"/>
        </w:rPr>
        <w:t>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M7 查询统计与报表模型（`m7-report-model.yaml`）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报表与需求一致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个对象：REP-01 门诊量 / 02 证型分布 / 03 方剂与饮片用量 / 04 就诊处方查询 / 05 库存与预警 / 06 超量毒性台账 / 07 随访完成与失访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与需求第五部分一一对应，编号可回查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统计口径正确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4 个 REPORT 有 </w:t>
            </w:r>
            <w:r>
              <w:rPr>
                <w:rFonts w:ascii="宋体" w:hAnsi="宋体" w:eastAsia="宋体"/>
                <w:color w:val="C0392B"/>
                <w:sz w:val="14"/>
              </w:rPr>
              <w:t>reportOptions</w:t>
            </w:r>
            <w:r>
              <w:rPr>
                <w:rFonts w:ascii="宋体" w:hAnsi="宋体" w:eastAsia="宋体"/>
                <w:sz w:val="17"/>
              </w:rPr>
              <w:t>（分组/小计/合计/导出 XLSX+CSV/空值显示）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占比类列</w:t>
            </w:r>
            <w:r>
              <w:rPr>
                <w:rFonts w:ascii="宋体" w:hAnsi="宋体" w:eastAsia="宋体"/>
                <w:b/>
                <w:sz w:val="17"/>
              </w:rPr>
              <w:t>分子分母同条件</w:t>
            </w:r>
            <w:r>
              <w:rPr>
                <w:rFonts w:ascii="宋体" w:hAnsi="宋体" w:eastAsia="宋体"/>
                <w:sz w:val="17"/>
              </w:rPr>
              <w:t>；累计用量 = Σ(单剂剂量 × 剂数)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无重复放大（关键技术点）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3 个对象使用 </w:t>
            </w:r>
            <w:r>
              <w:rPr>
                <w:rFonts w:ascii="宋体" w:hAnsi="宋体" w:eastAsia="宋体"/>
                <w:color w:val="C0392B"/>
                <w:sz w:val="14"/>
              </w:rPr>
              <w:t>preAggregation</w:t>
            </w:r>
            <w:r>
              <w:rPr>
                <w:rFonts w:ascii="宋体" w:hAnsi="宋体" w:eastAsia="宋体"/>
                <w:sz w:val="17"/>
              </w:rPr>
              <w:t xml:space="preserve"> 先汇总再 Join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多个一对多来源参与聚合时必须预聚合，禁止 </w:t>
            </w:r>
            <w:r>
              <w:rPr>
                <w:rFonts w:ascii="宋体" w:hAnsi="宋体" w:eastAsia="宋体"/>
                <w:color w:val="C0392B"/>
                <w:sz w:val="14"/>
              </w:rPr>
              <w:t>SUM(DISTINCT)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权限不写在本模型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无 </w:t>
            </w:r>
            <w:r>
              <w:rPr>
                <w:rFonts w:ascii="宋体" w:hAnsi="宋体" w:eastAsia="宋体"/>
                <w:color w:val="C0392B"/>
                <w:sz w:val="14"/>
              </w:rPr>
              <w:t>requiredPermissions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roleRefs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权限统一在 M5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导出与分页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 XLSX + CSV；默认每页 20（20/50/100 可选）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与决策 D-30 一致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MU UI 模型（`mu-ui-model.yaml`）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看什么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本项目结果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判定标准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菜单与需求一致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个一级菜单 / 19 个二级菜单 / 19 屏（严格两级）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与需求附录 D.3 一致（「系统管理」属底座内置，不进本模型）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屏幕类型与布局合规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单表 / 主从表 / 查询列表 / 列表维护四种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单表一行 2 控件；主从表主表一行 3 控件 + 从表表格化；查询条件一行 3 控件 + 结果分页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控件类型强制映射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184 个绑定元素全部按 M1 类型映射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日期→日期控件、字典→下拉、对象引用→跳选框、布尔→复选框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每个人工行为有界面入口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31 个人工行为覆盖 </w:t>
            </w:r>
            <w:r>
              <w:rPr>
                <w:rFonts w:ascii="宋体" w:hAnsi="宋体" w:eastAsia="宋体"/>
                <w:b/>
                <w:sz w:val="17"/>
              </w:rPr>
              <w:t>31/31</w:t>
            </w:r>
            <w:r>
              <w:rPr>
                <w:rFonts w:ascii="宋体" w:hAnsi="宋体" w:eastAsia="宋体"/>
                <w:sz w:val="17"/>
              </w:rPr>
              <w:t>，系统自动行为零入口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反向可追溯，无孤儿行为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审批屏双按钮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UI-06 开方 = 保存草稿 + 提交；UI-07 审核 = 通过 + 驳回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缺一不可（框架 §8.5）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与需求原型差异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部分人员字段按 §8.3 用文本框（原型画跳选框）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属视觉表达差异，已在边界说明声明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3. 跨模型 5 条硬门禁（评审人抽查即可）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门禁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抽查方法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本项目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行为 ↔ 查询报表严格一对一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 M2 的 QUERY 行为数 = M7 对象数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= 7 ✅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权限可解析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M5 每条权限 </w:t>
            </w:r>
            <w:r>
              <w:rPr>
                <w:rFonts w:ascii="宋体" w:hAnsi="宋体" w:eastAsia="宋体"/>
                <w:color w:val="C0392B"/>
                <w:sz w:val="14"/>
              </w:rPr>
              <w:t>targetRef</w:t>
            </w:r>
            <w:r>
              <w:rPr>
                <w:rFonts w:ascii="宋体" w:hAnsi="宋体" w:eastAsia="宋体"/>
                <w:sz w:val="17"/>
              </w:rPr>
              <w:t xml:space="preserve"> 指向存在的 M2 行为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37/37 ✅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流程引用无悬空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M6 的 </w:t>
            </w:r>
            <w:r>
              <w:rPr>
                <w:rFonts w:ascii="宋体" w:hAnsi="宋体" w:eastAsia="宋体"/>
                <w:color w:val="C0392B"/>
                <w:sz w:val="14"/>
              </w:rPr>
              <w:t>roleRef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behaviorRef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subFlowRef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ruleRef</w:t>
            </w:r>
            <w:r>
              <w:rPr>
                <w:rFonts w:ascii="宋体" w:hAnsi="宋体" w:eastAsia="宋体"/>
                <w:sz w:val="17"/>
              </w:rPr>
              <w:t xml:space="preserve"> 全部可解析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全通过 ✅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统计不重复放大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多个一对多来源参与聚合时先预聚合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个对象已预聚合 ✅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界面反向覆盖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每个人工行为至少被 1 个操作功能点引用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31/31 ✅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4. 需求可追溯性核对（抽 3 条就够）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① 行为编号是否两侧齐备（B-05/B-06 为例，预期 ≥20 处）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grep -c "B-05\|B-06" 中医问诊系统-需求规格说明书-V9.md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② 报表编号 ↔ M7 对象 id 对照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grep -n "REP-0" 中医问诊系统-需求规格说明书-V9.md | head -8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grep -n "  - id: R" yaml/m7-report-model.yaml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③ 界面编号 ↔ MU 屏幕对照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grep -n "^| UI-0" 中医问诊系统-需求规格说明书-V9.md | head -6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grep -n "screenId:" yaml/mu-ui-model.yaml | head -6</w:t>
      </w:r>
    </w:p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5. 已知偏差与待确认口径（现场拍板项）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5.1 已声明的建模取舍（不影响开发，知悉即可）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UI-11 随访登记屏的「查询」入口复用 Q-07 查询行为（需求 D.6 记的 FUNC-13 是命令行为，不能作查询入口）。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UI-20/21/22 用户/角色/菜单管理属技术底座内置，不进 MU（对应 FUNC-17）。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数据行级/字段级权限与多租户隔离本期不纳入（决策 D-31/D-32）。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5.2 需要业务方拍板的 6 项口径（**开工前必须答复**）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议题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现状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需答复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REP-03「使用剂数」定义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实现为 Σ(被引用处方的剂数)，使单剂平均用量自洽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是否认可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REP-03 是否允许增列「就诊」来源用于科室过滤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已增列（需求来源清单未含）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是否认可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REP-04「药味名称」是否需按饮片属性过滤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现按明细 </w:t>
            </w:r>
            <w:r>
              <w:rPr>
                <w:rFonts w:ascii="宋体" w:hAnsi="宋体" w:eastAsia="宋体"/>
                <w:color w:val="C0392B"/>
                <w:sz w:val="14"/>
              </w:rPr>
              <w:t>herbId</w:t>
            </w:r>
            <w:r>
              <w:rPr>
                <w:rFonts w:ascii="宋体" w:hAnsi="宋体" w:eastAsia="宋体"/>
                <w:sz w:val="17"/>
              </w:rPr>
              <w:t xml:space="preserve"> 解析显示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是否需补饮片来源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REP-06「处理结果」与「处方状态」两条件重叠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两条条件均保留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是否需 M1 增独立审核结论字段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REP-06「接诊医师」口径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现取开方医师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接诊与开方是否为同一人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子实体父键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M1 未显式声明父键，按约定用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herbId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是否在 M1 显式补父键字段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详细说明见《阶段二-本体建模交付说明.md》第四节之补充。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6. 评审结论记录表（请现场填写）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自动校验结果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□ 通过 0 阻断　□ 有阻断（列出：____________）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业务正确性（M1/M2/M6）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□ 通过　□ 有条件通过（异议：____________）　□ 退回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跨模型门禁（5 条）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□ 全通过　□ 不通过（____________）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可追溯性核对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□ 通过　□ 不通过（____________）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项口径决议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逐项填写见附表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总体结论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□ 通过，可进入开发　□ 有条件通过（条件：____________）　□ 退回修改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姓名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日期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签字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需求方（SMO）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业务评审人</w:t>
            </w: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质量/合规评审人</w:t>
            </w: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  <w:tc>
          <w:tcPr>
            <w:tcW w:type="dxa" w:w="2346"/>
          </w:tcPr>
          <w:p>
            <w:pPr>
              <w:spacing w:before="0" w:after="0"/>
            </w:pP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7. 评审通过后的下一步（不含本阶段）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阶段三 应用构建：复制技术底座 → 按《开发实施说明-七模型落地指南.md》生成 DDL、服务、流程定义、菜单与页面。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若先不做系统：本套 </w:t>
      </w:r>
      <w:r>
        <w:rPr>
          <w:rFonts w:ascii="宋体" w:hAnsi="宋体" w:eastAsia="宋体"/>
          <w:color w:val="C0392B"/>
          <w:sz w:val="17"/>
        </w:rPr>
        <w:t>yaml/</w:t>
      </w:r>
      <w:r>
        <w:rPr>
          <w:rFonts w:ascii="宋体" w:hAnsi="宋体" w:eastAsia="宋体"/>
          <w:sz w:val="20"/>
        </w:rPr>
        <w:t xml:space="preserve"> 可直接作为开发交接基线（附指纹清单，见开发实施说明第 1 节）。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