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中医问诊系统 · 交付索引</w:t>
      </w:r>
    </w:p>
    <w:p>
      <w:pPr>
        <w:spacing w:before="40" w:after="40"/>
        <w:ind w:left="283"/>
      </w:pPr>
      <w:r>
        <w:rPr>
          <w:rFonts w:ascii="宋体" w:hAnsi="宋体" w:eastAsia="宋体"/>
          <w:i/>
          <w:color w:val="595959"/>
          <w:sz w:val="19"/>
        </w:rPr>
        <w:t>一句话：需求（阶段一）已冻结，七模型本体（阶段二）已建完并通过一致性门禁，</w:t>
      </w:r>
      <w:r>
        <w:rPr>
          <w:rFonts w:ascii="宋体" w:hAnsi="宋体" w:eastAsia="宋体"/>
          <w:b/>
          <w:i/>
          <w:color w:val="595959"/>
          <w:sz w:val="19"/>
        </w:rPr>
        <w:t>阶段三批次 1（基础数据）与批次 2（门诊业务流全链路）均已在 code-app 内跑通并四层验收全通过</w:t>
      </w:r>
      <w:r>
        <w:rPr>
          <w:rFonts w:ascii="宋体" w:hAnsi="宋体" w:eastAsia="宋体"/>
          <w:i/>
          <w:color w:val="595959"/>
          <w:sz w:val="19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值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需求基线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《中医问诊系统-需求规格说明书-V9.md》v1.3（另有同名 .docx）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本体基线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</w:t>
            </w:r>
            <w:r>
              <w:rPr>
                <w:rFonts w:ascii="宋体" w:hAnsi="宋体" w:eastAsia="宋体"/>
                <w:sz w:val="17"/>
              </w:rPr>
              <w:t xml:space="preserve"> 下 7 个模型 + </w:t>
            </w:r>
            <w:r>
              <w:rPr>
                <w:rFonts w:ascii="宋体" w:hAnsi="宋体" w:eastAsia="宋体"/>
                <w:color w:val="C0392B"/>
                <w:sz w:val="14"/>
              </w:rPr>
              <w:t>manifest.json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CHANGELOG.md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校验工具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tools/validate_ontology.py</w:t>
            </w:r>
            <w:r>
              <w:rPr>
                <w:rFonts w:ascii="宋体" w:hAnsi="宋体" w:eastAsia="宋体"/>
                <w:sz w:val="17"/>
              </w:rPr>
              <w:t>（10 类跨模型检查）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当前门禁状态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阻断 0 条、提示 0 条 — 全部通过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应用基线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</w:t>
            </w:r>
            <w:r>
              <w:rPr>
                <w:rFonts w:ascii="宋体" w:hAnsi="宋体" w:eastAsia="宋体"/>
                <w:sz w:val="17"/>
              </w:rPr>
              <w:t>（Flask + SQLite + React/TS，</w:t>
            </w:r>
            <w:r>
              <w:rPr>
                <w:rFonts w:ascii="宋体" w:hAnsi="宋体" w:eastAsia="宋体"/>
                <w:b/>
                <w:sz w:val="17"/>
              </w:rPr>
              <w:t>12 个屏幕可运行</w:t>
            </w:r>
            <w:r>
              <w:rPr>
                <w:rFonts w:ascii="宋体" w:hAnsi="宋体" w:eastAsia="宋体"/>
                <w:sz w:val="17"/>
              </w:rPr>
              <w:t xml:space="preserve"> = 批次 1 五屏 + 批次 2 七屏；启动与演示账号见批次交付说明）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下一步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3：就诊与处方记录查询（含处方作废按钮）+ 6 个统计报表屏 + 随访登记与失访分析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按角色阅读路径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你的角色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建议按顺序看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需求方 / 业务方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① 需求规格说明书（第三部分业务对象、第二部分功能与规则）→ ② 七模型评审要点第 2 节（逐模型业务核对）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评审人（质量/合规）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① 七模型评审要点（全篇，含 5 条硬门禁与结论记录表）→ ② 阶段二-本体建模交付说明（门禁取证与偏差）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开发 / 技术负责人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① 开发实施说明-七模型落地指南 → ② 技能内《本体模型业务功能开发指导书》（方法论与代码模板）→ ③ </w:t>
            </w:r>
            <w:r>
              <w:rPr>
                <w:rFonts w:ascii="宋体" w:hAnsi="宋体" w:eastAsia="宋体"/>
                <w:color w:val="C0392B"/>
                <w:sz w:val="14"/>
              </w:rPr>
              <w:t>yaml/</w:t>
            </w:r>
            <w:r>
              <w:rPr>
                <w:rFonts w:ascii="宋体" w:hAnsi="宋体" w:eastAsia="宋体"/>
                <w:sz w:val="17"/>
              </w:rPr>
              <w:t xml:space="preserve"> 七个模型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后续建模（阶段三）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先跑 </w:t>
            </w:r>
            <w:r>
              <w:rPr>
                <w:rFonts w:ascii="宋体" w:hAnsi="宋体" w:eastAsia="宋体"/>
                <w:color w:val="C0392B"/>
                <w:sz w:val="14"/>
              </w:rPr>
              <w:t>tools/validate_ontology.py</w:t>
            </w:r>
            <w:r>
              <w:rPr>
                <w:rFonts w:ascii="宋体" w:hAnsi="宋体" w:eastAsia="宋体"/>
                <w:sz w:val="17"/>
              </w:rPr>
              <w:t xml:space="preserve"> 确认基线干净，再动模型；改完回写 </w:t>
            </w:r>
            <w:r>
              <w:rPr>
                <w:rFonts w:ascii="宋体" w:hAnsi="宋体" w:eastAsia="宋体"/>
                <w:color w:val="C0392B"/>
                <w:sz w:val="14"/>
              </w:rPr>
              <w:t>yaml/CHANGELOG.md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文件清单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阶段一：需求探索（已冻结）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中医问诊系统-需求规格说明书-V9.md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主体（2,529 行 / 189 KB）：编号登记表 → 业务对象（OBJ-01～12）→ 功能与规则（FUNC/B/Q/R）→ 端到端流程 → 联动与状态迁移 → 查询报表（REP-01～07）→ 角色权限 → 附录 A/B（问题台账 T-01～36 全关、决策 D-01～38）→ 附录 C（七模型建模输入基线）→ 附录 D（22 屏 UI 原型）→ 47 项自检报告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中医问诊系统-需求规格说明书-V9.docx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同名 docx（正文纵向 + 附录 D 横向分节，133 标题/99 表格）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阶段二：本体建模（本次交付）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规模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yaml/m1-object-model.yaml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M1 对象模型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9 聚合 / 4 子实体 / </w:t>
            </w:r>
            <w:r>
              <w:rPr>
                <w:rFonts w:ascii="宋体" w:hAnsi="宋体" w:eastAsia="宋体"/>
                <w:b/>
                <w:sz w:val="17"/>
              </w:rPr>
              <w:t>139 属性</w:t>
            </w:r>
            <w:r>
              <w:rPr>
                <w:rFonts w:ascii="宋体" w:hAnsi="宋体" w:eastAsia="宋体"/>
                <w:sz w:val="17"/>
              </w:rPr>
              <w:t xml:space="preserve">（v1.5 增 </w:t>
            </w:r>
            <w:r>
              <w:rPr>
                <w:rFonts w:ascii="宋体" w:hAnsi="宋体" w:eastAsia="宋体"/>
                <w:color w:val="C0392B"/>
                <w:sz w:val="14"/>
              </w:rPr>
              <w:t>Herb.toxicDoseLimit</w:t>
            </w:r>
            <w:r>
              <w:rPr>
                <w:rFonts w:ascii="宋体" w:hAnsi="宋体" w:eastAsia="宋体"/>
                <w:sz w:val="17"/>
              </w:rPr>
              <w:t>）/ 11 字典 / 11 关联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yaml/m2-behavior-model.yaml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M2 行为模型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37 行为（24 命令 + 7 查询 + 6 系统自动）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yaml/m3-rule-model.yaml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M3 规则模型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R-01～R-06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yaml/m5-actor-model.yaml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M5 主体模型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角色 / 37 权限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yaml/m6-flow-model.yaml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M6 流程模型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 流程 / 75 活动 / 12 网关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yaml/m7-report-model.yaml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M7 查询报表模型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 对象（4 报表 + 3 列表查询）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yaml/mu-ui-model.yaml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MU UI 模型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19 屏 / 309 元素 / 43 功能点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yaml/manifest.json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yaml/CHANGELOG.md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模型清单与变更登记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交付文档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读者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七模型评审要点与验收清单.md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评审人/需求方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60 分钟评审流程、逐模型要点与判定标准、5 条硬门禁、可追溯性核对、结论记录表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开发实施说明-七模型落地指南.md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开发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输入物指纹、开工 3 步、聚合↔表↔行为↔屏幕对照、13 条项目专属注意、种子清单、验收清单、三批实施顺序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阶段二-本体建模交付说明.md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全体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交付物清单、门禁取证（含 M7 预聚合取证表）、需求文档同步 17+ 处、已知偏差、6 项待确认口径、复现命令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tools/validate_ontology.py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开发/评审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跨模型一致性校验器（含框架 §10.2 评审清单可判定项）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tools/md2docx.py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任意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Markdown → Word 转换（保留标题/表格/代码块，附录自动横向）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一键复跑（每次动模型后必跑）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cd /d/hermes/workspace/中医问诊系统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D:/hermes/tools/docx-venv/Scripts/python.exe tools/validate_ontology.py yaml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6"/>
        </w:rPr>
        <w:t># 期望输出：全部跨模型一致性门禁通过。</w:t>
      </w:r>
    </w:p>
    <w:p/>
    <w:p>
      <w:pPr>
        <w:spacing w:before="0" w:after="40"/>
      </w:pPr>
      <w:r>
        <w:rPr>
          <w:rFonts w:ascii="宋体" w:hAnsi="宋体" w:eastAsia="宋体"/>
          <w:sz w:val="21"/>
        </w:rPr>
        <w:t>环境：</w:t>
      </w:r>
      <w:r>
        <w:rPr>
          <w:rFonts w:ascii="宋体" w:hAnsi="宋体" w:eastAsia="宋体"/>
          <w:color w:val="C0392B"/>
          <w:sz w:val="18"/>
        </w:rPr>
        <w:t>D:\hermes\tools\docx-venv</w:t>
      </w:r>
      <w:r>
        <w:rPr>
          <w:rFonts w:ascii="宋体" w:hAnsi="宋体" w:eastAsia="宋体"/>
          <w:sz w:val="21"/>
        </w:rPr>
        <w:t>（Python 3.12.13 + pyyaml 6.0.3 + python-docx 1.2.0），与 Hermes 运行时隔离。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待决事项（不阻塞开发）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阶段二 6 项口径待业务方拍板（见评审要点第 5.2 节）；批次 2 开发中又修正了 5 处建模偏差（见批次 2 交付说明第四节），其中 3 处源自</w:t>
      </w:r>
      <w:r>
        <w:rPr>
          <w:rFonts w:ascii="宋体" w:hAnsi="宋体" w:eastAsia="宋体"/>
          <w:b/>
          <w:sz w:val="20"/>
        </w:rPr>
        <w:t>需求文档/MU 与行为模型前置条件不一致</w:t>
      </w:r>
      <w:r>
        <w:rPr>
          <w:rFonts w:ascii="宋体" w:hAnsi="宋体" w:eastAsia="宋体"/>
          <w:sz w:val="20"/>
        </w:rPr>
        <w:t>，建议业务方回看确认。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阶段三批次 3 是否启动。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阶段三：应用构建（批次 1 已交付）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阶段三-批次1-交付说明.md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.docx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1 交付说明：完成标志核对、一键启动、演示账号、交付物指纹表、四层验收取证、6 处口径与缺陷修正、已知遗留、批次 2 预告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code-app/docs/批次1-实现契约.md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1 唯一实现口径（v1.1）：表结构、API、权限码、菜单路由、逐屏控件、规则清单、验收命令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可运行系统：后端 </w:t>
            </w:r>
            <w:r>
              <w:rPr>
                <w:rFonts w:ascii="宋体" w:hAnsi="宋体" w:eastAsia="宋体"/>
                <w:color w:val="C0392B"/>
                <w:sz w:val="14"/>
              </w:rPr>
              <w:t>backend/</w:t>
            </w:r>
            <w:r>
              <w:rPr>
                <w:rFonts w:ascii="宋体" w:hAnsi="宋体" w:eastAsia="宋体"/>
                <w:sz w:val="17"/>
              </w:rPr>
              <w:t xml:space="preserve">（schema.sql / seed.py / 4 个业务 service+api）、前端 </w:t>
            </w:r>
            <w:r>
              <w:rPr>
                <w:rFonts w:ascii="宋体" w:hAnsi="宋体" w:eastAsia="宋体"/>
                <w:color w:val="C0392B"/>
                <w:sz w:val="14"/>
              </w:rPr>
              <w:t>frontend/</w:t>
            </w:r>
            <w:r>
              <w:rPr>
                <w:rFonts w:ascii="宋体" w:hAnsi="宋体" w:eastAsia="宋体"/>
                <w:sz w:val="17"/>
              </w:rPr>
              <w:t>（5 屏 + 路由）、</w:t>
            </w:r>
            <w:r>
              <w:rPr>
                <w:rFonts w:ascii="宋体" w:hAnsi="宋体" w:eastAsia="宋体"/>
                <w:color w:val="C0392B"/>
                <w:sz w:val="14"/>
              </w:rPr>
              <w:t>models/</w:t>
            </w:r>
            <w:r>
              <w:rPr>
                <w:rFonts w:ascii="宋体" w:hAnsi="宋体" w:eastAsia="宋体"/>
                <w:sz w:val="17"/>
              </w:rPr>
              <w:t xml:space="preserve"> 七模型、</w:t>
            </w:r>
            <w:r>
              <w:rPr>
                <w:rFonts w:ascii="宋体" w:hAnsi="宋体" w:eastAsia="宋体"/>
                <w:color w:val="C0392B"/>
                <w:sz w:val="14"/>
              </w:rPr>
              <w:t>docs/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tools/batch1_api_test.py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batch1_e2e_probe.py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batch1_demo_verify.py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主代独立验收（49 项）/ 端到端黑盒（18 项）/ 演示库体检（10 项）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阶段三：应用构建（批次 2 已交付）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阶段三-批次2-交付说明.md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.docx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交付说明：完成标志核对、规则与联动落地、5 处模型修订、10 处契约↔模型口径裁决、四层验收取证、演示场景、复现命令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code-app/docs/批次2-实现契约.md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唯一实现口径（v1.1，326 行）：逐接口（路径/权限/出入参）、R-01～R-05 判定与中文提示、三条联动链的事务编排、菜单可见性、验收清单、§11 口径裁决表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code-app/docs/批次2-字段表（M1抽取）.md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批次2-屏幕规格（MU抽取）.md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由脚本从 M1/MU 直接抽取的字段表（130 行）与七屏逐元素逐动作规格（290 行），与契约同等效力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后端：</w:t>
            </w:r>
            <w:r>
              <w:rPr>
                <w:rFonts w:ascii="宋体" w:hAnsi="宋体" w:eastAsia="宋体"/>
                <w:color w:val="C0392B"/>
                <w:sz w:val="14"/>
              </w:rPr>
              <w:t>services/{visit,diagnosis,prescription,dispense,domain_rules,followup}_service.py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api/{visit,diagnosis,prescription,dispense}.py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schema.sql</w:t>
            </w:r>
            <w:r>
              <w:rPr>
                <w:rFonts w:ascii="宋体" w:hAnsi="宋体" w:eastAsia="宋体"/>
                <w:sz w:val="17"/>
              </w:rPr>
              <w:t>（+7 表）、</w:t>
            </w:r>
            <w:r>
              <w:rPr>
                <w:rFonts w:ascii="宋体" w:hAnsi="宋体" w:eastAsia="宋体"/>
                <w:color w:val="C0392B"/>
                <w:sz w:val="14"/>
              </w:rPr>
              <w:t>seed.py</w:t>
            </w:r>
            <w:r>
              <w:rPr>
                <w:rFonts w:ascii="宋体" w:hAnsi="宋体" w:eastAsia="宋体"/>
                <w:sz w:val="17"/>
              </w:rPr>
              <w:t>（幂等）、</w:t>
            </w:r>
            <w:r>
              <w:rPr>
                <w:rFonts w:ascii="宋体" w:hAnsi="宋体" w:eastAsia="宋体"/>
                <w:color w:val="C0392B"/>
                <w:sz w:val="14"/>
              </w:rPr>
              <w:t>tools/{check_batch2_visit,check_batch2_pharmacy,seed_batch2_demo,batch2_demo_verify}.py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code-app/frontend/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 前端：</w:t>
            </w:r>
            <w:r>
              <w:rPr>
                <w:rFonts w:ascii="宋体" w:hAnsi="宋体" w:eastAsia="宋体"/>
                <w:color w:val="C0392B"/>
                <w:sz w:val="14"/>
              </w:rPr>
              <w:t>pages/outpatient/{VisitRegister,VisitReceive,FourDiagnosis,DiagnosisJudge,Prescription}.tsx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pages/pharmacy/{PrescriptionReview,Dispense}.tsx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api/{visit,diagnosis,prescription,dispense}.ts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router/index.tsx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tools/batch2_api_test.py</w:t>
            </w:r>
            <w:r>
              <w:rPr>
                <w:rFonts w:ascii="宋体" w:hAnsi="宋体" w:eastAsia="宋体"/>
                <w:sz w:val="17"/>
              </w:rPr>
              <w:t xml:space="preserve"> / </w:t>
            </w:r>
            <w:r>
              <w:rPr>
                <w:rFonts w:ascii="宋体" w:hAnsi="宋体" w:eastAsia="宋体"/>
                <w:color w:val="C0392B"/>
                <w:sz w:val="14"/>
              </w:rPr>
              <w:t>batch2_e2e_probe.py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主代独立验收（105 项）/ 端到端黑盒真实 socket（29 项）</w:t>
            </w:r>
          </w:p>
        </w:tc>
      </w:tr>
    </w:tbl>
    <w:p/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