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中医问诊系统 · 开发实施说明（七模型落地指南）</w:t>
      </w:r>
    </w:p>
    <w:p>
      <w:pPr>
        <w:spacing w:before="40" w:after="40"/>
        <w:ind w:left="283"/>
      </w:pPr>
      <w:r>
        <w:rPr>
          <w:rFonts w:ascii="宋体" w:hAnsi="宋体" w:eastAsia="宋体"/>
          <w:b/>
          <w:i/>
          <w:color w:val="595959"/>
          <w:sz w:val="19"/>
        </w:rPr>
        <w:t>读者</w:t>
      </w:r>
      <w:r>
        <w:rPr>
          <w:rFonts w:ascii="宋体" w:hAnsi="宋体" w:eastAsia="宋体"/>
          <w:i/>
          <w:color w:val="595959"/>
          <w:sz w:val="19"/>
        </w:rPr>
        <w:t>：后端/前端开发、技术负责人</w:t>
      </w:r>
    </w:p>
    <w:p>
      <w:pPr>
        <w:spacing w:before="40" w:after="40"/>
        <w:ind w:left="283"/>
      </w:pPr>
      <w:r>
        <w:rPr>
          <w:rFonts w:ascii="宋体" w:hAnsi="宋体" w:eastAsia="宋体"/>
          <w:b/>
          <w:i/>
          <w:color w:val="595959"/>
          <w:sz w:val="19"/>
        </w:rPr>
        <w:t>定位</w:t>
      </w:r>
      <w:r>
        <w:rPr>
          <w:rFonts w:ascii="宋体" w:hAnsi="宋体" w:eastAsia="宋体"/>
          <w:i/>
          <w:color w:val="595959"/>
          <w:sz w:val="19"/>
        </w:rPr>
        <w:t>：本项目专属的</w:t>
      </w:r>
      <w:r>
        <w:rPr>
          <w:rFonts w:ascii="宋体" w:hAnsi="宋体" w:eastAsia="宋体"/>
          <w:b/>
          <w:i/>
          <w:color w:val="595959"/>
          <w:sz w:val="19"/>
        </w:rPr>
        <w:t>交接与实施说明</w:t>
      </w:r>
      <w:r>
        <w:rPr>
          <w:rFonts w:ascii="宋体" w:hAnsi="宋体" w:eastAsia="宋体"/>
          <w:i/>
          <w:color w:val="595959"/>
          <w:sz w:val="19"/>
        </w:rPr>
        <w:t>。方法论与代码模板</w:t>
      </w:r>
      <w:r>
        <w:rPr>
          <w:rFonts w:ascii="宋体" w:hAnsi="宋体" w:eastAsia="宋体"/>
          <w:b/>
          <w:i/>
          <w:color w:val="595959"/>
          <w:sz w:val="19"/>
        </w:rPr>
        <w:t>不在此重复</w:t>
      </w:r>
      <w:r>
        <w:rPr>
          <w:rFonts w:ascii="宋体" w:hAnsi="宋体" w:eastAsia="宋体"/>
          <w:i/>
          <w:color w:val="595959"/>
          <w:sz w:val="19"/>
        </w:rPr>
        <w:t>，一律引用技能内《本体模型业务功能开发指导书》（868 行，含「模型 → 实现映射总表」「10 步开发流水线」「附录 A 开发检查清单」「附录 B 代码骨架模板 DDL/service/前端」）。</w:t>
      </w:r>
    </w:p>
    <w:p>
      <w:pPr>
        <w:spacing w:before="40" w:after="40"/>
        <w:ind w:left="283"/>
      </w:pPr>
      <w:r>
        <w:rPr>
          <w:rFonts w:ascii="宋体" w:hAnsi="宋体" w:eastAsia="宋体"/>
          <w:b/>
          <w:i/>
          <w:color w:val="595959"/>
          <w:sz w:val="19"/>
        </w:rPr>
        <w:t>前置</w:t>
      </w:r>
      <w:r>
        <w:rPr>
          <w:rFonts w:ascii="宋体" w:hAnsi="宋体" w:eastAsia="宋体"/>
          <w:i/>
          <w:color w:val="595959"/>
          <w:sz w:val="19"/>
        </w:rPr>
        <w:t>：七模型已通过一致性门禁（见《七模型评审要点与验收清单.md》第 1 节）。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1. 输入物与指纹（交接基线）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sha256（前 16 位）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yaml/m1-object-model.yaml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M1 对象模型：9 聚合 / 4 子实体 / 138 属性 / 11 字典 / 11 关联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bcb0f15a6e1a141c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yaml/m2-behavior-model.yaml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M2 行为模型：37 行为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503957b6e4078cbd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yaml/m3-rule-model.yaml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M3 规则模型：R-01～R-06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237038aca3075b11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yaml/m5-actor-model.yaml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M5 主体模型：7 角色 / 37 权限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544406b352a292b4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yaml/m6-flow-model.yaml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M6 流程模型：4 流程 / 75 活动 / 12 网关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d1c1ff33a40f85af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yaml/m7-report-model.yaml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M7 查询报表：7 对象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20926f55238c9173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yaml/mu-ui-model.yaml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MU 界面模型：19 屏 / 309 元素 / 43 功能点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c6a5a25c3bc0212e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yaml/manifest.json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模型清单（相对路径）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dfb8385477ea198c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yaml/CHANGELOG.md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跨模型破坏性变更登记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99e8b817cda15baa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tools/validate_ontology.py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跨模型一致性校验器（10 类检查）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bb20cf77db0d54e0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中医问诊系统-需求规格说明书-V9.md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需求基线（v1.3，1,900+ 行）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b55919095032b3aa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阶段二-本体建模交付说明.md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交付与偏差说明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caf3a52b77b721a4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 xml:space="preserve">骨架项目参考：技能内 </w:t>
      </w:r>
      <w:r>
        <w:rPr>
          <w:rFonts w:ascii="宋体" w:hAnsi="宋体" w:eastAsia="宋体"/>
          <w:i/>
          <w:color w:val="595959"/>
          <w:sz w:val="16"/>
        </w:rPr>
        <w:t>code-app-example/</w:t>
      </w:r>
      <w:r>
        <w:rPr>
          <w:rFonts w:ascii="宋体" w:hAnsi="宋体" w:eastAsia="宋体"/>
          <w:i/>
          <w:color w:val="595959"/>
          <w:sz w:val="19"/>
        </w:rPr>
        <w:t>（已完成的本体驱动应用，可直接对照目录结构与命名）。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2. 开工前 3 件事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① 校验模型（每次改模型后都必须跑，建议纳入提交前钩子）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cd /d/hermes/workspace/中医问诊系统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D:/hermes/tools/docx-venv/Scripts/python.exe tools/validate_ontology.py yaml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期望：全部跨模型一致性门禁通过。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② 复制技术底座（严禁直接改 code-paas，详见指导书 §1.1）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   项目根目录执行（PowerShell）：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   Copy-Item -Path ".\code-paas" -Destination ".\code-app" -Recurse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   随后清理 code-app\backend\data、__pycache__、frontend\node_modules、frontend\dist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③ 模型落位：把本项目的 yaml/ 内容放入 code-app/models/（底座从 models/ 读 YAML）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   文件名为固定名 m1-object-model.yaml … mu-ui-model.yaml + manifest.json</w:t>
      </w:r>
    </w:p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3. 项目规模（估算开发量的依据）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维度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数量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开发含义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聚合根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 张主表 + 对应 service/api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子实体（从表）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 张从表（主从表单需单事务 + 外键自动赋值，指导书 §3.5）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属性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表单控件与 DTO 字段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数据字典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11（24 字典项）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自动注册到 </w:t>
            </w:r>
            <w:r>
              <w:rPr>
                <w:rFonts w:ascii="宋体" w:hAnsi="宋体" w:eastAsia="宋体"/>
                <w:color w:val="C0392B"/>
                <w:sz w:val="14"/>
              </w:rPr>
              <w:t>/api/meta/dictionaries</w:t>
            </w:r>
            <w:r>
              <w:rPr>
                <w:rFonts w:ascii="宋体" w:hAnsi="宋体" w:eastAsia="宋体"/>
                <w:sz w:val="17"/>
              </w:rPr>
              <w:t>，前端下拉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人工行为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31（24 命令 + 7 查询）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service 方法 + API + 前端按钮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系统自动行为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syncTriggers</w:t>
            </w:r>
            <w:r>
              <w:rPr>
                <w:rFonts w:ascii="宋体" w:hAnsi="宋体" w:eastAsia="宋体"/>
                <w:sz w:val="17"/>
              </w:rPr>
              <w:t xml:space="preserve"> / 审批分支触发，无界面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跨对象规则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规则判定实现 + 单元测试用例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4（3 协同 + 1 审批）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流程定义种子 + 审批节点图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查询报表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7（4 REPORT + 3 LIST_QUERY）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查询 service + 导出（XLSX/CSV）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界面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19 屏（6 菜单）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前端页面 + 路由 + 菜单种子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操作功能点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按钮 ↔ API 映射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4. 聚合 → 表 / 行为 / 屏幕 对照表（本项目）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M1 聚合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建议表名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归属于该聚合的行为数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关联屏幕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AGG-PATIENT-001</w:t>
            </w:r>
            <w:r>
              <w:rPr>
                <w:rFonts w:ascii="宋体" w:hAnsi="宋体" w:eastAsia="宋体"/>
                <w:sz w:val="17"/>
              </w:rPr>
              <w:t xml:space="preserve"> 患者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patient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建档、接诊、四诊、辨证、开方、审核、调剂、处方查询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AGG-VISIT-001</w:t>
            </w:r>
            <w:r>
              <w:rPr>
                <w:rFonts w:ascii="宋体" w:hAnsi="宋体" w:eastAsia="宋体"/>
                <w:sz w:val="17"/>
              </w:rPr>
              <w:t xml:space="preserve"> 就诊记录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visit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挂号、接诊、四诊、辨证、开方、就诊处方查询、门诊量、证型分布、随访分析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AGG-DIAGNOSIS-001</w:t>
            </w:r>
            <w:r>
              <w:rPr>
                <w:rFonts w:ascii="宋体" w:hAnsi="宋体" w:eastAsia="宋体"/>
                <w:sz w:val="17"/>
              </w:rPr>
              <w:t xml:space="preserve"> 辨证结论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syndrome_diagnosis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证型分布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AGG-SYNDROME-001</w:t>
            </w:r>
            <w:r>
              <w:rPr>
                <w:rFonts w:ascii="宋体" w:hAnsi="宋体" w:eastAsia="宋体"/>
                <w:sz w:val="17"/>
              </w:rPr>
              <w:t xml:space="preserve"> 证型字典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syndrome_type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证型字典维护、证型分布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AGG-FORMULA-001</w:t>
            </w:r>
            <w:r>
              <w:rPr>
                <w:rFonts w:ascii="宋体" w:hAnsi="宋体" w:eastAsia="宋体"/>
                <w:sz w:val="17"/>
              </w:rPr>
              <w:t xml:space="preserve"> 方剂模板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formula_template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方剂模板维护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AGG-HERB-001</w:t>
            </w:r>
            <w:r>
              <w:rPr>
                <w:rFonts w:ascii="宋体" w:hAnsi="宋体" w:eastAsia="宋体"/>
                <w:sz w:val="17"/>
              </w:rPr>
              <w:t xml:space="preserve"> 中药饮片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饮片建档与入库、库存与预警、饮片用量统计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AGG-PRESCRIPTION-001</w:t>
            </w:r>
            <w:r>
              <w:rPr>
                <w:rFonts w:ascii="宋体" w:hAnsi="宋体" w:eastAsia="宋体"/>
                <w:sz w:val="17"/>
              </w:rPr>
              <w:t xml:space="preserve"> 处方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prescription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开方、审核、调剂发药、处方查询、超量台账、饮片用量统计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AGG-DISPENSE-001</w:t>
            </w:r>
            <w:r>
              <w:rPr>
                <w:rFonts w:ascii="宋体" w:hAnsi="宋体" w:eastAsia="宋体"/>
                <w:sz w:val="17"/>
              </w:rPr>
              <w:t xml:space="preserve"> 调剂发药记录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dispense_record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调剂发药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AGG-FOLLOWUP-001</w:t>
            </w:r>
            <w:r>
              <w:rPr>
                <w:rFonts w:ascii="宋体" w:hAnsi="宋体" w:eastAsia="宋体"/>
                <w:sz w:val="17"/>
              </w:rPr>
              <w:t xml:space="preserve"> 复诊随访记录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follow_up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复诊随访登记、随访完成与失访分析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从表（子实体）与外键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所属聚合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子实体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建议从表名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基数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外键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就诊记录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FourDiagnosis</w:t>
            </w:r>
            <w:r>
              <w:rPr>
                <w:rFonts w:ascii="宋体" w:hAnsi="宋体" w:eastAsia="宋体"/>
                <w:sz w:val="17"/>
              </w:rPr>
              <w:t xml:space="preserve"> 四诊信息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visit_four_diagnosis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ZERO_OR_ONE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visit_id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方剂模板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FormulaItem</w:t>
            </w:r>
            <w:r>
              <w:rPr>
                <w:rFonts w:ascii="宋体" w:hAnsi="宋体" w:eastAsia="宋体"/>
                <w:sz w:val="17"/>
              </w:rPr>
              <w:t xml:space="preserve"> 方剂组成明细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formula_template_item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ONE_OR_MORE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formula_template_id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中药饮片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HerbStockFlow</w:t>
            </w:r>
            <w:r>
              <w:rPr>
                <w:rFonts w:ascii="宋体" w:hAnsi="宋体" w:eastAsia="宋体"/>
                <w:sz w:val="17"/>
              </w:rPr>
              <w:t xml:space="preserve"> 饮片出入库记录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herb_stock_flow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ZERO_OR_MORE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herb_id</w:t>
            </w:r>
          </w:p>
        </w:tc>
      </w:tr>
      <w:tr>
        <w:tc>
          <w:tcPr>
            <w:tcW w:type="dxa" w:w="2575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PrescriptionItem</w:t>
            </w:r>
            <w:r>
              <w:rPr>
                <w:rFonts w:ascii="宋体" w:hAnsi="宋体" w:eastAsia="宋体"/>
                <w:sz w:val="17"/>
              </w:rPr>
              <w:t xml:space="preserve"> 处方明细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prescription_item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ONE_OR_MORE</w:t>
            </w:r>
          </w:p>
        </w:tc>
        <w:tc>
          <w:tcPr>
            <w:tcW w:type="dxa" w:w="1907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prescription_id</w:t>
            </w:r>
          </w:p>
        </w:tc>
      </w:tr>
    </w:tbl>
    <w:p/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表名可由团队规范微调；</w:t>
      </w:r>
      <w:r>
        <w:rPr>
          <w:rFonts w:ascii="宋体" w:hAnsi="宋体" w:eastAsia="宋体"/>
          <w:b/>
          <w:i/>
          <w:color w:val="595959"/>
          <w:sz w:val="19"/>
        </w:rPr>
        <w:t>外键字段名 `{主表}_id` 与 M7/M6 中的 `prescriptionId`/`herbId` 归属键必须一致</w:t>
      </w:r>
      <w:r>
        <w:rPr>
          <w:rFonts w:ascii="宋体" w:hAnsi="宋体" w:eastAsia="宋体"/>
          <w:i/>
          <w:color w:val="595959"/>
          <w:sz w:val="19"/>
        </w:rPr>
        <w:t>，否则 M7 预聚合 SQL 会失效。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5. 项目专属注意事项（务必逐条落实）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事项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用户与科室不进本体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中医师/中药师等以 </w:t>
            </w:r>
            <w:r>
              <w:rPr>
                <w:rFonts w:ascii="宋体" w:hAnsi="宋体" w:eastAsia="宋体"/>
                <w:color w:val="C0392B"/>
                <w:sz w:val="14"/>
              </w:rPr>
              <w:t>String</w:t>
            </w:r>
            <w:r>
              <w:rPr>
                <w:rFonts w:ascii="宋体" w:hAnsi="宋体" w:eastAsia="宋体"/>
                <w:sz w:val="17"/>
              </w:rPr>
              <w:t xml:space="preserve"> 存平台用户 ID（</w:t>
            </w:r>
            <w:r>
              <w:rPr>
                <w:rFonts w:ascii="宋体" w:hAnsi="宋体" w:eastAsia="宋体"/>
                <w:color w:val="C0392B"/>
                <w:sz w:val="14"/>
              </w:rPr>
              <w:t>doctorId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reviewerId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dispenserId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checkerId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operatorId</w:t>
            </w:r>
            <w:r>
              <w:rPr>
                <w:rFonts w:ascii="宋体" w:hAnsi="宋体" w:eastAsia="宋体"/>
                <w:sz w:val="17"/>
              </w:rPr>
              <w:t xml:space="preserve">），科室用字典 </w:t>
            </w:r>
            <w:r>
              <w:rPr>
                <w:rFonts w:ascii="宋体" w:hAnsi="宋体" w:eastAsia="宋体"/>
                <w:color w:val="C0392B"/>
                <w:sz w:val="14"/>
              </w:rPr>
              <w:t>DICT-VISIT.DEPT</w:t>
            </w:r>
            <w:r>
              <w:rPr>
                <w:rFonts w:ascii="宋体" w:hAnsi="宋体" w:eastAsia="宋体"/>
                <w:sz w:val="17"/>
              </w:rPr>
              <w:t>。</w:t>
            </w:r>
            <w:r>
              <w:rPr>
                <w:rFonts w:ascii="宋体" w:hAnsi="宋体" w:eastAsia="宋体"/>
                <w:b/>
                <w:sz w:val="17"/>
              </w:rPr>
              <w:t>不要建业务用户表/科室表</w:t>
            </w:r>
            <w:r>
              <w:rPr>
                <w:rFonts w:ascii="宋体" w:hAnsi="宋体" w:eastAsia="宋体"/>
                <w:sz w:val="17"/>
              </w:rPr>
              <w:t>，通过平台用户与字典取数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权限码直接用本体 id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M5 的 37 条 </w:t>
            </w:r>
            <w:r>
              <w:rPr>
                <w:rFonts w:ascii="宋体" w:hAnsi="宋体" w:eastAsia="宋体"/>
                <w:color w:val="C0392B"/>
                <w:sz w:val="14"/>
              </w:rPr>
              <w:t>permissionId</w:t>
            </w:r>
            <w:r>
              <w:rPr>
                <w:rFonts w:ascii="宋体" w:hAnsi="宋体" w:eastAsia="宋体"/>
                <w:sz w:val="17"/>
              </w:rPr>
              <w:t xml:space="preserve">（如 </w:t>
            </w:r>
            <w:r>
              <w:rPr>
                <w:rFonts w:ascii="宋体" w:hAnsi="宋体" w:eastAsia="宋体"/>
                <w:color w:val="C0392B"/>
                <w:sz w:val="14"/>
              </w:rPr>
              <w:t>PERM-PRESCRIPTION-SUBMIT</w:t>
            </w:r>
            <w:r>
              <w:rPr>
                <w:rFonts w:ascii="宋体" w:hAnsi="宋体" w:eastAsia="宋体"/>
                <w:sz w:val="17"/>
              </w:rPr>
              <w:t>）作为系统权限码写入种子，避免二次映射产生偏差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状态存字典 code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处方/就诊/调剂/随访状态均为 </w:t>
            </w:r>
            <w:r>
              <w:rPr>
                <w:rFonts w:ascii="宋体" w:hAnsi="宋体" w:eastAsia="宋体"/>
                <w:color w:val="C0392B"/>
                <w:sz w:val="14"/>
              </w:rPr>
              <w:t>DictionaryRef</w:t>
            </w:r>
            <w:r>
              <w:rPr>
                <w:rFonts w:ascii="宋体" w:hAnsi="宋体" w:eastAsia="宋体"/>
                <w:sz w:val="17"/>
              </w:rPr>
              <w:t xml:space="preserve">，DDL 用 </w:t>
            </w:r>
            <w:r>
              <w:rPr>
                <w:rFonts w:ascii="宋体" w:hAnsi="宋体" w:eastAsia="宋体"/>
                <w:color w:val="C0392B"/>
                <w:sz w:val="14"/>
              </w:rPr>
              <w:t>VARCHAR</w:t>
            </w:r>
            <w:r>
              <w:rPr>
                <w:rFonts w:ascii="宋体" w:hAnsi="宋体" w:eastAsia="宋体"/>
                <w:sz w:val="17"/>
              </w:rPr>
              <w:t xml:space="preserve"> 存 code，界面显示 label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同步联动必须整单同事务、失败整体回滚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6 条 </w:t>
            </w:r>
            <w:r>
              <w:rPr>
                <w:rFonts w:ascii="宋体" w:hAnsi="宋体" w:eastAsia="宋体"/>
                <w:color w:val="C0392B"/>
                <w:sz w:val="14"/>
              </w:rPr>
              <w:t>syncTriggers</w:t>
            </w:r>
            <w:r>
              <w:rPr>
                <w:rFonts w:ascii="宋体" w:hAnsi="宋体" w:eastAsia="宋体"/>
                <w:sz w:val="17"/>
              </w:rPr>
              <w:t>（B-01 扣库存、B-02 回冲、B-03 生成随访、B-04 就诊收尾、B-06 取消待调剂、B-05 由审批分支创建）：本项目</w:t>
            </w:r>
            <w:r>
              <w:rPr>
                <w:rFonts w:ascii="宋体" w:hAnsi="宋体" w:eastAsia="宋体"/>
                <w:b/>
                <w:sz w:val="17"/>
              </w:rPr>
              <w:t>不设补偿与重试</w:t>
            </w:r>
            <w:r>
              <w:rPr>
                <w:rFonts w:ascii="宋体" w:hAnsi="宋体" w:eastAsia="宋体"/>
                <w:sz w:val="17"/>
              </w:rPr>
              <w:t>，任一失败整体回滚（决策：单体同步事务）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审批通过后创建待调剂记录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由 </w:t>
            </w:r>
            <w:r>
              <w:rPr>
                <w:rFonts w:ascii="宋体" w:hAnsi="宋体" w:eastAsia="宋体"/>
                <w:color w:val="C0392B"/>
                <w:sz w:val="14"/>
              </w:rPr>
              <w:t>FLOW-PRESCRIPTION-APPROVAL-001</w:t>
            </w:r>
            <w:r>
              <w:rPr>
                <w:rFonts w:ascii="宋体" w:hAnsi="宋体" w:eastAsia="宋体"/>
                <w:sz w:val="17"/>
              </w:rPr>
              <w:t xml:space="preserve"> 的 </w:t>
            </w:r>
            <w:r>
              <w:rPr>
                <w:rFonts w:ascii="宋体" w:hAnsi="宋体" w:eastAsia="宋体"/>
                <w:color w:val="C0392B"/>
                <w:sz w:val="14"/>
              </w:rPr>
              <w:t>approvalOutcome=APPROVE</w:t>
            </w:r>
            <w:r>
              <w:rPr>
                <w:rFonts w:ascii="宋体" w:hAnsi="宋体" w:eastAsia="宋体"/>
                <w:sz w:val="17"/>
              </w:rPr>
              <w:t xml:space="preserve"> 分支调用 </w:t>
            </w:r>
            <w:r>
              <w:rPr>
                <w:rFonts w:ascii="宋体" w:hAnsi="宋体" w:eastAsia="宋体"/>
                <w:color w:val="C0392B"/>
                <w:sz w:val="14"/>
              </w:rPr>
              <w:t>Dispense_CreatePending</w:t>
            </w:r>
            <w:r>
              <w:rPr>
                <w:rFonts w:ascii="宋体" w:hAnsi="宋体" w:eastAsia="宋体"/>
                <w:sz w:val="17"/>
              </w:rPr>
              <w:t>（B-05）；</w:t>
            </w:r>
            <w:r>
              <w:rPr>
                <w:rFonts w:ascii="宋体" w:hAnsi="宋体" w:eastAsia="宋体"/>
                <w:b/>
                <w:sz w:val="17"/>
              </w:rPr>
              <w:t>不要</w:t>
            </w:r>
            <w:r>
              <w:rPr>
                <w:rFonts w:ascii="宋体" w:hAnsi="宋体" w:eastAsia="宋体"/>
                <w:sz w:val="17"/>
              </w:rPr>
              <w:t xml:space="preserve">写成 </w:t>
            </w:r>
            <w:r>
              <w:rPr>
                <w:rFonts w:ascii="宋体" w:hAnsi="宋体" w:eastAsia="宋体"/>
                <w:color w:val="C0392B"/>
                <w:sz w:val="14"/>
              </w:rPr>
              <w:t>Prescription_Review</w:t>
            </w:r>
            <w:r>
              <w:rPr>
                <w:rFonts w:ascii="宋体" w:hAnsi="宋体" w:eastAsia="宋体"/>
                <w:sz w:val="17"/>
              </w:rPr>
              <w:t xml:space="preserve"> 的 </w:t>
            </w:r>
            <w:r>
              <w:rPr>
                <w:rFonts w:ascii="宋体" w:hAnsi="宋体" w:eastAsia="宋体"/>
                <w:color w:val="C0392B"/>
                <w:sz w:val="14"/>
              </w:rPr>
              <w:t>syncTriggers</w:t>
            </w:r>
            <w:r>
              <w:rPr>
                <w:rFonts w:ascii="宋体" w:hAnsi="宋体" w:eastAsia="宋体"/>
                <w:sz w:val="17"/>
              </w:rPr>
              <w:t>，否则驳回也会误创建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R-04 三分派要在 service 内一次判定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处方作废：无记录/待调剂 → 仅作废 + 取消待调剂（B-06）；已调剂未发药 → 作废 + 库存回冲（B-02）；已发药 → 阻断并提示退药走线下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R-01 剂量双阈值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超常用量上限 1～2 倍：必填理由 + 强制药师审核；超上限 2 倍：直接阻断提交。上限值取自饮片属性（含「毒性单张处方总量上限」），</w:t>
            </w:r>
            <w:r>
              <w:rPr>
                <w:rFonts w:ascii="宋体" w:hAnsi="宋体" w:eastAsia="宋体"/>
                <w:b/>
                <w:sz w:val="17"/>
              </w:rPr>
              <w:t>可配置</w:t>
            </w:r>
            <w:r>
              <w:rPr>
                <w:rFonts w:ascii="宋体" w:hAnsi="宋体" w:eastAsia="宋体"/>
                <w:sz w:val="17"/>
              </w:rPr>
              <w:t>而非硬编码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R-02/R-06 与库存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调剂前校验库存充足（不足阻断）；库存扣减发生在</w:t>
            </w:r>
            <w:r>
              <w:rPr>
                <w:rFonts w:ascii="宋体" w:hAnsi="宋体" w:eastAsia="宋体"/>
                <w:b/>
                <w:sz w:val="17"/>
              </w:rPr>
              <w:t>确认调剂</w:t>
            </w:r>
            <w:r>
              <w:rPr>
                <w:rFonts w:ascii="宋体" w:hAnsi="宋体" w:eastAsia="宋体"/>
                <w:sz w:val="17"/>
              </w:rPr>
              <w:t>时；盘点/对账按 R-06 生成差异记录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M7 必须按 `preAggregation` 写 SQL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3 个对象（饮片用量、就诊处方查询、库存与预警）含预聚合声明，先按 </w:t>
            </w:r>
            <w:r>
              <w:rPr>
                <w:rFonts w:ascii="宋体" w:hAnsi="宋体" w:eastAsia="宋体"/>
                <w:color w:val="C0392B"/>
                <w:sz w:val="14"/>
              </w:rPr>
              <w:t>prescriptionId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herbId</w:t>
            </w:r>
            <w:r>
              <w:rPr>
                <w:rFonts w:ascii="宋体" w:hAnsi="宋体" w:eastAsia="宋体"/>
                <w:sz w:val="17"/>
              </w:rPr>
              <w:t xml:space="preserve"> 汇总再 Join；否则统计值会因明细行放大而翻倍。累计用量 = Σ(单剂剂量 × 剂数)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导出与分页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 个 REPORT 导出 XLSX + CSV（不做 PDF）；所有列表默认每页 20，可选 20/50/100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界面控件按 §8.3 映射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人员字段为文本框（如需下拉选择器，前端接平台用户列表实现，不改本体）；字典→下拉；聚合引用→跳选框；日期→日期控件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审批屏双按钮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UI-06 开方：保存草稿（</w:t>
            </w:r>
            <w:r>
              <w:rPr>
                <w:rFonts w:ascii="宋体" w:hAnsi="宋体" w:eastAsia="宋体"/>
                <w:color w:val="C0392B"/>
                <w:sz w:val="14"/>
              </w:rPr>
              <w:t>Prescription_Save</w:t>
            </w:r>
            <w:r>
              <w:rPr>
                <w:rFonts w:ascii="宋体" w:hAnsi="宋体" w:eastAsia="宋体"/>
                <w:sz w:val="17"/>
              </w:rPr>
              <w:t>）+ 提交（</w:t>
            </w:r>
            <w:r>
              <w:rPr>
                <w:rFonts w:ascii="宋体" w:hAnsi="宋体" w:eastAsia="宋体"/>
                <w:color w:val="C0392B"/>
                <w:sz w:val="14"/>
              </w:rPr>
              <w:t>Prescription_Submit</w:t>
            </w:r>
            <w:r>
              <w:rPr>
                <w:rFonts w:ascii="宋体" w:hAnsi="宋体" w:eastAsia="宋体"/>
                <w:sz w:val="17"/>
              </w:rPr>
              <w:t>，同时是审批流触发行为）；UI-07 审核：通过/驳回（</w:t>
            </w:r>
            <w:r>
              <w:rPr>
                <w:rFonts w:ascii="宋体" w:hAnsi="宋体" w:eastAsia="宋体"/>
                <w:color w:val="C0392B"/>
                <w:sz w:val="14"/>
              </w:rPr>
              <w:t>Prescription_Review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改模型必跑校验器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任何 yaml 修改后跑 </w:t>
            </w:r>
            <w:r>
              <w:rPr>
                <w:rFonts w:ascii="宋体" w:hAnsi="宋体" w:eastAsia="宋体"/>
                <w:color w:val="C0392B"/>
                <w:sz w:val="14"/>
              </w:rPr>
              <w:t>tools/validate_ontology.py</w:t>
            </w:r>
            <w:r>
              <w:rPr>
                <w:rFonts w:ascii="宋体" w:hAnsi="宋体" w:eastAsia="宋体"/>
                <w:sz w:val="17"/>
              </w:rPr>
              <w:t xml:space="preserve">；跨模型破坏性变更同步登记 </w:t>
            </w:r>
            <w:r>
              <w:rPr>
                <w:rFonts w:ascii="宋体" w:hAnsi="宋体" w:eastAsia="宋体"/>
                <w:color w:val="C0392B"/>
                <w:sz w:val="14"/>
              </w:rPr>
              <w:t>yaml/CHANGELOG.md</w:t>
            </w:r>
            <w:r>
              <w:rPr>
                <w:rFonts w:ascii="宋体" w:hAnsi="宋体" w:eastAsia="宋体"/>
                <w:sz w:val="17"/>
              </w:rPr>
              <w:t>（框架 §10.3 版本管理约定）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6. 需要写入的种子数据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数量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来源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M5 </w:t>
            </w:r>
            <w:r>
              <w:rPr>
                <w:rFonts w:ascii="宋体" w:hAnsi="宋体" w:eastAsia="宋体"/>
                <w:color w:val="C0392B"/>
                <w:sz w:val="14"/>
              </w:rPr>
              <w:t>roles</w:t>
            </w:r>
            <w:r>
              <w:rPr>
                <w:rFonts w:ascii="宋体" w:hAnsi="宋体" w:eastAsia="宋体"/>
                <w:sz w:val="17"/>
              </w:rPr>
              <w:t>（导诊员/中医师/中药师/库房管理员/科室管理员/系统管理员/系统自动）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权限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M5 </w:t>
            </w:r>
            <w:r>
              <w:rPr>
                <w:rFonts w:ascii="宋体" w:hAnsi="宋体" w:eastAsia="宋体"/>
                <w:color w:val="C0392B"/>
                <w:sz w:val="14"/>
              </w:rPr>
              <w:t>permissions</w:t>
            </w:r>
            <w:r>
              <w:rPr>
                <w:rFonts w:ascii="宋体" w:hAnsi="宋体" w:eastAsia="宋体"/>
                <w:sz w:val="17"/>
              </w:rPr>
              <w:t>（行为级，</w:t>
            </w:r>
            <w:r>
              <w:rPr>
                <w:rFonts w:ascii="宋体" w:hAnsi="宋体" w:eastAsia="宋体"/>
                <w:color w:val="C0392B"/>
                <w:sz w:val="14"/>
              </w:rPr>
              <w:t>targetType=BEHAVIOR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角色-权限授权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按 M5 逐角色 </w:t>
            </w:r>
            <w:r>
              <w:rPr>
                <w:rFonts w:ascii="宋体" w:hAnsi="宋体" w:eastAsia="宋体"/>
                <w:color w:val="C0392B"/>
                <w:sz w:val="14"/>
              </w:rPr>
              <w:t>permissions</w:t>
            </w:r>
            <w:r>
              <w:rPr>
                <w:rFonts w:ascii="宋体" w:hAnsi="宋体" w:eastAsia="宋体"/>
                <w:sz w:val="17"/>
              </w:rPr>
              <w:t xml:space="preserve"> 数组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M5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菜单与资源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 一级 + 19 二级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MU </w:t>
            </w:r>
            <w:r>
              <w:rPr>
                <w:rFonts w:ascii="宋体" w:hAnsi="宋体" w:eastAsia="宋体"/>
                <w:color w:val="C0392B"/>
                <w:sz w:val="14"/>
              </w:rPr>
              <w:t>application.menus</w:t>
            </w:r>
            <w:r>
              <w:rPr>
                <w:rFonts w:ascii="宋体" w:hAnsi="宋体" w:eastAsia="宋体"/>
                <w:sz w:val="17"/>
              </w:rPr>
              <w:t>（</w:t>
            </w:r>
            <w:r>
              <w:rPr>
                <w:rFonts w:ascii="宋体" w:hAnsi="宋体" w:eastAsia="宋体"/>
                <w:b/>
                <w:sz w:val="17"/>
              </w:rPr>
              <w:t>不含</w:t>
            </w:r>
            <w:r>
              <w:rPr>
                <w:rFonts w:ascii="宋体" w:hAnsi="宋体" w:eastAsia="宋体"/>
                <w:sz w:val="17"/>
              </w:rPr>
              <w:t>系统管理，属底座内置）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流程定义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M6 </w:t>
            </w:r>
            <w:r>
              <w:rPr>
                <w:rFonts w:ascii="宋体" w:hAnsi="宋体" w:eastAsia="宋体"/>
                <w:color w:val="C0392B"/>
                <w:sz w:val="14"/>
              </w:rPr>
              <w:t>flows</w:t>
            </w:r>
            <w:r>
              <w:rPr>
                <w:rFonts w:ascii="宋体" w:hAnsi="宋体" w:eastAsia="宋体"/>
                <w:sz w:val="17"/>
              </w:rPr>
              <w:t>（1 条审批流含 nodeGraph：开始 → 中药师审核 → 通过/驳回网关 → 通过后创建待调剂记录）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数据字典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11（24 项）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M1 </w:t>
            </w:r>
            <w:r>
              <w:rPr>
                <w:rFonts w:ascii="宋体" w:hAnsi="宋体" w:eastAsia="宋体"/>
                <w:color w:val="C0392B"/>
                <w:sz w:val="14"/>
              </w:rPr>
              <w:t>data_dictionaries</w:t>
            </w:r>
            <w:r>
              <w:rPr>
                <w:rFonts w:ascii="宋体" w:hAnsi="宋体" w:eastAsia="宋体"/>
                <w:sz w:val="17"/>
              </w:rPr>
              <w:t xml:space="preserve"> → 注册表自动注册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7. 验收清单（项目版）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后端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 xml:space="preserve">[ ] 9 张主表 + 4 张从表 DDL 生成，含指导书 §3.2 的 5 个默认字段与 </w:t>
      </w:r>
      <w:r>
        <w:rPr>
          <w:rFonts w:ascii="宋体" w:hAnsi="宋体" w:eastAsia="宋体"/>
          <w:color w:val="C0392B"/>
          <w:sz w:val="17"/>
        </w:rPr>
        <w:t>{主表}_id</w:t>
      </w:r>
      <w:r>
        <w:rPr>
          <w:rFonts w:ascii="宋体" w:hAnsi="宋体" w:eastAsia="宋体"/>
          <w:sz w:val="20"/>
        </w:rPr>
        <w:t xml:space="preserve"> 外键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 xml:space="preserve">[ ] 11 个数据字典可通过 </w:t>
      </w:r>
      <w:r>
        <w:rPr>
          <w:rFonts w:ascii="宋体" w:hAnsi="宋体" w:eastAsia="宋体"/>
          <w:color w:val="C0392B"/>
          <w:sz w:val="17"/>
        </w:rPr>
        <w:t>/api/meta/dictionaries</w:t>
      </w:r>
      <w:r>
        <w:rPr>
          <w:rFonts w:ascii="宋体" w:hAnsi="宋体" w:eastAsia="宋体"/>
          <w:sz w:val="20"/>
        </w:rPr>
        <w:t xml:space="preserve"> 取到，字典项与 M1 数量一致（24 项）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31 个行为各有 service 方法 + API；6 个系统自动行为只能被联动/审批分支调用（无对外 API）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R-01/R-02/R-03/R-04/R-05/R-06 各有正反用例并通过（超量填理由、超 2 倍阻断、库存不足阻断、作废三分派、随访日期顺序、盘点对账）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6 条同步联动在单事务内执行，制造一次下游失败可验证整体回滚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审批流可启动（提交处方 → 中药师待办 → 通过/驳回），通过后自动生成待调剂记录，驳回后医师可修改重提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7 个查询对象可返回正确结果，其中 3 个预聚合对象的统计值与手工核算一致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4 个 REPORT 可导出 XLSX 与 CSV；列表默认 20 条/页且可切 20/50/100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前端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6 个一级菜单、19 个二级菜单可打开对应屏幕（无系统管理菜单）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四种界面类型布局符合规范（单表 2 列、主从主表 3 列+从表表格、查询条件 3 列+结果分页、列表维护=工具栏+列表+弹窗）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43 个操作功能点均可点击并命中对应 API；UI-06 双按钮、UI-07 通过/驳回齐备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[ ] 权限校验生效：以 7 个角色分别登录，权限矩阵抽查与 M5 一致（如中药师无开方入口、中医师无审核入口）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模型治理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 xml:space="preserve">[ ] </w:t>
      </w:r>
      <w:r>
        <w:rPr>
          <w:rFonts w:ascii="宋体" w:hAnsi="宋体" w:eastAsia="宋体"/>
          <w:color w:val="C0392B"/>
          <w:sz w:val="17"/>
        </w:rPr>
        <w:t>tools/validate_ontology.py</w:t>
      </w:r>
      <w:r>
        <w:rPr>
          <w:rFonts w:ascii="宋体" w:hAnsi="宋体" w:eastAsia="宋体"/>
          <w:sz w:val="20"/>
        </w:rPr>
        <w:t xml:space="preserve"> 在提交前通过（0 阻断）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 xml:space="preserve">[ ] 模型变更已登记 </w:t>
      </w:r>
      <w:r>
        <w:rPr>
          <w:rFonts w:ascii="宋体" w:hAnsi="宋体" w:eastAsia="宋体"/>
          <w:color w:val="C0392B"/>
          <w:sz w:val="17"/>
        </w:rPr>
        <w:t>yaml/CHANGELOG.md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8. 开工前需业务方拍板的 6 项口径</w:t>
      </w:r>
    </w:p>
    <w:p>
      <w:pPr>
        <w:spacing w:before="0" w:after="40"/>
      </w:pPr>
      <w:r>
        <w:rPr>
          <w:rFonts w:ascii="宋体" w:hAnsi="宋体" w:eastAsia="宋体"/>
          <w:sz w:val="21"/>
        </w:rPr>
        <w:t>见《七模型评审要点与验收清单.md》第 5.2 节（REP-03 使用剂数、REP-03 增列就诊来源、REP-04 药味名称、REP-06 两条件重叠、REP-06 接诊医师口径、子实体父键）。</w:t>
      </w:r>
      <w:r>
        <w:rPr>
          <w:rFonts w:ascii="宋体" w:hAnsi="宋体" w:eastAsia="宋体"/>
          <w:b/>
          <w:sz w:val="21"/>
        </w:rPr>
        <w:t>这 6 项只影响 M7 口径与 M1 少量字段，均可在开工后按决议小改</w:t>
      </w:r>
      <w:r>
        <w:rPr>
          <w:rFonts w:ascii="宋体" w:hAnsi="宋体" w:eastAsia="宋体"/>
          <w:sz w:val="21"/>
        </w:rPr>
        <w:t>，不必阻塞前两批开发。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9. 建议实施顺序（三批）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批次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依据模型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完成标志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1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底座复制 + 模型落位 + 系统管理种子（角色/权限/菜单/字典）+ 基础数据模块（患者建档、证型字典、方剂模板、饮片建档入库与库存）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M1/M5/MU（局部）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可登录、可维护基础数据、权限生效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主流程：挂号 → 接诊 → 四诊 → 辨证 → 开方 → 审批 → 调剂发药，含 R-01/R-02/R-03/R-04 与全部同步联动、状态机与审批流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M1/M2/M3/M6/MU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一条完整业务可跑通，作废三分派可验证</w:t>
            </w:r>
          </w:p>
        </w:tc>
      </w:tr>
      <w:tr>
        <w:tc>
          <w:tcPr>
            <w:tcW w:type="dxa" w:w="3167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3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随访模块（登记、评价、失访、B-03 自动生成）+ 7 个查询报表与导出 + （可选）右侧 AI 对话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M7/MU/M2</w:t>
            </w:r>
          </w:p>
        </w:tc>
        <w:tc>
          <w:tcPr>
            <w:tcW w:type="dxa" w:w="23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个报表口径正确、可导出；AI 对话可选</w:t>
            </w:r>
          </w:p>
        </w:tc>
      </w:tr>
    </w:tbl>
    <w:p/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