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80"/>
      </w:pPr>
      <w:r>
        <w:rPr>
          <w:rFonts w:ascii="微软雅黑" w:hAnsi="微软雅黑" w:eastAsia="微软雅黑"/>
          <w:b/>
          <w:color w:val="1F3864"/>
          <w:sz w:val="32"/>
        </w:rPr>
        <w:t>中医问诊系统 · 阶段二（本体建模）交付说明</w:t>
      </w:r>
    </w:p>
    <w:tbl>
      <w:tblPr>
        <w:tblStyle w:val="TableGrid"/>
        <w:tblW w:type="auto" w:w="0"/>
        <w:jc w:val="center"/>
        <w:tblLayout w:type="autofit"/>
        <w:tblLook w:firstColumn="1" w:firstRow="1" w:lastColumn="0" w:lastRow="0" w:noHBand="0" w:noVBand="1" w:val="04A0"/>
      </w:tblPr>
      <w:tblGrid>
        <w:gridCol w:w="5103"/>
        <w:gridCol w:w="5103"/>
      </w:tblGrid>
      <w:tr>
        <w:trPr>
          <w:tblHeader w:val="true"/>
        </w:trPr>
        <w:tc>
          <w:tcPr>
            <w:tcW w:type="dxa" w:w="5862"/>
          </w:tcPr>
          <w:p>
            <w:pPr>
              <w:spacing w:before="0" w:after="0"/>
            </w:pPr>
            <w:r>
              <w:rPr>
                <w:rFonts w:ascii="宋体" w:hAnsi="宋体" w:eastAsia="宋体"/>
                <w:b/>
                <w:sz w:val="17"/>
              </w:rPr>
              <w:t>项目</w:t>
            </w:r>
          </w:p>
        </w:tc>
        <w:tc>
          <w:tcPr>
            <w:tcW w:type="dxa" w:w="4342"/>
          </w:tcPr>
          <w:p>
            <w:pPr>
              <w:spacing w:before="0" w:after="0"/>
            </w:pPr>
            <w:r>
              <w:rPr>
                <w:rFonts w:ascii="宋体" w:hAnsi="宋体" w:eastAsia="宋体"/>
                <w:b/>
                <w:sz w:val="17"/>
              </w:rPr>
              <w:t>内容</w:t>
            </w:r>
          </w:p>
        </w:tc>
      </w:tr>
      <w:tr>
        <w:tc>
          <w:tcPr>
            <w:tcW w:type="dxa" w:w="5862"/>
          </w:tcPr>
          <w:p>
            <w:pPr>
              <w:spacing w:before="0" w:after="0"/>
            </w:pPr>
            <w:r>
              <w:rPr>
                <w:rFonts w:ascii="宋体" w:hAnsi="宋体" w:eastAsia="宋体"/>
                <w:sz w:val="17"/>
              </w:rPr>
              <w:t>交付日期</w:t>
            </w:r>
          </w:p>
        </w:tc>
        <w:tc>
          <w:tcPr>
            <w:tcW w:type="dxa" w:w="4342"/>
          </w:tcPr>
          <w:p>
            <w:pPr>
              <w:spacing w:before="0" w:after="0"/>
            </w:pPr>
            <w:r>
              <w:rPr>
                <w:rFonts w:ascii="宋体" w:hAnsi="宋体" w:eastAsia="宋体"/>
                <w:sz w:val="17"/>
              </w:rPr>
              <w:t>2026-09-30</w:t>
            </w:r>
          </w:p>
        </w:tc>
      </w:tr>
      <w:tr>
        <w:tc>
          <w:tcPr>
            <w:tcW w:type="dxa" w:w="5862"/>
          </w:tcPr>
          <w:p>
            <w:pPr>
              <w:spacing w:before="0" w:after="0"/>
            </w:pPr>
            <w:r>
              <w:rPr>
                <w:rFonts w:ascii="宋体" w:hAnsi="宋体" w:eastAsia="宋体"/>
                <w:sz w:val="17"/>
              </w:rPr>
              <w:t>阶段</w:t>
            </w:r>
          </w:p>
        </w:tc>
        <w:tc>
          <w:tcPr>
            <w:tcW w:type="dxa" w:w="4342"/>
          </w:tcPr>
          <w:p>
            <w:pPr>
              <w:spacing w:before="0" w:after="0"/>
            </w:pPr>
            <w:r>
              <w:rPr>
                <w:rFonts w:ascii="宋体" w:hAnsi="宋体" w:eastAsia="宋体"/>
                <w:sz w:val="17"/>
              </w:rPr>
              <w:t>阶段二 本体建模（阶段零～阶段七需求探索已完成）</w:t>
            </w:r>
          </w:p>
        </w:tc>
      </w:tr>
      <w:tr>
        <w:tc>
          <w:tcPr>
            <w:tcW w:type="dxa" w:w="5862"/>
          </w:tcPr>
          <w:p>
            <w:pPr>
              <w:spacing w:before="0" w:after="0"/>
            </w:pPr>
            <w:r>
              <w:rPr>
                <w:rFonts w:ascii="宋体" w:hAnsi="宋体" w:eastAsia="宋体"/>
                <w:sz w:val="17"/>
              </w:rPr>
              <w:t>唯一建模依据</w:t>
            </w:r>
          </w:p>
        </w:tc>
        <w:tc>
          <w:tcPr>
            <w:tcW w:type="dxa" w:w="4342"/>
          </w:tcPr>
          <w:p>
            <w:pPr>
              <w:spacing w:before="0" w:after="0"/>
            </w:pPr>
            <w:r>
              <w:rPr>
                <w:rFonts w:ascii="宋体" w:hAnsi="宋体" w:eastAsia="宋体"/>
                <w:color w:val="C0392B"/>
                <w:sz w:val="14"/>
              </w:rPr>
              <w:t>ontology_modeling_framework_v9.md</w:t>
            </w:r>
            <w:r>
              <w:rPr>
                <w:rFonts w:ascii="宋体" w:hAnsi="宋体" w:eastAsia="宋体"/>
                <w:sz w:val="17"/>
              </w:rPr>
              <w:t>（2,148 行，七模型元素规范 + YAML 模板 + 各模型门禁）</w:t>
            </w:r>
          </w:p>
        </w:tc>
      </w:tr>
      <w:tr>
        <w:tc>
          <w:tcPr>
            <w:tcW w:type="dxa" w:w="5862"/>
          </w:tcPr>
          <w:p>
            <w:pPr>
              <w:spacing w:before="0" w:after="0"/>
            </w:pPr>
            <w:r>
              <w:rPr>
                <w:rFonts w:ascii="宋体" w:hAnsi="宋体" w:eastAsia="宋体"/>
                <w:sz w:val="17"/>
              </w:rPr>
              <w:t>需求基线</w:t>
            </w:r>
          </w:p>
        </w:tc>
        <w:tc>
          <w:tcPr>
            <w:tcW w:type="dxa" w:w="4342"/>
          </w:tcPr>
          <w:p>
            <w:pPr>
              <w:spacing w:before="0" w:after="0"/>
            </w:pPr>
            <w:r>
              <w:rPr>
                <w:rFonts w:ascii="宋体" w:hAnsi="宋体" w:eastAsia="宋体"/>
                <w:color w:val="C0392B"/>
                <w:sz w:val="14"/>
              </w:rPr>
              <w:t>中医问诊系统-需求规格说明书-V9.md</w:t>
            </w:r>
            <w:r>
              <w:rPr>
                <w:rFonts w:ascii="宋体" w:hAnsi="宋体" w:eastAsia="宋体"/>
                <w:sz w:val="17"/>
              </w:rPr>
              <w:t>（v1.2，阶段一终态 + 阶段二同步补丁）</w:t>
            </w:r>
          </w:p>
        </w:tc>
      </w:tr>
      <w:tr>
        <w:tc>
          <w:tcPr>
            <w:tcW w:type="dxa" w:w="5862"/>
          </w:tcPr>
          <w:p>
            <w:pPr>
              <w:spacing w:before="0" w:after="0"/>
            </w:pPr>
            <w:r>
              <w:rPr>
                <w:rFonts w:ascii="宋体" w:hAnsi="宋体" w:eastAsia="宋体"/>
                <w:sz w:val="17"/>
              </w:rPr>
              <w:t>交付物目录</w:t>
            </w:r>
          </w:p>
        </w:tc>
        <w:tc>
          <w:tcPr>
            <w:tcW w:type="dxa" w:w="4342"/>
          </w:tcPr>
          <w:p>
            <w:pPr>
              <w:spacing w:before="0" w:after="0"/>
            </w:pPr>
            <w:r>
              <w:rPr>
                <w:rFonts w:ascii="宋体" w:hAnsi="宋体" w:eastAsia="宋体"/>
                <w:color w:val="C0392B"/>
                <w:sz w:val="14"/>
              </w:rPr>
              <w:t>D:\hermes\workspace\中医问诊系统\yaml\</w:t>
            </w:r>
          </w:p>
        </w:tc>
      </w:tr>
      <w:tr>
        <w:tc>
          <w:tcPr>
            <w:tcW w:type="dxa" w:w="5862"/>
          </w:tcPr>
          <w:p>
            <w:pPr>
              <w:spacing w:before="0" w:after="0"/>
            </w:pPr>
            <w:r>
              <w:rPr>
                <w:rFonts w:ascii="宋体" w:hAnsi="宋体" w:eastAsia="宋体"/>
                <w:sz w:val="17"/>
              </w:rPr>
              <w:t>校验工具</w:t>
            </w:r>
          </w:p>
        </w:tc>
        <w:tc>
          <w:tcPr>
            <w:tcW w:type="dxa" w:w="4342"/>
          </w:tcPr>
          <w:p>
            <w:pPr>
              <w:spacing w:before="0" w:after="0"/>
            </w:pPr>
            <w:r>
              <w:rPr>
                <w:rFonts w:ascii="宋体" w:hAnsi="宋体" w:eastAsia="宋体"/>
                <w:color w:val="C0392B"/>
                <w:sz w:val="14"/>
              </w:rPr>
              <w:t>D:\hermes\workspace\中医问诊系统\tools\validate_ontology.py</w:t>
            </w:r>
            <w:r>
              <w:rPr>
                <w:rFonts w:ascii="宋体" w:hAnsi="宋体" w:eastAsia="宋体"/>
                <w:sz w:val="17"/>
              </w:rPr>
              <w:t>（自写，可复跑）</w:t>
            </w:r>
          </w:p>
        </w:tc>
      </w:tr>
    </w:tbl>
    <w:p/>
    <w:p>
      <w:pPr>
        <w:spacing w:before="40" w:after="40"/>
        <w:pBdr>
          <w:bottom w:val="single" w:sz="6" w:color="BFBFBF"/>
        </w:pBdr>
      </w:pPr>
    </w:p>
    <w:p>
      <w:pPr>
        <w:pStyle w:val="Heading2"/>
        <w:spacing w:before="200" w:after="80"/>
      </w:pPr>
      <w:r>
        <w:rPr>
          <w:rFonts w:ascii="微软雅黑" w:hAnsi="微软雅黑" w:eastAsia="微软雅黑"/>
          <w:b/>
          <w:color w:val="2E5496"/>
          <w:sz w:val="28"/>
        </w:rPr>
        <w:t>一、交付物清单</w:t>
      </w:r>
    </w:p>
    <w:tbl>
      <w:tblPr>
        <w:tblStyle w:val="TableGrid"/>
        <w:tblW w:type="auto" w:w="0"/>
        <w:jc w:val="center"/>
        <w:tblLayout w:type="autofit"/>
        <w:tblLook w:firstColumn="1" w:firstRow="1" w:lastColumn="0" w:lastRow="0" w:noHBand="0" w:noVBand="1" w:val="04A0"/>
      </w:tblPr>
      <w:tblGrid>
        <w:gridCol w:w="2041"/>
        <w:gridCol w:w="2041"/>
        <w:gridCol w:w="2041"/>
        <w:gridCol w:w="2041"/>
        <w:gridCol w:w="2041"/>
      </w:tblGrid>
      <w:tr>
        <w:trPr>
          <w:tblHeader w:val="true"/>
        </w:trPr>
        <w:tc>
          <w:tcPr>
            <w:tcW w:type="dxa" w:w="2575"/>
          </w:tcPr>
          <w:p>
            <w:pPr>
              <w:spacing w:before="0" w:after="0"/>
            </w:pPr>
            <w:r>
              <w:rPr>
                <w:rFonts w:ascii="宋体" w:hAnsi="宋体" w:eastAsia="宋体"/>
                <w:b/>
                <w:sz w:val="17"/>
              </w:rPr>
              <w:t>文件</w:t>
            </w:r>
          </w:p>
        </w:tc>
        <w:tc>
          <w:tcPr>
            <w:tcW w:type="dxa" w:w="1907"/>
          </w:tcPr>
          <w:p>
            <w:pPr>
              <w:spacing w:before="0" w:after="0"/>
            </w:pPr>
            <w:r>
              <w:rPr>
                <w:rFonts w:ascii="宋体" w:hAnsi="宋体" w:eastAsia="宋体"/>
                <w:b/>
                <w:sz w:val="17"/>
              </w:rPr>
              <w:t>模型</w:t>
            </w:r>
          </w:p>
        </w:tc>
        <w:tc>
          <w:tcPr>
            <w:tcW w:type="dxa" w:w="1907"/>
          </w:tcPr>
          <w:p>
            <w:pPr>
              <w:spacing w:before="0" w:after="0"/>
            </w:pPr>
            <w:r>
              <w:rPr>
                <w:rFonts w:ascii="宋体" w:hAnsi="宋体" w:eastAsia="宋体"/>
                <w:b/>
                <w:sz w:val="17"/>
              </w:rPr>
              <w:t>行数</w:t>
            </w:r>
          </w:p>
        </w:tc>
        <w:tc>
          <w:tcPr>
            <w:tcW w:type="dxa" w:w="1907"/>
          </w:tcPr>
          <w:p>
            <w:pPr>
              <w:spacing w:before="0" w:after="0"/>
            </w:pPr>
            <w:r>
              <w:rPr>
                <w:rFonts w:ascii="宋体" w:hAnsi="宋体" w:eastAsia="宋体"/>
                <w:b/>
                <w:sz w:val="17"/>
              </w:rPr>
              <w:t>大小</w:t>
            </w:r>
          </w:p>
        </w:tc>
        <w:tc>
          <w:tcPr>
            <w:tcW w:type="dxa" w:w="1907"/>
          </w:tcPr>
          <w:p>
            <w:pPr>
              <w:spacing w:before="0" w:after="0"/>
            </w:pPr>
            <w:r>
              <w:rPr>
                <w:rFonts w:ascii="宋体" w:hAnsi="宋体" w:eastAsia="宋体"/>
                <w:b/>
                <w:sz w:val="17"/>
              </w:rPr>
              <w:t>内容概要</w:t>
            </w:r>
          </w:p>
        </w:tc>
      </w:tr>
      <w:tr>
        <w:tc>
          <w:tcPr>
            <w:tcW w:type="dxa" w:w="2575"/>
          </w:tcPr>
          <w:p>
            <w:pPr>
              <w:spacing w:before="0" w:after="0"/>
            </w:pPr>
            <w:r>
              <w:rPr>
                <w:rFonts w:ascii="宋体" w:hAnsi="宋体" w:eastAsia="宋体"/>
                <w:color w:val="C0392B"/>
                <w:sz w:val="14"/>
              </w:rPr>
              <w:t>m1-object-model.yaml</w:t>
            </w:r>
          </w:p>
        </w:tc>
        <w:tc>
          <w:tcPr>
            <w:tcW w:type="dxa" w:w="1907"/>
          </w:tcPr>
          <w:p>
            <w:pPr>
              <w:spacing w:before="0" w:after="0"/>
            </w:pPr>
            <w:r>
              <w:rPr>
                <w:rFonts w:ascii="宋体" w:hAnsi="宋体" w:eastAsia="宋体"/>
                <w:sz w:val="17"/>
              </w:rPr>
              <w:t>M1 对象模型</w:t>
            </w:r>
          </w:p>
        </w:tc>
        <w:tc>
          <w:tcPr>
            <w:tcW w:type="dxa" w:w="1907"/>
          </w:tcPr>
          <w:p>
            <w:pPr>
              <w:spacing w:before="0" w:after="0"/>
            </w:pPr>
            <w:r>
              <w:rPr>
                <w:rFonts w:ascii="宋体" w:hAnsi="宋体" w:eastAsia="宋体"/>
                <w:sz w:val="17"/>
              </w:rPr>
              <w:t>1,764</w:t>
            </w:r>
          </w:p>
        </w:tc>
        <w:tc>
          <w:tcPr>
            <w:tcW w:type="dxa" w:w="1907"/>
          </w:tcPr>
          <w:p>
            <w:pPr>
              <w:spacing w:before="0" w:after="0"/>
            </w:pPr>
            <w:r>
              <w:rPr>
                <w:rFonts w:ascii="宋体" w:hAnsi="宋体" w:eastAsia="宋体"/>
                <w:sz w:val="17"/>
              </w:rPr>
              <w:t>59.5 KB</w:t>
            </w:r>
          </w:p>
        </w:tc>
        <w:tc>
          <w:tcPr>
            <w:tcW w:type="dxa" w:w="1907"/>
          </w:tcPr>
          <w:p>
            <w:pPr>
              <w:spacing w:before="0" w:after="0"/>
            </w:pPr>
            <w:r>
              <w:rPr>
                <w:rFonts w:ascii="宋体" w:hAnsi="宋体" w:eastAsia="宋体"/>
                <w:sz w:val="17"/>
              </w:rPr>
              <w:t>9 聚合根 / 4 子实体 / 138 属性 / 11 数据字典（24 字典项）/ 11 聚合关联 / 12 不变性约束</w:t>
            </w:r>
          </w:p>
        </w:tc>
      </w:tr>
      <w:tr>
        <w:tc>
          <w:tcPr>
            <w:tcW w:type="dxa" w:w="2575"/>
          </w:tcPr>
          <w:p>
            <w:pPr>
              <w:spacing w:before="0" w:after="0"/>
            </w:pPr>
            <w:r>
              <w:rPr>
                <w:rFonts w:ascii="宋体" w:hAnsi="宋体" w:eastAsia="宋体"/>
                <w:color w:val="C0392B"/>
                <w:sz w:val="14"/>
              </w:rPr>
              <w:t>m2-behavior-model.yaml</w:t>
            </w:r>
          </w:p>
        </w:tc>
        <w:tc>
          <w:tcPr>
            <w:tcW w:type="dxa" w:w="1907"/>
          </w:tcPr>
          <w:p>
            <w:pPr>
              <w:spacing w:before="0" w:after="0"/>
            </w:pPr>
            <w:r>
              <w:rPr>
                <w:rFonts w:ascii="宋体" w:hAnsi="宋体" w:eastAsia="宋体"/>
                <w:sz w:val="17"/>
              </w:rPr>
              <w:t>M2 行为模型</w:t>
            </w:r>
          </w:p>
        </w:tc>
        <w:tc>
          <w:tcPr>
            <w:tcW w:type="dxa" w:w="1907"/>
          </w:tcPr>
          <w:p>
            <w:pPr>
              <w:spacing w:before="0" w:after="0"/>
            </w:pPr>
            <w:r>
              <w:rPr>
                <w:rFonts w:ascii="宋体" w:hAnsi="宋体" w:eastAsia="宋体"/>
                <w:sz w:val="17"/>
              </w:rPr>
              <w:t>777</w:t>
            </w:r>
          </w:p>
        </w:tc>
        <w:tc>
          <w:tcPr>
            <w:tcW w:type="dxa" w:w="1907"/>
          </w:tcPr>
          <w:p>
            <w:pPr>
              <w:spacing w:before="0" w:after="0"/>
            </w:pPr>
            <w:r>
              <w:rPr>
                <w:rFonts w:ascii="宋体" w:hAnsi="宋体" w:eastAsia="宋体"/>
                <w:sz w:val="17"/>
              </w:rPr>
              <w:t>30.9 KB</w:t>
            </w:r>
          </w:p>
        </w:tc>
        <w:tc>
          <w:tcPr>
            <w:tcW w:type="dxa" w:w="1907"/>
          </w:tcPr>
          <w:p>
            <w:pPr>
              <w:spacing w:before="0" w:after="0"/>
            </w:pPr>
            <w:r>
              <w:rPr>
                <w:rFonts w:ascii="宋体" w:hAnsi="宋体" w:eastAsia="宋体"/>
                <w:sz w:val="17"/>
              </w:rPr>
              <w:t>37 行为：24 人工命令 + 7 查询 + 6 系统自动（B-01～B-06）</w:t>
            </w:r>
          </w:p>
        </w:tc>
      </w:tr>
      <w:tr>
        <w:tc>
          <w:tcPr>
            <w:tcW w:type="dxa" w:w="2575"/>
          </w:tcPr>
          <w:p>
            <w:pPr>
              <w:spacing w:before="0" w:after="0"/>
            </w:pPr>
            <w:r>
              <w:rPr>
                <w:rFonts w:ascii="宋体" w:hAnsi="宋体" w:eastAsia="宋体"/>
                <w:color w:val="C0392B"/>
                <w:sz w:val="14"/>
              </w:rPr>
              <w:t>m3-rule-model.yaml</w:t>
            </w:r>
          </w:p>
        </w:tc>
        <w:tc>
          <w:tcPr>
            <w:tcW w:type="dxa" w:w="1907"/>
          </w:tcPr>
          <w:p>
            <w:pPr>
              <w:spacing w:before="0" w:after="0"/>
            </w:pPr>
            <w:r>
              <w:rPr>
                <w:rFonts w:ascii="宋体" w:hAnsi="宋体" w:eastAsia="宋体"/>
                <w:sz w:val="17"/>
              </w:rPr>
              <w:t>M3 规则模型</w:t>
            </w:r>
          </w:p>
        </w:tc>
        <w:tc>
          <w:tcPr>
            <w:tcW w:type="dxa" w:w="1907"/>
          </w:tcPr>
          <w:p>
            <w:pPr>
              <w:spacing w:before="0" w:after="0"/>
            </w:pPr>
            <w:r>
              <w:rPr>
                <w:rFonts w:ascii="宋体" w:hAnsi="宋体" w:eastAsia="宋体"/>
                <w:sz w:val="17"/>
              </w:rPr>
              <w:t>198</w:t>
            </w:r>
          </w:p>
        </w:tc>
        <w:tc>
          <w:tcPr>
            <w:tcW w:type="dxa" w:w="1907"/>
          </w:tcPr>
          <w:p>
            <w:pPr>
              <w:spacing w:before="0" w:after="0"/>
            </w:pPr>
            <w:r>
              <w:rPr>
                <w:rFonts w:ascii="宋体" w:hAnsi="宋体" w:eastAsia="宋体"/>
                <w:sz w:val="17"/>
              </w:rPr>
              <w:t>9.9 KB</w:t>
            </w:r>
          </w:p>
        </w:tc>
        <w:tc>
          <w:tcPr>
            <w:tcW w:type="dxa" w:w="1907"/>
          </w:tcPr>
          <w:p>
            <w:pPr>
              <w:spacing w:before="0" w:after="0"/>
            </w:pPr>
            <w:r>
              <w:rPr>
                <w:rFonts w:ascii="宋体" w:hAnsi="宋体" w:eastAsia="宋体"/>
                <w:sz w:val="17"/>
              </w:rPr>
              <w:t>6 条跨对象/跨行为复用规则 R-01～R-06</w:t>
            </w:r>
          </w:p>
        </w:tc>
      </w:tr>
      <w:tr>
        <w:tc>
          <w:tcPr>
            <w:tcW w:type="dxa" w:w="2575"/>
          </w:tcPr>
          <w:p>
            <w:pPr>
              <w:spacing w:before="0" w:after="0"/>
            </w:pPr>
            <w:r>
              <w:rPr>
                <w:rFonts w:ascii="宋体" w:hAnsi="宋体" w:eastAsia="宋体"/>
                <w:color w:val="C0392B"/>
                <w:sz w:val="14"/>
              </w:rPr>
              <w:t>m5-actor-model.yaml</w:t>
            </w:r>
          </w:p>
        </w:tc>
        <w:tc>
          <w:tcPr>
            <w:tcW w:type="dxa" w:w="1907"/>
          </w:tcPr>
          <w:p>
            <w:pPr>
              <w:spacing w:before="0" w:after="0"/>
            </w:pPr>
            <w:r>
              <w:rPr>
                <w:rFonts w:ascii="宋体" w:hAnsi="宋体" w:eastAsia="宋体"/>
                <w:sz w:val="17"/>
              </w:rPr>
              <w:t>M5 主体模型</w:t>
            </w:r>
          </w:p>
        </w:tc>
        <w:tc>
          <w:tcPr>
            <w:tcW w:type="dxa" w:w="1907"/>
          </w:tcPr>
          <w:p>
            <w:pPr>
              <w:spacing w:before="0" w:after="0"/>
            </w:pPr>
            <w:r>
              <w:rPr>
                <w:rFonts w:ascii="宋体" w:hAnsi="宋体" w:eastAsia="宋体"/>
                <w:sz w:val="17"/>
              </w:rPr>
              <w:t>390</w:t>
            </w:r>
          </w:p>
        </w:tc>
        <w:tc>
          <w:tcPr>
            <w:tcW w:type="dxa" w:w="1907"/>
          </w:tcPr>
          <w:p>
            <w:pPr>
              <w:spacing w:before="0" w:after="0"/>
            </w:pPr>
            <w:r>
              <w:rPr>
                <w:rFonts w:ascii="宋体" w:hAnsi="宋体" w:eastAsia="宋体"/>
                <w:sz w:val="17"/>
              </w:rPr>
              <w:t>13.8 KB</w:t>
            </w:r>
          </w:p>
        </w:tc>
        <w:tc>
          <w:tcPr>
            <w:tcW w:type="dxa" w:w="1907"/>
          </w:tcPr>
          <w:p>
            <w:pPr>
              <w:spacing w:before="0" w:after="0"/>
            </w:pPr>
            <w:r>
              <w:rPr>
                <w:rFonts w:ascii="宋体" w:hAnsi="宋体" w:eastAsia="宋体"/>
                <w:sz w:val="17"/>
              </w:rPr>
              <w:t>7 角色主体 / 7 角色 / 37 行为级权限</w:t>
            </w:r>
          </w:p>
        </w:tc>
      </w:tr>
      <w:tr>
        <w:tc>
          <w:tcPr>
            <w:tcW w:type="dxa" w:w="2575"/>
          </w:tcPr>
          <w:p>
            <w:pPr>
              <w:spacing w:before="0" w:after="0"/>
            </w:pPr>
            <w:r>
              <w:rPr>
                <w:rFonts w:ascii="宋体" w:hAnsi="宋体" w:eastAsia="宋体"/>
                <w:color w:val="C0392B"/>
                <w:sz w:val="14"/>
              </w:rPr>
              <w:t>m6-flow-model.yaml</w:t>
            </w:r>
          </w:p>
        </w:tc>
        <w:tc>
          <w:tcPr>
            <w:tcW w:type="dxa" w:w="1907"/>
          </w:tcPr>
          <w:p>
            <w:pPr>
              <w:spacing w:before="0" w:after="0"/>
            </w:pPr>
            <w:r>
              <w:rPr>
                <w:rFonts w:ascii="宋体" w:hAnsi="宋体" w:eastAsia="宋体"/>
                <w:sz w:val="17"/>
              </w:rPr>
              <w:t>M6 流程模型</w:t>
            </w:r>
          </w:p>
        </w:tc>
        <w:tc>
          <w:tcPr>
            <w:tcW w:type="dxa" w:w="1907"/>
          </w:tcPr>
          <w:p>
            <w:pPr>
              <w:spacing w:before="0" w:after="0"/>
            </w:pPr>
            <w:r>
              <w:rPr>
                <w:rFonts w:ascii="宋体" w:hAnsi="宋体" w:eastAsia="宋体"/>
                <w:sz w:val="17"/>
              </w:rPr>
              <w:t>648</w:t>
            </w:r>
          </w:p>
        </w:tc>
        <w:tc>
          <w:tcPr>
            <w:tcW w:type="dxa" w:w="1907"/>
          </w:tcPr>
          <w:p>
            <w:pPr>
              <w:spacing w:before="0" w:after="0"/>
            </w:pPr>
            <w:r>
              <w:rPr>
                <w:rFonts w:ascii="宋体" w:hAnsi="宋体" w:eastAsia="宋体"/>
                <w:sz w:val="17"/>
              </w:rPr>
              <w:t>25.7 KB</w:t>
            </w:r>
          </w:p>
        </w:tc>
        <w:tc>
          <w:tcPr>
            <w:tcW w:type="dxa" w:w="1907"/>
          </w:tcPr>
          <w:p>
            <w:pPr>
              <w:spacing w:before="0" w:after="0"/>
            </w:pPr>
            <w:r>
              <w:rPr>
                <w:rFonts w:ascii="宋体" w:hAnsi="宋体" w:eastAsia="宋体"/>
                <w:sz w:val="17"/>
              </w:rPr>
              <w:t>4 流程（3 协同流 + 1 审批流）/ 75 活动 / 12 网关</w:t>
            </w:r>
          </w:p>
        </w:tc>
      </w:tr>
      <w:tr>
        <w:tc>
          <w:tcPr>
            <w:tcW w:type="dxa" w:w="2575"/>
          </w:tcPr>
          <w:p>
            <w:pPr>
              <w:spacing w:before="0" w:after="0"/>
            </w:pPr>
            <w:r>
              <w:rPr>
                <w:rFonts w:ascii="宋体" w:hAnsi="宋体" w:eastAsia="宋体"/>
                <w:color w:val="C0392B"/>
                <w:sz w:val="14"/>
              </w:rPr>
              <w:t>m7-report-model.yaml</w:t>
            </w:r>
          </w:p>
        </w:tc>
        <w:tc>
          <w:tcPr>
            <w:tcW w:type="dxa" w:w="1907"/>
          </w:tcPr>
          <w:p>
            <w:pPr>
              <w:spacing w:before="0" w:after="0"/>
            </w:pPr>
            <w:r>
              <w:rPr>
                <w:rFonts w:ascii="宋体" w:hAnsi="宋体" w:eastAsia="宋体"/>
                <w:sz w:val="17"/>
              </w:rPr>
              <w:t>M7 查询统计与报表模型</w:t>
            </w:r>
          </w:p>
        </w:tc>
        <w:tc>
          <w:tcPr>
            <w:tcW w:type="dxa" w:w="1907"/>
          </w:tcPr>
          <w:p>
            <w:pPr>
              <w:spacing w:before="0" w:after="0"/>
            </w:pPr>
            <w:r>
              <w:rPr>
                <w:rFonts w:ascii="宋体" w:hAnsi="宋体" w:eastAsia="宋体"/>
                <w:sz w:val="17"/>
              </w:rPr>
              <w:t>2,178</w:t>
            </w:r>
          </w:p>
        </w:tc>
        <w:tc>
          <w:tcPr>
            <w:tcW w:type="dxa" w:w="1907"/>
          </w:tcPr>
          <w:p>
            <w:pPr>
              <w:spacing w:before="0" w:after="0"/>
            </w:pPr>
            <w:r>
              <w:rPr>
                <w:rFonts w:ascii="宋体" w:hAnsi="宋体" w:eastAsia="宋体"/>
                <w:sz w:val="17"/>
              </w:rPr>
              <w:t>78.2 KB</w:t>
            </w:r>
          </w:p>
        </w:tc>
        <w:tc>
          <w:tcPr>
            <w:tcW w:type="dxa" w:w="1907"/>
          </w:tcPr>
          <w:p>
            <w:pPr>
              <w:spacing w:before="0" w:after="0"/>
            </w:pPr>
            <w:r>
              <w:rPr>
                <w:rFonts w:ascii="宋体" w:hAnsi="宋体" w:eastAsia="宋体"/>
                <w:sz w:val="17"/>
              </w:rPr>
              <w:t>7 对象（4 REPORT + 3 LIST_QUERY）/ 25 来源 / 18 Join / 53 参数 / 101 结果列</w:t>
            </w:r>
          </w:p>
        </w:tc>
      </w:tr>
      <w:tr>
        <w:tc>
          <w:tcPr>
            <w:tcW w:type="dxa" w:w="2575"/>
          </w:tcPr>
          <w:p>
            <w:pPr>
              <w:spacing w:before="0" w:after="0"/>
            </w:pPr>
            <w:r>
              <w:rPr>
                <w:rFonts w:ascii="宋体" w:hAnsi="宋体" w:eastAsia="宋体"/>
                <w:color w:val="C0392B"/>
                <w:sz w:val="14"/>
              </w:rPr>
              <w:t>mu-ui-model.yaml</w:t>
            </w:r>
          </w:p>
        </w:tc>
        <w:tc>
          <w:tcPr>
            <w:tcW w:type="dxa" w:w="1907"/>
          </w:tcPr>
          <w:p>
            <w:pPr>
              <w:spacing w:before="0" w:after="0"/>
            </w:pPr>
            <w:r>
              <w:rPr>
                <w:rFonts w:ascii="宋体" w:hAnsi="宋体" w:eastAsia="宋体"/>
                <w:sz w:val="17"/>
              </w:rPr>
              <w:t>MU UI 模型</w:t>
            </w:r>
          </w:p>
        </w:tc>
        <w:tc>
          <w:tcPr>
            <w:tcW w:type="dxa" w:w="1907"/>
          </w:tcPr>
          <w:p>
            <w:pPr>
              <w:spacing w:before="0" w:after="0"/>
            </w:pPr>
            <w:r>
              <w:rPr>
                <w:rFonts w:ascii="宋体" w:hAnsi="宋体" w:eastAsia="宋体"/>
                <w:sz w:val="17"/>
              </w:rPr>
              <w:t>2,402</w:t>
            </w:r>
          </w:p>
        </w:tc>
        <w:tc>
          <w:tcPr>
            <w:tcW w:type="dxa" w:w="1907"/>
          </w:tcPr>
          <w:p>
            <w:pPr>
              <w:spacing w:before="0" w:after="0"/>
            </w:pPr>
            <w:r>
              <w:rPr>
                <w:rFonts w:ascii="宋体" w:hAnsi="宋体" w:eastAsia="宋体"/>
                <w:sz w:val="17"/>
              </w:rPr>
              <w:t>121.0 KB</w:t>
            </w:r>
          </w:p>
        </w:tc>
        <w:tc>
          <w:tcPr>
            <w:tcW w:type="dxa" w:w="1907"/>
          </w:tcPr>
          <w:p>
            <w:pPr>
              <w:spacing w:before="0" w:after="0"/>
            </w:pPr>
            <w:r>
              <w:rPr>
                <w:rFonts w:ascii="宋体" w:hAnsi="宋体" w:eastAsia="宋体"/>
                <w:sz w:val="17"/>
              </w:rPr>
              <w:t>6 一级菜单 / 19 二级菜单 / 19 屏 / 309 元素 / 43 操作功能点</w:t>
            </w:r>
          </w:p>
        </w:tc>
      </w:tr>
      <w:tr>
        <w:tc>
          <w:tcPr>
            <w:tcW w:type="dxa" w:w="2575"/>
          </w:tcPr>
          <w:p>
            <w:pPr>
              <w:spacing w:before="0" w:after="0"/>
            </w:pPr>
            <w:r>
              <w:rPr>
                <w:rFonts w:ascii="宋体" w:hAnsi="宋体" w:eastAsia="宋体"/>
                <w:color w:val="C0392B"/>
                <w:sz w:val="14"/>
              </w:rPr>
              <w:t>manifest.json</w:t>
            </w:r>
          </w:p>
        </w:tc>
        <w:tc>
          <w:tcPr>
            <w:tcW w:type="dxa" w:w="1907"/>
          </w:tcPr>
          <w:p>
            <w:pPr>
              <w:spacing w:before="0" w:after="0"/>
            </w:pPr>
            <w:r>
              <w:rPr>
                <w:rFonts w:ascii="宋体" w:hAnsi="宋体" w:eastAsia="宋体"/>
                <w:sz w:val="17"/>
              </w:rPr>
              <w:t>清单</w:t>
            </w:r>
          </w:p>
        </w:tc>
        <w:tc>
          <w:tcPr>
            <w:tcW w:type="dxa" w:w="1907"/>
          </w:tcPr>
          <w:p>
            <w:pPr>
              <w:spacing w:before="0" w:after="0"/>
            </w:pPr>
            <w:r>
              <w:rPr>
                <w:rFonts w:ascii="宋体" w:hAnsi="宋体" w:eastAsia="宋体"/>
                <w:sz w:val="17"/>
              </w:rPr>
              <w:t>28</w:t>
            </w:r>
          </w:p>
        </w:tc>
        <w:tc>
          <w:tcPr>
            <w:tcW w:type="dxa" w:w="1907"/>
          </w:tcPr>
          <w:p>
            <w:pPr>
              <w:spacing w:before="0" w:after="0"/>
            </w:pPr>
            <w:r>
              <w:rPr>
                <w:rFonts w:ascii="宋体" w:hAnsi="宋体" w:eastAsia="宋体"/>
                <w:sz w:val="17"/>
              </w:rPr>
              <w:t>1.0 KB</w:t>
            </w:r>
          </w:p>
        </w:tc>
        <w:tc>
          <w:tcPr>
            <w:tcW w:type="dxa" w:w="1907"/>
          </w:tcPr>
          <w:p>
            <w:pPr>
              <w:spacing w:before="0" w:after="0"/>
            </w:pPr>
            <w:r>
              <w:rPr>
                <w:rFonts w:ascii="宋体" w:hAnsi="宋体" w:eastAsia="宋体"/>
                <w:sz w:val="17"/>
              </w:rPr>
              <w:t>7 个模型文件名（相对路径）+ 建模顺序 + 覆盖范围</w:t>
            </w:r>
          </w:p>
        </w:tc>
      </w:tr>
      <w:tr>
        <w:tc>
          <w:tcPr>
            <w:tcW w:type="dxa" w:w="2575"/>
          </w:tcPr>
          <w:p>
            <w:pPr>
              <w:spacing w:before="0" w:after="0"/>
            </w:pPr>
            <w:r>
              <w:rPr>
                <w:rFonts w:ascii="宋体" w:hAnsi="宋体" w:eastAsia="宋体"/>
                <w:color w:val="C0392B"/>
                <w:sz w:val="14"/>
              </w:rPr>
              <w:t>CHANGELOG.md</w:t>
            </w:r>
          </w:p>
        </w:tc>
        <w:tc>
          <w:tcPr>
            <w:tcW w:type="dxa" w:w="1907"/>
          </w:tcPr>
          <w:p>
            <w:pPr>
              <w:spacing w:before="0" w:after="0"/>
            </w:pPr>
            <w:r>
              <w:rPr>
                <w:rFonts w:ascii="宋体" w:hAnsi="宋体" w:eastAsia="宋体"/>
                <w:sz w:val="17"/>
              </w:rPr>
              <w:t>变更记录</w:t>
            </w:r>
          </w:p>
        </w:tc>
        <w:tc>
          <w:tcPr>
            <w:tcW w:type="dxa" w:w="1907"/>
          </w:tcPr>
          <w:p>
            <w:pPr>
              <w:spacing w:before="0" w:after="0"/>
            </w:pPr>
            <w:r>
              <w:rPr>
                <w:rFonts w:ascii="宋体" w:hAnsi="宋体" w:eastAsia="宋体"/>
                <w:sz w:val="17"/>
              </w:rPr>
              <w:t>—</w:t>
            </w:r>
          </w:p>
        </w:tc>
        <w:tc>
          <w:tcPr>
            <w:tcW w:type="dxa" w:w="1907"/>
          </w:tcPr>
          <w:p>
            <w:pPr>
              <w:spacing w:before="0" w:after="0"/>
            </w:pPr>
            <w:r>
              <w:rPr>
                <w:rFonts w:ascii="宋体" w:hAnsi="宋体" w:eastAsia="宋体"/>
                <w:sz w:val="17"/>
              </w:rPr>
              <w:t>2.1 KB</w:t>
            </w:r>
          </w:p>
        </w:tc>
        <w:tc>
          <w:tcPr>
            <w:tcW w:type="dxa" w:w="1907"/>
          </w:tcPr>
          <w:p>
            <w:pPr>
              <w:spacing w:before="0" w:after="0"/>
            </w:pPr>
            <w:r>
              <w:rPr>
                <w:rFonts w:ascii="宋体" w:hAnsi="宋体" w:eastAsia="宋体"/>
                <w:sz w:val="17"/>
              </w:rPr>
              <w:t>跨模型破坏性变更登记（B-05/B-06 新增、审批流边界收敛）</w:t>
            </w:r>
          </w:p>
        </w:tc>
      </w:tr>
    </w:tbl>
    <w:p/>
    <w:p>
      <w:pPr>
        <w:spacing w:before="0" w:after="40"/>
      </w:pPr>
      <w:r>
        <w:rPr>
          <w:rFonts w:ascii="宋体" w:hAnsi="宋体" w:eastAsia="宋体"/>
          <w:sz w:val="21"/>
        </w:rPr>
        <w:t>建模顺序（与框架 §10.1 推荐一致）：M1 → M5（角色）→ M3（规则）→ M2（行为）→ M7（查询）→ M6（流程）→ MU（界面）。</w:t>
      </w:r>
    </w:p>
    <w:p>
      <w:pPr>
        <w:spacing w:before="40" w:after="40"/>
        <w:pBdr>
          <w:bottom w:val="single" w:sz="6" w:color="BFBFBF"/>
        </w:pBdr>
      </w:pPr>
    </w:p>
    <w:p>
      <w:pPr>
        <w:pStyle w:val="Heading2"/>
        <w:spacing w:before="200" w:after="80"/>
      </w:pPr>
      <w:r>
        <w:rPr>
          <w:rFonts w:ascii="微软雅黑" w:hAnsi="微软雅黑" w:eastAsia="微软雅黑"/>
          <w:b/>
          <w:color w:val="2E5496"/>
          <w:sz w:val="28"/>
        </w:rPr>
        <w:t>二、一致性门禁执行结果（程序化取证）</w:t>
      </w:r>
    </w:p>
    <w:p>
      <w:pPr>
        <w:spacing w:before="0" w:after="40"/>
      </w:pPr>
      <w:r>
        <w:rPr>
          <w:rFonts w:ascii="宋体" w:hAnsi="宋体" w:eastAsia="宋体"/>
          <w:sz w:val="21"/>
        </w:rPr>
        <w:t>复跑命令：</w:t>
      </w:r>
    </w:p>
    <w:p>
      <w:pPr>
        <w:spacing w:before="40" w:after="0"/>
      </w:pPr>
      <w:r>
        <w:rPr>
          <w:rFonts w:ascii="宋体" w:hAnsi="宋体" w:eastAsia="宋体"/>
          <w:i/>
          <w:color w:val="808080"/>
          <w:sz w:val="15"/>
        </w:rPr>
        <w:t>[bash]</w:t>
      </w:r>
    </w:p>
    <w:p>
      <w:pPr>
        <w:spacing w:before="0" w:after="0" w:line="240" w:lineRule="auto"/>
        <w:shd w:val="clear" w:color="auto" w:fill="F2F2F2"/>
      </w:pPr>
      <w:r>
        <w:rPr>
          <w:rFonts w:ascii="宋体" w:hAnsi="宋体" w:eastAsia="宋体"/>
          <w:sz w:val="16"/>
        </w:rPr>
        <w:t>cd /d/hermes/workspace/中医问诊系统</w:t>
      </w:r>
    </w:p>
    <w:p>
      <w:pPr>
        <w:spacing w:before="0" w:after="0" w:line="240" w:lineRule="auto"/>
        <w:shd w:val="clear" w:color="auto" w:fill="F2F2F2"/>
      </w:pPr>
      <w:r>
        <w:rPr>
          <w:rFonts w:ascii="宋体" w:hAnsi="宋体" w:eastAsia="宋体"/>
          <w:sz w:val="16"/>
        </w:rPr>
        <w:t>D:/hermes/tools/docx-venv/Scripts/python.exe tools/validate_ontology.py yaml</w:t>
      </w:r>
    </w:p>
    <w:p/>
    <w:p>
      <w:pPr>
        <w:spacing w:before="0" w:after="40"/>
      </w:pPr>
      <w:r>
        <w:rPr>
          <w:rFonts w:ascii="宋体" w:hAnsi="宋体" w:eastAsia="宋体"/>
          <w:sz w:val="21"/>
        </w:rPr>
        <w:t>最近一次执行结果：</w:t>
      </w:r>
      <w:r>
        <w:rPr>
          <w:rFonts w:ascii="宋体" w:hAnsi="宋体" w:eastAsia="宋体"/>
          <w:b/>
          <w:sz w:val="21"/>
        </w:rPr>
        <w:t>0 条阻断问题、0 条提示，全部跨模型一致性门禁通过</w:t>
      </w:r>
      <w:r>
        <w:rPr>
          <w:rFonts w:ascii="宋体" w:hAnsi="宋体" w:eastAsia="宋体"/>
          <w:sz w:val="21"/>
        </w:rPr>
        <w:t>。逐项结论：</w:t>
      </w:r>
    </w:p>
    <w:tbl>
      <w:tblPr>
        <w:tblStyle w:val="TableGrid"/>
        <w:tblW w:type="auto" w:w="0"/>
        <w:jc w:val="center"/>
        <w:tblLayout w:type="autofit"/>
        <w:tblLook w:firstColumn="1" w:firstRow="1" w:lastColumn="0" w:lastRow="0" w:noHBand="0" w:noVBand="1" w:val="04A0"/>
      </w:tblPr>
      <w:tblGrid>
        <w:gridCol w:w="5103"/>
        <w:gridCol w:w="5103"/>
      </w:tblGrid>
      <w:tr>
        <w:trPr>
          <w:tblHeader w:val="true"/>
        </w:trPr>
        <w:tc>
          <w:tcPr>
            <w:tcW w:type="dxa" w:w="5862"/>
          </w:tcPr>
          <w:p>
            <w:pPr>
              <w:spacing w:before="0" w:after="0"/>
            </w:pPr>
            <w:r>
              <w:rPr>
                <w:rFonts w:ascii="宋体" w:hAnsi="宋体" w:eastAsia="宋体"/>
                <w:b/>
                <w:sz w:val="17"/>
              </w:rPr>
              <w:t>检查面</w:t>
            </w:r>
          </w:p>
        </w:tc>
        <w:tc>
          <w:tcPr>
            <w:tcW w:type="dxa" w:w="4342"/>
          </w:tcPr>
          <w:p>
            <w:pPr>
              <w:spacing w:before="0" w:after="0"/>
            </w:pPr>
            <w:r>
              <w:rPr>
                <w:rFonts w:ascii="宋体" w:hAnsi="宋体" w:eastAsia="宋体"/>
                <w:b/>
                <w:sz w:val="17"/>
              </w:rPr>
              <w:t>结果</w:t>
            </w:r>
          </w:p>
        </w:tc>
      </w:tr>
      <w:tr>
        <w:tc>
          <w:tcPr>
            <w:tcW w:type="dxa" w:w="5862"/>
          </w:tcPr>
          <w:p>
            <w:pPr>
              <w:spacing w:before="0" w:after="0"/>
            </w:pPr>
            <w:r>
              <w:rPr>
                <w:rFonts w:ascii="宋体" w:hAnsi="宋体" w:eastAsia="宋体"/>
                <w:sz w:val="17"/>
              </w:rPr>
              <w:t>8 个文件 YAML/JSON 可解析、manifest 无指向缺失文件</w:t>
            </w:r>
          </w:p>
        </w:tc>
        <w:tc>
          <w:tcPr>
            <w:tcW w:type="dxa" w:w="4342"/>
          </w:tcPr>
          <w:p>
            <w:pPr>
              <w:spacing w:before="0" w:after="0"/>
            </w:pPr>
            <w:r>
              <w:rPr>
                <w:rFonts w:ascii="宋体" w:hAnsi="宋体" w:eastAsia="宋体"/>
                <w:sz w:val="17"/>
              </w:rPr>
              <w:t>通过</w:t>
            </w:r>
          </w:p>
        </w:tc>
      </w:tr>
      <w:tr>
        <w:tc>
          <w:tcPr>
            <w:tcW w:type="dxa" w:w="5862"/>
          </w:tcPr>
          <w:p>
            <w:pPr>
              <w:spacing w:before="0" w:after="0"/>
            </w:pPr>
            <w:r>
              <w:rPr>
                <w:rFonts w:ascii="宋体" w:hAnsi="宋体" w:eastAsia="宋体"/>
                <w:sz w:val="17"/>
              </w:rPr>
              <w:t>M1 id 唯一、关联两端可解析、属性名不重复</w:t>
            </w:r>
          </w:p>
        </w:tc>
        <w:tc>
          <w:tcPr>
            <w:tcW w:type="dxa" w:w="4342"/>
          </w:tcPr>
          <w:p>
            <w:pPr>
              <w:spacing w:before="0" w:after="0"/>
            </w:pPr>
            <w:r>
              <w:rPr>
                <w:rFonts w:ascii="宋体" w:hAnsi="宋体" w:eastAsia="宋体"/>
                <w:sz w:val="17"/>
              </w:rPr>
              <w:t>通过（9 聚合 / 11 关联）</w:t>
            </w:r>
          </w:p>
        </w:tc>
      </w:tr>
      <w:tr>
        <w:tc>
          <w:tcPr>
            <w:tcW w:type="dxa" w:w="5862"/>
          </w:tcPr>
          <w:p>
            <w:pPr>
              <w:spacing w:before="0" w:after="0"/>
            </w:pPr>
            <w:r>
              <w:rPr>
                <w:rFonts w:ascii="宋体" w:hAnsi="宋体" w:eastAsia="宋体"/>
                <w:sz w:val="17"/>
              </w:rPr>
              <w:t>M2 行为 id 唯一、</w:t>
            </w:r>
            <w:r>
              <w:rPr>
                <w:rFonts w:ascii="宋体" w:hAnsi="宋体" w:eastAsia="宋体"/>
                <w:color w:val="C0392B"/>
                <w:sz w:val="14"/>
              </w:rPr>
              <w:t>ownerEntity</w:t>
            </w:r>
            <w:r>
              <w:rPr>
                <w:rFonts w:ascii="宋体" w:hAnsi="宋体" w:eastAsia="宋体"/>
                <w:sz w:val="17"/>
              </w:rPr>
              <w:t xml:space="preserve"> 均指向 M1 聚合、</w:t>
            </w:r>
            <w:r>
              <w:rPr>
                <w:rFonts w:ascii="宋体" w:hAnsi="宋体" w:eastAsia="宋体"/>
                <w:color w:val="C0392B"/>
                <w:sz w:val="14"/>
              </w:rPr>
              <w:t>syncTriggers</w:t>
            </w:r>
            <w:r>
              <w:rPr>
                <w:rFonts w:ascii="宋体" w:hAnsi="宋体" w:eastAsia="宋体"/>
                <w:sz w:val="17"/>
              </w:rPr>
              <w:t xml:space="preserve"> 目标存在且无自引用</w:t>
            </w:r>
          </w:p>
        </w:tc>
        <w:tc>
          <w:tcPr>
            <w:tcW w:type="dxa" w:w="4342"/>
          </w:tcPr>
          <w:p>
            <w:pPr>
              <w:spacing w:before="0" w:after="0"/>
            </w:pPr>
            <w:r>
              <w:rPr>
                <w:rFonts w:ascii="宋体" w:hAnsi="宋体" w:eastAsia="宋体"/>
                <w:sz w:val="17"/>
              </w:rPr>
              <w:t>通过（37 行为）</w:t>
            </w:r>
          </w:p>
        </w:tc>
      </w:tr>
      <w:tr>
        <w:tc>
          <w:tcPr>
            <w:tcW w:type="dxa" w:w="5862"/>
          </w:tcPr>
          <w:p>
            <w:pPr>
              <w:spacing w:before="0" w:after="0"/>
            </w:pPr>
            <w:r>
              <w:rPr>
                <w:rFonts w:ascii="宋体" w:hAnsi="宋体" w:eastAsia="宋体"/>
                <w:sz w:val="17"/>
              </w:rPr>
              <w:t xml:space="preserve">M2 </w:t>
            </w:r>
            <w:r>
              <w:rPr>
                <w:rFonts w:ascii="宋体" w:hAnsi="宋体" w:eastAsia="宋体"/>
                <w:color w:val="C0392B"/>
                <w:sz w:val="14"/>
              </w:rPr>
              <w:t>requiredPermissions</w:t>
            </w:r>
            <w:r>
              <w:rPr>
                <w:rFonts w:ascii="宋体" w:hAnsi="宋体" w:eastAsia="宋体"/>
                <w:sz w:val="17"/>
              </w:rPr>
              <w:t xml:space="preserve"> 全部存在于 M5</w:t>
            </w:r>
          </w:p>
        </w:tc>
        <w:tc>
          <w:tcPr>
            <w:tcW w:type="dxa" w:w="4342"/>
          </w:tcPr>
          <w:p>
            <w:pPr>
              <w:spacing w:before="0" w:after="0"/>
            </w:pPr>
            <w:r>
              <w:rPr>
                <w:rFonts w:ascii="宋体" w:hAnsi="宋体" w:eastAsia="宋体"/>
                <w:sz w:val="17"/>
              </w:rPr>
              <w:t>通过</w:t>
            </w:r>
          </w:p>
        </w:tc>
      </w:tr>
      <w:tr>
        <w:tc>
          <w:tcPr>
            <w:tcW w:type="dxa" w:w="5862"/>
          </w:tcPr>
          <w:p>
            <w:pPr>
              <w:spacing w:before="0" w:after="0"/>
            </w:pPr>
            <w:r>
              <w:rPr>
                <w:rFonts w:ascii="宋体" w:hAnsi="宋体" w:eastAsia="宋体"/>
                <w:sz w:val="17"/>
              </w:rPr>
              <w:t xml:space="preserve">M3 无孤立规则（每条至少被 M2 或 M6 引用）、M6 网关 </w:t>
            </w:r>
            <w:r>
              <w:rPr>
                <w:rFonts w:ascii="宋体" w:hAnsi="宋体" w:eastAsia="宋体"/>
                <w:color w:val="C0392B"/>
                <w:sz w:val="14"/>
              </w:rPr>
              <w:t>ruleRef</w:t>
            </w:r>
            <w:r>
              <w:rPr>
                <w:rFonts w:ascii="宋体" w:hAnsi="宋体" w:eastAsia="宋体"/>
                <w:sz w:val="17"/>
              </w:rPr>
              <w:t xml:space="preserve"> 无悬空</w:t>
            </w:r>
          </w:p>
        </w:tc>
        <w:tc>
          <w:tcPr>
            <w:tcW w:type="dxa" w:w="4342"/>
          </w:tcPr>
          <w:p>
            <w:pPr>
              <w:spacing w:before="0" w:after="0"/>
            </w:pPr>
            <w:r>
              <w:rPr>
                <w:rFonts w:ascii="宋体" w:hAnsi="宋体" w:eastAsia="宋体"/>
                <w:sz w:val="17"/>
              </w:rPr>
              <w:t>通过（6 规则）</w:t>
            </w:r>
          </w:p>
        </w:tc>
      </w:tr>
      <w:tr>
        <w:tc>
          <w:tcPr>
            <w:tcW w:type="dxa" w:w="5862"/>
          </w:tcPr>
          <w:p>
            <w:pPr>
              <w:spacing w:before="0" w:after="0"/>
            </w:pPr>
            <w:r>
              <w:rPr>
                <w:rFonts w:ascii="宋体" w:hAnsi="宋体" w:eastAsia="宋体"/>
                <w:sz w:val="17"/>
              </w:rPr>
              <w:t xml:space="preserve">M5 权限 </w:t>
            </w:r>
            <w:r>
              <w:rPr>
                <w:rFonts w:ascii="宋体" w:hAnsi="宋体" w:eastAsia="宋体"/>
                <w:color w:val="C0392B"/>
                <w:sz w:val="14"/>
              </w:rPr>
              <w:t>targetRef</w:t>
            </w:r>
            <w:r>
              <w:rPr>
                <w:rFonts w:ascii="宋体" w:hAnsi="宋体" w:eastAsia="宋体"/>
                <w:sz w:val="17"/>
              </w:rPr>
              <w:t xml:space="preserve"> 可解析、无未被任何角色引用的权限、主体 roles 有效</w:t>
            </w:r>
          </w:p>
        </w:tc>
        <w:tc>
          <w:tcPr>
            <w:tcW w:type="dxa" w:w="4342"/>
          </w:tcPr>
          <w:p>
            <w:pPr>
              <w:spacing w:before="0" w:after="0"/>
            </w:pPr>
            <w:r>
              <w:rPr>
                <w:rFonts w:ascii="宋体" w:hAnsi="宋体" w:eastAsia="宋体"/>
                <w:sz w:val="17"/>
              </w:rPr>
              <w:t>通过（37 权限）</w:t>
            </w:r>
          </w:p>
        </w:tc>
      </w:tr>
      <w:tr>
        <w:tc>
          <w:tcPr>
            <w:tcW w:type="dxa" w:w="5862"/>
          </w:tcPr>
          <w:p>
            <w:pPr>
              <w:spacing w:before="0" w:after="0"/>
            </w:pPr>
            <w:r>
              <w:rPr>
                <w:rFonts w:ascii="宋体" w:hAnsi="宋体" w:eastAsia="宋体"/>
                <w:sz w:val="17"/>
              </w:rPr>
              <w:t>M6 活动后继/网关目标/角色/行为/子流全部可解析、无不可达活动、网关 ≥2 分支且 ≤1 默认、审批流覆盖 APPROVE+REJECT</w:t>
            </w:r>
          </w:p>
        </w:tc>
        <w:tc>
          <w:tcPr>
            <w:tcW w:type="dxa" w:w="4342"/>
          </w:tcPr>
          <w:p>
            <w:pPr>
              <w:spacing w:before="0" w:after="0"/>
            </w:pPr>
            <w:r>
              <w:rPr>
                <w:rFonts w:ascii="宋体" w:hAnsi="宋体" w:eastAsia="宋体"/>
                <w:sz w:val="17"/>
              </w:rPr>
              <w:t>通过（4 流程 / 75 活动）</w:t>
            </w:r>
          </w:p>
        </w:tc>
      </w:tr>
      <w:tr>
        <w:tc>
          <w:tcPr>
            <w:tcW w:type="dxa" w:w="5862"/>
          </w:tcPr>
          <w:p>
            <w:pPr>
              <w:spacing w:before="0" w:after="0"/>
            </w:pPr>
            <w:r>
              <w:rPr>
                <w:rFonts w:ascii="宋体" w:hAnsi="宋体" w:eastAsia="宋体"/>
                <w:sz w:val="17"/>
              </w:rPr>
              <w:t xml:space="preserve">M7 </w:t>
            </w:r>
            <w:r>
              <w:rPr>
                <w:rFonts w:ascii="宋体" w:hAnsi="宋体" w:eastAsia="宋体"/>
                <w:color w:val="C0392B"/>
                <w:sz w:val="14"/>
              </w:rPr>
              <w:t>behaviorRef</w:t>
            </w:r>
            <w:r>
              <w:rPr>
                <w:rFonts w:ascii="宋体" w:hAnsi="宋体" w:eastAsia="宋体"/>
                <w:sz w:val="17"/>
              </w:rPr>
              <w:t xml:space="preserve"> 与 M2 </w:t>
            </w:r>
            <w:r>
              <w:rPr>
                <w:rFonts w:ascii="宋体" w:hAnsi="宋体" w:eastAsia="宋体"/>
                <w:color w:val="C0392B"/>
                <w:sz w:val="14"/>
              </w:rPr>
              <w:t>queryReportRef</w:t>
            </w:r>
            <w:r>
              <w:rPr>
                <w:rFonts w:ascii="宋体" w:hAnsi="宋体" w:eastAsia="宋体"/>
                <w:sz w:val="17"/>
              </w:rPr>
              <w:t xml:space="preserve"> 严格一对一、每对象恰 1 个 primary 来源、无禁止字段、REPORT 必有 </w:t>
            </w:r>
            <w:r>
              <w:rPr>
                <w:rFonts w:ascii="宋体" w:hAnsi="宋体" w:eastAsia="宋体"/>
                <w:color w:val="C0392B"/>
                <w:sz w:val="14"/>
              </w:rPr>
              <w:t>reportOptions</w:t>
            </w:r>
          </w:p>
        </w:tc>
        <w:tc>
          <w:tcPr>
            <w:tcW w:type="dxa" w:w="4342"/>
          </w:tcPr>
          <w:p>
            <w:pPr>
              <w:spacing w:before="0" w:after="0"/>
            </w:pPr>
            <w:r>
              <w:rPr>
                <w:rFonts w:ascii="宋体" w:hAnsi="宋体" w:eastAsia="宋体"/>
                <w:sz w:val="17"/>
              </w:rPr>
              <w:t>通过（7/7）</w:t>
            </w:r>
          </w:p>
        </w:tc>
      </w:tr>
      <w:tr>
        <w:tc>
          <w:tcPr>
            <w:tcW w:type="dxa" w:w="5862"/>
          </w:tcPr>
          <w:p>
            <w:pPr>
              <w:spacing w:before="0" w:after="0"/>
            </w:pPr>
            <w:r>
              <w:rPr>
                <w:rFonts w:ascii="宋体" w:hAnsi="宋体" w:eastAsia="宋体"/>
                <w:sz w:val="17"/>
              </w:rPr>
              <w:t>MU 菜单两级且二级必挂屏幕、布局标识符 ⊆ elements、行为/权限引用存在、31 个人工行为全覆盖、无系统自动行为入口</w:t>
            </w:r>
          </w:p>
        </w:tc>
        <w:tc>
          <w:tcPr>
            <w:tcW w:type="dxa" w:w="4342"/>
          </w:tcPr>
          <w:p>
            <w:pPr>
              <w:spacing w:before="0" w:after="0"/>
            </w:pPr>
            <w:r>
              <w:rPr>
                <w:rFonts w:ascii="宋体" w:hAnsi="宋体" w:eastAsia="宋体"/>
                <w:sz w:val="17"/>
              </w:rPr>
              <w:t>通过（19 屏 / 31-31）</w:t>
            </w:r>
          </w:p>
        </w:tc>
      </w:tr>
      <w:tr>
        <w:tc>
          <w:tcPr>
            <w:tcW w:type="dxa" w:w="5862"/>
          </w:tcPr>
          <w:p>
            <w:pPr>
              <w:spacing w:before="0" w:after="0"/>
            </w:pPr>
            <w:r>
              <w:rPr>
                <w:rFonts w:ascii="宋体" w:hAnsi="宋体" w:eastAsia="宋体"/>
                <w:sz w:val="17"/>
              </w:rPr>
              <w:t>框架 §10.2 评审清单可自动判定项（M1 ID 引用、M2 跨聚合联动与条件引用 M3、M6 roleRef ⊆ 流程 roleRefs、子流程无环、M7 预聚合与 Join 有效性、MU 控件强制映射、带审批屏双按钮）</w:t>
            </w:r>
          </w:p>
        </w:tc>
        <w:tc>
          <w:tcPr>
            <w:tcW w:type="dxa" w:w="4342"/>
          </w:tcPr>
          <w:p>
            <w:pPr>
              <w:spacing w:before="0" w:after="0"/>
            </w:pPr>
            <w:r>
              <w:rPr>
                <w:rFonts w:ascii="宋体" w:hAnsi="宋体" w:eastAsia="宋体"/>
                <w:sz w:val="17"/>
              </w:rPr>
              <w:t>39 项全部通过</w:t>
            </w:r>
          </w:p>
        </w:tc>
      </w:tr>
      <w:tr>
        <w:tc>
          <w:tcPr>
            <w:tcW w:type="dxa" w:w="5862"/>
          </w:tcPr>
          <w:p>
            <w:pPr>
              <w:spacing w:before="0" w:after="0"/>
            </w:pPr>
            <w:r>
              <w:rPr>
                <w:rFonts w:ascii="宋体" w:hAnsi="宋体" w:eastAsia="宋体"/>
                <w:sz w:val="17"/>
              </w:rPr>
              <w:t>M2 后置条件字段 ⊆ M1 属性（字段级一致性，第 10 类检查）</w:t>
            </w:r>
          </w:p>
        </w:tc>
        <w:tc>
          <w:tcPr>
            <w:tcW w:type="dxa" w:w="4342"/>
          </w:tcPr>
          <w:p>
            <w:pPr>
              <w:spacing w:before="0" w:after="0"/>
            </w:pPr>
            <w:r>
              <w:rPr>
                <w:rFonts w:ascii="宋体" w:hAnsi="宋体" w:eastAsia="宋体"/>
                <w:sz w:val="17"/>
              </w:rPr>
              <w:t xml:space="preserve">通过（本轮新增该检查后反查出并修正 </w:t>
            </w:r>
            <w:r>
              <w:rPr>
                <w:rFonts w:ascii="宋体" w:hAnsi="宋体" w:eastAsia="宋体"/>
                <w:color w:val="C0392B"/>
                <w:sz w:val="14"/>
              </w:rPr>
              <w:t>prescription.remark</w:t>
            </w:r>
            <w:r>
              <w:rPr>
                <w:rFonts w:ascii="宋体" w:hAnsi="宋体" w:eastAsia="宋体"/>
                <w:sz w:val="17"/>
              </w:rPr>
              <w:t xml:space="preserve"> 缺口，见第三节第 4 条）</w:t>
            </w:r>
          </w:p>
        </w:tc>
      </w:tr>
    </w:tbl>
    <w:p/>
    <w:p>
      <w:pPr>
        <w:spacing w:before="0" w:after="40"/>
      </w:pPr>
      <w:r>
        <w:rPr>
          <w:rFonts w:ascii="宋体" w:hAnsi="宋体" w:eastAsia="宋体"/>
          <w:sz w:val="21"/>
        </w:rPr>
        <w:t>关键的 M7 预聚合取证（框架 §7.6 第 6 条）：</w:t>
      </w:r>
    </w:p>
    <w:tbl>
      <w:tblPr>
        <w:tblStyle w:val="TableGrid"/>
        <w:tblW w:type="auto" w:w="0"/>
        <w:jc w:val="center"/>
        <w:tblLayout w:type="autofit"/>
        <w:tblLook w:firstColumn="1" w:firstRow="1" w:lastColumn="0" w:lastRow="0" w:noHBand="0" w:noVBand="1" w:val="04A0"/>
      </w:tblPr>
      <w:tblGrid>
        <w:gridCol w:w="3402"/>
        <w:gridCol w:w="3402"/>
        <w:gridCol w:w="3402"/>
      </w:tblGrid>
      <w:tr>
        <w:trPr>
          <w:tblHeader w:val="true"/>
        </w:trPr>
        <w:tc>
          <w:tcPr>
            <w:tcW w:type="dxa" w:w="4112"/>
          </w:tcPr>
          <w:p>
            <w:pPr>
              <w:spacing w:before="0" w:after="0"/>
            </w:pPr>
            <w:r>
              <w:rPr>
                <w:rFonts w:ascii="宋体" w:hAnsi="宋体" w:eastAsia="宋体"/>
                <w:b/>
                <w:sz w:val="17"/>
              </w:rPr>
              <w:t>M7 对象</w:t>
            </w:r>
          </w:p>
        </w:tc>
        <w:tc>
          <w:tcPr>
            <w:tcW w:type="dxa" w:w="3046"/>
          </w:tcPr>
          <w:p>
            <w:pPr>
              <w:spacing w:before="0" w:after="0"/>
            </w:pPr>
            <w:r>
              <w:rPr>
                <w:rFonts w:ascii="宋体" w:hAnsi="宋体" w:eastAsia="宋体"/>
                <w:b/>
                <w:sz w:val="17"/>
              </w:rPr>
              <w:t>一对多来源</w:t>
            </w:r>
          </w:p>
        </w:tc>
        <w:tc>
          <w:tcPr>
            <w:tcW w:type="dxa" w:w="3046"/>
          </w:tcPr>
          <w:p>
            <w:pPr>
              <w:spacing w:before="0" w:after="0"/>
            </w:pPr>
            <w:r>
              <w:rPr>
                <w:rFonts w:ascii="宋体" w:hAnsi="宋体" w:eastAsia="宋体"/>
                <w:b/>
                <w:sz w:val="17"/>
              </w:rPr>
              <w:t>预聚合处理</w:t>
            </w:r>
          </w:p>
        </w:tc>
      </w:tr>
      <w:tr>
        <w:tc>
          <w:tcPr>
            <w:tcW w:type="dxa" w:w="4112"/>
          </w:tcPr>
          <w:p>
            <w:pPr>
              <w:spacing w:before="0" w:after="0"/>
            </w:pPr>
            <w:r>
              <w:rPr>
                <w:rFonts w:ascii="宋体" w:hAnsi="宋体" w:eastAsia="宋体"/>
                <w:color w:val="C0392B"/>
                <w:sz w:val="14"/>
              </w:rPr>
              <w:t>RPT-HERB-USAGE-001</w:t>
            </w:r>
          </w:p>
        </w:tc>
        <w:tc>
          <w:tcPr>
            <w:tcW w:type="dxa" w:w="3046"/>
          </w:tcPr>
          <w:p>
            <w:pPr>
              <w:spacing w:before="0" w:after="0"/>
            </w:pPr>
            <w:r>
              <w:rPr>
                <w:rFonts w:ascii="宋体" w:hAnsi="宋体" w:eastAsia="宋体"/>
                <w:color w:val="C0392B"/>
                <w:sz w:val="14"/>
              </w:rPr>
              <w:t>PrescriptionItem</w:t>
            </w:r>
            <w:r>
              <w:rPr>
                <w:rFonts w:ascii="宋体" w:hAnsi="宋体" w:eastAsia="宋体"/>
                <w:sz w:val="17"/>
              </w:rPr>
              <w:t xml:space="preserve"> 明细（entityPath）</w:t>
            </w:r>
          </w:p>
        </w:tc>
        <w:tc>
          <w:tcPr>
            <w:tcW w:type="dxa" w:w="3046"/>
          </w:tcPr>
          <w:p>
            <w:pPr>
              <w:spacing w:before="0" w:after="0"/>
            </w:pPr>
            <w:r>
              <w:rPr>
                <w:rFonts w:ascii="宋体" w:hAnsi="宋体" w:eastAsia="宋体"/>
                <w:color w:val="C0392B"/>
                <w:sz w:val="14"/>
              </w:rPr>
              <w:t>preAggregation</w:t>
            </w:r>
            <w:r>
              <w:rPr>
                <w:rFonts w:ascii="宋体" w:hAnsi="宋体" w:eastAsia="宋体"/>
                <w:sz w:val="17"/>
              </w:rPr>
              <w:t xml:space="preserve">：按 </w:t>
            </w:r>
            <w:r>
              <w:rPr>
                <w:rFonts w:ascii="宋体" w:hAnsi="宋体" w:eastAsia="宋体"/>
                <w:color w:val="C0392B"/>
                <w:sz w:val="14"/>
              </w:rPr>
              <w:t>[prescriptionId, herbId]</w:t>
            </w:r>
            <w:r>
              <w:rPr>
                <w:rFonts w:ascii="宋体" w:hAnsi="宋体" w:eastAsia="宋体"/>
                <w:sz w:val="17"/>
              </w:rPr>
              <w:t xml:space="preserve"> 预聚合 </w:t>
            </w:r>
            <w:r>
              <w:rPr>
                <w:rFonts w:ascii="宋体" w:hAnsi="宋体" w:eastAsia="宋体"/>
                <w:color w:val="C0392B"/>
                <w:sz w:val="14"/>
              </w:rPr>
              <w:t>SUM(singleDose)</w:t>
            </w:r>
            <w:r>
              <w:rPr>
                <w:rFonts w:ascii="宋体" w:hAnsi="宋体" w:eastAsia="宋体"/>
                <w:sz w:val="17"/>
              </w:rPr>
              <w:t xml:space="preserve"> 后再与饮片维表 Join</w:t>
            </w:r>
          </w:p>
        </w:tc>
      </w:tr>
      <w:tr>
        <w:tc>
          <w:tcPr>
            <w:tcW w:type="dxa" w:w="4112"/>
          </w:tcPr>
          <w:p>
            <w:pPr>
              <w:spacing w:before="0" w:after="0"/>
            </w:pPr>
            <w:r>
              <w:rPr>
                <w:rFonts w:ascii="宋体" w:hAnsi="宋体" w:eastAsia="宋体"/>
                <w:color w:val="C0392B"/>
                <w:sz w:val="14"/>
              </w:rPr>
              <w:t>QR-VISIT-PRESCRIPTION-001</w:t>
            </w:r>
          </w:p>
        </w:tc>
        <w:tc>
          <w:tcPr>
            <w:tcW w:type="dxa" w:w="3046"/>
          </w:tcPr>
          <w:p>
            <w:pPr>
              <w:spacing w:before="0" w:after="0"/>
            </w:pPr>
            <w:r>
              <w:rPr>
                <w:rFonts w:ascii="宋体" w:hAnsi="宋体" w:eastAsia="宋体"/>
                <w:sz w:val="17"/>
              </w:rPr>
              <w:t>处方明细 + 就诊处方计数（两个一对多）</w:t>
            </w:r>
          </w:p>
        </w:tc>
        <w:tc>
          <w:tcPr>
            <w:tcW w:type="dxa" w:w="3046"/>
          </w:tcPr>
          <w:p>
            <w:pPr>
              <w:spacing w:before="0" w:after="0"/>
            </w:pPr>
            <w:r>
              <w:rPr>
                <w:rFonts w:ascii="宋体" w:hAnsi="宋体" w:eastAsia="宋体"/>
                <w:sz w:val="17"/>
              </w:rPr>
              <w:t xml:space="preserve">两个来源分别 </w:t>
            </w:r>
            <w:r>
              <w:rPr>
                <w:rFonts w:ascii="宋体" w:hAnsi="宋体" w:eastAsia="宋体"/>
                <w:color w:val="C0392B"/>
                <w:sz w:val="14"/>
              </w:rPr>
              <w:t>preAggregation</w:t>
            </w:r>
            <w:r>
              <w:rPr>
                <w:rFonts w:ascii="宋体" w:hAnsi="宋体" w:eastAsia="宋体"/>
                <w:sz w:val="17"/>
              </w:rPr>
              <w:t xml:space="preserve">：按 </w:t>
            </w:r>
            <w:r>
              <w:rPr>
                <w:rFonts w:ascii="宋体" w:hAnsi="宋体" w:eastAsia="宋体"/>
                <w:color w:val="C0392B"/>
                <w:sz w:val="14"/>
              </w:rPr>
              <w:t>prescriptionId</w:t>
            </w:r>
            <w:r>
              <w:rPr>
                <w:rFonts w:ascii="宋体" w:hAnsi="宋体" w:eastAsia="宋体"/>
                <w:sz w:val="17"/>
              </w:rPr>
              <w:t xml:space="preserve"> 计数明细、按 </w:t>
            </w:r>
            <w:r>
              <w:rPr>
                <w:rFonts w:ascii="宋体" w:hAnsi="宋体" w:eastAsia="宋体"/>
                <w:color w:val="C0392B"/>
                <w:sz w:val="14"/>
              </w:rPr>
              <w:t>visitId</w:t>
            </w:r>
            <w:r>
              <w:rPr>
                <w:rFonts w:ascii="宋体" w:hAnsi="宋体" w:eastAsia="宋体"/>
                <w:sz w:val="17"/>
              </w:rPr>
              <w:t xml:space="preserve"> 计数处方</w:t>
            </w:r>
          </w:p>
        </w:tc>
      </w:tr>
      <w:tr>
        <w:tc>
          <w:tcPr>
            <w:tcW w:type="dxa" w:w="4112"/>
          </w:tcPr>
          <w:p>
            <w:pPr>
              <w:spacing w:before="0" w:after="0"/>
            </w:pPr>
            <w:r>
              <w:rPr>
                <w:rFonts w:ascii="宋体" w:hAnsi="宋体" w:eastAsia="宋体"/>
                <w:color w:val="C0392B"/>
                <w:sz w:val="14"/>
              </w:rPr>
              <w:t>QR-HERB-STOCK-001</w:t>
            </w:r>
          </w:p>
        </w:tc>
        <w:tc>
          <w:tcPr>
            <w:tcW w:type="dxa" w:w="3046"/>
          </w:tcPr>
          <w:p>
            <w:pPr>
              <w:spacing w:before="0" w:after="0"/>
            </w:pPr>
            <w:r>
              <w:rPr>
                <w:rFonts w:ascii="宋体" w:hAnsi="宋体" w:eastAsia="宋体"/>
                <w:color w:val="C0392B"/>
                <w:sz w:val="14"/>
              </w:rPr>
              <w:t>HerbStockFlow</w:t>
            </w:r>
            <w:r>
              <w:rPr>
                <w:rFonts w:ascii="宋体" w:hAnsi="宋体" w:eastAsia="宋体"/>
                <w:sz w:val="17"/>
              </w:rPr>
              <w:t xml:space="preserve"> 出入库流水</w:t>
            </w:r>
          </w:p>
        </w:tc>
        <w:tc>
          <w:tcPr>
            <w:tcW w:type="dxa" w:w="3046"/>
          </w:tcPr>
          <w:p>
            <w:pPr>
              <w:spacing w:before="0" w:after="0"/>
            </w:pPr>
            <w:r>
              <w:rPr>
                <w:rFonts w:ascii="宋体" w:hAnsi="宋体" w:eastAsia="宋体"/>
                <w:color w:val="C0392B"/>
                <w:sz w:val="14"/>
              </w:rPr>
              <w:t>preAggregation</w:t>
            </w:r>
            <w:r>
              <w:rPr>
                <w:rFonts w:ascii="宋体" w:hAnsi="宋体" w:eastAsia="宋体"/>
                <w:sz w:val="17"/>
              </w:rPr>
              <w:t xml:space="preserve">：按 </w:t>
            </w:r>
            <w:r>
              <w:rPr>
                <w:rFonts w:ascii="宋体" w:hAnsi="宋体" w:eastAsia="宋体"/>
                <w:color w:val="C0392B"/>
                <w:sz w:val="14"/>
              </w:rPr>
              <w:t>herbId</w:t>
            </w:r>
            <w:r>
              <w:rPr>
                <w:rFonts w:ascii="宋体" w:hAnsi="宋体" w:eastAsia="宋体"/>
                <w:sz w:val="17"/>
              </w:rPr>
              <w:t xml:space="preserve"> 取最近入库日期与累计入库量</w:t>
            </w:r>
          </w:p>
        </w:tc>
      </w:tr>
    </w:tbl>
    <w:p/>
    <w:p>
      <w:pPr>
        <w:spacing w:before="40" w:after="40"/>
        <w:pBdr>
          <w:bottom w:val="single" w:sz="6" w:color="BFBFBF"/>
        </w:pBdr>
      </w:pPr>
    </w:p>
    <w:p>
      <w:pPr>
        <w:pStyle w:val="Heading2"/>
        <w:spacing w:before="200" w:after="80"/>
      </w:pPr>
      <w:r>
        <w:rPr>
          <w:rFonts w:ascii="微软雅黑" w:hAnsi="微软雅黑" w:eastAsia="微软雅黑"/>
          <w:b/>
          <w:color w:val="2E5496"/>
          <w:sz w:val="28"/>
        </w:rPr>
        <w:t>三、需求文档同步（本轮新增 17 处补丁，文档版本 → v1.2）</w:t>
      </w:r>
    </w:p>
    <w:p>
      <w:pPr>
        <w:spacing w:before="0" w:after="40"/>
      </w:pPr>
      <w:r>
        <w:rPr>
          <w:rFonts w:ascii="宋体" w:hAnsi="宋体" w:eastAsia="宋体"/>
          <w:sz w:val="21"/>
        </w:rPr>
        <w:t>阶段一文档在建模过程中被反查出 3 类缺口，已就地修正，保持「需求 ↔ 本体」双向可追溯：</w:t>
      </w:r>
    </w:p>
    <w:p>
      <w:pPr>
        <w:pStyle w:val="ListNumber"/>
        <w:spacing w:before="0" w:after="0"/>
      </w:pPr>
      <w:r>
        <w:rPr>
          <w:rFonts w:ascii="宋体" w:hAnsi="宋体" w:eastAsia="宋体"/>
          <w:b/>
          <w:sz w:val="20"/>
        </w:rPr>
        <w:t>新增 B-05 / B-06 两个系统自动行为</w:t>
      </w:r>
      <w:r>
        <w:rPr>
          <w:rFonts w:ascii="宋体" w:hAnsi="宋体" w:eastAsia="宋体"/>
          <w:sz w:val="20"/>
        </w:rPr>
        <w:t>：3.12 定义了调剂发药记录「待调剂」初态与 R-04 三分派，但未给创建与取消行为，导致「待调剂」状态不可达。已同步至：0 编号登记表、2.1.3 用例图覆盖说明、2.2 B-APP-01 详述「同步联动」行、3.12 OBJ-11 状态机、3.17 状态迁移汇总、4.1.3 联动矩阵、4.1.4 后说明、4.4.1 审批流边界、6.2 权限矩阵、附录 C.2 / C.5 / C.8，以及 1.4.1 / 1.4.2 步骤表。</w:t>
      </w:r>
    </w:p>
    <w:p>
      <w:pPr>
        <w:pStyle w:val="ListNumber"/>
        <w:spacing w:before="0" w:after="0"/>
      </w:pPr>
      <w:r>
        <w:rPr>
          <w:rFonts w:ascii="宋体" w:hAnsi="宋体" w:eastAsia="宋体"/>
          <w:b/>
          <w:sz w:val="20"/>
        </w:rPr>
        <w:t>审批流边界明确化</w:t>
      </w:r>
      <w:r>
        <w:rPr>
          <w:rFonts w:ascii="宋体" w:hAnsi="宋体" w:eastAsia="宋体"/>
          <w:sz w:val="20"/>
        </w:rPr>
        <w:t>：4.4.1 增补「流程边界」行——审批流止于「通过后创建待调剂记录」，调剂与发药归协同流。</w:t>
      </w:r>
    </w:p>
    <w:p>
      <w:pPr>
        <w:pStyle w:val="ListNumber"/>
        <w:spacing w:before="0" w:after="0"/>
      </w:pPr>
      <w:r>
        <w:rPr>
          <w:rFonts w:ascii="宋体" w:hAnsi="宋体" w:eastAsia="宋体"/>
          <w:b/>
          <w:sz w:val="20"/>
        </w:rPr>
        <w:t>子实体属性补充</w:t>
      </w:r>
      <w:r>
        <w:rPr>
          <w:rFonts w:ascii="宋体" w:hAnsi="宋体" w:eastAsia="宋体"/>
          <w:sz w:val="20"/>
        </w:rPr>
        <w:t>：</w:t>
      </w:r>
      <w:r>
        <w:rPr>
          <w:rFonts w:ascii="宋体" w:hAnsi="宋体" w:eastAsia="宋体"/>
          <w:color w:val="C0392B"/>
          <w:sz w:val="17"/>
        </w:rPr>
        <w:t>OBJ-08 处方</w:t>
      </w:r>
      <w:r>
        <w:rPr>
          <w:rFonts w:ascii="宋体" w:hAnsi="宋体" w:eastAsia="宋体"/>
          <w:sz w:val="20"/>
        </w:rPr>
        <w:t xml:space="preserve"> 增「提交时间」、</w:t>
      </w:r>
      <w:r>
        <w:rPr>
          <w:rFonts w:ascii="宋体" w:hAnsi="宋体" w:eastAsia="宋体"/>
          <w:color w:val="C0392B"/>
          <w:sz w:val="17"/>
        </w:rPr>
        <w:t>OBJ-07 中药饮片</w:t>
      </w:r>
      <w:r>
        <w:rPr>
          <w:rFonts w:ascii="宋体" w:hAnsi="宋体" w:eastAsia="宋体"/>
          <w:sz w:val="20"/>
        </w:rPr>
        <w:t xml:space="preserve"> 增「毒性单张处方总量上限」等（阶段二 M1/M2 建模时反查所需字段）。</w:t>
      </w:r>
    </w:p>
    <w:p>
      <w:pPr>
        <w:pStyle w:val="ListNumber"/>
        <w:spacing w:before="0" w:after="0"/>
      </w:pPr>
      <w:r>
        <w:rPr>
          <w:rFonts w:ascii="宋体" w:hAnsi="宋体" w:eastAsia="宋体"/>
          <w:b/>
          <w:sz w:val="20"/>
        </w:rPr>
        <w:t>OBJ-08 增「作废原因」属性（本轮，文档 → v1.3）</w:t>
      </w:r>
      <w:r>
        <w:rPr>
          <w:rFonts w:ascii="宋体" w:hAnsi="宋体" w:eastAsia="宋体"/>
          <w:sz w:val="20"/>
        </w:rPr>
        <w:t xml:space="preserve">：FUNC-09 操作步骤要求「填写作废原因」、UI-17 原型弹窗也画了该输入框，但 OBJ-08 属性表缺该字段（需求侧真空）。已在 OBJ-08 补「作废原因」属性，本体侧同步：M1 处方聚合补 </w:t>
      </w:r>
      <w:r>
        <w:rPr>
          <w:rFonts w:ascii="宋体" w:hAnsi="宋体" w:eastAsia="宋体"/>
          <w:color w:val="C0392B"/>
          <w:sz w:val="17"/>
        </w:rPr>
        <w:t>cancelReason</w:t>
      </w:r>
      <w:r>
        <w:rPr>
          <w:rFonts w:ascii="宋体" w:hAnsi="宋体" w:eastAsia="宋体"/>
          <w:sz w:val="20"/>
        </w:rPr>
        <w:t xml:space="preserve">、M2 </w:t>
      </w:r>
      <w:r>
        <w:rPr>
          <w:rFonts w:ascii="宋体" w:hAnsi="宋体" w:eastAsia="宋体"/>
          <w:color w:val="C0392B"/>
          <w:sz w:val="17"/>
        </w:rPr>
        <w:t>Prescription_Cancel</w:t>
      </w:r>
      <w:r>
        <w:rPr>
          <w:rFonts w:ascii="宋体" w:hAnsi="宋体" w:eastAsia="宋体"/>
          <w:sz w:val="20"/>
        </w:rPr>
        <w:t xml:space="preserve"> 后置条件由 </w:t>
      </w:r>
      <w:r>
        <w:rPr>
          <w:rFonts w:ascii="宋体" w:hAnsi="宋体" w:eastAsia="宋体"/>
          <w:color w:val="C0392B"/>
          <w:sz w:val="17"/>
        </w:rPr>
        <w:t>prescription.remark</w:t>
      </w:r>
      <w:r>
        <w:rPr>
          <w:rFonts w:ascii="宋体" w:hAnsi="宋体" w:eastAsia="宋体"/>
          <w:sz w:val="20"/>
        </w:rPr>
        <w:t xml:space="preserve"> 改为 </w:t>
      </w:r>
      <w:r>
        <w:rPr>
          <w:rFonts w:ascii="宋体" w:hAnsi="宋体" w:eastAsia="宋体"/>
          <w:color w:val="C0392B"/>
          <w:sz w:val="17"/>
        </w:rPr>
        <w:t>prescription.cancelReason</w:t>
      </w:r>
      <w:r>
        <w:rPr>
          <w:rFonts w:ascii="宋体" w:hAnsi="宋体" w:eastAsia="宋体"/>
          <w:sz w:val="20"/>
        </w:rPr>
        <w:t xml:space="preserve">、MU </w:t>
      </w:r>
      <w:r>
        <w:rPr>
          <w:rFonts w:ascii="宋体" w:hAnsi="宋体" w:eastAsia="宋体"/>
          <w:color w:val="C0392B"/>
          <w:sz w:val="17"/>
        </w:rPr>
        <w:t>txaVoidReason</w:t>
      </w:r>
      <w:r>
        <w:rPr>
          <w:rFonts w:ascii="宋体" w:hAnsi="宋体" w:eastAsia="宋体"/>
          <w:sz w:val="20"/>
        </w:rPr>
        <w:t xml:space="preserve"> 绑定 </w:t>
      </w:r>
      <w:r>
        <w:rPr>
          <w:rFonts w:ascii="宋体" w:hAnsi="宋体" w:eastAsia="宋体"/>
          <w:color w:val="C0392B"/>
          <w:sz w:val="17"/>
        </w:rPr>
        <w:t>Prescription.cancelReason</w:t>
      </w:r>
      <w:r>
        <w:rPr>
          <w:rFonts w:ascii="宋体" w:hAnsi="宋体" w:eastAsia="宋体"/>
          <w:sz w:val="20"/>
        </w:rPr>
        <w:t>。</w:t>
      </w:r>
    </w:p>
    <w:p>
      <w:pPr>
        <w:pStyle w:val="ListNumber"/>
        <w:spacing w:before="0" w:after="0"/>
      </w:pPr>
      <w:r>
        <w:rPr>
          <w:rFonts w:ascii="宋体" w:hAnsi="宋体" w:eastAsia="宋体"/>
          <w:b/>
          <w:sz w:val="20"/>
        </w:rPr>
        <w:t>M2 字段路径前缀统一（本轮）</w:t>
      </w:r>
      <w:r>
        <w:rPr>
          <w:rFonts w:ascii="宋体" w:hAnsi="宋体" w:eastAsia="宋体"/>
          <w:sz w:val="20"/>
        </w:rPr>
        <w:t>：</w:t>
      </w:r>
      <w:r>
        <w:rPr>
          <w:rFonts w:ascii="宋体" w:hAnsi="宋体" w:eastAsia="宋体"/>
          <w:color w:val="C0392B"/>
          <w:sz w:val="17"/>
        </w:rPr>
        <w:t>formula.</w:t>
      </w:r>
      <w:r>
        <w:rPr>
          <w:rFonts w:ascii="宋体" w:hAnsi="宋体" w:eastAsia="宋体"/>
          <w:sz w:val="20"/>
        </w:rPr>
        <w:t>/</w:t>
      </w:r>
      <w:r>
        <w:rPr>
          <w:rFonts w:ascii="宋体" w:hAnsi="宋体" w:eastAsia="宋体"/>
          <w:color w:val="C0392B"/>
          <w:sz w:val="17"/>
        </w:rPr>
        <w:t>syndrome.</w:t>
      </w:r>
      <w:r>
        <w:rPr>
          <w:rFonts w:ascii="宋体" w:hAnsi="宋体" w:eastAsia="宋体"/>
          <w:sz w:val="20"/>
        </w:rPr>
        <w:t>/</w:t>
      </w:r>
      <w:r>
        <w:rPr>
          <w:rFonts w:ascii="宋体" w:hAnsi="宋体" w:eastAsia="宋体"/>
          <w:color w:val="C0392B"/>
          <w:sz w:val="17"/>
        </w:rPr>
        <w:t>diagnosis.</w:t>
      </w:r>
      <w:r>
        <w:rPr>
          <w:rFonts w:ascii="宋体" w:hAnsi="宋体" w:eastAsia="宋体"/>
          <w:sz w:val="20"/>
        </w:rPr>
        <w:t xml:space="preserve"> → </w:t>
      </w:r>
      <w:r>
        <w:rPr>
          <w:rFonts w:ascii="宋体" w:hAnsi="宋体" w:eastAsia="宋体"/>
          <w:color w:val="C0392B"/>
          <w:sz w:val="17"/>
        </w:rPr>
        <w:t>formulaTemplate.</w:t>
      </w:r>
      <w:r>
        <w:rPr>
          <w:rFonts w:ascii="宋体" w:hAnsi="宋体" w:eastAsia="宋体"/>
          <w:sz w:val="20"/>
        </w:rPr>
        <w:t>/</w:t>
      </w:r>
      <w:r>
        <w:rPr>
          <w:rFonts w:ascii="宋体" w:hAnsi="宋体" w:eastAsia="宋体"/>
          <w:color w:val="C0392B"/>
          <w:sz w:val="17"/>
        </w:rPr>
        <w:t>syndromeType.</w:t>
      </w:r>
      <w:r>
        <w:rPr>
          <w:rFonts w:ascii="宋体" w:hAnsi="宋体" w:eastAsia="宋体"/>
          <w:sz w:val="20"/>
        </w:rPr>
        <w:t>/</w:t>
      </w:r>
      <w:r>
        <w:rPr>
          <w:rFonts w:ascii="宋体" w:hAnsi="宋体" w:eastAsia="宋体"/>
          <w:color w:val="C0392B"/>
          <w:sz w:val="17"/>
        </w:rPr>
        <w:t>syndromeDiagnosis.</w:t>
      </w:r>
      <w:r>
        <w:rPr>
          <w:rFonts w:ascii="宋体" w:hAnsi="宋体" w:eastAsia="宋体"/>
          <w:sz w:val="20"/>
        </w:rPr>
        <w:t>；子实体集合统一写「聚合别名.子实体别名」（</w:t>
      </w:r>
      <w:r>
        <w:rPr>
          <w:rFonts w:ascii="宋体" w:hAnsi="宋体" w:eastAsia="宋体"/>
          <w:color w:val="C0392B"/>
          <w:sz w:val="17"/>
        </w:rPr>
        <w:t>prescription.PrescriptionItem</w:t>
      </w:r>
      <w:r>
        <w:rPr>
          <w:rFonts w:ascii="宋体" w:hAnsi="宋体" w:eastAsia="宋体"/>
          <w:sz w:val="20"/>
        </w:rPr>
        <w:t>、</w:t>
      </w:r>
      <w:r>
        <w:rPr>
          <w:rFonts w:ascii="宋体" w:hAnsi="宋体" w:eastAsia="宋体"/>
          <w:color w:val="C0392B"/>
          <w:sz w:val="17"/>
        </w:rPr>
        <w:t>herb.HerbStockFlow</w:t>
      </w:r>
      <w:r>
        <w:rPr>
          <w:rFonts w:ascii="宋体" w:hAnsi="宋体" w:eastAsia="宋体"/>
          <w:sz w:val="20"/>
        </w:rPr>
        <w:t>、</w:t>
      </w:r>
      <w:r>
        <w:rPr>
          <w:rFonts w:ascii="宋体" w:hAnsi="宋体" w:eastAsia="宋体"/>
          <w:color w:val="C0392B"/>
          <w:sz w:val="17"/>
        </w:rPr>
        <w:t>visit.FourDiagnosis</w:t>
      </w:r>
      <w:r>
        <w:rPr>
          <w:rFonts w:ascii="宋体" w:hAnsi="宋体" w:eastAsia="宋体"/>
          <w:sz w:val="20"/>
        </w:rPr>
        <w:t>）。校验器已把「M2 后置条件字段 ⊆ M1」列为常设门禁。</w:t>
      </w:r>
    </w:p>
    <w:p>
      <w:pPr>
        <w:spacing w:before="40" w:after="40"/>
        <w:pBdr>
          <w:bottom w:val="single" w:sz="6" w:color="BFBFBF"/>
        </w:pBdr>
      </w:pPr>
    </w:p>
    <w:p>
      <w:pPr>
        <w:pStyle w:val="Heading2"/>
        <w:spacing w:before="200" w:after="80"/>
      </w:pPr>
      <w:r>
        <w:rPr>
          <w:rFonts w:ascii="微软雅黑" w:hAnsi="微软雅黑" w:eastAsia="微软雅黑"/>
          <w:b/>
          <w:color w:val="2E5496"/>
          <w:sz w:val="28"/>
        </w:rPr>
        <w:t>四、已知偏差与未做事项（如实登记）</w:t>
      </w:r>
    </w:p>
    <w:tbl>
      <w:tblPr>
        <w:tblStyle w:val="TableGrid"/>
        <w:tblW w:type="auto" w:w="0"/>
        <w:jc w:val="center"/>
        <w:tblLayout w:type="autofit"/>
        <w:tblLook w:firstColumn="1" w:firstRow="1" w:lastColumn="0" w:lastRow="0" w:noHBand="0" w:noVBand="1" w:val="04A0"/>
      </w:tblPr>
      <w:tblGrid>
        <w:gridCol w:w="3402"/>
        <w:gridCol w:w="3402"/>
        <w:gridCol w:w="3402"/>
      </w:tblGrid>
      <w:tr>
        <w:trPr>
          <w:tblHeader w:val="true"/>
        </w:trPr>
        <w:tc>
          <w:tcPr>
            <w:tcW w:type="dxa" w:w="4112"/>
          </w:tcPr>
          <w:p>
            <w:pPr>
              <w:spacing w:before="0" w:after="0"/>
            </w:pPr>
            <w:r>
              <w:rPr>
                <w:rFonts w:ascii="宋体" w:hAnsi="宋体" w:eastAsia="宋体"/>
                <w:b/>
                <w:sz w:val="17"/>
              </w:rPr>
              <w:t>项</w:t>
            </w:r>
          </w:p>
        </w:tc>
        <w:tc>
          <w:tcPr>
            <w:tcW w:type="dxa" w:w="3046"/>
          </w:tcPr>
          <w:p>
            <w:pPr>
              <w:spacing w:before="0" w:after="0"/>
            </w:pPr>
            <w:r>
              <w:rPr>
                <w:rFonts w:ascii="宋体" w:hAnsi="宋体" w:eastAsia="宋体"/>
                <w:b/>
                <w:sz w:val="17"/>
              </w:rPr>
              <w:t>说明</w:t>
            </w:r>
          </w:p>
        </w:tc>
        <w:tc>
          <w:tcPr>
            <w:tcW w:type="dxa" w:w="3046"/>
          </w:tcPr>
          <w:p>
            <w:pPr>
              <w:spacing w:before="0" w:after="0"/>
            </w:pPr>
            <w:r>
              <w:rPr>
                <w:rFonts w:ascii="宋体" w:hAnsi="宋体" w:eastAsia="宋体"/>
                <w:b/>
                <w:sz w:val="17"/>
              </w:rPr>
              <w:t>建议</w:t>
            </w:r>
          </w:p>
        </w:tc>
      </w:tr>
      <w:tr>
        <w:tc>
          <w:tcPr>
            <w:tcW w:type="dxa" w:w="4112"/>
          </w:tcPr>
          <w:p>
            <w:pPr>
              <w:spacing w:before="0" w:after="0"/>
            </w:pPr>
            <w:r>
              <w:rPr>
                <w:rFonts w:ascii="宋体" w:hAnsi="宋体" w:eastAsia="宋体"/>
                <w:sz w:val="17"/>
              </w:rPr>
              <w:t xml:space="preserve">MU </w:t>
            </w:r>
            <w:r>
              <w:rPr>
                <w:rFonts w:ascii="宋体" w:hAnsi="宋体" w:eastAsia="宋体"/>
                <w:color w:val="C0392B"/>
                <w:sz w:val="14"/>
              </w:rPr>
              <w:t>frmFollowUp</w:t>
            </w:r>
            <w:r>
              <w:rPr>
                <w:rFonts w:ascii="宋体" w:hAnsi="宋体" w:eastAsia="宋体"/>
                <w:sz w:val="17"/>
              </w:rPr>
              <w:t xml:space="preserve">（UI-11）的「查询/导出」绑定 </w:t>
            </w:r>
            <w:r>
              <w:rPr>
                <w:rFonts w:ascii="宋体" w:hAnsi="宋体" w:eastAsia="宋体"/>
                <w:color w:val="C0392B"/>
                <w:sz w:val="14"/>
              </w:rPr>
              <w:t>FollowUp_QueryCompletion</w:t>
            </w:r>
            <w:r>
              <w:rPr>
                <w:rFonts w:ascii="宋体" w:hAnsi="宋体" w:eastAsia="宋体"/>
                <w:sz w:val="17"/>
              </w:rPr>
              <w:t>（Q-07）</w:t>
            </w:r>
          </w:p>
        </w:tc>
        <w:tc>
          <w:tcPr>
            <w:tcW w:type="dxa" w:w="3046"/>
          </w:tcPr>
          <w:p>
            <w:pPr>
              <w:spacing w:before="0" w:after="0"/>
            </w:pPr>
            <w:r>
              <w:rPr>
                <w:rFonts w:ascii="宋体" w:hAnsi="宋体" w:eastAsia="宋体"/>
                <w:sz w:val="17"/>
              </w:rPr>
              <w:t xml:space="preserve">需求文档 D.6 把 UI-11 的查询记为 </w:t>
            </w:r>
            <w:r>
              <w:rPr>
                <w:rFonts w:ascii="宋体" w:hAnsi="宋体" w:eastAsia="宋体"/>
                <w:color w:val="C0392B"/>
                <w:sz w:val="14"/>
              </w:rPr>
              <w:t>FUNC-13</w:t>
            </w:r>
            <w:r>
              <w:rPr>
                <w:rFonts w:ascii="宋体" w:hAnsi="宋体" w:eastAsia="宋体"/>
                <w:sz w:val="17"/>
              </w:rPr>
              <w:t>；但 FUNC-13（复诊登记与疗效评价）是</w:t>
            </w:r>
            <w:r>
              <w:rPr>
                <w:rFonts w:ascii="宋体" w:hAnsi="宋体" w:eastAsia="宋体"/>
                <w:b/>
                <w:sz w:val="17"/>
              </w:rPr>
              <w:t>命令行为</w:t>
            </w:r>
            <w:r>
              <w:rPr>
                <w:rFonts w:ascii="宋体" w:hAnsi="宋体" w:eastAsia="宋体"/>
                <w:sz w:val="17"/>
              </w:rPr>
              <w:t>，按框架「查询功能点须绑 M2 QUERY 行为」的口径，MU 只能绑到 M2 唯一的随访查询行为 Q-07。该屏的列表网格不绑定报表数据源（按 M1 随访记录列表呈现），点击「查询」走 REP-07 汇总口径。</w:t>
            </w:r>
          </w:p>
        </w:tc>
        <w:tc>
          <w:tcPr>
            <w:tcW w:type="dxa" w:w="3046"/>
          </w:tcPr>
          <w:p>
            <w:pPr>
              <w:spacing w:before="0" w:after="0"/>
            </w:pPr>
            <w:r>
              <w:rPr>
                <w:rFonts w:ascii="宋体" w:hAnsi="宋体" w:eastAsia="宋体"/>
                <w:sz w:val="17"/>
              </w:rPr>
              <w:t xml:space="preserve">若要严格的「待随访列表查询」，需在 v1.1 新增 </w:t>
            </w:r>
            <w:r>
              <w:rPr>
                <w:rFonts w:ascii="宋体" w:hAnsi="宋体" w:eastAsia="宋体"/>
                <w:color w:val="C0392B"/>
                <w:sz w:val="14"/>
              </w:rPr>
              <w:t>Q-08</w:t>
            </w:r>
            <w:r>
              <w:rPr>
                <w:rFonts w:ascii="宋体" w:hAnsi="宋体" w:eastAsia="宋体"/>
                <w:sz w:val="17"/>
              </w:rPr>
              <w:t xml:space="preserve"> + M7 对象 </w:t>
            </w:r>
            <w:r>
              <w:rPr>
                <w:rFonts w:ascii="宋体" w:hAnsi="宋体" w:eastAsia="宋体"/>
                <w:color w:val="C0392B"/>
                <w:sz w:val="14"/>
              </w:rPr>
              <w:t>QR-FOLLOWUP-PENDING-001</w:t>
            </w:r>
            <w:r>
              <w:rPr>
                <w:rFonts w:ascii="宋体" w:hAnsi="宋体" w:eastAsia="宋体"/>
                <w:sz w:val="17"/>
              </w:rPr>
              <w:t>，并同步权限矩阵计数（导诊员 6 → 7 等）</w:t>
            </w:r>
          </w:p>
        </w:tc>
      </w:tr>
      <w:tr>
        <w:tc>
          <w:tcPr>
            <w:tcW w:type="dxa" w:w="4112"/>
          </w:tcPr>
          <w:p>
            <w:pPr>
              <w:spacing w:before="0" w:after="0"/>
            </w:pPr>
            <w:r>
              <w:rPr>
                <w:rFonts w:ascii="宋体" w:hAnsi="宋体" w:eastAsia="宋体"/>
                <w:sz w:val="17"/>
              </w:rPr>
              <w:t>MU 未包含 UI-20 用户管理 / UI-21 角色与权限配置 / UI-22 菜单管理</w:t>
            </w:r>
          </w:p>
        </w:tc>
        <w:tc>
          <w:tcPr>
            <w:tcW w:type="dxa" w:w="3046"/>
          </w:tcPr>
          <w:p>
            <w:pPr>
              <w:spacing w:before="0" w:after="0"/>
            </w:pPr>
            <w:r>
              <w:rPr>
                <w:rFonts w:ascii="宋体" w:hAnsi="宋体" w:eastAsia="宋体"/>
                <w:sz w:val="17"/>
              </w:rPr>
              <w:t xml:space="preserve">三者对应 </w:t>
            </w:r>
            <w:r>
              <w:rPr>
                <w:rFonts w:ascii="宋体" w:hAnsi="宋体" w:eastAsia="宋体"/>
                <w:color w:val="C0392B"/>
                <w:sz w:val="14"/>
              </w:rPr>
              <w:t>FUNC-17</w:t>
            </w:r>
            <w:r>
              <w:rPr>
                <w:rFonts w:ascii="宋体" w:hAnsi="宋体" w:eastAsia="宋体"/>
                <w:sz w:val="17"/>
              </w:rPr>
              <w:t xml:space="preserve">，属技术底座内置的系统管理模块（平台功能不进 M1/M2 本体模型）。已在 </w:t>
            </w:r>
            <w:r>
              <w:rPr>
                <w:rFonts w:ascii="宋体" w:hAnsi="宋体" w:eastAsia="宋体"/>
                <w:color w:val="C0392B"/>
                <w:sz w:val="14"/>
              </w:rPr>
              <w:t>mu-ui-model.yaml</w:t>
            </w:r>
            <w:r>
              <w:rPr>
                <w:rFonts w:ascii="宋体" w:hAnsi="宋体" w:eastAsia="宋体"/>
                <w:sz w:val="17"/>
              </w:rPr>
              <w:t xml:space="preserve"> 文件头与文末「建模边界说明」声明，菜单树中亦不含「系统管理」一级菜单</w:t>
            </w:r>
          </w:p>
        </w:tc>
        <w:tc>
          <w:tcPr>
            <w:tcW w:type="dxa" w:w="3046"/>
          </w:tcPr>
          <w:p>
            <w:pPr>
              <w:spacing w:before="0" w:after="0"/>
            </w:pPr>
            <w:r>
              <w:rPr>
                <w:rFonts w:ascii="宋体" w:hAnsi="宋体" w:eastAsia="宋体"/>
                <w:sz w:val="17"/>
              </w:rPr>
              <w:t>无</w:t>
            </w:r>
          </w:p>
        </w:tc>
      </w:tr>
      <w:tr>
        <w:tc>
          <w:tcPr>
            <w:tcW w:type="dxa" w:w="4112"/>
          </w:tcPr>
          <w:p>
            <w:pPr>
              <w:spacing w:before="0" w:after="0"/>
            </w:pPr>
            <w:r>
              <w:rPr>
                <w:rFonts w:ascii="宋体" w:hAnsi="宋体" w:eastAsia="宋体"/>
                <w:sz w:val="17"/>
              </w:rPr>
              <w:t>数据行级/字段级权限与多租户隔离不纳入本期</w:t>
            </w:r>
          </w:p>
        </w:tc>
        <w:tc>
          <w:tcPr>
            <w:tcW w:type="dxa" w:w="3046"/>
          </w:tcPr>
          <w:p>
            <w:pPr>
              <w:spacing w:before="0" w:after="0"/>
            </w:pPr>
            <w:r>
              <w:rPr>
                <w:rFonts w:ascii="宋体" w:hAnsi="宋体" w:eastAsia="宋体"/>
                <w:sz w:val="17"/>
              </w:rPr>
              <w:t xml:space="preserve">决策 D-31/D-32 已确认，M5 的 </w:t>
            </w:r>
            <w:r>
              <w:rPr>
                <w:rFonts w:ascii="宋体" w:hAnsi="宋体" w:eastAsia="宋体"/>
                <w:color w:val="C0392B"/>
                <w:sz w:val="14"/>
              </w:rPr>
              <w:t>dataScope</w:t>
            </w:r>
            <w:r>
              <w:rPr>
                <w:rFonts w:ascii="宋体" w:hAnsi="宋体" w:eastAsia="宋体"/>
                <w:sz w:val="17"/>
              </w:rPr>
              <w:t xml:space="preserve"> 全为 </w:t>
            </w:r>
            <w:r>
              <w:rPr>
                <w:rFonts w:ascii="宋体" w:hAnsi="宋体" w:eastAsia="宋体"/>
                <w:color w:val="C0392B"/>
                <w:sz w:val="14"/>
              </w:rPr>
              <w:t>ALL</w:t>
            </w:r>
            <w:r>
              <w:rPr>
                <w:rFonts w:ascii="宋体" w:hAnsi="宋体" w:eastAsia="宋体"/>
                <w:sz w:val="17"/>
              </w:rPr>
              <w:t xml:space="preserve">、无 </w:t>
            </w:r>
            <w:r>
              <w:rPr>
                <w:rFonts w:ascii="宋体" w:hAnsi="宋体" w:eastAsia="宋体"/>
                <w:color w:val="C0392B"/>
                <w:sz w:val="14"/>
              </w:rPr>
              <w:t>abacCondition</w:t>
            </w:r>
          </w:p>
        </w:tc>
        <w:tc>
          <w:tcPr>
            <w:tcW w:type="dxa" w:w="3046"/>
          </w:tcPr>
          <w:p>
            <w:pPr>
              <w:spacing w:before="0" w:after="0"/>
            </w:pPr>
            <w:r>
              <w:rPr>
                <w:rFonts w:ascii="宋体" w:hAnsi="宋体" w:eastAsia="宋体"/>
                <w:sz w:val="17"/>
              </w:rPr>
              <w:t>无（框架 §10.2 该项已按决策判定通过）</w:t>
            </w:r>
          </w:p>
        </w:tc>
      </w:tr>
      <w:tr>
        <w:tc>
          <w:tcPr>
            <w:tcW w:type="dxa" w:w="4112"/>
          </w:tcPr>
          <w:p>
            <w:pPr>
              <w:spacing w:before="0" w:after="0"/>
            </w:pPr>
            <w:r>
              <w:rPr>
                <w:rFonts w:ascii="宋体" w:hAnsi="宋体" w:eastAsia="宋体"/>
                <w:sz w:val="17"/>
              </w:rPr>
              <w:t>阶段三 应用构建（生成可运行系统）</w:t>
            </w:r>
          </w:p>
        </w:tc>
        <w:tc>
          <w:tcPr>
            <w:tcW w:type="dxa" w:w="3046"/>
          </w:tcPr>
          <w:p>
            <w:pPr>
              <w:spacing w:before="0" w:after="0"/>
            </w:pPr>
            <w:r>
              <w:rPr>
                <w:rFonts w:ascii="宋体" w:hAnsi="宋体" w:eastAsia="宋体"/>
                <w:b/>
                <w:sz w:val="17"/>
              </w:rPr>
              <w:t>未开始</w:t>
            </w:r>
            <w:r>
              <w:rPr>
                <w:rFonts w:ascii="宋体" w:hAnsi="宋体" w:eastAsia="宋体"/>
                <w:sz w:val="17"/>
              </w:rPr>
              <w:t>，按技能纪律须用户确认后进入</w:t>
            </w:r>
          </w:p>
        </w:tc>
        <w:tc>
          <w:tcPr>
            <w:tcW w:type="dxa" w:w="3046"/>
          </w:tcPr>
          <w:p>
            <w:pPr>
              <w:spacing w:before="0" w:after="0"/>
            </w:pPr>
            <w:r>
              <w:rPr>
                <w:rFonts w:ascii="宋体" w:hAnsi="宋体" w:eastAsia="宋体"/>
                <w:sz w:val="17"/>
              </w:rPr>
              <w:t>待确认</w:t>
            </w:r>
          </w:p>
        </w:tc>
      </w:tr>
    </w:tbl>
    <w:p/>
    <w:p>
      <w:pPr>
        <w:spacing w:before="40" w:after="40"/>
        <w:pBdr>
          <w:bottom w:val="single" w:sz="6" w:color="BFBFBF"/>
        </w:pBdr>
      </w:pPr>
    </w:p>
    <w:p>
      <w:pPr>
        <w:pStyle w:val="Heading2"/>
        <w:spacing w:before="200" w:after="80"/>
      </w:pPr>
      <w:r>
        <w:rPr>
          <w:rFonts w:ascii="微软雅黑" w:hAnsi="微软雅黑" w:eastAsia="微软雅黑"/>
          <w:b/>
          <w:color w:val="2E5496"/>
          <w:sz w:val="28"/>
        </w:rPr>
        <w:t>四之补充、建模时反查出的口径待确认项（**未擅自改需求**，请评审定夺）</w:t>
      </w:r>
    </w:p>
    <w:p>
      <w:pPr>
        <w:spacing w:before="0" w:after="40"/>
      </w:pPr>
      <w:r>
        <w:rPr>
          <w:rFonts w:ascii="宋体" w:hAnsi="宋体" w:eastAsia="宋体"/>
          <w:sz w:val="21"/>
        </w:rPr>
        <w:t>以下 6 项是 M7/MU 建模过程中按需求文档字面实现时出现的口径歧义或来源清单不一致。建模侧已按「不编造、如实登记、注释说明」处理，需要时可在 v1.1 一次性收敛：</w:t>
      </w:r>
    </w:p>
    <w:tbl>
      <w:tblPr>
        <w:tblStyle w:val="TableGrid"/>
        <w:tblW w:type="auto" w:w="0"/>
        <w:jc w:val="center"/>
        <w:tblLayout w:type="autofit"/>
        <w:tblLook w:firstColumn="1" w:firstRow="1" w:lastColumn="0" w:lastRow="0" w:noHBand="0" w:noVBand="1" w:val="04A0"/>
      </w:tblPr>
      <w:tblGrid>
        <w:gridCol w:w="2041"/>
        <w:gridCol w:w="2041"/>
        <w:gridCol w:w="2041"/>
        <w:gridCol w:w="2041"/>
        <w:gridCol w:w="2041"/>
      </w:tblGrid>
      <w:tr>
        <w:trPr>
          <w:tblHeader w:val="true"/>
        </w:trPr>
        <w:tc>
          <w:tcPr>
            <w:tcW w:type="dxa" w:w="2575"/>
          </w:tcPr>
          <w:p>
            <w:pPr>
              <w:spacing w:before="0" w:after="0"/>
            </w:pPr>
            <w:r>
              <w:rPr>
                <w:rFonts w:ascii="宋体" w:hAnsi="宋体" w:eastAsia="宋体"/>
                <w:b/>
                <w:sz w:val="17"/>
              </w:rPr>
              <w:t>#</w:t>
            </w:r>
          </w:p>
        </w:tc>
        <w:tc>
          <w:tcPr>
            <w:tcW w:type="dxa" w:w="1907"/>
          </w:tcPr>
          <w:p>
            <w:pPr>
              <w:spacing w:before="0" w:after="0"/>
            </w:pPr>
            <w:r>
              <w:rPr>
                <w:rFonts w:ascii="宋体" w:hAnsi="宋体" w:eastAsia="宋体"/>
                <w:b/>
                <w:sz w:val="17"/>
              </w:rPr>
              <w:t>位置</w:t>
            </w:r>
          </w:p>
        </w:tc>
        <w:tc>
          <w:tcPr>
            <w:tcW w:type="dxa" w:w="1907"/>
          </w:tcPr>
          <w:p>
            <w:pPr>
              <w:spacing w:before="0" w:after="0"/>
            </w:pPr>
            <w:r>
              <w:rPr>
                <w:rFonts w:ascii="宋体" w:hAnsi="宋体" w:eastAsia="宋体"/>
                <w:b/>
                <w:sz w:val="17"/>
              </w:rPr>
              <w:t>现象</w:t>
            </w:r>
          </w:p>
        </w:tc>
        <w:tc>
          <w:tcPr>
            <w:tcW w:type="dxa" w:w="1907"/>
          </w:tcPr>
          <w:p>
            <w:pPr>
              <w:spacing w:before="0" w:after="0"/>
            </w:pPr>
            <w:r>
              <w:rPr>
                <w:rFonts w:ascii="宋体" w:hAnsi="宋体" w:eastAsia="宋体"/>
                <w:b/>
                <w:sz w:val="17"/>
              </w:rPr>
              <w:t>当前处理</w:t>
            </w:r>
          </w:p>
        </w:tc>
        <w:tc>
          <w:tcPr>
            <w:tcW w:type="dxa" w:w="1907"/>
          </w:tcPr>
          <w:p>
            <w:pPr>
              <w:spacing w:before="0" w:after="0"/>
            </w:pPr>
            <w:r>
              <w:rPr>
                <w:rFonts w:ascii="宋体" w:hAnsi="宋体" w:eastAsia="宋体"/>
                <w:b/>
                <w:sz w:val="17"/>
              </w:rPr>
              <w:t>建议</w:t>
            </w:r>
          </w:p>
        </w:tc>
      </w:tr>
      <w:tr>
        <w:tc>
          <w:tcPr>
            <w:tcW w:type="dxa" w:w="2575"/>
          </w:tcPr>
          <w:p>
            <w:pPr>
              <w:spacing w:before="0" w:after="0"/>
            </w:pPr>
            <w:r>
              <w:rPr>
                <w:rFonts w:ascii="宋体" w:hAnsi="宋体" w:eastAsia="宋体"/>
                <w:sz w:val="17"/>
              </w:rPr>
              <w:t>1</w:t>
            </w:r>
          </w:p>
        </w:tc>
        <w:tc>
          <w:tcPr>
            <w:tcW w:type="dxa" w:w="1907"/>
          </w:tcPr>
          <w:p>
            <w:pPr>
              <w:spacing w:before="0" w:after="0"/>
            </w:pPr>
            <w:r>
              <w:rPr>
                <w:rFonts w:ascii="宋体" w:hAnsi="宋体" w:eastAsia="宋体"/>
                <w:sz w:val="17"/>
              </w:rPr>
              <w:t>REP-03 结果列「使用剂数」</w:t>
            </w:r>
          </w:p>
        </w:tc>
        <w:tc>
          <w:tcPr>
            <w:tcW w:type="dxa" w:w="1907"/>
          </w:tcPr>
          <w:p>
            <w:pPr>
              <w:spacing w:before="0" w:after="0"/>
            </w:pPr>
            <w:r>
              <w:rPr>
                <w:rFonts w:ascii="宋体" w:hAnsi="宋体" w:eastAsia="宋体"/>
                <w:sz w:val="17"/>
              </w:rPr>
              <w:t>需求未定义该列口径</w:t>
            </w:r>
          </w:p>
        </w:tc>
        <w:tc>
          <w:tcPr>
            <w:tcW w:type="dxa" w:w="1907"/>
          </w:tcPr>
          <w:p>
            <w:pPr>
              <w:spacing w:before="0" w:after="0"/>
            </w:pPr>
            <w:r>
              <w:rPr>
                <w:rFonts w:ascii="宋体" w:hAnsi="宋体" w:eastAsia="宋体"/>
                <w:sz w:val="17"/>
              </w:rPr>
              <w:t>实现为 Σ(被引用处方的剂数)，使「单剂平均用量 = 累计用量 ÷ 使用剂数」自洽（等价加权平均单剂剂量）</w:t>
            </w:r>
          </w:p>
        </w:tc>
        <w:tc>
          <w:tcPr>
            <w:tcW w:type="dxa" w:w="1907"/>
          </w:tcPr>
          <w:p>
            <w:pPr>
              <w:spacing w:before="0" w:after="0"/>
            </w:pPr>
            <w:r>
              <w:rPr>
                <w:rFonts w:ascii="宋体" w:hAnsi="宋体" w:eastAsia="宋体"/>
                <w:sz w:val="17"/>
              </w:rPr>
              <w:t>确认或改为「处方张数 ×  剂数」</w:t>
            </w:r>
          </w:p>
        </w:tc>
      </w:tr>
      <w:tr>
        <w:tc>
          <w:tcPr>
            <w:tcW w:type="dxa" w:w="2575"/>
          </w:tcPr>
          <w:p>
            <w:pPr>
              <w:spacing w:before="0" w:after="0"/>
            </w:pPr>
            <w:r>
              <w:rPr>
                <w:rFonts w:ascii="宋体" w:hAnsi="宋体" w:eastAsia="宋体"/>
                <w:sz w:val="17"/>
              </w:rPr>
              <w:t>2</w:t>
            </w:r>
          </w:p>
        </w:tc>
        <w:tc>
          <w:tcPr>
            <w:tcW w:type="dxa" w:w="1907"/>
          </w:tcPr>
          <w:p>
            <w:pPr>
              <w:spacing w:before="0" w:after="0"/>
            </w:pPr>
            <w:r>
              <w:rPr>
                <w:rFonts w:ascii="宋体" w:hAnsi="宋体" w:eastAsia="宋体"/>
                <w:sz w:val="17"/>
              </w:rPr>
              <w:t>REP-03 输入条件含「科室」</w:t>
            </w:r>
          </w:p>
        </w:tc>
        <w:tc>
          <w:tcPr>
            <w:tcW w:type="dxa" w:w="1907"/>
          </w:tcPr>
          <w:p>
            <w:pPr>
              <w:spacing w:before="0" w:after="0"/>
            </w:pPr>
            <w:r>
              <w:rPr>
                <w:rFonts w:ascii="宋体" w:hAnsi="宋体" w:eastAsia="宋体"/>
                <w:sz w:val="17"/>
              </w:rPr>
              <w:t>5.4 来源对象清单只有 OBJ-09/08/07/06，科室在就诊记录上</w:t>
            </w:r>
          </w:p>
        </w:tc>
        <w:tc>
          <w:tcPr>
            <w:tcW w:type="dxa" w:w="1907"/>
          </w:tcPr>
          <w:p>
            <w:pPr>
              <w:spacing w:before="0" w:after="0"/>
            </w:pPr>
            <w:r>
              <w:rPr>
                <w:rFonts w:ascii="宋体" w:hAnsi="宋体" w:eastAsia="宋体"/>
                <w:sz w:val="17"/>
              </w:rPr>
              <w:t xml:space="preserve">增列 </w:t>
            </w:r>
            <w:r>
              <w:rPr>
                <w:rFonts w:ascii="宋体" w:hAnsi="宋体" w:eastAsia="宋体"/>
                <w:color w:val="C0392B"/>
                <w:sz w:val="14"/>
              </w:rPr>
              <w:t>visit</w:t>
            </w:r>
            <w:r>
              <w:rPr>
                <w:rFonts w:ascii="宋体" w:hAnsi="宋体" w:eastAsia="宋体"/>
                <w:sz w:val="17"/>
              </w:rPr>
              <w:t>（AGG-VISIT-001）来源作 LEFT 关联，仅用于科室过滤，YAML 注释已标注</w:t>
            </w:r>
          </w:p>
        </w:tc>
        <w:tc>
          <w:tcPr>
            <w:tcW w:type="dxa" w:w="1907"/>
          </w:tcPr>
          <w:p>
            <w:pPr>
              <w:spacing w:before="0" w:after="0"/>
            </w:pPr>
            <w:r>
              <w:rPr>
                <w:rFonts w:ascii="宋体" w:hAnsi="宋体" w:eastAsia="宋体"/>
                <w:sz w:val="17"/>
              </w:rPr>
              <w:t>确认是否允许增列来源</w:t>
            </w:r>
          </w:p>
        </w:tc>
      </w:tr>
      <w:tr>
        <w:tc>
          <w:tcPr>
            <w:tcW w:type="dxa" w:w="2575"/>
          </w:tcPr>
          <w:p>
            <w:pPr>
              <w:spacing w:before="0" w:after="0"/>
            </w:pPr>
            <w:r>
              <w:rPr>
                <w:rFonts w:ascii="宋体" w:hAnsi="宋体" w:eastAsia="宋体"/>
                <w:sz w:val="17"/>
              </w:rPr>
              <w:t>3</w:t>
            </w:r>
          </w:p>
        </w:tc>
        <w:tc>
          <w:tcPr>
            <w:tcW w:type="dxa" w:w="1907"/>
          </w:tcPr>
          <w:p>
            <w:pPr>
              <w:spacing w:before="0" w:after="0"/>
            </w:pPr>
            <w:r>
              <w:rPr>
                <w:rFonts w:ascii="宋体" w:hAnsi="宋体" w:eastAsia="宋体"/>
                <w:sz w:val="17"/>
              </w:rPr>
              <w:t>REP-04 结果列「药味名称」</w:t>
            </w:r>
          </w:p>
        </w:tc>
        <w:tc>
          <w:tcPr>
            <w:tcW w:type="dxa" w:w="1907"/>
          </w:tcPr>
          <w:p>
            <w:pPr>
              <w:spacing w:before="0" w:after="0"/>
            </w:pPr>
            <w:r>
              <w:rPr>
                <w:rFonts w:ascii="宋体" w:hAnsi="宋体" w:eastAsia="宋体"/>
                <w:sz w:val="17"/>
              </w:rPr>
              <w:t xml:space="preserve">5.5 来源清单未含 OBJ-07 中药饮片，明细只有 </w:t>
            </w:r>
            <w:r>
              <w:rPr>
                <w:rFonts w:ascii="宋体" w:hAnsi="宋体" w:eastAsia="宋体"/>
                <w:color w:val="C0392B"/>
                <w:sz w:val="14"/>
              </w:rPr>
              <w:t>herbId</w:t>
            </w:r>
          </w:p>
        </w:tc>
        <w:tc>
          <w:tcPr>
            <w:tcW w:type="dxa" w:w="1907"/>
          </w:tcPr>
          <w:p>
            <w:pPr>
              <w:spacing w:before="0" w:after="0"/>
            </w:pPr>
            <w:r>
              <w:rPr>
                <w:rFonts w:ascii="宋体" w:hAnsi="宋体" w:eastAsia="宋体"/>
                <w:sz w:val="17"/>
              </w:rPr>
              <w:t xml:space="preserve">由 </w:t>
            </w:r>
            <w:r>
              <w:rPr>
                <w:rFonts w:ascii="宋体" w:hAnsi="宋体" w:eastAsia="宋体"/>
                <w:color w:val="C0392B"/>
                <w:sz w:val="14"/>
              </w:rPr>
              <w:t>prescriptionItem.herbId</w:t>
            </w:r>
            <w:r>
              <w:rPr>
                <w:rFonts w:ascii="宋体" w:hAnsi="宋体" w:eastAsia="宋体"/>
                <w:sz w:val="17"/>
              </w:rPr>
              <w:t xml:space="preserve"> 解析显示，未额外引入饮片来源</w:t>
            </w:r>
          </w:p>
        </w:tc>
        <w:tc>
          <w:tcPr>
            <w:tcW w:type="dxa" w:w="1907"/>
          </w:tcPr>
          <w:p>
            <w:pPr>
              <w:spacing w:before="0" w:after="0"/>
            </w:pPr>
            <w:r>
              <w:rPr>
                <w:rFonts w:ascii="宋体" w:hAnsi="宋体" w:eastAsia="宋体"/>
                <w:sz w:val="17"/>
              </w:rPr>
              <w:t>若需按饮片属性过滤/展示，须补 AGG-HERB-001 来源</w:t>
            </w:r>
          </w:p>
        </w:tc>
      </w:tr>
      <w:tr>
        <w:tc>
          <w:tcPr>
            <w:tcW w:type="dxa" w:w="2575"/>
          </w:tcPr>
          <w:p>
            <w:pPr>
              <w:spacing w:before="0" w:after="0"/>
            </w:pPr>
            <w:r>
              <w:rPr>
                <w:rFonts w:ascii="宋体" w:hAnsi="宋体" w:eastAsia="宋体"/>
                <w:sz w:val="17"/>
              </w:rPr>
              <w:t>4</w:t>
            </w:r>
          </w:p>
        </w:tc>
        <w:tc>
          <w:tcPr>
            <w:tcW w:type="dxa" w:w="1907"/>
          </w:tcPr>
          <w:p>
            <w:pPr>
              <w:spacing w:before="0" w:after="0"/>
            </w:pPr>
            <w:r>
              <w:rPr>
                <w:rFonts w:ascii="宋体" w:hAnsi="宋体" w:eastAsia="宋体"/>
                <w:sz w:val="17"/>
              </w:rPr>
              <w:t>REP-06 输入条件「处理结果」与「处方状态」</w:t>
            </w:r>
          </w:p>
        </w:tc>
        <w:tc>
          <w:tcPr>
            <w:tcW w:type="dxa" w:w="1907"/>
          </w:tcPr>
          <w:p>
            <w:pPr>
              <w:spacing w:before="0" w:after="0"/>
            </w:pPr>
            <w:r>
              <w:rPr>
                <w:rFonts w:ascii="宋体" w:hAnsi="宋体" w:eastAsia="宋体"/>
                <w:sz w:val="17"/>
              </w:rPr>
              <w:t xml:space="preserve">M1 处方只有 </w:t>
            </w:r>
            <w:r>
              <w:rPr>
                <w:rFonts w:ascii="宋体" w:hAnsi="宋体" w:eastAsia="宋体"/>
                <w:color w:val="C0392B"/>
                <w:sz w:val="14"/>
              </w:rPr>
              <w:t>prescriptionStatus</w:t>
            </w:r>
            <w:r>
              <w:rPr>
                <w:rFonts w:ascii="宋体" w:hAnsi="宋体" w:eastAsia="宋体"/>
                <w:sz w:val="17"/>
              </w:rPr>
              <w:t>，两条件取值域重叠</w:t>
            </w:r>
          </w:p>
        </w:tc>
        <w:tc>
          <w:tcPr>
            <w:tcW w:type="dxa" w:w="1907"/>
          </w:tcPr>
          <w:p>
            <w:pPr>
              <w:spacing w:before="0" w:after="0"/>
            </w:pPr>
            <w:r>
              <w:rPr>
                <w:rFonts w:ascii="宋体" w:hAnsi="宋体" w:eastAsia="宋体"/>
                <w:sz w:val="17"/>
              </w:rPr>
              <w:t>两条条件均保留并注明互斥填写</w:t>
            </w:r>
          </w:p>
        </w:tc>
        <w:tc>
          <w:tcPr>
            <w:tcW w:type="dxa" w:w="1907"/>
          </w:tcPr>
          <w:p>
            <w:pPr>
              <w:spacing w:before="0" w:after="0"/>
            </w:pPr>
            <w:r>
              <w:rPr>
                <w:rFonts w:ascii="宋体" w:hAnsi="宋体" w:eastAsia="宋体"/>
                <w:sz w:val="17"/>
              </w:rPr>
              <w:t>建议 M1 增「审核处理结果」字段或明确二者语义差异</w:t>
            </w:r>
          </w:p>
        </w:tc>
      </w:tr>
      <w:tr>
        <w:tc>
          <w:tcPr>
            <w:tcW w:type="dxa" w:w="2575"/>
          </w:tcPr>
          <w:p>
            <w:pPr>
              <w:spacing w:before="0" w:after="0"/>
            </w:pPr>
            <w:r>
              <w:rPr>
                <w:rFonts w:ascii="宋体" w:hAnsi="宋体" w:eastAsia="宋体"/>
                <w:sz w:val="17"/>
              </w:rPr>
              <w:t>5</w:t>
            </w:r>
          </w:p>
        </w:tc>
        <w:tc>
          <w:tcPr>
            <w:tcW w:type="dxa" w:w="1907"/>
          </w:tcPr>
          <w:p>
            <w:pPr>
              <w:spacing w:before="0" w:after="0"/>
            </w:pPr>
            <w:r>
              <w:rPr>
                <w:rFonts w:ascii="宋体" w:hAnsi="宋体" w:eastAsia="宋体"/>
                <w:sz w:val="17"/>
              </w:rPr>
              <w:t>REP-06 结果列「接诊医师」</w:t>
            </w:r>
          </w:p>
        </w:tc>
        <w:tc>
          <w:tcPr>
            <w:tcW w:type="dxa" w:w="1907"/>
          </w:tcPr>
          <w:p>
            <w:pPr>
              <w:spacing w:before="0" w:after="0"/>
            </w:pPr>
            <w:r>
              <w:rPr>
                <w:rFonts w:ascii="宋体" w:hAnsi="宋体" w:eastAsia="宋体"/>
                <w:sz w:val="17"/>
              </w:rPr>
              <w:t xml:space="preserve">实际取自 </w:t>
            </w:r>
            <w:r>
              <w:rPr>
                <w:rFonts w:ascii="宋体" w:hAnsi="宋体" w:eastAsia="宋体"/>
                <w:color w:val="C0392B"/>
                <w:sz w:val="14"/>
              </w:rPr>
              <w:t>prescription.doctorId</w:t>
            </w:r>
            <w:r>
              <w:rPr>
                <w:rFonts w:ascii="宋体" w:hAnsi="宋体" w:eastAsia="宋体"/>
                <w:sz w:val="17"/>
              </w:rPr>
              <w:t>（M1 标签为「开方医师」）</w:t>
            </w:r>
          </w:p>
        </w:tc>
        <w:tc>
          <w:tcPr>
            <w:tcW w:type="dxa" w:w="1907"/>
          </w:tcPr>
          <w:p>
            <w:pPr>
              <w:spacing w:before="0" w:after="0"/>
            </w:pPr>
            <w:r>
              <w:rPr>
                <w:rFonts w:ascii="宋体" w:hAnsi="宋体" w:eastAsia="宋体"/>
                <w:sz w:val="17"/>
              </w:rPr>
              <w:t>按开方医师口径取值</w:t>
            </w:r>
          </w:p>
        </w:tc>
        <w:tc>
          <w:tcPr>
            <w:tcW w:type="dxa" w:w="1907"/>
          </w:tcPr>
          <w:p>
            <w:pPr>
              <w:spacing w:before="0" w:after="0"/>
            </w:pPr>
            <w:r>
              <w:rPr>
                <w:rFonts w:ascii="宋体" w:hAnsi="宋体" w:eastAsia="宋体"/>
                <w:sz w:val="17"/>
              </w:rPr>
              <w:t>确认接诊与开方是否视为同一人</w:t>
            </w:r>
          </w:p>
        </w:tc>
      </w:tr>
      <w:tr>
        <w:tc>
          <w:tcPr>
            <w:tcW w:type="dxa" w:w="2575"/>
          </w:tcPr>
          <w:p>
            <w:pPr>
              <w:spacing w:before="0" w:after="0"/>
            </w:pPr>
            <w:r>
              <w:rPr>
                <w:rFonts w:ascii="宋体" w:hAnsi="宋体" w:eastAsia="宋体"/>
                <w:sz w:val="17"/>
              </w:rPr>
              <w:t>6</w:t>
            </w:r>
          </w:p>
        </w:tc>
        <w:tc>
          <w:tcPr>
            <w:tcW w:type="dxa" w:w="1907"/>
          </w:tcPr>
          <w:p>
            <w:pPr>
              <w:spacing w:before="0" w:after="0"/>
            </w:pPr>
            <w:r>
              <w:rPr>
                <w:rFonts w:ascii="宋体" w:hAnsi="宋体" w:eastAsia="宋体"/>
                <w:sz w:val="17"/>
              </w:rPr>
              <w:t>M1 子实体无显式父键字段</w:t>
            </w:r>
          </w:p>
        </w:tc>
        <w:tc>
          <w:tcPr>
            <w:tcW w:type="dxa" w:w="1907"/>
          </w:tcPr>
          <w:p>
            <w:pPr>
              <w:spacing w:before="0" w:after="0"/>
            </w:pPr>
            <w:r>
              <w:rPr>
                <w:rFonts w:ascii="宋体" w:hAnsi="宋体" w:eastAsia="宋体"/>
                <w:color w:val="C0392B"/>
                <w:sz w:val="14"/>
              </w:rPr>
              <w:t>PrescriptionItem</w:t>
            </w:r>
            <w:r>
              <w:rPr>
                <w:rFonts w:ascii="宋体" w:hAnsi="宋体" w:eastAsia="宋体"/>
                <w:sz w:val="17"/>
              </w:rPr>
              <w:t>/</w:t>
            </w:r>
            <w:r>
              <w:rPr>
                <w:rFonts w:ascii="宋体" w:hAnsi="宋体" w:eastAsia="宋体"/>
                <w:color w:val="C0392B"/>
                <w:sz w:val="14"/>
              </w:rPr>
              <w:t>HerbStockFlow</w:t>
            </w:r>
            <w:r>
              <w:rPr>
                <w:rFonts w:ascii="宋体" w:hAnsi="宋体" w:eastAsia="宋体"/>
                <w:sz w:val="17"/>
              </w:rPr>
              <w:t xml:space="preserve"> 靠聚合归属，无 parentKey 属性</w:t>
            </w:r>
          </w:p>
        </w:tc>
        <w:tc>
          <w:tcPr>
            <w:tcW w:type="dxa" w:w="1907"/>
          </w:tcPr>
          <w:p>
            <w:pPr>
              <w:spacing w:before="0" w:after="0"/>
            </w:pPr>
            <w:r>
              <w:rPr>
                <w:rFonts w:ascii="宋体" w:hAnsi="宋体" w:eastAsia="宋体"/>
                <w:sz w:val="17"/>
              </w:rPr>
              <w:t xml:space="preserve">M7 按文件头约定用 </w:t>
            </w:r>
            <w:r>
              <w:rPr>
                <w:rFonts w:ascii="宋体" w:hAnsi="宋体" w:eastAsia="宋体"/>
                <w:color w:val="C0392B"/>
                <w:sz w:val="14"/>
              </w:rPr>
              <w:t>prescriptionId</w:t>
            </w:r>
            <w:r>
              <w:rPr>
                <w:rFonts w:ascii="宋体" w:hAnsi="宋体" w:eastAsia="宋体"/>
                <w:sz w:val="17"/>
              </w:rPr>
              <w:t>/</w:t>
            </w:r>
            <w:r>
              <w:rPr>
                <w:rFonts w:ascii="宋体" w:hAnsi="宋体" w:eastAsia="宋体"/>
                <w:color w:val="C0392B"/>
                <w:sz w:val="14"/>
              </w:rPr>
              <w:t>herbId</w:t>
            </w:r>
            <w:r>
              <w:rPr>
                <w:rFonts w:ascii="宋体" w:hAnsi="宋体" w:eastAsia="宋体"/>
                <w:sz w:val="17"/>
              </w:rPr>
              <w:t xml:space="preserve"> 表示聚合归属键</w:t>
            </w:r>
          </w:p>
        </w:tc>
        <w:tc>
          <w:tcPr>
            <w:tcW w:type="dxa" w:w="1907"/>
          </w:tcPr>
          <w:p>
            <w:pPr>
              <w:spacing w:before="0" w:after="0"/>
            </w:pPr>
            <w:r>
              <w:rPr>
                <w:rFonts w:ascii="宋体" w:hAnsi="宋体" w:eastAsia="宋体"/>
                <w:sz w:val="17"/>
              </w:rPr>
              <w:t>实现阶段需由平台建外键（或 M1 显式补父键）</w:t>
            </w:r>
          </w:p>
        </w:tc>
      </w:tr>
    </w:tbl>
    <w:p/>
    <w:p>
      <w:pPr>
        <w:spacing w:before="0" w:after="40"/>
      </w:pPr>
      <w:r>
        <w:rPr>
          <w:rFonts w:ascii="宋体" w:hAnsi="宋体" w:eastAsia="宋体"/>
          <w:sz w:val="21"/>
        </w:rPr>
        <w:t xml:space="preserve">另：MU 中接诊医师/调剂人/复核人/审核人/操作人/饮片规格等字段在 M1 为 </w:t>
      </w:r>
      <w:r>
        <w:rPr>
          <w:rFonts w:ascii="宋体" w:hAnsi="宋体" w:eastAsia="宋体"/>
          <w:color w:val="C0392B"/>
          <w:sz w:val="18"/>
        </w:rPr>
        <w:t>String</w:t>
      </w:r>
      <w:r>
        <w:rPr>
          <w:rFonts w:ascii="宋体" w:hAnsi="宋体" w:eastAsia="宋体"/>
          <w:sz w:val="21"/>
        </w:rPr>
        <w:t xml:space="preserve"> 标量（平台用户 ID 或文本），按框架 §8.3 强制映射一律使用</w:t>
      </w:r>
      <w:r>
        <w:rPr>
          <w:rFonts w:ascii="宋体" w:hAnsi="宋体" w:eastAsia="宋体"/>
          <w:b/>
          <w:sz w:val="21"/>
        </w:rPr>
        <w:t>文本框</w:t>
      </w:r>
      <w:r>
        <w:rPr>
          <w:rFonts w:ascii="宋体" w:hAnsi="宋体" w:eastAsia="宋体"/>
          <w:sz w:val="21"/>
        </w:rPr>
        <w:t xml:space="preserve">；需求附录 D.5 原型用跳选框/下拉框示意，属视觉表达差异，已在 </w:t>
      </w:r>
      <w:r>
        <w:rPr>
          <w:rFonts w:ascii="宋体" w:hAnsi="宋体" w:eastAsia="宋体"/>
          <w:color w:val="C0392B"/>
          <w:sz w:val="18"/>
        </w:rPr>
        <w:t>mu-ui-model.yaml</w:t>
      </w:r>
      <w:r>
        <w:rPr>
          <w:rFonts w:ascii="宋体" w:hAnsi="宋体" w:eastAsia="宋体"/>
          <w:sz w:val="21"/>
        </w:rPr>
        <w:t xml:space="preserve"> 边界说明第 5 条声明。</w:t>
      </w:r>
    </w:p>
    <w:p>
      <w:pPr>
        <w:spacing w:before="40" w:after="40"/>
        <w:pBdr>
          <w:bottom w:val="single" w:sz="6" w:color="BFBFBF"/>
        </w:pBdr>
      </w:pPr>
    </w:p>
    <w:p>
      <w:pPr>
        <w:pStyle w:val="Heading2"/>
        <w:spacing w:before="200" w:after="80"/>
      </w:pPr>
      <w:r>
        <w:rPr>
          <w:rFonts w:ascii="微软雅黑" w:hAnsi="微软雅黑" w:eastAsia="微软雅黑"/>
          <w:b/>
          <w:color w:val="2E5496"/>
          <w:sz w:val="28"/>
        </w:rPr>
        <w:t>五、可复现的验证动作</w:t>
      </w:r>
    </w:p>
    <w:p>
      <w:pPr>
        <w:spacing w:before="40" w:after="0"/>
      </w:pPr>
      <w:r>
        <w:rPr>
          <w:rFonts w:ascii="宋体" w:hAnsi="宋体" w:eastAsia="宋体"/>
          <w:i/>
          <w:color w:val="808080"/>
          <w:sz w:val="15"/>
        </w:rPr>
        <w:t>[bash]</w:t>
      </w:r>
    </w:p>
    <w:p>
      <w:pPr>
        <w:spacing w:before="0" w:after="0" w:line="240" w:lineRule="auto"/>
        <w:shd w:val="clear" w:color="auto" w:fill="F2F2F2"/>
      </w:pPr>
      <w:r>
        <w:rPr>
          <w:rFonts w:ascii="宋体" w:hAnsi="宋体" w:eastAsia="宋体"/>
          <w:sz w:val="12"/>
        </w:rPr>
        <w:t># 1) 跨模型一致性门禁 + 框架 §10.2 评审清单</w:t>
      </w:r>
    </w:p>
    <w:p>
      <w:pPr>
        <w:spacing w:before="0" w:after="0" w:line="240" w:lineRule="auto"/>
        <w:shd w:val="clear" w:color="auto" w:fill="F2F2F2"/>
      </w:pPr>
      <w:r>
        <w:rPr>
          <w:rFonts w:ascii="宋体" w:hAnsi="宋体" w:eastAsia="宋体"/>
          <w:sz w:val="12"/>
        </w:rPr>
        <w:t>D:/hermes/tools/docx-venv/Scripts/python.exe tools/validate_ontology.py yaml</w:t>
      </w:r>
    </w:p>
    <w:p>
      <w:pPr>
        <w:spacing w:before="0" w:after="0" w:line="240" w:lineRule="auto"/>
        <w:shd w:val="clear" w:color="auto" w:fill="F2F2F2"/>
      </w:pPr>
      <w:r>
        <w:rPr>
          <w:rFonts w:ascii="宋体" w:hAnsi="宋体" w:eastAsia="宋体"/>
          <w:sz w:val="12"/>
        </w:rPr>
        <w:t xml:space="preserve"> </w:t>
      </w:r>
    </w:p>
    <w:p>
      <w:pPr>
        <w:spacing w:before="0" w:after="0" w:line="240" w:lineRule="auto"/>
        <w:shd w:val="clear" w:color="auto" w:fill="F2F2F2"/>
      </w:pPr>
      <w:r>
        <w:rPr>
          <w:rFonts w:ascii="宋体" w:hAnsi="宋体" w:eastAsia="宋体"/>
          <w:sz w:val="12"/>
        </w:rPr>
        <w:t># 2) 单独语法校验（任一 yaml 改动后）</w:t>
      </w:r>
    </w:p>
    <w:p>
      <w:pPr>
        <w:spacing w:before="0" w:after="0" w:line="240" w:lineRule="auto"/>
        <w:shd w:val="clear" w:color="auto" w:fill="F2F2F2"/>
      </w:pPr>
      <w:r>
        <w:rPr>
          <w:rFonts w:ascii="宋体" w:hAnsi="宋体" w:eastAsia="宋体"/>
          <w:sz w:val="12"/>
        </w:rPr>
        <w:t>D:/hermes/tools/docx-venv/Scripts/python.exe -c "import yaml,io;yaml.safe_load(io.open(r'yaml/m2-behavior-model.yaml',encoding='utf-8').read())"</w:t>
      </w:r>
    </w:p>
    <w:p>
      <w:pPr>
        <w:spacing w:before="0" w:after="0" w:line="240" w:lineRule="auto"/>
        <w:shd w:val="clear" w:color="auto" w:fill="F2F2F2"/>
      </w:pPr>
      <w:r>
        <w:rPr>
          <w:rFonts w:ascii="宋体" w:hAnsi="宋体" w:eastAsia="宋体"/>
          <w:sz w:val="12"/>
        </w:rPr>
        <w:t xml:space="preserve"> </w:t>
      </w:r>
    </w:p>
    <w:p>
      <w:pPr>
        <w:spacing w:before="0" w:after="0" w:line="240" w:lineRule="auto"/>
        <w:shd w:val="clear" w:color="auto" w:fill="F2F2F2"/>
      </w:pPr>
      <w:r>
        <w:rPr>
          <w:rFonts w:ascii="宋体" w:hAnsi="宋体" w:eastAsia="宋体"/>
          <w:sz w:val="12"/>
        </w:rPr>
        <w:t># 3) 需求文档 ↔ 本体 编号回查（示例：B-05/B-06 是否两侧齐备）</w:t>
      </w:r>
    </w:p>
    <w:p>
      <w:pPr>
        <w:spacing w:before="0" w:after="0" w:line="240" w:lineRule="auto"/>
        <w:shd w:val="clear" w:color="auto" w:fill="F2F2F2"/>
      </w:pPr>
      <w:r>
        <w:rPr>
          <w:rFonts w:ascii="宋体" w:hAnsi="宋体" w:eastAsia="宋体"/>
          <w:sz w:val="12"/>
        </w:rPr>
        <w:t>grep -c "B-05\|B-06" 中医问诊系统-需求规格说明书-V9.md</w:t>
      </w:r>
    </w:p>
    <w:p/>
    <w:p>
      <w:pPr>
        <w:spacing w:before="0" w:after="40"/>
      </w:pPr>
      <w:r>
        <w:rPr>
          <w:rFonts w:ascii="宋体" w:hAnsi="宋体" w:eastAsia="宋体"/>
          <w:sz w:val="21"/>
        </w:rPr>
        <w:t xml:space="preserve">环境说明：校验脚本用专用 venv </w:t>
      </w:r>
      <w:r>
        <w:rPr>
          <w:rFonts w:ascii="宋体" w:hAnsi="宋体" w:eastAsia="宋体"/>
          <w:color w:val="C0392B"/>
          <w:sz w:val="18"/>
        </w:rPr>
        <w:t>D:\hermes\tools\docx-venv</w:t>
      </w:r>
      <w:r>
        <w:rPr>
          <w:rFonts w:ascii="宋体" w:hAnsi="宋体" w:eastAsia="宋体"/>
          <w:sz w:val="21"/>
        </w:rPr>
        <w:t>（Python 3.12.13 + pyyaml 6.0.3 + python-docx 1.2.0），不影响 Hermes 运行时。</w:t>
      </w:r>
    </w:p>
    <w:sectPr w:rsidR="00FC693F" w:rsidRPr="0006063C" w:rsidSect="00034616">
      <w:pgSz w:w="11906" w:h="16838"/>
      <w:pgMar w:top="907" w:right="850" w:bottom="90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