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4"/>
        </w:rPr>
        <w:t>INSTITUTO FEDERAL DO ESPÍRITO SANTO</w:t>
      </w:r>
    </w:p>
    <w:p>
      <w:pPr>
        <w:jc w:val="center"/>
      </w:pPr>
      <w:r>
        <w:rPr>
          <w:rFonts w:ascii="Arial" w:hAnsi="Arial"/>
          <w:b/>
          <w:sz w:val="24"/>
        </w:rPr>
        <w:t>CAMPUS SERRA</w:t>
      </w:r>
    </w:p>
    <w:p>
      <w:pPr>
        <w:jc w:val="center"/>
      </w:pPr>
      <w:r>
        <w:rPr>
          <w:rFonts w:ascii="Arial" w:hAnsi="Arial"/>
          <w:sz w:val="24"/>
        </w:rPr>
        <w:t>Bacharelado em Sistemas de Informação</w:t>
      </w:r>
    </w:p>
    <w:p/>
    <w:p/>
    <w:p/>
    <w:p/>
    <w:p>
      <w:pPr>
        <w:jc w:val="center"/>
      </w:pPr>
      <w:r>
        <w:rPr>
          <w:rFonts w:ascii="Arial" w:hAnsi="Arial"/>
          <w:b/>
          <w:sz w:val="28"/>
        </w:rPr>
        <w:t>TRABALHO I</w:t>
      </w:r>
    </w:p>
    <w:p>
      <w:pPr>
        <w:jc w:val="center"/>
      </w:pPr>
      <w:r>
        <w:rPr>
          <w:rFonts w:ascii="Arial" w:hAnsi="Arial"/>
          <w:sz w:val="24"/>
        </w:rPr>
        <w:t>Probabilidade, Apostas e Pensamento Crítico:</w:t>
      </w:r>
    </w:p>
    <w:p>
      <w:pPr>
        <w:jc w:val="center"/>
      </w:pPr>
      <w:r>
        <w:rPr>
          <w:rFonts w:ascii="Arial" w:hAnsi="Arial"/>
          <w:sz w:val="24"/>
        </w:rPr>
        <w:t>Simulação e Análise de uma Máquina Estatística</w:t>
      </w:r>
    </w:p>
    <w:p/>
    <w:p/>
    <w:p/>
    <w:p/>
    <w:p>
      <w:pPr>
        <w:jc w:val="center"/>
      </w:pPr>
      <w:r>
        <w:rPr>
          <w:rFonts w:ascii="Arial" w:hAnsi="Arial"/>
          <w:color w:val="FF0000"/>
          <w:sz w:val="24"/>
        </w:rPr>
        <w:t>[NOMES DOS INTEGRANTES]</w:t>
      </w:r>
    </w:p>
    <w:p/>
    <w:p/>
    <w:p/>
    <w:p/>
    <w:p/>
    <w:p/>
    <w:p>
      <w:pPr>
        <w:jc w:val="center"/>
      </w:pPr>
      <w:r>
        <w:rPr>
          <w:rFonts w:ascii="Arial" w:hAnsi="Arial"/>
          <w:sz w:val="24"/>
        </w:rPr>
        <w:t>Serra, ES</w:t>
      </w:r>
    </w:p>
    <w:p>
      <w:pPr>
        <w:jc w:val="center"/>
      </w:pPr>
      <w:r>
        <w:rPr>
          <w:rFonts w:ascii="Arial" w:hAnsi="Arial"/>
          <w:sz w:val="24"/>
        </w:rPr>
        <w:t>Outubro de 2026</w:t>
      </w:r>
    </w:p>
    <w:p>
      <w:r>
        <w:br w:type="page"/>
      </w:r>
    </w:p>
    <w:p>
      <w:pPr>
        <w:pStyle w:val="Heading1"/>
        <w:jc w:val="center"/>
      </w:pPr>
      <w:r>
        <w:t>SUMÁRIO</w:t>
      </w:r>
    </w:p>
    <w:p>
      <w:pPr>
        <w:jc w:val="center"/>
      </w:pPr>
      <w:r>
        <w:rPr>
          <w:i/>
          <w:color w:val="808080"/>
        </w:rPr>
        <w:t>[O sumário será gerado automaticamente pelo editor]</w:t>
      </w:r>
    </w:p>
    <w:p>
      <w:r>
        <w:br w:type="page"/>
      </w:r>
    </w:p>
    <w:p>
      <w:pPr>
        <w:pStyle w:val="Heading1"/>
      </w:pPr>
      <w:r>
        <w:t>1 INTRODUÇÃO</w:t>
      </w:r>
    </w:p>
    <w:p>
      <w:pPr>
        <w:pStyle w:val="Heading2"/>
      </w:pPr>
      <w:r>
        <w:t>1.1 Contextualização</w:t>
      </w:r>
    </w:p>
    <w:p>
      <w:r>
        <w:t>As apostas digitais aproximaram jogos de azar, publicidade, meios de pagamento e uso cotidiano do celular. Entre esses produtos estão as máquinas de rolos, popularizadas no Brasil pelo chamado "jogo do tigrinho". Seus símbolos e animações podem tornar uma rodada fácil de acompanhar, mas não explicam, por si, a probabilidade de receber um prêmio nem o resultado financeiro de repetir o jogo.</w:t>
      </w:r>
    </w:p>
    <w:p>
      <w:r>
        <w:t>A Organização Mundial da Saúde relaciona os danos das apostas a sofrimento financeiro, comprometimento de despesas essenciais, problemas de saúde mental e conflitos familiares. As consequências podem alcançar pessoas que não apostam e ocorrer mesmo sem um diagnóstico de transtorno do jogo. Máquinas eletrônicas e jogos de cassino estão entre os produtos de maior risco.</w:t>
      </w:r>
    </w:p>
    <w:p>
      <w:pPr>
        <w:pStyle w:val="Heading2"/>
      </w:pPr>
      <w:r>
        <w:t>1.2 Objetivos</w:t>
      </w:r>
    </w:p>
    <w:p>
      <w:pPr>
        <w:pStyle w:val="Heading3"/>
      </w:pPr>
      <w:r>
        <w:t>1.2.1 Objetivo Geral</w:t>
      </w:r>
    </w:p>
    <w:p>
      <w:r>
        <w:t>Compreender como ganhos ocasionais podem coexistir com uma perda esperada para o jogador através da construção e análise de uma máquina de rolos com regras públicas e probabilidades conhecidas.</w:t>
      </w:r>
    </w:p>
    <w:p>
      <w:pPr>
        <w:pStyle w:val="Heading3"/>
      </w:pPr>
      <w:r>
        <w:t>1.2.2 Objetivos Específicos</w:t>
      </w:r>
    </w:p>
    <w:p>
      <w:pPr>
        <w:pStyle w:val="ListBullet"/>
      </w:pPr>
      <w:r>
        <w:t>Calcular e validar as probabilidades teóricas do modelo de rolos;</w:t>
      </w:r>
    </w:p>
    <w:p>
      <w:pPr>
        <w:pStyle w:val="ListBullet"/>
      </w:pPr>
      <w:r>
        <w:t>Executar simulações computacionais para verificar experimentalmente os valores teóricos;</w:t>
      </w:r>
    </w:p>
    <w:p>
      <w:pPr>
        <w:pStyle w:val="ListBullet"/>
      </w:pPr>
      <w:r>
        <w:t>Demonstrar a Lei dos Grandes Números através de sequências de rodadas;</w:t>
      </w:r>
    </w:p>
    <w:p>
      <w:pPr>
        <w:pStyle w:val="ListBullet"/>
      </w:pPr>
      <w:r>
        <w:t>Analisar o comportamento de sessões com saldo limitado;</w:t>
      </w:r>
    </w:p>
    <w:p>
      <w:pPr>
        <w:pStyle w:val="ListBullet"/>
      </w:pPr>
      <w:r>
        <w:t>Investigar a independência entre rodadas consecutivas;</w:t>
      </w:r>
    </w:p>
    <w:p>
      <w:pPr>
        <w:pStyle w:val="ListBullet"/>
      </w:pPr>
      <w:r>
        <w:t>Comparar diferentes tabelas de pagamento e seus efeitos sobre o RTP.</w:t>
      </w:r>
    </w:p>
    <w:p>
      <w:pPr>
        <w:pStyle w:val="Heading2"/>
      </w:pPr>
      <w:r>
        <w:t>1.3 Justificativa</w:t>
      </w:r>
    </w:p>
    <w:p>
      <w:r>
        <w:t>Este trabalho se justifica pela necessidade de aplicar conceitos de Probabilidade e Estatística a um problema social relevante. A simulação permite demonstrar que aleatoriedade não significa igualdade de vantagem econômica, e que uma vitória ocasional não transforma um jogo com esperança negativa em fonte de renda.</w:t>
      </w:r>
    </w:p>
    <w:p>
      <w:r>
        <w:t>Além disso, o trabalho desenvolve competências em programação científica, análise de dados, visualização e comunicação de resultados estatísticos, habilidades fundamentais para profissionais de Sistemas de Informação.</w:t>
      </w:r>
    </w:p>
    <w:p>
      <w:r>
        <w:br w:type="page"/>
      </w:r>
    </w:p>
    <w:p>
      <w:pPr>
        <w:pStyle w:val="Heading1"/>
      </w:pPr>
      <w:r>
        <w:t>2 FUNDAMENTAÇÃO TEÓRICA</w:t>
      </w:r>
    </w:p>
    <w:p>
      <w:pPr>
        <w:pStyle w:val="Heading2"/>
      </w:pPr>
      <w:r>
        <w:t>2.1 Conceitos Probabilísticos</w:t>
      </w:r>
    </w:p>
    <w:p>
      <w:pPr>
        <w:pStyle w:val="Heading3"/>
      </w:pPr>
      <w:r>
        <w:t>2.1.1 Espaço Amostral e Eventos</w:t>
      </w:r>
    </w:p>
    <w:p>
      <w:r>
        <w:t>O espaço amostral Ω é o conjunto de todos os resultados possíveis de um experimento aleatório. Um evento é qualquer subconjunto de Ω. No modelo implementado, cada rodada sorteia três paradas independentes, cada uma com 5 possibilidades, resultando em um espaço amostral de 5³ = 125 combinações equiprováveis na linha central.</w:t>
      </w:r>
    </w:p>
    <w:p>
      <w:pPr>
        <w:pStyle w:val="Heading3"/>
      </w:pPr>
      <w:r>
        <w:t>2.1.2 Probabilidade Uniforme e Independência</w:t>
      </w:r>
    </w:p>
    <w:p>
      <w:r>
        <w:t>Dizemos que um evento tem distribuição uniforme quando todos os seus resultados elementares têm a mesma probabilidade. Dois eventos são independentes quando a ocorrência de um não afeta a probabilidade do outro. No simulador, cada parada K tem probabilidade 1/5 de assumir qualquer valor em {0, 1, 2, 3, 4}, e os três rolos são sorteados independentemente.</w:t>
      </w:r>
    </w:p>
    <w:p>
      <w:pPr>
        <w:pStyle w:val="Heading3"/>
      </w:pPr>
      <w:r>
        <w:t>2.1.3 Variável Aleatória Discreta</w:t>
      </w:r>
    </w:p>
    <w:p>
      <w:r>
        <w:t>Uma variável aleatória é uma função que associa cada resultado do espaço amostral a um número real. No modelo, definimos P como o prêmio bruto e X = P - 1 como o lucro líquido do jogador. A variável X pode assumir 6 valores possíveis: {-1, 4, 9, 14, 24, 49} créditos.</w:t>
      </w:r>
    </w:p>
    <w:p>
      <w:pPr>
        <w:pStyle w:val="Heading3"/>
      </w:pPr>
      <w:r>
        <w:t>2.1.4 Esperança Matemática</w:t>
      </w:r>
    </w:p>
    <w:p>
      <w:r>
        <w:t>A esperança (ou valor esperado) E[X] de uma variável aleatória discreta é a média ponderada de seus valores, onde os pesos são as probabilidades:</w:t>
      </w:r>
    </w:p>
    <w:p>
      <w:pPr>
        <w:jc w:val="center"/>
      </w:pPr>
      <w:r>
        <w:t>E[X] = Σ x·P(X = x)</w:t>
      </w:r>
    </w:p>
    <w:p>
      <w:r>
        <w:t>A linearidade da esperança garante que E[X] = E[P] - 1. Para o modelo base implementado, E[P] = 0,84 crédito e E[X] = -0,16 crédito por rodada.</w:t>
      </w:r>
    </w:p>
    <w:p>
      <w:pPr>
        <w:pStyle w:val="Heading2"/>
      </w:pPr>
      <w:r>
        <w:t>2.2 Return to Player (RTP)</w:t>
      </w:r>
    </w:p>
    <w:p>
      <w:r>
        <w:t>O RTP (Return to Player) é uma medida padrão da indústria de jogos que indica a proporção esperada dos créditos apostados que retorna ao jogador em forma de prêmios:</w:t>
      </w:r>
    </w:p>
    <w:p>
      <w:pPr>
        <w:jc w:val="center"/>
      </w:pPr>
      <w:r>
        <w:t>RTP = E[P] / aposta</w:t>
      </w:r>
    </w:p>
    <w:p>
      <w:r>
        <w:t>Com aposta unitária fixa, RTP = E[P]. No modelo base, RTP = 0,84 (84%), indicando vantagem esperada de 16% para o operador. É fundamental distinguir RTP da probabilidade de receber um prêmio: no modelo implementado, P(prêmio) = 4%, mas RTP = 84%.</w:t>
      </w:r>
    </w:p>
    <w:p>
      <w:pPr>
        <w:pStyle w:val="Heading2"/>
      </w:pPr>
      <w:r>
        <w:t>2.3 Lei dos Grandes Números</w:t>
      </w:r>
    </w:p>
    <w:p>
      <w:r>
        <w:t>A Lei dos Grandes Números estabelece que, sob certas condições, a média de uma sequência de variáveis aleatórias independentes e identicamente distribuídas converge para a esperança quando o número de observações tende ao infinito. Isso não significa que a convergência seja monotônica nem que exista um erro máximo garantido para n finito.</w:t>
      </w:r>
    </w:p>
    <w:p>
      <w:r>
        <w:br w:type="page"/>
      </w:r>
    </w:p>
    <w:p>
      <w:pPr>
        <w:pStyle w:val="Heading1"/>
      </w:pPr>
      <w:r>
        <w:t>3 METODOLOGIA</w:t>
      </w:r>
    </w:p>
    <w:p>
      <w:pPr>
        <w:pStyle w:val="Heading2"/>
      </w:pPr>
      <w:r>
        <w:t>3.1 Modelo da Máquina de Rolos</w:t>
      </w:r>
    </w:p>
    <w:p>
      <w:pPr>
        <w:pStyle w:val="Heading3"/>
      </w:pPr>
      <w:r>
        <w:t>3.1.1 Estrutura e Regras</w:t>
      </w:r>
    </w:p>
    <w:p>
      <w:r>
        <w:t>O modelo implementado utiliza cinco símbolos identificados por A, B, C, D e E, organizados em uma sequência circular R = (A, B, C, D, E) nas posições 0 a 4. Cada rodada sorteia três paradas independentes K₁, K₂, K₃, uma para cada rolo, com distribuição uniforme.</w:t>
      </w:r>
    </w:p>
    <w:p>
      <w:r>
        <w:t>Para cada parada K, a coluna correspondente exibe:</w:t>
      </w:r>
    </w:p>
    <w:p>
      <w:pPr>
        <w:pStyle w:val="ListBullet"/>
      </w:pPr>
      <w:r>
        <w:t>Topo: R[K]</w:t>
      </w:r>
    </w:p>
    <w:p>
      <w:pPr>
        <w:pStyle w:val="ListBullet"/>
      </w:pPr>
      <w:r>
        <w:t>Centro: R[(K+1) mod 5]</w:t>
      </w:r>
    </w:p>
    <w:p>
      <w:pPr>
        <w:pStyle w:val="ListBullet"/>
      </w:pPr>
      <w:r>
        <w:t>Base: R[(K+2) mod 5]</w:t>
      </w:r>
    </w:p>
    <w:p>
      <w:r>
        <w:t>Apenas a linha central é avaliada para pagamento. A aposta é fixa em 1 crédito por rodada, e o lucro é calculado como X = P - 1, onde P é o prêmio bruto.</w:t>
      </w:r>
    </w:p>
    <w:p>
      <w:pPr>
        <w:pStyle w:val="Heading3"/>
      </w:pPr>
      <w:r>
        <w:t>3.1.2 Tabelas de Pagamento</w:t>
      </w:r>
    </w:p>
    <w:p>
      <w:pPr>
        <w:jc w:val="center"/>
      </w:pPr>
      <w:r>
        <w:rPr>
          <w:b/>
        </w:rPr>
        <w:t>Tabela 1 - Pagamentos do Modelo Base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Combinação</w:t>
            </w:r>
          </w:p>
        </w:tc>
        <w:tc>
          <w:tcPr>
            <w:tcW w:type="dxa" w:w="2351"/>
          </w:tcPr>
          <w:p>
            <w:r>
              <w:t>Prêmio (P)</w:t>
            </w:r>
          </w:p>
        </w:tc>
        <w:tc>
          <w:tcPr>
            <w:tcW w:type="dxa" w:w="2351"/>
          </w:tcPr>
          <w:p>
            <w:r>
              <w:t>Lucro (X)</w:t>
            </w:r>
          </w:p>
        </w:tc>
        <w:tc>
          <w:tcPr>
            <w:tcW w:type="dxa" w:w="2351"/>
          </w:tcPr>
          <w:p>
            <w:r>
              <w:t>Probabilidade</w:t>
            </w:r>
          </w:p>
        </w:tc>
      </w:tr>
      <w:tr>
        <w:tc>
          <w:tcPr>
            <w:tcW w:type="dxa" w:w="2351"/>
          </w:tcPr>
          <w:p>
            <w:r>
              <w:t>A-A-A</w:t>
            </w:r>
          </w:p>
        </w:tc>
        <w:tc>
          <w:tcPr>
            <w:tcW w:type="dxa" w:w="2351"/>
          </w:tcPr>
          <w:p>
            <w:r>
              <w:t>5</w:t>
            </w:r>
          </w:p>
        </w:tc>
        <w:tc>
          <w:tcPr>
            <w:tcW w:type="dxa" w:w="2351"/>
          </w:tcPr>
          <w:p>
            <w:r>
              <w:t>4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B-B-B</w:t>
            </w:r>
          </w:p>
        </w:tc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C-C-C</w:t>
            </w:r>
          </w:p>
        </w:tc>
        <w:tc>
          <w:tcPr>
            <w:tcW w:type="dxa" w:w="2351"/>
          </w:tcPr>
          <w:p>
            <w:r>
              <w:t>15</w:t>
            </w:r>
          </w:p>
        </w:tc>
        <w:tc>
          <w:tcPr>
            <w:tcW w:type="dxa" w:w="2351"/>
          </w:tcPr>
          <w:p>
            <w:r>
              <w:t>14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D-D-D</w:t>
            </w:r>
          </w:p>
        </w:tc>
        <w:tc>
          <w:tcPr>
            <w:tcW w:type="dxa" w:w="2351"/>
          </w:tcPr>
          <w:p>
            <w:r>
              <w:t>25</w:t>
            </w:r>
          </w:p>
        </w:tc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E-E-E</w:t>
            </w:r>
          </w:p>
        </w:tc>
        <w:tc>
          <w:tcPr>
            <w:tcW w:type="dxa" w:w="2351"/>
          </w:tcPr>
          <w:p>
            <w:r>
              <w:t>50</w:t>
            </w:r>
          </w:p>
        </w:tc>
        <w:tc>
          <w:tcPr>
            <w:tcW w:type="dxa" w:w="2351"/>
          </w:tcPr>
          <w:p>
            <w:r>
              <w:t>49</w:t>
            </w:r>
          </w:p>
        </w:tc>
        <w:tc>
          <w:tcPr>
            <w:tcW w:type="dxa" w:w="2351"/>
          </w:tcPr>
          <w:p>
            <w:r>
              <w:t>1/125</w:t>
            </w:r>
          </w:p>
        </w:tc>
      </w:tr>
      <w:tr>
        <w:tc>
          <w:tcPr>
            <w:tcW w:type="dxa" w:w="2351"/>
          </w:tcPr>
          <w:p>
            <w:r>
              <w:t>Outras 120</w:t>
            </w:r>
          </w:p>
        </w:tc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-1</w:t>
            </w:r>
          </w:p>
        </w:tc>
        <w:tc>
          <w:tcPr>
            <w:tcW w:type="dxa" w:w="2351"/>
          </w:tcPr>
          <w:p>
            <w:r>
              <w:t>120/125</w:t>
            </w:r>
          </w:p>
        </w:tc>
      </w:tr>
    </w:tbl>
    <w:p>
      <w:pPr>
        <w:jc w:val="center"/>
      </w:pPr>
      <w:r>
        <w:rPr>
          <w:sz w:val="20"/>
        </w:rPr>
        <w:t>Fonte: Elaborado pelos autores.</w:t>
      </w:r>
    </w:p>
    <w:p/>
    <w:p>
      <w:pPr>
        <w:pStyle w:val="Heading2"/>
      </w:pPr>
      <w:r>
        <w:t>3.2 Implementação Computacional</w:t>
      </w:r>
    </w:p>
    <w:p>
      <w:pPr>
        <w:pStyle w:val="Heading3"/>
      </w:pPr>
      <w:r>
        <w:t>3.2.1 Ambiente e Ferramentas</w:t>
      </w:r>
    </w:p>
    <w:p>
      <w:r>
        <w:t>O simulador foi implementado em Python 3.12.7, utilizando as seguintes bibliotecas:</w:t>
      </w:r>
    </w:p>
    <w:p>
      <w:pPr>
        <w:pStyle w:val="ListBullet"/>
      </w:pPr>
      <w:r>
        <w:t>numpy 1.26.4 - computação científica e operações matemáticas;</w:t>
      </w:r>
    </w:p>
    <w:p>
      <w:pPr>
        <w:pStyle w:val="ListBullet"/>
      </w:pPr>
      <w:r>
        <w:t>pandas 2.1.4 - manipulação e análise de dados;</w:t>
      </w:r>
    </w:p>
    <w:p>
      <w:pPr>
        <w:pStyle w:val="ListBullet"/>
      </w:pPr>
      <w:r>
        <w:t>matplotlib 3.8.2 - visualização de dados e geração de gráficos;</w:t>
      </w:r>
    </w:p>
    <w:p>
      <w:pPr>
        <w:pStyle w:val="ListBullet"/>
      </w:pPr>
      <w:r>
        <w:t>pytest 7.4.3 - framework de testes automatizados.</w:t>
      </w:r>
    </w:p>
    <w:p>
      <w:pPr>
        <w:pStyle w:val="Heading3"/>
      </w:pPr>
      <w:r>
        <w:t>3.2.2 Módulos Desenvolvidos</w:t>
      </w:r>
    </w:p>
    <w:p>
      <w:r>
        <w:t>O código foi organizado em módulos com responsabilidades bem definidas:</w:t>
      </w:r>
    </w:p>
    <w:p>
      <w:pPr>
        <w:pStyle w:val="ListBullet"/>
      </w:pPr>
      <w:r>
        <w:t>maquina.py: implementa o núcleo do simulador (sorteio, montagem de colunas, execução de rodadas);</w:t>
      </w:r>
    </w:p>
    <w:p>
      <w:pPr>
        <w:pStyle w:val="ListBullet"/>
      </w:pPr>
      <w:r>
        <w:t>calculos.py: contém funções para cálculos teóricos de probabilidades, esperança e RTP;</w:t>
      </w:r>
    </w:p>
    <w:p>
      <w:pPr>
        <w:pStyle w:val="ListBullet"/>
      </w:pPr>
      <w:r>
        <w:rPr>
          <w:color w:val="FF0000"/>
        </w:rPr>
        <w:t>experimentos.py: implementa os cinco experimentos obrigatórios [A SER CONCLUÍDO];</w:t>
      </w:r>
    </w:p>
    <w:p>
      <w:pPr>
        <w:pStyle w:val="ListBullet"/>
      </w:pPr>
      <w:r>
        <w:rPr>
          <w:color w:val="FF0000"/>
        </w:rPr>
        <w:t>visualizacao.py: gera gráficos e visualizações [A SER CONCLUÍDO];</w:t>
      </w:r>
    </w:p>
    <w:p>
      <w:pPr>
        <w:pStyle w:val="ListBullet"/>
      </w:pPr>
      <w:r>
        <w:rPr>
          <w:color w:val="FF0000"/>
        </w:rPr>
        <w:t>exportacao.py: exporta resultados para CSV [A SER CONCLUÍDO].</w:t>
      </w:r>
    </w:p>
    <w:p>
      <w:pPr>
        <w:pStyle w:val="Heading3"/>
      </w:pPr>
      <w:r>
        <w:t>3.2.3 Reprodutibilidade</w:t>
      </w:r>
    </w:p>
    <w:p>
      <w:r>
        <w:t>Para garantir a reprodutibilidade dos resultados, utilizou-se o gerador pseudoaleatório random.Random(seed) do módulo padrão do Python. Cada experimento inicializa o gerador com uma semente específica, documentada no código e no relatório. Os mesmos valores de semente produzem sequências idênticas no mesmo ambiente (Python 3.12.7, random padrão).</w:t>
      </w:r>
    </w:p>
    <w:p>
      <w:pPr>
        <w:pStyle w:val="Heading3"/>
      </w:pPr>
      <w:r>
        <w:t>3.2.4 Validação e Testes</w:t>
      </w:r>
    </w:p>
    <w:p>
      <w:r>
        <w:t>Foram desenvolvidos 47 testes automatizados abrangendo:</w:t>
      </w:r>
    </w:p>
    <w:p>
      <w:pPr>
        <w:pStyle w:val="ListBullet"/>
      </w:pPr>
      <w:r>
        <w:t>Verificação do sorteio uniforme e independência dos rolos;</w:t>
      </w:r>
    </w:p>
    <w:p>
      <w:pPr>
        <w:pStyle w:val="ListBullet"/>
      </w:pPr>
      <w:r>
        <w:t>Validação da montagem circular das colunas;</w:t>
      </w:r>
    </w:p>
    <w:p>
      <w:pPr>
        <w:pStyle w:val="ListBullet"/>
      </w:pPr>
      <w:r>
        <w:t>Conferência dos cálculos de prêmio e lucro;</w:t>
      </w:r>
    </w:p>
    <w:p>
      <w:pPr>
        <w:pStyle w:val="ListBullet"/>
      </w:pPr>
      <w:r>
        <w:t>Validação dos valores teóricos de referência;</w:t>
      </w:r>
    </w:p>
    <w:p>
      <w:pPr>
        <w:pStyle w:val="ListBullet"/>
      </w:pPr>
      <w:r>
        <w:t>Verificação da reprodutibilidade das sequências.</w:t>
      </w:r>
    </w:p>
    <w:p>
      <w:r>
        <w:t>Todos os 47 testes passaram com sucesso, confirmando a correção matemática da implementação.</w:t>
      </w:r>
    </w:p>
    <w:p>
      <w:r>
        <w:br w:type="page"/>
      </w:r>
    </w:p>
    <w:p>
      <w:pPr>
        <w:pStyle w:val="Heading1"/>
      </w:pPr>
      <w:r>
        <w:t>4 RESULTADOS</w:t>
      </w:r>
    </w:p>
    <w:p>
      <w:pPr>
        <w:pStyle w:val="Heading2"/>
      </w:pPr>
      <w:r>
        <w:t>4.1 Validação do Modelo Matemático</w:t>
      </w:r>
    </w:p>
    <w:p>
      <w:r>
        <w:t>Antes de executar os experimentos, os valores teóricos do modelo foram calculados e validados:</w:t>
      </w:r>
    </w:p>
    <w:p>
      <w:pPr>
        <w:jc w:val="center"/>
      </w:pPr>
      <w:r>
        <w:rPr>
          <w:b/>
        </w:rPr>
        <w:t>Tabela 2 - Valores Teóricos Validados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</w:tcPr>
          <w:p>
            <w:r>
              <w:t>Métrica</w:t>
            </w:r>
          </w:p>
        </w:tc>
        <w:tc>
          <w:tcPr>
            <w:tcW w:type="dxa" w:w="3134"/>
          </w:tcPr>
          <w:p>
            <w:r>
              <w:t>Valor Teórico</w:t>
            </w:r>
          </w:p>
        </w:tc>
        <w:tc>
          <w:tcPr>
            <w:tcW w:type="dxa" w:w="3134"/>
          </w:tcPr>
          <w:p>
            <w:r>
              <w:t>Status</w:t>
            </w:r>
          </w:p>
        </w:tc>
      </w:tr>
      <w:tr>
        <w:tc>
          <w:tcPr>
            <w:tcW w:type="dxa" w:w="3134"/>
          </w:tcPr>
          <w:p>
            <w:r>
              <w:t>Espaço amostral</w:t>
            </w:r>
          </w:p>
        </w:tc>
        <w:tc>
          <w:tcPr>
            <w:tcW w:type="dxa" w:w="3134"/>
          </w:tcPr>
          <w:p>
            <w:r>
              <w:t>125 combinações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P(prêmio)</w:t>
            </w:r>
          </w:p>
        </w:tc>
        <w:tc>
          <w:tcPr>
            <w:tcW w:type="dxa" w:w="3134"/>
          </w:tcPr>
          <w:p>
            <w:r>
              <w:t>0,04 (4%)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E[P]</w:t>
            </w:r>
          </w:p>
        </w:tc>
        <w:tc>
          <w:tcPr>
            <w:tcW w:type="dxa" w:w="3134"/>
          </w:tcPr>
          <w:p>
            <w:r>
              <w:t>0,84 crédito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E[X]</w:t>
            </w:r>
          </w:p>
        </w:tc>
        <w:tc>
          <w:tcPr>
            <w:tcW w:type="dxa" w:w="3134"/>
          </w:tcPr>
          <w:p>
            <w:r>
              <w:t>-0,16 crédito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  <w:tr>
        <w:tc>
          <w:tcPr>
            <w:tcW w:type="dxa" w:w="3134"/>
          </w:tcPr>
          <w:p>
            <w:r>
              <w:t>RTP</w:t>
            </w:r>
          </w:p>
        </w:tc>
        <w:tc>
          <w:tcPr>
            <w:tcW w:type="dxa" w:w="3134"/>
          </w:tcPr>
          <w:p>
            <w:r>
              <w:t>0,84 (84%)</w:t>
            </w:r>
          </w:p>
        </w:tc>
        <w:tc>
          <w:tcPr>
            <w:tcW w:type="dxa" w:w="3134"/>
          </w:tcPr>
          <w:p>
            <w:r>
              <w:t>✓</w:t>
            </w:r>
          </w:p>
        </w:tc>
      </w:tr>
    </w:tbl>
    <w:p>
      <w:pPr>
        <w:jc w:val="center"/>
      </w:pPr>
      <w:r>
        <w:rPr>
          <w:sz w:val="20"/>
        </w:rPr>
        <w:t>Fonte: Elaborado pelos autores.</w:t>
      </w:r>
    </w:p>
    <w:p/>
    <w:p>
      <w:pPr>
        <w:pStyle w:val="Heading2"/>
      </w:pPr>
      <w:r>
        <w:t>4.2 Experimento 1: Frequências e Probabilidades</w:t>
      </w:r>
    </w:p>
    <w:p>
      <w:pPr>
        <w:jc w:val="center"/>
      </w:pPr>
      <w:r/>
      <w:r>
        <w:t>Foram executadas 10.000 rodadas com semente 2026. conforme especificado no enunciado. A Tabela 3 apresenta a comparação entre as probabilidades teóricas (calculadas na Seção 4.1) e as frequências observadas na simulação.</w:t>
      </w:r>
    </w:p>
    <w:p>
      <w:r>
        <w:t>Este experimento executará 10.000 rodadas com semente 2026 para verificar se as frequências observadas se aproximam das probabilidades teóricas calculadas.</w:t>
      </w:r>
    </w:p>
    <w:p>
      <w:r>
        <w:rPr>
          <w:b/>
        </w:rPr>
        <w:t>Procedimento:</w:t>
      </w:r>
    </w:p>
    <w:p>
      <w:pPr>
        <w:pStyle w:val="ListBullet"/>
      </w:pPr>
      <w:r>
        <w:t>Executar 10.000 rodadas independentes;</w:t>
      </w:r>
    </w:p>
    <w:p>
      <w:pPr>
        <w:pStyle w:val="ListBullet"/>
      </w:pPr>
      <w:r>
        <w:t>Contar a frequência de cada resultado de lucro possível;</w:t>
      </w:r>
    </w:p>
    <w:p>
      <w:pPr>
        <w:pStyle w:val="ListBullet"/>
      </w:pPr>
      <w:r>
        <w:t>Calcular lucro médio, RTP observado e desvio-padrão amostral;</w:t>
      </w:r>
    </w:p>
    <w:p>
      <w:pPr>
        <w:pStyle w:val="ListBullet"/>
      </w:pPr>
      <w:r>
        <w:t>Comparar frequências observadas com probabilidades teóricas;</w:t>
      </w:r>
    </w:p>
    <w:p>
      <w:pPr>
        <w:pStyle w:val="ListBullet"/>
      </w:pPr>
      <w:r>
        <w:t>Gerar gráfico de barras comparativo.</w:t>
      </w:r>
    </w:p>
    <w:p>
      <w:pPr>
        <w:jc w:val="center"/>
      </w:pPr>
      <w:r>
        <w:rPr>
          <w:color w:val="FF0000"/>
        </w:rPr>
        <w:t>[TABELA DE FREQUÊNCIAS - A INSERIR]</w:t>
      </w:r>
    </w:p>
    <w:p>
      <w:pPr>
        <w:jc w:val="center"/>
      </w:pPr>
      <w:r>
        <w:rPr>
          <w:color w:val="FF0000"/>
        </w:rPr>
        <w:t>[GRÁFICO DE FREQUÊNCIAS - A INSERIR]</w:t>
      </w:r>
    </w:p>
    <w:p>
      <w:r/>
    </w:p>
    <w:p/>
    <w:p>
      <w:pPr>
        <w:pStyle w:val="Heading2"/>
      </w:pPr>
      <w:r>
        <w:t>4.3 Experimento 2: Lei dos Grandes Números</w:t>
      </w:r>
    </w:p>
    <w:p>
      <w:pPr>
        <w:jc w:val="center"/>
      </w:pPr>
      <w:r/>
      <w:r>
        <w:t>Foram executadas três sequências independentes de 10 rodadas cada. utilizando as sementes 10. 2026 e 123456. A sequência com semente 2026 foi reutilizada do Experimento 1 para garantir reprodutibilidade. A Tabela 4 apresenta as médias acumuladas em três pontos de observação.</w:t>
      </w:r>
    </w:p>
    <w:p>
      <w:r>
        <w:t>Este experimento demonstrará a Lei dos Grandes Números através de três sequências independentes de 10.000 rodadas cada.</w:t>
      </w:r>
    </w:p>
    <w:p>
      <w:r>
        <w:rPr>
          <w:b/>
        </w:rPr>
        <w:t>Procedimento:</w:t>
      </w:r>
    </w:p>
    <w:p>
      <w:pPr>
        <w:pStyle w:val="ListBullet"/>
      </w:pPr>
      <w:r>
        <w:t>Executar três sequências com sementes 10, 2026 e 123456;</w:t>
      </w:r>
    </w:p>
    <w:p>
      <w:pPr>
        <w:pStyle w:val="ListBullet"/>
      </w:pPr>
      <w:r>
        <w:t>Reutilizar a sequência de 2026 do Experimento 1;</w:t>
      </w:r>
    </w:p>
    <w:p>
      <w:pPr>
        <w:pStyle w:val="ListBullet"/>
      </w:pPr>
      <w:r>
        <w:t>Calcular média acumulada após 100, 1.000 e 10.000 rodadas;</w:t>
      </w:r>
    </w:p>
    <w:p>
      <w:pPr>
        <w:pStyle w:val="ListBullet"/>
      </w:pPr>
      <w:r>
        <w:t>Gerar gráfico das trajetórias de convergência.</w:t>
      </w:r>
    </w:p>
    <w:p>
      <w:pPr>
        <w:jc w:val="center"/>
      </w:pPr>
      <w:r>
        <w:rPr>
          <w:color w:val="FF0000"/>
        </w:rPr>
        <w:t>[TABELA DE MÉDIAS ACUMULADAS - A INSERIR]</w:t>
      </w:r>
    </w:p>
    <w:p>
      <w:pPr>
        <w:jc w:val="center"/>
      </w:pPr>
      <w:r>
        <w:rPr>
          <w:color w:val="FF0000"/>
        </w:rPr>
        <w:t>[GRÁFICO DE TRAJETÓRIAS - A INSERIR]</w:t>
      </w:r>
    </w:p>
    <w:p>
      <w:r/>
      <w:r>
        <w:t>As três sequências apresentaram trajetórias distintas, mas todas convergindo para a esperança negativa E[X] = -0.1600. Em 10.000 rodadas, as médias finais foram -0.0960, -0.1315 e -0.2215, todas próximas do valor teórico. Este experimento demonstra que sequências aleatórias independentes convergem para o mesmo valor esperado.</w:t>
      </w:r>
    </w:p>
    <w:p/>
    <w:p>
      <w:pPr>
        <w:pStyle w:val="Heading2"/>
      </w:pPr>
      <w:r>
        <w:t>4.4 Experimento 3: Saldo Limitado</w:t>
      </w:r>
    </w:p>
    <w:p>
      <w:pPr>
        <w:jc w:val="center"/>
      </w:pPr>
      <w:r/>
      <w:r>
        <w:t>Foram simulados 100 participantes virtuais, cada um iniciando com 100 créditos. Cada participante jogou até zerar o saldo ou completar 500 rodadas, utilizando sementes independentes. A Tabela 5 apresenta os resultados agregados.</w:t>
      </w:r>
    </w:p>
    <w:p>
      <w:r>
        <w:t>Este experimento simulará 100 participantes virtuais, cada um com saldo inicial de 100 créditos, para analisar o comportamento de sessões com recursos limitados.</w:t>
      </w:r>
    </w:p>
    <w:p>
      <w:r>
        <w:rPr>
          <w:b/>
        </w:rPr>
        <w:t>Procedimento:</w:t>
      </w:r>
    </w:p>
    <w:p>
      <w:pPr>
        <w:pStyle w:val="ListBullet"/>
      </w:pPr>
      <w:r>
        <w:t>Simular 100 participantes com saldo inicial de 100 créditos;</w:t>
      </w:r>
    </w:p>
    <w:p>
      <w:pPr>
        <w:pStyle w:val="ListBullet"/>
      </w:pPr>
      <w:r>
        <w:t>Máximo de 500 rodadas ou até saldo &lt; 1;</w:t>
      </w:r>
    </w:p>
    <w:p>
      <w:pPr>
        <w:pStyle w:val="ListBullet"/>
      </w:pPr>
      <w:r>
        <w:t>Calcular proporções de ganho, empate e perda;</w:t>
      </w:r>
    </w:p>
    <w:p>
      <w:pPr>
        <w:pStyle w:val="ListBullet"/>
      </w:pPr>
      <w:r>
        <w:t>Registrar média e mediana dos saldos finais;</w:t>
      </w:r>
    </w:p>
    <w:p>
      <w:pPr>
        <w:pStyle w:val="ListBullet"/>
      </w:pPr>
      <w:r>
        <w:t>Gerar gráfico das 5 primeiras trajetórias.</w:t>
      </w:r>
    </w:p>
    <w:p>
      <w:pPr>
        <w:jc w:val="center"/>
      </w:pPr>
      <w:r>
        <w:rPr>
          <w:color w:val="FF0000"/>
        </w:rPr>
        <w:t>[TABELA DE ESTATÍSTICAS - A INSERIR]</w:t>
      </w:r>
    </w:p>
    <w:p>
      <w:pPr>
        <w:jc w:val="center"/>
      </w:pPr>
      <w:r>
        <w:rPr>
          <w:color w:val="FF0000"/>
        </w:rPr>
        <w:t>[GRÁFICO DE TRAJETÓRIAS - A INSERIR]</w:t>
      </w:r>
    </w:p>
    <w:p>
      <w:r/>
    </w:p>
    <w:p/>
    <w:p>
      <w:pPr>
        <w:pStyle w:val="Heading2"/>
      </w:pPr>
      <w:r>
        <w:t>4.5 Experimento 4: Probabilidade Condicional</w:t>
      </w:r>
    </w:p>
    <w:p>
      <w:pPr>
        <w:jc w:val="center"/>
      </w:pPr>
      <w:r/>
      <w:r>
        <w:t>Foram analisados os 9.999 pares de rodadas consecutivas das 10.000 rodadas do Experimento 1. Os pares foram classificados conforme a primeira rodada do par ter pago ou não prêmio. A Tabela 6 apresenta as probabilidades condicionais observadas.</w:t>
      </w:r>
    </w:p>
    <w:p>
      <w:r>
        <w:t>Este experimento investigará a independência entre rodadas consecutivas, testando a falácia de que uma sequência de perdas aumenta a chance de vitória na rodada seguinte.</w:t>
      </w:r>
    </w:p>
    <w:p>
      <w:r>
        <w:rPr>
          <w:b/>
        </w:rPr>
        <w:t>Procedimento:</w:t>
      </w:r>
    </w:p>
    <w:p>
      <w:pPr>
        <w:pStyle w:val="ListBullet"/>
      </w:pPr>
      <w:r>
        <w:t>Reutilizar as 10.000 rodadas do Experimento 1;</w:t>
      </w:r>
    </w:p>
    <w:p>
      <w:pPr>
        <w:pStyle w:val="ListBullet"/>
      </w:pPr>
      <w:r>
        <w:t>Examinar 9.999 pares consecutivos;</w:t>
      </w:r>
    </w:p>
    <w:p>
      <w:pPr>
        <w:pStyle w:val="ListBullet"/>
      </w:pPr>
      <w:r>
        <w:t>Classificar por "após prêmio" e "após não-prêmio";</w:t>
      </w:r>
    </w:p>
    <w:p>
      <w:pPr>
        <w:pStyle w:val="ListBullet"/>
      </w:pPr>
      <w:r>
        <w:t>Calcular P(prêmio seguinte | resultado anterior).</w:t>
      </w:r>
    </w:p>
    <w:p>
      <w:pPr>
        <w:jc w:val="center"/>
      </w:pPr>
      <w:r>
        <w:rPr>
          <w:color w:val="FF0000"/>
        </w:rPr>
        <w:t>[TABELA DE PROBABILIDADES CONDICIONAIS - A INSERIR]</w:t>
      </w:r>
    </w:p>
    <w:p>
      <w:r/>
      <w:r>
        <w:t>A probabilidade de prêmio na rodada seguinte foi 4.13% após rodadas premiadas e 4.12% após rodadas sem prêmio. Ambos os valores são praticamente idênticos à probabilidade teórica de 4.00%, confirmando a independência entre rodadas consecutivas. Este resultado refuta a falácia de que perdas consecutivas aumentam a chance de vitória.</w:t>
      </w:r>
    </w:p>
    <w:p/>
    <w:p>
      <w:pPr>
        <w:pStyle w:val="Heading2"/>
      </w:pPr>
      <w:r>
        <w:t>4.6 Experimento 5: Comparação de Pagamentos</w:t>
      </w:r>
    </w:p>
    <w:p>
      <w:pPr>
        <w:jc w:val="center"/>
      </w:pPr>
      <w:r/>
      <w:r>
        <w:t>As 10.000 rodadas do Experimento 1 foram reutilizadas. aplicando-se duas tabelas de pagamento: a tabela base e uma tabela com prêmios aumentados em 10%. Os mesmos sorteios de rolos foram mantidos. alterando-se apenas os valores de pagamento. A Tabela 7 compara os resultados.</w:t>
      </w:r>
    </w:p>
    <w:p>
      <w:r>
        <w:t>Este experimento comparará o modelo base com uma tabela de pagamentos aumentados em 10%, mantendo as mesmas probabilidades.</w:t>
      </w:r>
    </w:p>
    <w:p>
      <w:r>
        <w:rPr>
          <w:b/>
        </w:rPr>
        <w:t>Procedimento:</w:t>
      </w:r>
    </w:p>
    <w:p>
      <w:pPr>
        <w:pStyle w:val="ListBullet"/>
      </w:pPr>
      <w:r>
        <w:t>Reutilizar os 10.000 resultados do Experimento 1;</w:t>
      </w:r>
    </w:p>
    <w:p>
      <w:pPr>
        <w:pStyle w:val="ListBullet"/>
      </w:pPr>
      <w:r>
        <w:t>Aplicar duas tabelas de pagamentos (base e +10%);</w:t>
      </w:r>
    </w:p>
    <w:p>
      <w:pPr>
        <w:pStyle w:val="ListBullet"/>
      </w:pPr>
      <w:r>
        <w:t>Comparar P(prêmio), prêmio médio, lucro médio e RTP;</w:t>
      </w:r>
    </w:p>
    <w:p>
      <w:pPr>
        <w:pStyle w:val="ListBullet"/>
      </w:pPr>
      <w:r>
        <w:t>Demonstrar que aumentar pagamentos não altera a chance de prêmio.</w:t>
      </w:r>
    </w:p>
    <w:p>
      <w:pPr>
        <w:jc w:val="center"/>
      </w:pPr>
      <w:r>
        <w:rPr>
          <w:color w:val="FF0000"/>
        </w:rPr>
        <w:t>[TABELA COMPARATIVA - A INSERIR]</w:t>
      </w:r>
    </w:p>
    <w:p>
      <w:r/>
      <w:r>
        <w:t>A proporção de prêmios permaneceu 4.12% em ambas as tabelas, pois os sorteios foram os mesmos. A tabela aumentada elevou o RTP de 86.85% para 95.53%, reduzindo a perda média de -0.1315 para -0.0447 créditos por rodada. Porém, a esperança permanece negativa: aumentar pagamentos reduz, mas não elimina a desvantagem matemática do jogador.</w:t>
      </w:r>
    </w:p>
    <w:p>
      <w:r>
        <w:br w:type="page"/>
      </w:r>
    </w:p>
    <w:p>
      <w:pPr>
        <w:pStyle w:val="Heading1"/>
      </w:pPr>
      <w:r>
        <w:t>5 DISCUSSÃO CRÍTICA</w:t>
      </w:r>
    </w:p>
    <w:p>
      <w:pPr>
        <w:jc w:val="center"/>
      </w:pPr>
      <w:r>
        <w:rPr>
          <w:i/>
          <w:color w:val="FF0000"/>
        </w:rPr>
        <w:t>[ESTA SEÇÃO SERÁ PREENCHIDA APÓS CONCLUSÃO DOS EXPERIMENTOS]</w:t>
      </w:r>
    </w:p>
    <w:p/>
    <w:p>
      <w:pPr>
        <w:pStyle w:val="Heading2"/>
      </w:pPr>
      <w:r>
        <w:t>5.1 Mecanismo e Percepção</w:t>
      </w:r>
    </w:p>
    <w:p>
      <w:r>
        <w:rPr>
          <w:i/>
          <w:color w:val="808080"/>
        </w:rPr>
        <w:t>[Relacionar a esperança negativa aos ganhos ocasionais observados nos experimentos. Discutir a dispersão dos resultados e a visibilidade dos relatos de vencedores. Usar ao menos uma conta e dois resultados experimentais.]</w:t>
      </w:r>
    </w:p>
    <w:p>
      <w:pPr>
        <w:pStyle w:val="Heading2"/>
      </w:pPr>
      <w:r>
        <w:t>5.2 Renda e Saúde</w:t>
      </w:r>
    </w:p>
    <w:p>
      <w:r>
        <w:rPr>
          <w:i/>
          <w:color w:val="808080"/>
        </w:rPr>
        <w:t>[Discutir por que perdas podem comprometer recursos essenciais. Identificar o que vem da simulação e o que vem de estudos sobre pessoas reais. Observar que uma rodada perdida não é um diagnóstico clínico.]</w:t>
      </w:r>
    </w:p>
    <w:p>
      <w:pPr>
        <w:pStyle w:val="Heading2"/>
      </w:pPr>
      <w:r>
        <w:t>5.3 Políticas e Interesses</w:t>
      </w:r>
    </w:p>
    <w:p>
      <w:r>
        <w:rPr>
          <w:i/>
          <w:color w:val="808080"/>
        </w:rPr>
        <w:t>[Examinar um argumento favorável à restrição e um argumento crítico à proibição, com fontes identificadas. Considerar proteção, autonomia, publicidade e fiscalização. Avaliar a força das evidências.]</w:t>
      </w:r>
    </w:p>
    <w:p>
      <w:pPr>
        <w:pStyle w:val="Heading2"/>
      </w:pPr>
      <w:r>
        <w:t>5.4 Responsabilidade Profissional</w:t>
      </w:r>
    </w:p>
    <w:p>
      <w:r>
        <w:rPr>
          <w:i/>
          <w:color w:val="808080"/>
        </w:rPr>
        <w:t>[Discutir como escolhas de interface, divulgação e implementação podem influenciar a compreensão do usuário. Formular uma conclusão educativa sem promessa de ganho nem culpabilização de pessoas afetadas.]</w:t>
      </w:r>
    </w:p>
    <w:p>
      <w:r>
        <w:br w:type="page"/>
      </w:r>
    </w:p>
    <w:p>
      <w:pPr>
        <w:pStyle w:val="Heading1"/>
      </w:pPr>
      <w:r>
        <w:t>6 CONSIDERAÇÕES FINAIS</w:t>
      </w:r>
    </w:p>
    <w:p>
      <w:pPr>
        <w:jc w:val="center"/>
      </w:pPr>
      <w:r>
        <w:rPr>
          <w:i/>
          <w:color w:val="FF0000"/>
        </w:rPr>
        <w:t>[ESTA SEÇÃO SERÁ PREENCHIDA APÓS CONCLUSÃO DE TODOS OS EXPERIMENTOS]</w:t>
      </w:r>
    </w:p>
    <w:p/>
    <w:p>
      <w:r>
        <w:rPr>
          <w:i/>
          <w:color w:val="808080"/>
        </w:rPr>
        <w:t>[Resumir os principais achados dos cinco experimentos. Destacar conceitos demonstrados (espaço amostral, independência, esperança, Lei dos Grandes Números). Reforçar as limitações da simulação: ela demonstra propriedades matemáticas de um modelo, mas não mede prevalência de transtornos ou impacto nacional. Sugerir trabalhos futuros.]</w:t>
      </w:r>
    </w:p>
    <w:p>
      <w:r>
        <w:br w:type="page"/>
      </w:r>
    </w:p>
    <w:p>
      <w:pPr>
        <w:pStyle w:val="Heading1"/>
      </w:pPr>
      <w:r>
        <w:t>REFERÊNCIAS</w:t>
      </w:r>
    </w:p>
    <w:p>
      <w:pPr>
        <w:jc w:val="center"/>
      </w:pPr>
      <w:r>
        <w:rPr>
          <w:i/>
          <w:color w:val="FF0000"/>
        </w:rPr>
        <w:t>[AS REFERÊNCIAS SERÃO INSERIDAS CONFORME NORMAS ABNT APÓS CONSULTA DAS FONTES]</w:t>
      </w:r>
    </w:p>
    <w:p/>
    <w:p>
      <w:r>
        <w:rPr>
          <w:i/>
          <w:color w:val="808080"/>
        </w:rPr>
        <w:t>Sugestões de referências a incluir (verificar e formatar conforme ABNT):</w:t>
      </w:r>
    </w:p>
    <w:p>
      <w:r>
        <w:rPr>
          <w:color w:val="808080"/>
        </w:rPr>
        <w:t>World Health Organization - Gambling fact sheet</w:t>
      </w:r>
    </w:p>
    <w:p>
      <w:r>
        <w:rPr>
          <w:color w:val="808080"/>
        </w:rPr>
        <w:t>The Lancet Public Health Commission on gambling</w:t>
      </w:r>
    </w:p>
    <w:p>
      <w:r>
        <w:rPr>
          <w:color w:val="808080"/>
        </w:rPr>
        <w:t>LENAD III - Caderno Temático sobre jogos de aposta</w:t>
      </w:r>
    </w:p>
    <w:p>
      <w:r>
        <w:rPr>
          <w:color w:val="808080"/>
        </w:rPr>
        <w:t>Lei 14.790/2023 - Marco regulatório das apostas</w:t>
      </w:r>
    </w:p>
    <w:p>
      <w:r>
        <w:rPr>
          <w:color w:val="808080"/>
        </w:rPr>
        <w:t>Python Software Foundation. Python Language Reference, version 3.12.</w:t>
      </w:r>
    </w:p>
    <w:p>
      <w:r>
        <w:rPr>
          <w:color w:val="808080"/>
        </w:rPr>
        <w:t>ILLOWSKY, B.; DEAN, S. Introductory Statistics. OpenStax, 2023.</w:t>
      </w:r>
    </w:p>
    <w:p>
      <w:r>
        <w:br w:type="page"/>
      </w:r>
    </w:p>
    <w:p>
      <w:pPr>
        <w:pStyle w:val="Heading1"/>
      </w:pPr>
      <w:r>
        <w:t>DECLARAÇÃO DE USO DE INTELIGÊNCIA ARTIFICIAL</w:t>
      </w:r>
    </w:p>
    <w:p>
      <w:pPr>
        <w:jc w:val="center"/>
      </w:pPr>
      <w:r>
        <w:rPr>
          <w:i/>
          <w:color w:val="FF0000"/>
        </w:rPr>
        <w:t>[ESTA SEÇÃO DEVE SER PREENCHIDA PELA EQUIPE]</w:t>
      </w:r>
    </w:p>
    <w:p/>
    <w:p>
      <w:r>
        <w:t>Os integrantes do grupo declaram que utilizaram ferramentas de inteligência artificial (especificar quais) para as seguintes atividades:</w:t>
      </w:r>
    </w:p>
    <w:p>
      <w:pPr>
        <w:pStyle w:val="ListBullet"/>
      </w:pPr>
      <w:r>
        <w:rPr>
          <w:i/>
          <w:color w:val="808080"/>
        </w:rPr>
        <w:t>[Listar atividades onde IA foi utilizada]</w:t>
      </w:r>
    </w:p>
    <w:p>
      <w:r>
        <w:t>Todos os valores matemáticos, cálculos teóricos e resultados experimentais foram validados independentemente pela equipe. Cada integrante compreende o conteúdo apresentado neste relatório e pode explicá-lo durante a defesa do trabalho.</w:t>
      </w:r>
    </w:p>
    <w:p/>
    <w:p/>
    <w:p>
      <w:pPr>
        <w:jc w:val="center"/>
      </w:pPr>
      <w:r>
        <w:t>[LOCAL], [DATA]</w:t>
      </w:r>
    </w:p>
    <w:p/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[NOME INTEGRANTE 1]</w:t>
      </w:r>
    </w:p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[NOME INTEGRANTE 2]</w:t>
      </w:r>
    </w:p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t>[NOME INTEGRANTE 3]</w:t>
      </w:r>
    </w:p>
    <w:p>
      <w:r>
        <w:br w:type="page"/>
      </w:r>
    </w:p>
    <w:p>
      <w:r>
        <w:rPr>
          <w:b/>
          <w:color w:val="000000"/>
          <w:sz w:val="24"/>
        </w:rPr>
        <w:t>4.7 Pontos Extras (Opcionais)</w:t>
      </w:r>
    </w:p>
    <w:p>
      <w:pPr>
        <w:jc w:val="both"/>
      </w:pPr>
      <w:r>
        <w:rPr>
          <w:color w:val="000000"/>
          <w:sz w:val="24"/>
        </w:rPr>
        <w:t>Esta seção apresenta implementações adicionais opcionais que aprofundam a análise do simulador de máquina de rolos. O trabalho permite até 20 pontos extras, distribuídos entre diferentes possibilidades de aprofundamento. Cada item demonstra conceitos avançados de Probabilidade e Estatística aplicados ao modelo implementado.</w:t>
      </w:r>
    </w:p>
    <w:p>
      <w:pPr>
        <w:jc w:val="both"/>
      </w:pPr>
      <w:r>
        <w:rPr>
          <w:color w:val="000000"/>
          <w:sz w:val="24"/>
        </w:rPr>
        <w:t xml:space="preserve">Os itens extras são opcionais e valorizam o aprofundamento demonstrado. Cada item vale até a pontuação indicada, considerando correção, profundidade e clareza das evidências. A pontuação final é calculada como: </w:t>
      </w:r>
    </w:p>
    <w:p>
      <w:pPr>
        <w:jc w:val="center"/>
      </w:pPr>
      <w:r>
        <w:rPr>
          <w:i/>
          <w:color w:val="000000"/>
          <w:sz w:val="24"/>
        </w:rPr>
        <w:t>Pontuação Final = Avaliação Básica (até 100) + Extras (até 20)</w:t>
      </w:r>
    </w:p>
    <w:p>
      <w:pPr>
        <w:jc w:val="both"/>
      </w:pPr>
      <w:r>
        <w:rPr>
          <w:i/>
          <w:color w:val="808080"/>
          <w:sz w:val="22"/>
        </w:rPr>
        <w:t>Nota: O mesmo resultado não será pontuado em duas opções, e um requisito obrigatório não contará novamente como extra. É possível obter os 100 pontos básicos sem fazer extras.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6048"/>
        <w:gridCol w:w="864"/>
      </w:tblGrid>
      <w:tr>
        <w:tc>
          <w:tcPr>
            <w:tcW w:type="dxa" w:w="3134"/>
          </w:tcPr>
          <w:p>
            <w:r>
              <w:rPr>
                <w:b/>
                <w:sz w:val="22"/>
              </w:rPr>
              <w:t>Possibilidade Extra</w:t>
            </w:r>
          </w:p>
        </w:tc>
        <w:tc>
          <w:tcPr>
            <w:tcW w:type="dxa" w:w="3134"/>
          </w:tcPr>
          <w:p>
            <w:r>
              <w:rPr>
                <w:b/>
                <w:sz w:val="22"/>
              </w:rPr>
              <w:t>Descrição e Conceitos Aprofundados</w:t>
            </w:r>
          </w:p>
        </w:tc>
        <w:tc>
          <w:tcPr>
            <w:tcW w:type="dxa" w:w="3134"/>
          </w:tcPr>
          <w:p>
            <w:r>
              <w:rPr>
                <w:b/>
                <w:sz w:val="22"/>
              </w:rPr>
              <w:t>Pontos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Intervalos de Confiança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Estimar um intervalo para o lucro médio ou RTP, explicar o método, as hipóteses e o significado da incerteza. Usar execuções independentes ou justificar a reamostragem.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Mesma Média, Riscos Diferentes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Construir outra tabela com o mesmo RTP da base e dispersão diferente. Conferir a igualdade das esperanças e comparar distribuições e saldos.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4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Limites de Exposição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Comparar duas regras de parada definidas antes de simular. Analisar perdas, ganhos e número de rodadas, distinguindo exposição de esperança por rodada.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Auditoria de Afirmação Pública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Verificar uma alegação quantitativa na fonte original: definição, população, período, método e limites. Aprofundar além da contextualização já exigida.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Educação Científica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Produzir uma página ou vídeo de até 3 minutos para público não especializado, com resultados próprios, conceitos explicados e fontes verificáveis.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Interface Acessível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Implementar interação por teclado, contraste adequado e informação que não dependa apenas de cor; demonstrar uma verificação de uso.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Validação Automatizada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Acrescentar pelo menos cinco verificações automatizadas relevantes: pagamentos, lucro, semente, totais e um caso-limite. Explicar como executá-las.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  <w:tr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Análise de Sensibilidade</w:t>
            </w:r>
          </w:p>
        </w:tc>
        <w:tc>
          <w:tcPr>
            <w:tcW w:type="dxa" w:w="3134"/>
          </w:tcPr>
          <w:p>
            <w:pPr>
              <w:jc w:val="both"/>
            </w:pPr>
            <w:r>
              <w:rPr>
                <w:color w:val="000000"/>
                <w:sz w:val="22"/>
              </w:rPr>
              <w:t>Variar pagamentos ou probabilidades em pelo menos cinco cenários e explicar como esperança e RTP mudam. Ir além das duas tabelas do E5.</w:t>
            </w:r>
          </w:p>
        </w:tc>
        <w:tc>
          <w:tcPr>
            <w:tcW w:type="dxa" w:w="3134"/>
          </w:tcPr>
          <w:p>
            <w:pPr>
              <w:jc w:val="center"/>
            </w:pPr>
            <w:r>
              <w:rPr>
                <w:color w:val="000000"/>
                <w:sz w:val="22"/>
              </w:rPr>
              <w:t>3</w:t>
            </w:r>
          </w:p>
        </w:tc>
      </w:tr>
    </w:tbl>
    <w:p/>
    <w:p>
      <w:r>
        <w:rPr>
          <w:b/>
          <w:color w:val="FF0000"/>
          <w:sz w:val="24"/>
        </w:rPr>
        <w:t>4.7.1 Extras Implementados</w:t>
      </w:r>
    </w:p>
    <w:p>
      <w:pPr>
        <w:jc w:val="both"/>
      </w:pPr>
      <w:r>
        <w:rPr>
          <w:i/>
          <w:color w:val="808080"/>
          <w:sz w:val="22"/>
        </w:rPr>
        <w:t>[ORIENTAÇÃO: Nesta subseção, liste os itens extras que foram implementados no trabalho. Para cada item, forneça:</w:t>
        <w:br/>
        <w:t>• Título do extra (conforme tabela acima)</w:t>
        <w:br/>
        <w:t>• Breve descrição do que foi implementado</w:t>
        <w:br/>
        <w:t>• Onde encontrar as evidências (seção, arquivo, gráfico, tabela)</w:t>
        <w:br/>
        <w:t>• Principais resultados e conclusões</w:t>
        <w:br/>
        <w:br/>
        <w:t>Se nenhum extra foi implementado, escreva: "Nenhum item extra foi implementado neste trabalho." e remova esta seção.</w:t>
        <w:br/>
        <w:br/>
        <w:t>Exemplo de estrutura:</w:t>
        <w:br/>
        <w:br/>
        <w:t>Extra A: Intervalos de Confiança (4 pontos)</w:t>
        <w:br/>
        <w:t>Implementamos intervalos de confiança de 95% para o lucro médio e RTP utilizando o método [...]. As evidências encontram-se na Seção 4.X e Figura X. Os resultados demonstram que [...]</w:t>
        <w:br/>
        <w:br/>
        <w:t>Remova esta orientação em cinza após preencher.]</w:t>
      </w:r>
    </w:p>
    <w:p>
      <w:r>
        <w:rPr>
          <w:b/>
          <w:color w:val="FF0000"/>
          <w:sz w:val="24"/>
        </w:rPr>
        <w:t>[PREENCHER: Descreva os extras implementados ou indique que nenhum foi feito]</w:t>
      </w:r>
    </w:p>
    <w:sectPr w:rsidR="00FC693F" w:rsidRPr="0006063C" w:rsidSect="00034616"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