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48"/>
          <w:szCs w:val="48"/>
        </w:rPr>
        <w:t xml:space="preserve">Speaker Script</w:t>
      </w:r>
    </w:p>
    <w:p>
      <w:pPr>
        <w:spacing w:after="60"/>
        <w:jc w:val="center"/>
      </w:pPr>
      <w:r>
        <w:rPr>
          <w:sz w:val="28"/>
          <w:szCs w:val="28"/>
        </w:rPr>
        <w:t xml:space="preserve">Trading Against Noise — SHBI-GB.7301 Final Presentation</w:t>
      </w:r>
    </w:p>
    <w:p>
      <w:pPr>
        <w:spacing w:after="400"/>
        <w:jc w:val="center"/>
      </w:pPr>
      <w:r>
        <w:rPr>
          <w:color w:val="52514E"/>
          <w:sz w:val="22"/>
          <w:szCs w:val="22"/>
        </w:rPr>
        <w:t xml:space="preserve">17 slides · ~20 minutes including the live demo · slides/index.html</w:t>
      </w:r>
    </w:p>
    <w:p>
      <w:pPr>
        <w:pStyle w:val="Heading1"/>
        <w:spacing w:after="160"/>
      </w:pPr>
      <w:r>
        <w:t xml:space="preserve">Before you start</w:t>
      </w:r>
    </w:p>
    <w:p>
      <w:pPr>
        <w:spacing w:after="180" w:line="300"/>
      </w:pPr>
      <w:r>
        <w:rPr>
          <w:sz w:val="24"/>
          <w:szCs w:val="24"/>
        </w:rPr>
        <w:t xml:space="preserve">Timing plan: opening and setup ≈ 3 minutes (slides 1–3), the model ≈ 5 minutes (slides 4–7), trust and method ≈ 3 minutes (slides 8–9), results ≈ 4 minutes (slides 10–13), reality and extension ≈ 2 minutes (slides 14–15), live demo ≈ 4–5 minutes (slide 16), close ≈ 1 minute (slide 17). If you are running long, the safest cuts are slide 13 (risk profile) and the second half of slide 14.</w:t>
      </w:r>
    </w:p>
    <w:p>
      <w:pPr>
        <w:spacing w:after="180" w:line="300"/>
      </w:pPr>
      <w:r>
        <w:rPr>
          <w:sz w:val="24"/>
          <w:szCs w:val="24"/>
        </w:rPr>
        <w:t xml:space="preserve">Setup checklist: start the dashboard BEFORE class with “streamlit run dashboard/app.py” and load it once so caches are warm; open the slides in a full-screen browser window; press N once to confirm speaker notes toggle works, then leave them off; have polymarket.com open in another tab in case you want a live URL for the demo.</w:t>
      </w:r>
    </w:p>
    <w:p>
      <w:pPr>
        <w:spacing w:after="180" w:line="300"/>
      </w:pPr>
      <w:r>
        <w:rPr>
          <w:sz w:val="24"/>
          <w:szCs w:val="24"/>
        </w:rPr>
        <w:t xml:space="preserve">Text in plain type below is meant to be spoken, roughly verbatim. Italic indented lines are stage directions — do not read them aloud.</w:t>
      </w:r>
    </w:p>
    <w:p>
      <w:pPr>
        <w:pStyle w:val="Heading2"/>
        <w:spacing w:after="140" w:before="360"/>
      </w:pPr>
      <w:r>
        <w:rPr>
          <w:b/>
          <w:bCs/>
          <w:sz w:val="28"/>
          <w:szCs w:val="28"/>
        </w:rPr>
        <w:t xml:space="preserve">Slide 1 — Title</w:t>
      </w:r>
      <w:r>
        <w:rPr>
          <w:b w:val="false"/>
          <w:bCs w:val="false"/>
          <w:color w:val="898781"/>
          <w:sz w:val="22"/>
          <w:szCs w:val="22"/>
        </w:rPr>
        <w:t xml:space="preserve">   (~40 sec)</w:t>
      </w:r>
    </w:p>
    <w:p>
      <w:pPr>
        <w:spacing w:after="180" w:line="300"/>
      </w:pPr>
      <w:r>
        <w:rPr>
          <w:sz w:val="24"/>
          <w:szCs w:val="24"/>
        </w:rPr>
        <w:t xml:space="preserve">Hi everyone. We're Anastasia, Qian, Chenhao, and Haoyu. Our project is called Trading Against Noise — it's a simulation study of trading strategies in prediction markets, the Polymarket and Kalshi style markets where you bet on yes-or-no questions.</w:t>
      </w:r>
    </w:p>
    <w:p>
      <w:pPr>
        <w:spacing w:after="180" w:line="300"/>
      </w:pPr>
      <w:r>
        <w:rPr>
          <w:sz w:val="24"/>
          <w:szCs w:val="24"/>
        </w:rPr>
        <w:t xml:space="preserve">Three numbers up front that describe the whole project: a three-layer stochastic model, thirty-seven automated validation tests behind every result, and twenty thousand simulated markets behind every number we'll show you. And one seed — every figure in this talk regenerates exactly from a single random seed, so everything you're about to see is fully reproducible.</w:t>
      </w:r>
    </w:p>
    <w:p>
      <w:pPr>
        <w:pStyle w:val="Heading2"/>
        <w:spacing w:after="140" w:before="360"/>
      </w:pPr>
      <w:r>
        <w:rPr>
          <w:b/>
          <w:bCs/>
          <w:sz w:val="28"/>
          <w:szCs w:val="28"/>
        </w:rPr>
        <w:t xml:space="preserve">Slide 2 — The question</w:t>
      </w:r>
      <w:r>
        <w:rPr>
          <w:b w:val="false"/>
          <w:bCs w:val="false"/>
          <w:color w:val="898781"/>
          <w:sz w:val="22"/>
          <w:szCs w:val="22"/>
        </w:rPr>
        <w:t xml:space="preserve">   (~1 min)</w:t>
      </w:r>
    </w:p>
    <w:p>
      <w:pPr>
        <w:spacing w:after="180" w:line="300"/>
      </w:pPr>
      <w:r>
        <w:rPr>
          <w:sz w:val="24"/>
          <w:szCs w:val="24"/>
        </w:rPr>
        <w:t xml:space="preserve">Here's the setup. A contract on the question “Will X happen?” trades at forty cents, and pays out one dollar if X happens, zero if it doesn't. That means the price is literally the market's probability forecast — a forty-cent contract is a forty percent forecast.</w:t>
      </w:r>
    </w:p>
    <w:p>
      <w:pPr>
        <w:spacing w:after="180" w:line="300"/>
      </w:pPr>
      <w:r>
        <w:rPr>
          <w:sz w:val="24"/>
          <w:szCs w:val="24"/>
        </w:rPr>
        <w:t xml:space="preserve">But prices carry noise: thin order books, sentiment, slow reactions to news. So there are two worldviews. If dips below fair value are usually just noise, then buying dips should make money. If the market is basically right, nothing beats just buying and holding.</w:t>
      </w:r>
    </w:p>
    <w:p>
      <w:pPr>
        <w:spacing w:after="180" w:line="300"/>
      </w:pPr>
      <w:r>
        <w:rPr>
          <w:sz w:val="24"/>
          <w:szCs w:val="24"/>
        </w:rPr>
        <w:t xml:space="preserve">Our question is: which world are we in — and precisely what does the answer depend on? We wanted a number, with a confidence interval, not a vibe.</w:t>
      </w:r>
    </w:p>
    <w:p>
      <w:pPr>
        <w:pStyle w:val="Heading2"/>
        <w:spacing w:after="140" w:before="360"/>
      </w:pPr>
      <w:r>
        <w:rPr>
          <w:b/>
          <w:bCs/>
          <w:sz w:val="28"/>
          <w:szCs w:val="28"/>
        </w:rPr>
        <w:t xml:space="preserve">Slide 3 — Why simulation</w:t>
      </w:r>
      <w:r>
        <w:rPr>
          <w:b w:val="false"/>
          <w:bCs w:val="false"/>
          <w:color w:val="898781"/>
          <w:sz w:val="22"/>
          <w:szCs w:val="22"/>
        </w:rPr>
        <w:t xml:space="preserve">   (~1 min)</w:t>
      </w:r>
    </w:p>
    <w:p>
      <w:pPr>
        <w:spacing w:after="180" w:line="300"/>
      </w:pPr>
      <w:r>
        <w:rPr>
          <w:sz w:val="24"/>
          <w:szCs w:val="24"/>
        </w:rPr>
        <w:t xml:space="preserve">Why simulate instead of backtesting real data? Because real data has a fatal flaw for this question: the true probability is never revealed. If a strategy made money on historical prices, you cannot tell whether it found real mispricings or got lucky.</w:t>
      </w:r>
    </w:p>
    <w:p>
      <w:pPr>
        <w:spacing w:after="180" w:line="300"/>
      </w:pPr>
      <w:r>
        <w:rPr>
          <w:sz w:val="24"/>
          <w:szCs w:val="24"/>
        </w:rPr>
        <w:t xml:space="preserve">In a simulation, we control the truth. We build a world where the true probability exists but is hidden from the trader, we tune exactly how wrong the market price is allowed to be, and then we grade every strategy against the truth we planted — over tens of thousands of independent replications, which gives us honest confidence intervals.</w:t>
      </w:r>
    </w:p>
    <w:p>
      <w:pPr>
        <w:spacing w:after="180" w:line="300"/>
      </w:pPr>
      <w:r>
        <w:rPr>
          <w:sz w:val="24"/>
          <w:szCs w:val="24"/>
        </w:rPr>
        <w:t xml:space="preserve">One boundary we kept strict: real Polymarket data is used only to set realistic input parameters. We never fit the model to real data and never backtest on it — so nothing we claim today is a claim about making money on the real Polymarket.</w:t>
      </w:r>
    </w:p>
    <w:p>
      <w:pPr>
        <w:pStyle w:val="Heading2"/>
        <w:spacing w:after="140" w:before="360"/>
      </w:pPr>
      <w:r>
        <w:rPr>
          <w:b/>
          <w:bCs/>
          <w:sz w:val="28"/>
          <w:szCs w:val="28"/>
        </w:rPr>
        <w:t xml:space="preserve">Slide 4 — The model — three layers</w:t>
      </w:r>
      <w:r>
        <w:rPr>
          <w:b w:val="false"/>
          <w:bCs w:val="false"/>
          <w:color w:val="898781"/>
          <w:sz w:val="22"/>
          <w:szCs w:val="22"/>
        </w:rPr>
        <w:t xml:space="preserve">   (~1.5 min)</w:t>
      </w:r>
    </w:p>
    <w:p>
      <w:pPr>
        <w:spacing w:after="180" w:line="300"/>
      </w:pPr>
      <w:r>
        <w:rPr>
          <w:sz w:val="24"/>
          <w:szCs w:val="24"/>
        </w:rPr>
        <w:t xml:space="preserve">The model has three layers, and this one picture shows all of them. The dashed orange line is layer one: the hidden true probability. It drifts every period as a bounded random walk — and no trader ever sees it. The blue line is layer two: the observed market price, which is the truth plus error. That's the only thing our trading strategies are allowed to look at. And at the end of the horizon comes layer three: settlement — the contract pays one dollar with exactly the hidden probability at expiry.</w:t>
      </w:r>
    </w:p>
    <w:p>
      <w:pPr>
        <w:spacing w:after="160" w:line="280"/>
        <w:ind w:left="360"/>
      </w:pPr>
      <w:r>
        <w:rPr>
          <w:i/>
          <w:iCs/>
          <w:color w:val="8A6D00"/>
          <w:sz w:val="21"/>
          <w:szCs w:val="21"/>
        </w:rPr>
        <w:t xml:space="preserve">Point at the dashed line, then the blue line, then the star at settlement.</w:t>
      </w:r>
    </w:p>
    <w:p>
      <w:pPr>
        <w:spacing w:after="180" w:line="300"/>
      </w:pPr>
      <w:r>
        <w:rPr>
          <w:sz w:val="24"/>
          <w:szCs w:val="24"/>
        </w:rPr>
        <w:t xml:space="preserve">The green line is the trading strategy's own estimate — a smoothed average of the price — and that little triangle is where it decided to buy. Profit is payout minus entry price. Notice what this design guarantees: a strategy can only make money by systematically buying below true value. It cannot profit by predicting noise, because settlement is graded against the truth.</w:t>
      </w:r>
    </w:p>
    <w:p>
      <w:pPr>
        <w:pStyle w:val="Heading2"/>
        <w:spacing w:after="140" w:before="360"/>
      </w:pPr>
      <w:r>
        <w:rPr>
          <w:b/>
          <w:bCs/>
          <w:sz w:val="28"/>
          <w:szCs w:val="28"/>
        </w:rPr>
        <w:t xml:space="preserve">Slide 5 — Layer 1 — the hidden truth</w:t>
      </w:r>
      <w:r>
        <w:rPr>
          <w:b w:val="false"/>
          <w:bCs w:val="false"/>
          <w:color w:val="898781"/>
          <w:sz w:val="22"/>
          <w:szCs w:val="22"/>
        </w:rPr>
        <w:t xml:space="preserve">   (~1 min)</w:t>
      </w:r>
    </w:p>
    <w:p>
      <w:pPr>
        <w:spacing w:after="180" w:line="300"/>
      </w:pPr>
      <w:r>
        <w:rPr>
          <w:sz w:val="24"/>
          <w:szCs w:val="24"/>
        </w:rPr>
        <w:t xml:space="preserve">Layer one in one formula. Tomorrow's truth equals today's truth plus a Gaussian shock, scaled by sigma-q and by the square root of q times one-minus-q, then clipped to stay strictly between zero and one.</w:t>
      </w:r>
    </w:p>
    <w:p>
      <w:pPr>
        <w:spacing w:after="180" w:line="300"/>
      </w:pPr>
      <w:r>
        <w:rPr>
          <w:sz w:val="24"/>
          <w:szCs w:val="24"/>
        </w:rPr>
        <w:t xml:space="preserve">Three deliberate choices here. First, the shocks are zero-mean, which makes the truth a martingale — today's probability is the best forecast of tomorrow's. That's the natural efficiency assumption, and it gives us sharp testable predictions we'll use for validation. Second, that square-root factor is the Bernoulli variance shape: probabilities near zero or one move less, so the walk stays a probability naturally rather than by brute-force clipping. Third, it's Markov — tomorrow depends only on today — which is the simplest defensible information structure.</w:t>
      </w:r>
    </w:p>
    <w:p>
      <w:pPr>
        <w:pStyle w:val="Heading2"/>
        <w:spacing w:after="140" w:before="360"/>
      </w:pPr>
      <w:r>
        <w:rPr>
          <w:b/>
          <w:bCs/>
          <w:sz w:val="28"/>
          <w:szCs w:val="28"/>
        </w:rPr>
        <w:t xml:space="preserve">Slide 6 — Layer 2 — two price mechanisms</w:t>
      </w:r>
      <w:r>
        <w:rPr>
          <w:b w:val="false"/>
          <w:bCs w:val="false"/>
          <w:color w:val="898781"/>
          <w:sz w:val="22"/>
          <w:szCs w:val="22"/>
        </w:rPr>
        <w:t xml:space="preserve">   (~1.5 min)</w:t>
      </w:r>
    </w:p>
    <w:p>
      <w:pPr>
        <w:spacing w:after="180" w:line="300"/>
      </w:pPr>
      <w:r>
        <w:rPr>
          <w:sz w:val="24"/>
          <w:szCs w:val="24"/>
        </w:rPr>
        <w:t xml:space="preserve">Layer two is where market quality lives, and it comes in two required variants. Variant A: the price is the truth plus fresh noise every period. Errors are born and die within one period — an instantly self-correcting market. Variant B: the price only closes a fraction kappa of its gap to the truth each period. Now errors persist — a shock decays slowly, and a cheap contract stays cheap for roughly one-over-kappa periods.</w:t>
      </w:r>
    </w:p>
    <w:p>
      <w:pPr>
        <w:spacing w:after="180" w:line="300"/>
      </w:pPr>
      <w:r>
        <w:rPr>
          <w:sz w:val="24"/>
          <w:szCs w:val="24"/>
        </w:rPr>
        <w:t xml:space="preserve">The elegant part: set kappa equal to one and variant B becomes variant A — exactly, path for path, on identical random draws. We enforce that with a test. So instead of two separate models, we get one continuous dial that runs from instant repricing down to very sticky mispricing.</w:t>
      </w:r>
    </w:p>
    <w:p>
      <w:pPr>
        <w:spacing w:after="180" w:line="300"/>
      </w:pPr>
      <w:r>
        <w:rPr>
          <w:sz w:val="24"/>
          <w:szCs w:val="24"/>
        </w:rPr>
        <w:t xml:space="preserve">Keep these two dials separate in your head: sigma-p is how MUCH error the price carries; kappa is how LONG that error lives. The punchline of our whole study hangs on which of those two matters.</w:t>
      </w:r>
    </w:p>
    <w:p>
      <w:pPr>
        <w:pStyle w:val="Heading2"/>
        <w:spacing w:after="140" w:before="360"/>
      </w:pPr>
      <w:r>
        <w:rPr>
          <w:b/>
          <w:bCs/>
          <w:sz w:val="28"/>
          <w:szCs w:val="28"/>
        </w:rPr>
        <w:t xml:space="preserve">Slide 7 — The trading policies</w:t>
      </w:r>
      <w:r>
        <w:rPr>
          <w:b w:val="false"/>
          <w:bCs w:val="false"/>
          <w:color w:val="898781"/>
          <w:sz w:val="22"/>
          <w:szCs w:val="22"/>
        </w:rPr>
        <w:t xml:space="preserve">   (~1 min)</w:t>
      </w:r>
    </w:p>
    <w:p>
      <w:pPr>
        <w:spacing w:after="180" w:line="300"/>
      </w:pPr>
      <w:r>
        <w:rPr>
          <w:sz w:val="24"/>
          <w:szCs w:val="24"/>
        </w:rPr>
        <w:t xml:space="preserve">The strategy family is deliberately simple. Keep an exponential moving average of the price — that's the fair-value estimate. When today's price sits more than delta below that average, buy one unit and hold to settlement. Alpha controls the memory of the average; delta controls how big a dip has to be before you call it a mispricing instead of a wiggle. We test a full three-by-three grid of alpha and delta, against two benchmarks: buy-and-hold — the “market is right” position — and never-trade, which is the sanity floor at exactly zero.</w:t>
      </w:r>
    </w:p>
    <w:p>
      <w:pPr>
        <w:spacing w:after="180" w:line="300"/>
      </w:pPr>
      <w:r>
        <w:rPr>
          <w:sz w:val="24"/>
          <w:szCs w:val="24"/>
        </w:rPr>
        <w:t xml:space="preserve">And one engineering constraint we treat as sacred: no lookahead. A policy's decide function receives a copy of prices up to now — and that is its entire universe. There is no code path through which the hidden truth, future prices, or the outcome could reach it.</w:t>
      </w:r>
    </w:p>
    <w:p>
      <w:pPr>
        <w:pStyle w:val="Heading2"/>
        <w:spacing w:after="140" w:before="360"/>
      </w:pPr>
      <w:r>
        <w:rPr>
          <w:b/>
          <w:bCs/>
          <w:sz w:val="28"/>
          <w:szCs w:val="28"/>
        </w:rPr>
        <w:t xml:space="preserve">Slide 8 — Why trust the numbers</w:t>
      </w:r>
      <w:r>
        <w:rPr>
          <w:b w:val="false"/>
          <w:bCs w:val="false"/>
          <w:color w:val="898781"/>
          <w:sz w:val="22"/>
          <w:szCs w:val="22"/>
        </w:rPr>
        <w:t xml:space="preserve">   (~1.5 min)</w:t>
      </w:r>
    </w:p>
    <w:p>
      <w:pPr>
        <w:spacing w:after="180" w:line="300"/>
      </w:pPr>
      <w:r>
        <w:rPr>
          <w:sz w:val="24"/>
          <w:szCs w:val="24"/>
        </w:rPr>
        <w:t xml:space="preserve">Thirty percent of this project's grade is implementation correctness, so here is the trust story. Thirty-seven automated tests gate every change. The five required checks: in the zero-noise limit the price equals the truth exactly and every strategy collapses to buy-and-hold, as theory demands. The martingale check: across twenty thousand runs, the mean final truth is 0.3996 against a starting value of 0.40, and settlement frequency matches too. Calibration: contracts started at ten percent settle yes about ten percent of the time, and so on across the grid. Seed reproducibility, pinned by a golden-value test on the exact random stream.</w:t>
      </w:r>
    </w:p>
    <w:p>
      <w:pPr>
        <w:spacing w:after="180" w:line="300"/>
      </w:pPr>
      <w:r>
        <w:rPr>
          <w:sz w:val="24"/>
          <w:szCs w:val="24"/>
        </w:rPr>
        <w:t xml:space="preserve">And the one I want to highlight: the no-lookahead test. We shock every price after period forty and verify that every trade decision before period forty is bit-for-bit identical — including for a probe policy we built specifically to exploit any leak.</w:t>
      </w:r>
    </w:p>
    <w:p>
      <w:pPr>
        <w:spacing w:after="180" w:line="300"/>
      </w:pPr>
      <w:r>
        <w:rPr>
          <w:sz w:val="24"/>
          <w:szCs w:val="24"/>
        </w:rPr>
        <w:t xml:space="preserve">Honest disclosure: our first version of that test had a bug — it never actually showed the shocked prices to the policy, so it could never fail. An adversarial review caught it, we rebuilt the test through the real trading harness, and the fix is documented in the repo. We're telling you this because a test that cannot fail is worse than no test — and now we know ours can.</w:t>
      </w:r>
    </w:p>
    <w:p>
      <w:pPr>
        <w:pStyle w:val="Heading2"/>
        <w:spacing w:after="140" w:before="360"/>
      </w:pPr>
      <w:r>
        <w:rPr>
          <w:b/>
          <w:bCs/>
          <w:sz w:val="28"/>
          <w:szCs w:val="28"/>
        </w:rPr>
        <w:t xml:space="preserve">Slide 9 — Experiment design</w:t>
      </w:r>
      <w:r>
        <w:rPr>
          <w:b w:val="false"/>
          <w:bCs w:val="false"/>
          <w:color w:val="898781"/>
          <w:sz w:val="22"/>
          <w:szCs w:val="22"/>
        </w:rPr>
        <w:t xml:space="preserve">   (~1 min)</w:t>
      </w:r>
    </w:p>
    <w:p>
      <w:pPr>
        <w:spacing w:after="180" w:line="300"/>
      </w:pPr>
      <w:r>
        <w:rPr>
          <w:sz w:val="24"/>
          <w:szCs w:val="24"/>
        </w:rPr>
        <w:t xml:space="preserve">Methodology in three bullets. One: every estimate comes with a ninety-five percent confidence interval from the central limit theorem. Two: every policy at a given parameter setting is evaluated on the SAME simulated paths — common random numbers — and every claim that something “beats buy-and-hold” is a paired-difference interval sitting entirely above zero. Pairing removes path luck and shrinks comparison variance by roughly a factor of ten. Three: run-length control — this chart — where we keep doubling the number of replications until the interval is as tight as we demanded. For our headline cell, a half-width of half a cent took sixty-four thousand replications.</w:t>
      </w:r>
    </w:p>
    <w:p>
      <w:pPr>
        <w:spacing w:after="160" w:line="280"/>
        <w:ind w:left="360"/>
      </w:pPr>
      <w:r>
        <w:rPr>
          <w:i/>
          <w:iCs/>
          <w:color w:val="8A6D00"/>
          <w:sz w:val="21"/>
          <w:szCs w:val="21"/>
        </w:rPr>
        <w:t xml:space="preserve">Gesture at the log-log chart — the line is the theoretical one-over-root-n slope.</w:t>
      </w:r>
    </w:p>
    <w:p>
      <w:pPr>
        <w:pStyle w:val="Heading2"/>
        <w:spacing w:after="140" w:before="360"/>
      </w:pPr>
      <w:r>
        <w:rPr>
          <w:b/>
          <w:bCs/>
          <w:sz w:val="28"/>
          <w:szCs w:val="28"/>
        </w:rPr>
        <w:t xml:space="preserve">Slide 10 — Baseline results</w:t>
      </w:r>
      <w:r>
        <w:rPr>
          <w:b w:val="false"/>
          <w:bCs w:val="false"/>
          <w:color w:val="898781"/>
          <w:sz w:val="22"/>
          <w:szCs w:val="22"/>
        </w:rPr>
        <w:t xml:space="preserve">   (~1.5 min)</w:t>
      </w:r>
    </w:p>
    <w:p>
      <w:pPr>
        <w:spacing w:after="180" w:line="300"/>
      </w:pPr>
      <w:r>
        <w:rPr>
          <w:sz w:val="24"/>
          <w:szCs w:val="24"/>
        </w:rPr>
        <w:t xml:space="preserve">Now the results. This is the full policy grid at our baseline market — moderate persistence, realistic noise. Eight of the nine grid cells beat buy-and-hold with statistical significance. The winner, outlined, is slow smoothing with a wide threshold: alpha 0.1, delta 0.10. It earns about ten cents per one-dollar contract, while buy-and-hold earns nothing — which it must, since it buys at a fair price on average.</w:t>
      </w:r>
    </w:p>
    <w:p>
      <w:pPr>
        <w:spacing w:after="180" w:line="300"/>
      </w:pPr>
      <w:r>
        <w:rPr>
          <w:sz w:val="24"/>
          <w:szCs w:val="24"/>
        </w:rPr>
        <w:t xml:space="preserve">The winner's character is patience in both dials: a long-memory estimate, and a trigger that only fires on roughly two-sigma dips — the dips most likely to be genuine mispricing. And notice the corner cell — fast smoothing with a wide threshold — that one almost never trades: a fast average hugs the price so closely that a ten-cent gap never opens. The two dials interact.</w:t>
      </w:r>
    </w:p>
    <w:p>
      <w:pPr>
        <w:pStyle w:val="Heading2"/>
        <w:spacing w:after="140" w:before="360"/>
      </w:pPr>
      <w:r>
        <w:rPr>
          <w:b/>
          <w:bCs/>
          <w:sz w:val="28"/>
          <w:szCs w:val="28"/>
        </w:rPr>
        <w:t xml:space="preserve">Slide 11 — Headline — how much persistence?</w:t>
      </w:r>
      <w:r>
        <w:rPr>
          <w:b w:val="false"/>
          <w:bCs w:val="false"/>
          <w:color w:val="898781"/>
          <w:sz w:val="22"/>
          <w:szCs w:val="22"/>
        </w:rPr>
        <w:t xml:space="preserve">   (~1.5 min)</w:t>
      </w:r>
    </w:p>
    <w:p>
      <w:pPr>
        <w:spacing w:after="180" w:line="300"/>
      </w:pPr>
      <w:r>
        <w:rPr>
          <w:sz w:val="24"/>
          <w:szCs w:val="24"/>
        </w:rPr>
        <w:t xml:space="preserve">Our headline experiment asked: how sluggish does the market need to be before the strategy wins? We expected a threshold — some kappa below which it works and above which it doesn't.</w:t>
      </w:r>
    </w:p>
    <w:p>
      <w:pPr>
        <w:spacing w:after="180" w:line="300"/>
      </w:pPr>
      <w:r>
        <w:rPr>
          <w:sz w:val="24"/>
          <w:szCs w:val="24"/>
        </w:rPr>
        <w:t xml:space="preserve">The model said: wrong expectation. The edge is positive and significant at EVERY kappa from 0.05 to 1, at every fee level up to two cents. Even the worst case for the trader — no persistence at all and two-cent fees — leaves better than nine cents of edge.</w:t>
      </w:r>
    </w:p>
    <w:p>
      <w:pPr>
        <w:spacing w:after="180" w:line="300"/>
      </w:pPr>
      <w:r>
        <w:rPr>
          <w:sz w:val="24"/>
          <w:szCs w:val="24"/>
        </w:rPr>
        <w:t xml:space="preserve">What persistence does instead is shape the edge, with a peak at kappa around 0.2 to 0.3. The intuition cuts both ways: if the market corrects too fast, the dip you bought has mostly closed by tomorrow — profitable, but small. If it corrects too slowly, the mispricing outlives the contract and never finishes paying you. The sweet spot is dips that last long enough to catch, and correct before settlement.</w:t>
      </w:r>
    </w:p>
    <w:p>
      <w:pPr>
        <w:pStyle w:val="Heading2"/>
        <w:spacing w:after="140" w:before="360"/>
      </w:pPr>
      <w:r>
        <w:rPr>
          <w:b/>
          <w:bCs/>
          <w:sz w:val="28"/>
          <w:szCs w:val="28"/>
        </w:rPr>
        <w:t xml:space="preserve">Slide 12 — The twist — noise creates the edge</w:t>
      </w:r>
      <w:r>
        <w:rPr>
          <w:b w:val="false"/>
          <w:bCs w:val="false"/>
          <w:color w:val="898781"/>
          <w:sz w:val="22"/>
          <w:szCs w:val="22"/>
        </w:rPr>
        <w:t xml:space="preserve">   (~1.5 min)</w:t>
      </w:r>
    </w:p>
    <w:p>
      <w:pPr>
        <w:spacing w:after="180" w:line="300"/>
      </w:pPr>
      <w:r>
        <w:rPr>
          <w:sz w:val="24"/>
          <w:szCs w:val="24"/>
        </w:rPr>
        <w:t xml:space="preserve">So if persistence isn't the driver, what is? This heatmap is the real answer, and it's the central slide of the talk. Read it by rows: at every persistence level, the edge scales with the amount of noise. Tiny noise, tiny edge. Big noise, twenty cents of edge. And the bottom line of the table: at exactly zero noise, the edge is exactly nothing — statistically indistinguishable from zero at any kappa.</w:t>
      </w:r>
    </w:p>
    <w:p>
      <w:pPr>
        <w:spacing w:after="180" w:line="300"/>
      </w:pPr>
      <w:r>
        <w:rPr>
          <w:sz w:val="24"/>
          <w:szCs w:val="24"/>
        </w:rPr>
        <w:t xml:space="preserve">So the mechanism is: observation noise CREATES the opportunity; persistence only shapes how easy it is to harvest. Which makes sense once you say it out loud — a dip-buying rule is fundamentally a bet that dips are noise, not news. In this model, by construction, every dip IS noise. That framing also tells us exactly where the result should break — and we tested that too, which is slide fifteen.</w:t>
      </w:r>
    </w:p>
    <w:p>
      <w:pPr>
        <w:pStyle w:val="Heading2"/>
        <w:spacing w:after="140" w:before="360"/>
      </w:pPr>
      <w:r>
        <w:rPr>
          <w:b/>
          <w:bCs/>
          <w:sz w:val="28"/>
          <w:szCs w:val="28"/>
        </w:rPr>
        <w:t xml:space="preserve">Slide 13 — Risk profile</w:t>
      </w:r>
      <w:r>
        <w:rPr>
          <w:b w:val="false"/>
          <w:bCs w:val="false"/>
          <w:color w:val="898781"/>
          <w:sz w:val="22"/>
          <w:szCs w:val="22"/>
        </w:rPr>
        <w:t xml:space="preserve">   (~1 min)</w:t>
      </w:r>
    </w:p>
    <w:p>
      <w:pPr>
        <w:spacing w:after="180" w:line="300"/>
      </w:pPr>
      <w:r>
        <w:rPr>
          <w:sz w:val="24"/>
          <w:szCs w:val="24"/>
        </w:rPr>
        <w:t xml:space="preserve">A quick look past the averages, because a real trader cares about the distribution. Settlement is all-or-nothing, so profits are bimodal — you see a loss lobe, paths where we bought and the contract died, and a win lobe where it paid. Here's the counterintuitive part: the winning strategy loses MORE often than not — fifty-nine percent of the time — and is still strongly profitable. Buying cheap cuts both ways: when you're wrong you've lost a smaller stake — twenty-nine cents versus forty for buy-and-hold — and when you're right, the payout is the same dollar bought at a discount. It doesn't lose less often; it loses less.</w:t>
      </w:r>
    </w:p>
    <w:p>
      <w:pPr>
        <w:pStyle w:val="Heading2"/>
        <w:spacing w:after="140" w:before="360"/>
      </w:pPr>
      <w:r>
        <w:rPr>
          <w:b/>
          <w:bCs/>
          <w:sz w:val="28"/>
          <w:szCs w:val="28"/>
        </w:rPr>
        <w:t xml:space="preserve">Slide 14 — Grounding in reality</w:t>
      </w:r>
      <w:r>
        <w:rPr>
          <w:b w:val="false"/>
          <w:bCs w:val="false"/>
          <w:color w:val="898781"/>
          <w:sz w:val="22"/>
          <w:szCs w:val="22"/>
        </w:rPr>
        <w:t xml:space="preserve">   (~1 min)</w:t>
      </w:r>
    </w:p>
    <w:p>
      <w:pPr>
        <w:spacing w:after="180" w:line="300"/>
      </w:pPr>
      <w:r>
        <w:rPr>
          <w:sz w:val="24"/>
          <w:szCs w:val="24"/>
        </w:rPr>
        <w:t xml:space="preserve">Are our dials realistic? We pull real price histories straight from Polymarket's public APIs — you can paste any market URL into our dashboard — and map them onto model inputs by method of moments: the lag-one autocovariance of price changes identifies the observation noise, the residual variance identifies the hidden volatility. Five real markets ship with the repo as offline samples, so everything works without wifi.</w:t>
      </w:r>
    </w:p>
    <w:p>
      <w:pPr>
        <w:spacing w:after="180" w:line="300"/>
      </w:pPr>
      <w:r>
        <w:rPr>
          <w:sz w:val="24"/>
          <w:szCs w:val="24"/>
        </w:rPr>
        <w:t xml:space="preserve">The verdict: real hidden-volatility estimates run from 0.002 to 0.019 per hour-step, so our default of 0.02 sits at the realistic-but-volatile end — the right stress setting. And to repeat the scope guard: real data sets inputs only. We do not backtest on it, and we make no claims about real-world profits.</w:t>
      </w:r>
    </w:p>
    <w:p>
      <w:pPr>
        <w:pStyle w:val="Heading2"/>
        <w:spacing w:after="140" w:before="360"/>
      </w:pPr>
      <w:r>
        <w:rPr>
          <w:b/>
          <w:bCs/>
          <w:sz w:val="28"/>
          <w:szCs w:val="28"/>
        </w:rPr>
        <w:t xml:space="preserve">Slide 15 — Extension — Poisson news jumps</w:t>
      </w:r>
      <w:r>
        <w:rPr>
          <w:b w:val="false"/>
          <w:bCs w:val="false"/>
          <w:color w:val="898781"/>
          <w:sz w:val="22"/>
          <w:szCs w:val="22"/>
        </w:rPr>
        <w:t xml:space="preserve">   (~1.5 min)</w:t>
      </w:r>
    </w:p>
    <w:p>
      <w:pPr>
        <w:spacing w:after="180" w:line="300"/>
      </w:pPr>
      <w:r>
        <w:rPr>
          <w:sz w:val="24"/>
          <w:szCs w:val="24"/>
        </w:rPr>
        <w:t xml:space="preserve">Slide twelve predicted where the result breaks: when dips can be news instead of noise. So we tested it. As a clearly-flagged extension beyond the approved model — off by default, and guarded so that when it's off, the approved model's output is bit-for-bit unchanged — we let the hidden truth take rare, large, zero-mean jumps, arriving as a Poisson process.</w:t>
      </w:r>
    </w:p>
    <w:p>
      <w:pPr>
        <w:spacing w:after="180" w:line="300"/>
      </w:pPr>
      <w:r>
        <w:rPr>
          <w:sz w:val="24"/>
          <w:szCs w:val="24"/>
        </w:rPr>
        <w:t xml:space="preserve">The first path we looked at tells the story: the truth jumps down on news, the lagging price slides after it, the slide reads as a dip against the moving average, and our strategy buys real bad news at forty cents. The contract settles at zero. Minus forty cents.</w:t>
      </w:r>
    </w:p>
    <w:p>
      <w:pPr>
        <w:spacing w:after="180" w:line="300"/>
      </w:pPr>
      <w:r>
        <w:rPr>
          <w:sz w:val="24"/>
          <w:szCs w:val="24"/>
        </w:rPr>
        <w:t xml:space="preserve">Quantified across all four model worlds — both variants, jumps on and off — the edge survives but decays roughly linearly in the news rate: down a quarter at one news event per twenty periods, down two-thirds at one per five. And a detail we love: with jumps on, the winning strategy flips from slow smoothing to fast smoothing. When the world can jump, long memory stops being patience and becomes a stale anchor.</w:t>
      </w:r>
    </w:p>
    <w:p>
      <w:pPr>
        <w:pStyle w:val="Heading2"/>
        <w:spacing w:after="140" w:before="360"/>
      </w:pPr>
      <w:r>
        <w:rPr>
          <w:b/>
          <w:bCs/>
          <w:sz w:val="28"/>
          <w:szCs w:val="28"/>
        </w:rPr>
        <w:t xml:space="preserve">Slide 16 — Live demo</w:t>
      </w:r>
      <w:r>
        <w:rPr>
          <w:b w:val="false"/>
          <w:bCs w:val="false"/>
          <w:color w:val="898781"/>
          <w:sz w:val="22"/>
          <w:szCs w:val="22"/>
        </w:rPr>
        <w:t xml:space="preserve">   (~4–5 min)</w:t>
      </w:r>
    </w:p>
    <w:p>
      <w:pPr>
        <w:spacing w:after="180" w:line="300"/>
      </w:pPr>
      <w:r>
        <w:rPr>
          <w:sz w:val="24"/>
          <w:szCs w:val="24"/>
        </w:rPr>
        <w:t xml:space="preserve">Enough slides — let's break the market live.</w:t>
      </w:r>
    </w:p>
    <w:p>
      <w:pPr>
        <w:spacing w:after="160" w:line="280"/>
        <w:ind w:left="360"/>
      </w:pPr>
      <w:r>
        <w:rPr>
          <w:i/>
          <w:iCs/>
          <w:color w:val="8A6D00"/>
          <w:sz w:val="21"/>
          <w:szCs w:val="21"/>
        </w:rPr>
        <w:t xml:space="preserve">Click “Open the dashboard”. Demo script, in order:</w:t>
      </w:r>
    </w:p>
    <w:p>
      <w:pPr>
        <w:spacing w:after="160" w:line="280"/>
        <w:ind w:left="360"/>
      </w:pPr>
      <w:r>
        <w:rPr>
          <w:i/>
          <w:iCs/>
          <w:color w:val="8A6D00"/>
          <w:sz w:val="21"/>
          <w:szCs w:val="21"/>
        </w:rPr>
        <w:t xml:space="preserve">1. Single Path Explorer: hit Resimulate two or three times. Say: “dashed line is the truth the trader can't see; blue is what they trade on.”</w:t>
      </w:r>
    </w:p>
    <w:p>
      <w:pPr>
        <w:spacing w:after="160" w:line="280"/>
        <w:ind w:left="360"/>
      </w:pPr>
      <w:r>
        <w:rPr>
          <w:i/>
          <w:iCs/>
          <w:color w:val="8A6D00"/>
          <w:sz w:val="21"/>
          <w:szCs w:val="21"/>
        </w:rPr>
        <w:t xml:space="preserve">2. Policy Lab: drag delta from 0.05 up to 0.15 and watch the verdict banner flip from ‘beats buy-and-hold’ to ‘no significant difference’. Say: “same market, same data — the strategy just stopped finding trades, and the confidence interval says so.”</w:t>
      </w:r>
    </w:p>
    <w:p>
      <w:pPr>
        <w:spacing w:after="160" w:line="280"/>
        <w:ind w:left="360"/>
      </w:pPr>
      <w:r>
        <w:rPr>
          <w:i/>
          <w:iCs/>
          <w:color w:val="8A6D00"/>
          <w:sz w:val="21"/>
          <w:szCs w:val="21"/>
        </w:rPr>
        <w:t xml:space="preserve">3. Load a real market: paste a Polymarket URL (or pick the NVIDIA bundled sample if wifi is down), click Fetch, then Prefill. Point out the real series overlaid on the simulation and the implied parameters.</w:t>
      </w:r>
    </w:p>
    <w:p>
      <w:pPr>
        <w:spacing w:after="160" w:line="280"/>
        <w:ind w:left="360"/>
      </w:pPr>
      <w:r>
        <w:rPr>
          <w:i/>
          <w:iCs/>
          <w:color w:val="8A6D00"/>
          <w:sz w:val="21"/>
          <w:szCs w:val="21"/>
        </w:rPr>
        <w:t xml:space="preserve">4. News jumps: open the 🗞️ expander, toggle jumps on, Resimulate until a down-jump path appears. Say: “watch the strategy buy a dip that was actually news.”</w:t>
      </w:r>
    </w:p>
    <w:p>
      <w:pPr>
        <w:spacing w:after="160" w:line="280"/>
        <w:ind w:left="360"/>
      </w:pPr>
      <w:r>
        <w:rPr>
          <w:i/>
          <w:iCs/>
          <w:color w:val="8A6D00"/>
          <w:sz w:val="21"/>
          <w:szCs w:val="21"/>
        </w:rPr>
        <w:t xml:space="preserve">5. If time allows: Policy Grid tab — point at the outlined winner; Sensitivity tab — the kappa curve live.</w:t>
      </w:r>
    </w:p>
    <w:p>
      <w:pPr>
        <w:spacing w:after="180" w:line="300"/>
      </w:pPr>
      <w:r>
        <w:rPr>
          <w:sz w:val="24"/>
          <w:szCs w:val="24"/>
        </w:rPr>
        <w:t xml:space="preserve">Everything you just saw is seeded — if you run this at home with the same seed, you get these exact paths, trades, and intervals.</w:t>
      </w:r>
    </w:p>
    <w:p>
      <w:pPr>
        <w:pStyle w:val="Heading2"/>
        <w:spacing w:after="140" w:before="360"/>
      </w:pPr>
      <w:r>
        <w:rPr>
          <w:b/>
          <w:bCs/>
          <w:sz w:val="28"/>
          <w:szCs w:val="28"/>
        </w:rPr>
        <w:t xml:space="preserve">Slide 17 — Conclusions</w:t>
      </w:r>
      <w:r>
        <w:rPr>
          <w:b w:val="false"/>
          <w:bCs w:val="false"/>
          <w:color w:val="898781"/>
          <w:sz w:val="22"/>
          <w:szCs w:val="22"/>
        </w:rPr>
        <w:t xml:space="preserve">   (~1 min)</w:t>
      </w:r>
    </w:p>
    <w:p>
      <w:pPr>
        <w:spacing w:after="180" w:line="300"/>
      </w:pPr>
      <w:r>
        <w:rPr>
          <w:sz w:val="24"/>
          <w:szCs w:val="24"/>
        </w:rPr>
        <w:t xml:space="preserve">To land the plane. A naive dip-buying rule beats buy-and-hold decisively in this model — ten cents per dollar contract, significant across the entire persistence range, surviving realistic fees. The threshold we went looking for doesn't exist: noise creates the edge, persistence only shapes it, and news erodes it — linearly, and measurably.</w:t>
      </w:r>
    </w:p>
    <w:p>
      <w:pPr>
        <w:spacing w:after="180" w:line="300"/>
      </w:pPr>
      <w:r>
        <w:rPr>
          <w:sz w:val="24"/>
          <w:szCs w:val="24"/>
        </w:rPr>
        <w:t xml:space="preserve">The bigger lesson we'd offer: the most valuable output of a simulation study isn't the number you asked for — it's the mechanism it forces you to articulate. We asked how much persistence a trader needs. The model told us we'd asked the wrong question, and handed us a better one: count the noise, not the stickiness.</w:t>
      </w:r>
    </w:p>
    <w:p>
      <w:pPr>
        <w:spacing w:after="180" w:line="300"/>
      </w:pPr>
      <w:r>
        <w:rPr>
          <w:sz w:val="24"/>
          <w:szCs w:val="24"/>
        </w:rPr>
        <w:t xml:space="preserve">Everything — code, thirty-seven tests, every CSV, the dashboard, and these slides — is on GitHub and regenerates from one seed. Thank you. Questions?</w:t>
      </w:r>
    </w:p>
    <w:p>
      <w:pPr>
        <w:spacing w:after="160" w:line="280"/>
        <w:ind w:left="360"/>
      </w:pPr>
      <w:r>
        <w:rPr>
          <w:i/>
          <w:iCs/>
          <w:color w:val="8A6D00"/>
          <w:sz w:val="21"/>
          <w:szCs w:val="21"/>
        </w:rPr>
        <w:t xml:space="preserve">Likely questions: “Can I make money on Polymarket with this?” → scope-guard answer: the model assumes all mispricing is noise; real markets mix noise and news, and slide 15 shows what news does. “Why EMA and not something smarter?” → the point was whether even a naive rule finds the noise; smarter rules are future work. “Why is buy-and-hold exactly zero?” → martingale truth plus mean-zero noise at entry: it pays a fair price on average.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78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A1A19"/>
      <w:sz w:val="34"/>
      <w:szCs w:val="34"/>
    </w:rPr>
  </w:style>
  <w:style w:type="paragraph" w:styleId="Heading2">
    <w:name w:val="Heading 2"/>
    <w:basedOn w:val="Normal"/>
    <w:next w:val="Normal"/>
    <w:rPr>
      <w:rFonts w:ascii="Calibri" w:cs="Calibri" w:eastAsia="Calibri" w:hAnsi="Calibri"/>
      <w:b/>
      <w:bCs/>
      <w:color w:val="1A1A1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2026-08-12T01:43:11.209Z</dcterms:created>
  <dcterms:modified xsi:type="dcterms:W3CDTF">2026-08-12T01:43:11.209Z</dcterms:modified>
</cp:coreProperties>
</file>

<file path=docProps/custom.xml><?xml version="1.0" encoding="utf-8"?>
<Properties xmlns="http://schemas.openxmlformats.org/officeDocument/2006/custom-properties" xmlns:vt="http://schemas.openxmlformats.org/officeDocument/2006/docPropsVTypes"/>
</file>