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df" ContentType="application/pdf"/>
  <Override PartName="/word/media/rId66.pdf" ContentType="application/pdf"/>
  <Override PartName="/word/media/rId77.pdf" ContentType="application/pdf"/>
  <Override PartName="/word/media/rId84.pdf" ContentType="application/pdf"/>
  <Override PartName="/word/media/rId81.pdf" ContentType="application/pdf"/>
  <Override PartName="/word/media/rId89.pdf" ContentType="application/pdf"/>
  <Override PartName="/word/media/rId73.pdf" ContentType="application/pdf"/>
  <Override PartName="/word/media/rId69.pdf" ContentType="application/pdf"/>
  <Override PartName="/word/media/rId55.jpg" ContentType="image/jpeg"/>
  <Override PartName="/word/media/rId52.jpg" ContentType="image/jpeg"/>
  <Override PartName="/word/media/rId49.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21"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20" w:name="содержание"/>
    <w:p>
      <w:pPr>
        <w:pStyle w:val="Heading2"/>
      </w:pPr>
      <w:r>
        <w:t xml:space="preserve">Содержание</w:t>
      </w:r>
    </w:p>
    <w:p>
      <w:pPr>
        <w:numPr>
          <w:ilvl w:val="0"/>
          <w:numId w:val="1001"/>
        </w:numPr>
        <w:pStyle w:val="Compact"/>
      </w:pPr>
      <w:r>
        <w:t xml:space="preserve">Аннотация</w:t>
      </w:r>
    </w:p>
    <w:p>
      <w:pPr>
        <w:numPr>
          <w:ilvl w:val="0"/>
          <w:numId w:val="1001"/>
        </w:numPr>
        <w:pStyle w:val="Compact"/>
      </w:pPr>
      <w:r>
        <w:t xml:space="preserve">Список сокращений и обозначений</w:t>
      </w:r>
    </w:p>
    <w:p>
      <w:pPr>
        <w:numPr>
          <w:ilvl w:val="0"/>
          <w:numId w:val="1001"/>
        </w:numPr>
        <w:pStyle w:val="Compact"/>
      </w:pPr>
      <w:r>
        <w:t xml:space="preserve">Введение</w:t>
      </w:r>
    </w:p>
    <w:p>
      <w:pPr>
        <w:numPr>
          <w:ilvl w:val="0"/>
          <w:numId w:val="1001"/>
        </w:numPr>
        <w:pStyle w:val="Compact"/>
      </w:pPr>
      <w:r>
        <w:t xml:space="preserve">Глава 1. Аналитический обзор систем интеллектуального управления микроклиматом теплицы</w:t>
      </w:r>
    </w:p>
    <w:p>
      <w:pPr>
        <w:numPr>
          <w:ilvl w:val="0"/>
          <w:numId w:val="1001"/>
        </w:numPr>
        <w:pStyle w:val="Compact"/>
      </w:pPr>
      <w:r>
        <w:t xml:space="preserve">Глава 2. Проектирование расширяемой IoT/ML-платформы управления микроклиматом теплицы</w:t>
      </w:r>
    </w:p>
    <w:p>
      <w:pPr>
        <w:numPr>
          <w:ilvl w:val="0"/>
          <w:numId w:val="1001"/>
        </w:numPr>
        <w:pStyle w:val="Compact"/>
      </w:pPr>
      <w:r>
        <w:t xml:space="preserve">Глава 3. Реализация, опытное внедрение и анализ данных платформы</w:t>
      </w:r>
    </w:p>
    <w:p>
      <w:pPr>
        <w:numPr>
          <w:ilvl w:val="0"/>
          <w:numId w:val="1001"/>
        </w:numPr>
        <w:pStyle w:val="Compact"/>
      </w:pPr>
      <w:r>
        <w:t xml:space="preserve">Заключение</w:t>
      </w:r>
    </w:p>
    <w:p>
      <w:pPr>
        <w:numPr>
          <w:ilvl w:val="0"/>
          <w:numId w:val="1001"/>
        </w:numPr>
        <w:pStyle w:val="Compact"/>
      </w:pPr>
      <w:r>
        <w:t xml:space="preserve">Список литературы</w:t>
      </w:r>
    </w:p>
    <w:bookmarkEnd w:id="20"/>
    <w:bookmarkEnd w:id="21"/>
    <w:bookmarkStart w:id="22"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22"/>
    <w:bookmarkStart w:id="23"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Сокращение</w:t>
            </w:r>
          </w:p>
        </w:tc>
        <w:tc>
          <w:tcPr/>
          <w:p>
            <w:pPr>
              <w:pStyle w:val="Compact"/>
              <w:jc w:val="left"/>
            </w:pPr>
            <w:r>
              <w:t xml:space="preserve">Расшифровка</w:t>
            </w:r>
          </w:p>
        </w:tc>
        <w:tc>
          <w:tcPr/>
          <w:p>
            <w:pPr>
              <w:pStyle w:val="Compact"/>
              <w:jc w:val="left"/>
            </w:pPr>
            <w:r>
              <w:t xml:space="preserve">Пояснение в контексте работы</w:t>
            </w:r>
          </w:p>
        </w:tc>
      </w:tr>
      <w:tr>
        <w:tc>
          <w:tcPr/>
          <w:p>
            <w:pPr>
              <w:pStyle w:val="Compact"/>
              <w:jc w:val="left"/>
            </w:pPr>
            <w:r>
              <w:t xml:space="preserve">АСУ</w:t>
            </w:r>
          </w:p>
        </w:tc>
        <w:tc>
          <w:tcPr/>
          <w:p>
            <w:pPr>
              <w:pStyle w:val="Compact"/>
              <w:jc w:val="left"/>
            </w:pPr>
            <w:r>
              <w:t xml:space="preserve">автоматизированная система управления</w:t>
            </w:r>
          </w:p>
        </w:tc>
        <w:tc>
          <w:tcPr/>
          <w:p>
            <w:pPr>
              <w:pStyle w:val="Compact"/>
              <w:jc w:val="left"/>
            </w:pPr>
            <w:r>
              <w:t xml:space="preserve">система наблюдения и управления параметрами микроклимата</w:t>
            </w:r>
          </w:p>
        </w:tc>
      </w:tr>
      <w:tr>
        <w:tc>
          <w:tcPr/>
          <w:p>
            <w:pPr>
              <w:pStyle w:val="Compact"/>
              <w:jc w:val="left"/>
            </w:pPr>
            <w:r>
              <w:t xml:space="preserve">ВКР</w:t>
            </w:r>
          </w:p>
        </w:tc>
        <w:tc>
          <w:tcPr/>
          <w:p>
            <w:pPr>
              <w:pStyle w:val="Compact"/>
              <w:jc w:val="left"/>
            </w:pPr>
            <w:r>
              <w:t xml:space="preserve">выпускная квалификационная работа</w:t>
            </w:r>
          </w:p>
        </w:tc>
        <w:tc>
          <w:tcPr/>
          <w:p>
            <w:pPr>
              <w:pStyle w:val="Compact"/>
              <w:jc w:val="left"/>
            </w:pPr>
            <w:r>
              <w:t xml:space="preserve">итоговая квалификационная работа магистранта</w:t>
            </w:r>
          </w:p>
        </w:tc>
      </w:tr>
      <w:tr>
        <w:tc>
          <w:tcPr/>
          <w:p>
            <w:pPr>
              <w:pStyle w:val="Compact"/>
              <w:jc w:val="left"/>
            </w:pPr>
            <w:r>
              <w:t xml:space="preserve">ИИ</w:t>
            </w:r>
          </w:p>
        </w:tc>
        <w:tc>
          <w:tcPr/>
          <w:p>
            <w:pPr>
              <w:pStyle w:val="Compact"/>
              <w:jc w:val="left"/>
            </w:pPr>
            <w:r>
              <w:t xml:space="preserve">искусственный интеллект</w:t>
            </w:r>
          </w:p>
        </w:tc>
        <w:tc>
          <w:tcPr/>
          <w:p>
            <w:pPr>
              <w:pStyle w:val="Compact"/>
              <w:jc w:val="left"/>
            </w:pPr>
            <w:r>
              <w:t xml:space="preserve">методы анализа данных и поддержки принятия решений</w:t>
            </w:r>
          </w:p>
        </w:tc>
      </w:tr>
      <w:tr>
        <w:tc>
          <w:tcPr/>
          <w:p>
            <w:pPr>
              <w:pStyle w:val="Compact"/>
              <w:jc w:val="left"/>
            </w:pPr>
            <w:r>
              <w:t xml:space="preserve">IoT</w:t>
            </w:r>
          </w:p>
        </w:tc>
        <w:tc>
          <w:tcPr/>
          <w:p>
            <w:pPr>
              <w:pStyle w:val="Compact"/>
              <w:jc w:val="left"/>
            </w:pPr>
            <w:r>
              <w:t xml:space="preserve">internet of things</w:t>
            </w:r>
          </w:p>
        </w:tc>
        <w:tc>
          <w:tcPr/>
          <w:p>
            <w:pPr>
              <w:pStyle w:val="Compact"/>
              <w:jc w:val="left"/>
            </w:pPr>
            <w:r>
              <w:t xml:space="preserve">подход к объединению датчиков, исполнительных устройств и программных сервисов</w:t>
            </w:r>
          </w:p>
        </w:tc>
      </w:tr>
      <w:tr>
        <w:tc>
          <w:tcPr/>
          <w:p>
            <w:pPr>
              <w:pStyle w:val="Compact"/>
              <w:jc w:val="left"/>
            </w:pPr>
            <w:r>
              <w:t xml:space="preserve">ML</w:t>
            </w:r>
          </w:p>
        </w:tc>
        <w:tc>
          <w:tcPr/>
          <w:p>
            <w:pPr>
              <w:pStyle w:val="Compact"/>
              <w:jc w:val="left"/>
            </w:pPr>
            <w:r>
              <w:t xml:space="preserve">machine learning</w:t>
            </w:r>
          </w:p>
        </w:tc>
        <w:tc>
          <w:tcPr/>
          <w:p>
            <w:pPr>
              <w:pStyle w:val="Compact"/>
              <w:jc w:val="left"/>
            </w:pPr>
            <w:r>
              <w:t xml:space="preserve">машинное обучение, применяемое для анализа и прогнозирования временных рядов</w:t>
            </w:r>
          </w:p>
        </w:tc>
      </w:tr>
      <w:tr>
        <w:tc>
          <w:tcPr/>
          <w:p>
            <w:pPr>
              <w:pStyle w:val="Compact"/>
              <w:jc w:val="left"/>
            </w:pPr>
            <w:r>
              <w:t xml:space="preserve">MQTT</w:t>
            </w:r>
          </w:p>
        </w:tc>
        <w:tc>
          <w:tcPr/>
          <w:p>
            <w:pPr>
              <w:pStyle w:val="Compact"/>
              <w:jc w:val="left"/>
            </w:pPr>
            <w:r>
              <w:t xml:space="preserve">message queuing telemetry transport</w:t>
            </w:r>
          </w:p>
        </w:tc>
        <w:tc>
          <w:tcPr/>
          <w:p>
            <w:pPr>
              <w:pStyle w:val="Compact"/>
              <w:jc w:val="left"/>
            </w:pPr>
            <w:r>
              <w:t xml:space="preserve">легкий протокол обмена сообщениями в IoT-системах</w:t>
            </w:r>
          </w:p>
        </w:tc>
      </w:tr>
      <w:tr>
        <w:tc>
          <w:tcPr/>
          <w:p>
            <w:pPr>
              <w:pStyle w:val="Compact"/>
              <w:jc w:val="left"/>
            </w:pPr>
            <w:r>
              <w:t xml:space="preserve">CO2</w:t>
            </w:r>
          </w:p>
        </w:tc>
        <w:tc>
          <w:tcPr/>
          <w:p>
            <w:pPr>
              <w:pStyle w:val="Compact"/>
              <w:jc w:val="left"/>
            </w:pPr>
            <w:r>
              <w:t xml:space="preserve">carbon dioxide</w:t>
            </w:r>
          </w:p>
        </w:tc>
        <w:tc>
          <w:tcPr/>
          <w:p>
            <w:pPr>
              <w:pStyle w:val="Compact"/>
              <w:jc w:val="left"/>
            </w:pPr>
            <w:r>
              <w:t xml:space="preserve">концентрация углекислого газа в воздухе теплицы</w:t>
            </w:r>
          </w:p>
        </w:tc>
      </w:tr>
      <w:tr>
        <w:tc>
          <w:tcPr/>
          <w:p>
            <w:pPr>
              <w:pStyle w:val="Compact"/>
              <w:jc w:val="left"/>
            </w:pPr>
            <w:r>
              <w:t xml:space="preserve">MPC</w:t>
            </w:r>
          </w:p>
        </w:tc>
        <w:tc>
          <w:tcPr/>
          <w:p>
            <w:pPr>
              <w:pStyle w:val="Compact"/>
              <w:jc w:val="left"/>
            </w:pPr>
            <w:r>
              <w:t xml:space="preserve">model predictive control</w:t>
            </w:r>
          </w:p>
        </w:tc>
        <w:tc>
          <w:tcPr/>
          <w:p>
            <w:pPr>
              <w:pStyle w:val="Compact"/>
              <w:jc w:val="left"/>
            </w:pPr>
            <w:r>
              <w:t xml:space="preserve">модельно-предиктивное управление</w:t>
            </w:r>
          </w:p>
        </w:tc>
      </w:tr>
      <w:tr>
        <w:tc>
          <w:tcPr/>
          <w:p>
            <w:pPr>
              <w:pStyle w:val="Compact"/>
              <w:jc w:val="left"/>
            </w:pPr>
            <w:r>
              <w:t xml:space="preserve">RL</w:t>
            </w:r>
          </w:p>
        </w:tc>
        <w:tc>
          <w:tcPr/>
          <w:p>
            <w:pPr>
              <w:pStyle w:val="Compact"/>
              <w:jc w:val="left"/>
            </w:pPr>
            <w:r>
              <w:t xml:space="preserve">reinforcement learning</w:t>
            </w:r>
          </w:p>
        </w:tc>
        <w:tc>
          <w:tcPr/>
          <w:p>
            <w:pPr>
              <w:pStyle w:val="Compact"/>
              <w:jc w:val="left"/>
            </w:pPr>
            <w:r>
              <w:t xml:space="preserve">обучение с подкреплением</w:t>
            </w:r>
          </w:p>
        </w:tc>
      </w:tr>
      <w:tr>
        <w:tc>
          <w:tcPr/>
          <w:p>
            <w:pPr>
              <w:pStyle w:val="Compact"/>
              <w:jc w:val="left"/>
            </w:pPr>
            <w:r>
              <w:t xml:space="preserve">MAE</w:t>
            </w:r>
          </w:p>
        </w:tc>
        <w:tc>
          <w:tcPr/>
          <w:p>
            <w:pPr>
              <w:pStyle w:val="Compact"/>
              <w:jc w:val="left"/>
            </w:pPr>
            <w:r>
              <w:t xml:space="preserve">mean absolute error</w:t>
            </w:r>
          </w:p>
        </w:tc>
        <w:tc>
          <w:tcPr/>
          <w:p>
            <w:pPr>
              <w:pStyle w:val="Compact"/>
              <w:jc w:val="left"/>
            </w:pPr>
            <w:r>
              <w:t xml:space="preserve">средняя абсолютная ошибка прогноза</w:t>
            </w:r>
          </w:p>
        </w:tc>
      </w:tr>
      <w:tr>
        <w:tc>
          <w:tcPr/>
          <w:p>
            <w:pPr>
              <w:pStyle w:val="Compact"/>
              <w:jc w:val="left"/>
            </w:pPr>
            <w:r>
              <w:t xml:space="preserve">RMSE</w:t>
            </w:r>
          </w:p>
        </w:tc>
        <w:tc>
          <w:tcPr/>
          <w:p>
            <w:pPr>
              <w:pStyle w:val="Compact"/>
              <w:jc w:val="left"/>
            </w:pPr>
            <w:r>
              <w:t xml:space="preserve">root mean squared error</w:t>
            </w:r>
          </w:p>
        </w:tc>
        <w:tc>
          <w:tcPr/>
          <w:p>
            <w:pPr>
              <w:pStyle w:val="Compact"/>
              <w:jc w:val="left"/>
            </w:pPr>
            <w:r>
              <w:t xml:space="preserve">корень из средней квадратичной ошибки прогноза</w:t>
            </w:r>
          </w:p>
        </w:tc>
      </w:tr>
    </w:tbl>
    <w:bookmarkEnd w:id="23"/>
    <w:bookmarkStart w:id="24"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numPr>
          <w:ilvl w:val="0"/>
          <w:numId w:val="1002"/>
        </w:numPr>
        <w:pStyle w:val="Compact"/>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numPr>
          <w:ilvl w:val="0"/>
          <w:numId w:val="1002"/>
        </w:numPr>
        <w:pStyle w:val="Compact"/>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numPr>
          <w:ilvl w:val="0"/>
          <w:numId w:val="1002"/>
        </w:numPr>
        <w:pStyle w:val="Compact"/>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numPr>
          <w:ilvl w:val="0"/>
          <w:numId w:val="1002"/>
        </w:numPr>
        <w:pStyle w:val="Compact"/>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numPr>
          <w:ilvl w:val="0"/>
          <w:numId w:val="1002"/>
        </w:numPr>
        <w:pStyle w:val="Compact"/>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numPr>
          <w:ilvl w:val="0"/>
          <w:numId w:val="1002"/>
        </w:numPr>
        <w:pStyle w:val="Compact"/>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24"/>
    <w:bookmarkStart w:id="32"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25"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[1]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25"/>
    <w:bookmarkStart w:id="26"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[28]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В работе [29]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[30]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[31]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26"/>
    <w:bookmarkStart w:id="27"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[2]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[24] описан IoT-проект теплицы для выращивания риса, где IoT-инфраструктура связывает параметры среды и агротехническую задачу. Несмотря на отличие культуры, работа полезна как пример построения комплексной системы. Авторы работы [16] идут еще дальше и связывают прогноз микроклимата с веб-интеграцией и адаптивным управлением оборудованием.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[21] рассматривается интеграция IoT и RL для оптимизированного управления климатом.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27"/>
    <w:bookmarkStart w:id="28"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[9]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В работе [10] предложена связка TCN и RNN для прогнозирования урожайности в сравнении с классическими ML-подходами.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[11] сравниваются transformer- и RNN-модели для предсказания температуры, относительной влажности и концентрации CO2 в теплице. В работе [12] используется Attention CNN-LSTM для прогнозирования среды грибной теплицы, также с температурой, влажностью и CO2.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[14]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В работе [15] описано управление климатом теплицы на основе данных при выращивании салата с использованием прогнозного управления на BiLSTM и GRU. В работе [16]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28"/>
    <w:bookmarkStart w:id="29"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[17]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[19] MPC рассматривается как model-based подход, а RL - как learning-based подход к управлению климатом теплицы.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[20] предложено интерактивное обучение с подкреплением с участием агронома (grower-in-the-loop) для управления климатом теплицы.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[22] алгоритм искусственной пчелиной колонии используется для оптимизации энергопотребления и обеспечения комфорта растений в smart greenhouse.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29"/>
    <w:bookmarkStart w:id="30"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[14] прямо указывается на проблему реактивных стратегий и предлагается прогнозный подход с LSTM для снижения энергетических потерь.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30"/>
    <w:bookmarkStart w:id="31"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31"/>
    <w:bookmarkEnd w:id="32"/>
    <w:bookmarkStart w:id="48"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33"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numPr>
          <w:ilvl w:val="0"/>
          <w:numId w:val="1003"/>
        </w:numPr>
        <w:pStyle w:val="Compact"/>
      </w:pPr>
      <w:r>
        <w:t xml:space="preserve">подключение разнородных сенсорных узлов;</w:t>
      </w:r>
    </w:p>
    <w:p>
      <w:pPr>
        <w:numPr>
          <w:ilvl w:val="0"/>
          <w:numId w:val="1003"/>
        </w:numPr>
        <w:pStyle w:val="Compact"/>
      </w:pPr>
      <w:r>
        <w:t xml:space="preserve">управление исполнительными устройствами через единый контур команд;</w:t>
      </w:r>
    </w:p>
    <w:p>
      <w:pPr>
        <w:numPr>
          <w:ilvl w:val="0"/>
          <w:numId w:val="1003"/>
        </w:numPr>
        <w:pStyle w:val="Compact"/>
      </w:pPr>
      <w:r>
        <w:t xml:space="preserve">отображение текущего состояния теплицы оператору;</w:t>
      </w:r>
    </w:p>
    <w:p>
      <w:pPr>
        <w:numPr>
          <w:ilvl w:val="0"/>
          <w:numId w:val="1003"/>
        </w:numPr>
        <w:pStyle w:val="Compact"/>
      </w:pPr>
      <w:r>
        <w:t xml:space="preserve">хранение истории микроклимата и управляющих воздействий;</w:t>
      </w:r>
    </w:p>
    <w:p>
      <w:pPr>
        <w:numPr>
          <w:ilvl w:val="0"/>
          <w:numId w:val="1003"/>
        </w:numPr>
        <w:pStyle w:val="Compact"/>
      </w:pPr>
      <w:r>
        <w:t xml:space="preserve">экспорт данных для статистического анализа и машинного обучения;</w:t>
      </w:r>
    </w:p>
    <w:p>
      <w:pPr>
        <w:numPr>
          <w:ilvl w:val="0"/>
          <w:numId w:val="1003"/>
        </w:numPr>
        <w:pStyle w:val="Compact"/>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33"/>
    <w:bookmarkStart w:id="34"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numPr>
          <w:ilvl w:val="0"/>
          <w:numId w:val="1004"/>
        </w:numPr>
        <w:pStyle w:val="Compact"/>
      </w:pPr>
      <w:r>
        <w:t xml:space="preserve">сбор температуры и влажности с сенсорных узлов;</w:t>
      </w:r>
    </w:p>
    <w:p>
      <w:pPr>
        <w:numPr>
          <w:ilvl w:val="0"/>
          <w:numId w:val="1004"/>
        </w:numPr>
        <w:pStyle w:val="Compact"/>
      </w:pPr>
      <w:r>
        <w:t xml:space="preserve">сбор концентрации CO2, температуры и влажности с отдельного сенсорного узла;</w:t>
      </w:r>
    </w:p>
    <w:p>
      <w:pPr>
        <w:numPr>
          <w:ilvl w:val="0"/>
          <w:numId w:val="1004"/>
        </w:numPr>
        <w:pStyle w:val="Compact"/>
      </w:pPr>
      <w:r>
        <w:t xml:space="preserve">управление многоканальным релейным контроллером;</w:t>
      </w:r>
    </w:p>
    <w:p>
      <w:pPr>
        <w:numPr>
          <w:ilvl w:val="0"/>
          <w:numId w:val="1004"/>
        </w:numPr>
        <w:pStyle w:val="Compact"/>
      </w:pPr>
      <w:r>
        <w:t xml:space="preserve">передача телеметрии, команд и статусов через MQTT;</w:t>
      </w:r>
    </w:p>
    <w:p>
      <w:pPr>
        <w:numPr>
          <w:ilvl w:val="0"/>
          <w:numId w:val="1004"/>
        </w:numPr>
        <w:pStyle w:val="Compact"/>
      </w:pPr>
      <w:r>
        <w:t xml:space="preserve">отображение состояния датчиков, реле и контроллера в web-dashboard;</w:t>
      </w:r>
    </w:p>
    <w:p>
      <w:pPr>
        <w:numPr>
          <w:ilvl w:val="0"/>
          <w:numId w:val="1004"/>
        </w:numPr>
        <w:pStyle w:val="Compact"/>
      </w:pPr>
      <w:r>
        <w:t xml:space="preserve">настройка правил автоматизации по датчикам, расписанию и гистерезису;</w:t>
      </w:r>
    </w:p>
    <w:p>
      <w:pPr>
        <w:numPr>
          <w:ilvl w:val="0"/>
          <w:numId w:val="1004"/>
        </w:numPr>
        <w:pStyle w:val="Compact"/>
      </w:pPr>
      <w:r>
        <w:t xml:space="preserve">настройка профилей управления с последовательным выполнением команд и задержками;</w:t>
      </w:r>
    </w:p>
    <w:p>
      <w:pPr>
        <w:numPr>
          <w:ilvl w:val="0"/>
          <w:numId w:val="1004"/>
        </w:numPr>
        <w:pStyle w:val="Compact"/>
      </w:pPr>
      <w:r>
        <w:t xml:space="preserve">хранение истории сенсорных измерений и переключений реле в локальной базе данных;</w:t>
      </w:r>
    </w:p>
    <w:p>
      <w:pPr>
        <w:numPr>
          <w:ilvl w:val="0"/>
          <w:numId w:val="1004"/>
        </w:numPr>
        <w:pStyle w:val="Compact"/>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34"/>
    <w:bookmarkStart w:id="38"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numPr>
          <w:ilvl w:val="0"/>
          <w:numId w:val="1005"/>
        </w:numPr>
        <w:pStyle w:val="Compact"/>
      </w:pPr>
      <w:r>
        <w:t xml:space="preserve">сенсорный уровень;</w:t>
      </w:r>
    </w:p>
    <w:p>
      <w:pPr>
        <w:numPr>
          <w:ilvl w:val="0"/>
          <w:numId w:val="1005"/>
        </w:numPr>
        <w:pStyle w:val="Compact"/>
      </w:pPr>
      <w:r>
        <w:t xml:space="preserve">исполнительный уровень;</w:t>
      </w:r>
    </w:p>
    <w:p>
      <w:pPr>
        <w:numPr>
          <w:ilvl w:val="0"/>
          <w:numId w:val="1005"/>
        </w:numPr>
        <w:pStyle w:val="Compact"/>
      </w:pPr>
      <w:r>
        <w:t xml:space="preserve">коммуникационный уровень;</w:t>
      </w:r>
    </w:p>
    <w:p>
      <w:pPr>
        <w:numPr>
          <w:ilvl w:val="0"/>
          <w:numId w:val="1005"/>
        </w:numPr>
        <w:pStyle w:val="Compact"/>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4711700" cy="3200400"/>
            <wp:effectExtent b="0" l="0" r="0" t="0"/>
            <wp:docPr descr="Рисунок 2.1 – Общая архитектура расширяемой IoT/ML-платформы управления микроклиматом теплицы" title="" id="36" name="Picture"/>
            <a:graphic>
              <a:graphicData uri="http://schemas.openxmlformats.org/drawingml/2006/picture">
                <pic:pic>
                  <pic:nvPicPr>
                    <pic:cNvPr descr="figures/chart_architecture.pdf" id="37" name="Picture"/>
                    <pic:cNvPicPr>
                      <a:picLocks noChangeArrowheads="1" noChangeAspect="1"/>
                    </pic:cNvPicPr>
                  </pic:nvPicPr>
                  <pic:blipFill>
                    <a:blip r:embed="rId35"/>
                    <a:stretch>
                      <a:fillRect/>
                    </a:stretch>
                  </pic:blipFill>
                  <pic:spPr bwMode="auto">
                    <a:xfrm>
                      <a:off x="0" y="0"/>
                      <a:ext cx="4711700" cy="3200400"/>
                    </a:xfrm>
                    <a:prstGeom prst="rect">
                      <a:avLst/>
                    </a:prstGeom>
                    <a:noFill/>
                    <a:ln w="9525">
                      <a:noFill/>
                      <a:headEnd/>
                      <a:tailEnd/>
                    </a:ln>
                  </pic:spPr>
                </pic:pic>
              </a:graphicData>
            </a:graphic>
          </wp:inline>
        </w:drawing>
      </w:r>
    </w:p>
    <w:bookmarkEnd w:id="38"/>
    <w:bookmarkStart w:id="39"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39"/>
    <w:bookmarkStart w:id="40"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numPr>
          <w:ilvl w:val="0"/>
          <w:numId w:val="1006"/>
        </w:numPr>
        <w:pStyle w:val="Compact"/>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numPr>
          <w:ilvl w:val="0"/>
          <w:numId w:val="1006"/>
        </w:numPr>
        <w:pStyle w:val="Compact"/>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numPr>
          <w:ilvl w:val="0"/>
          <w:numId w:val="1006"/>
        </w:numPr>
        <w:pStyle w:val="Compact"/>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numPr>
          <w:ilvl w:val="0"/>
          <w:numId w:val="1006"/>
        </w:numPr>
        <w:pStyle w:val="Compact"/>
      </w:pPr>
      <w:r>
        <w:t xml:space="preserve">подтвержденное состояние реле -</w:t>
      </w:r>
      <w:r>
        <w:t xml:space="preserve"> </w:t>
      </w:r>
      <w:r>
        <w:rPr>
          <w:rStyle w:val="VerbatimChar"/>
        </w:rPr>
        <w:t xml:space="preserve">greenhouse/relay/&lt;n&gt;/state</w:t>
      </w:r>
      <w:r>
        <w:t xml:space="preserve">;</w:t>
      </w:r>
    </w:p>
    <w:p>
      <w:pPr>
        <w:numPr>
          <w:ilvl w:val="0"/>
          <w:numId w:val="1006"/>
        </w:numPr>
        <w:pStyle w:val="Compact"/>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FunctionTok"/>
        </w:rPr>
        <w:t xml:space="preserve">{</w:t>
      </w:r>
      <w:r>
        <w:br/>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"co2-1"</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24.7</w:t>
      </w:r>
      <w:r>
        <w:rPr>
          <w:rStyle w:val="FunctionTok"/>
        </w:rPr>
        <w:t xml:space="preserve">,</w:t>
      </w:r>
      <w:r>
        <w:br/>
      </w:r>
      <w:r>
        <w:rPr>
          <w:rStyle w:val="NormalTok"/>
        </w:rPr>
        <w:t xml:space="preserve">    </w:t>
      </w:r>
      <w:r>
        <w:rPr>
          <w:rStyle w:val="DataTypeTok"/>
        </w:rPr>
        <w:t xml:space="preserve">"humidity"</w:t>
      </w:r>
      <w:r>
        <w:rPr>
          <w:rStyle w:val="FunctionTok"/>
        </w:rPr>
        <w:t xml:space="preserve">:</w:t>
      </w:r>
      <w:r>
        <w:rPr>
          <w:rStyle w:val="NormalTok"/>
        </w:rPr>
        <w:t xml:space="preserve"> </w:t>
      </w:r>
      <w:r>
        <w:rPr>
          <w:rStyle w:val="FloatTok"/>
        </w:rPr>
        <w:t xml:space="preserve">60.5</w:t>
      </w:r>
      <w:r>
        <w:rPr>
          <w:rStyle w:val="FunctionTok"/>
        </w:rPr>
        <w:t xml:space="preserve">,</w:t>
      </w:r>
      <w:r>
        <w:br/>
      </w:r>
      <w:r>
        <w:rPr>
          <w:rStyle w:val="NormalTok"/>
        </w:rPr>
        <w:t xml:space="preserve">    </w:t>
      </w:r>
      <w:r>
        <w:rPr>
          <w:rStyle w:val="DataTypeTok"/>
        </w:rPr>
        <w:t xml:space="preserve">"co2"</w:t>
      </w:r>
      <w:r>
        <w:rPr>
          <w:rStyle w:val="FunctionTok"/>
        </w:rPr>
        <w:t xml:space="preserve">:</w:t>
      </w:r>
      <w:r>
        <w:rPr>
          <w:rStyle w:val="NormalTok"/>
        </w:rPr>
        <w:t xml:space="preserve"> </w:t>
      </w:r>
      <w:r>
        <w:rPr>
          <w:rStyle w:val="DecValTok"/>
        </w:rPr>
        <w:t xml:space="preserve">820</w:t>
      </w:r>
      <w:r>
        <w:br/>
      </w:r>
      <w:r>
        <w:rPr>
          <w:rStyle w:val="NormalTok"/>
        </w:rPr>
        <w:t xml:space="preserve">  </w:t>
      </w:r>
      <w:r>
        <w:rPr>
          <w:rStyle w:val="FunctionTok"/>
        </w:rPr>
        <w:t xml:space="preserve">}</w:t>
      </w:r>
      <w:r>
        <w:br/>
      </w:r>
      <w:r>
        <w:rPr>
          <w:rStyle w:val="FunctionTok"/>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40"/>
    <w:bookmarkStart w:id="41"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41"/>
    <w:bookmarkStart w:id="42"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Сущность</w:t>
            </w:r>
          </w:p>
        </w:tc>
        <w:tc>
          <w:tcPr/>
          <w:p>
            <w:pPr>
              <w:pStyle w:val="Compact"/>
              <w:jc w:val="left"/>
            </w:pPr>
            <w:r>
              <w:t xml:space="preserve">Назначение</w:t>
            </w:r>
          </w:p>
        </w:tc>
      </w:tr>
      <w:tr>
        <w:tc>
          <w:tcPr/>
          <w:p>
            <w:pPr>
              <w:pStyle w:val="Compact"/>
              <w:jc w:val="left"/>
            </w:pPr>
            <w:r>
              <w:rPr>
                <w:rStyle w:val="VerbatimChar"/>
              </w:rPr>
              <w:t xml:space="preserve">devices</w:t>
            </w:r>
          </w:p>
        </w:tc>
        <w:tc>
          <w:tcPr/>
          <w:p>
            <w:pPr>
              <w:pStyle w:val="Compact"/>
              <w:jc w:val="left"/>
            </w:pPr>
            <w:r>
              <w:t xml:space="preserve">реестр сенсорных и исполнительных устройств</w:t>
            </w:r>
          </w:p>
        </w:tc>
      </w:tr>
      <w:tr>
        <w:tc>
          <w:tcPr/>
          <w:p>
            <w:pPr>
              <w:pStyle w:val="Compact"/>
              <w:jc w:val="left"/>
            </w:pPr>
            <w:r>
              <w:rPr>
                <w:rStyle w:val="VerbatimChar"/>
              </w:rPr>
              <w:t xml:space="preserve">metrics</w:t>
            </w:r>
          </w:p>
        </w:tc>
        <w:tc>
          <w:tcPr/>
          <w:p>
            <w:pPr>
              <w:pStyle w:val="Compact"/>
              <w:jc w:val="left"/>
            </w:pPr>
            <w:r>
              <w:t xml:space="preserve">справочник измеряемых параметров и единиц</w:t>
            </w:r>
          </w:p>
        </w:tc>
      </w:tr>
      <w:tr>
        <w:tc>
          <w:tcPr/>
          <w:p>
            <w:pPr>
              <w:pStyle w:val="Compact"/>
              <w:jc w:val="left"/>
            </w:pPr>
            <w:r>
              <w:rPr>
                <w:rStyle w:val="VerbatimChar"/>
              </w:rPr>
              <w:t xml:space="preserve">sensor_readings</w:t>
            </w:r>
          </w:p>
        </w:tc>
        <w:tc>
          <w:tcPr/>
          <w:p>
            <w:pPr>
              <w:pStyle w:val="Compact"/>
              <w:jc w:val="left"/>
            </w:pPr>
            <w:r>
              <w:t xml:space="preserve">нормализованная история измерений</w:t>
            </w:r>
          </w:p>
        </w:tc>
      </w:tr>
      <w:tr>
        <w:tc>
          <w:tcPr/>
          <w:p>
            <w:pPr>
              <w:pStyle w:val="Compact"/>
              <w:jc w:val="left"/>
            </w:pPr>
            <w:r>
              <w:rPr>
                <w:rStyle w:val="VerbatimChar"/>
              </w:rPr>
              <w:t xml:space="preserve">actuator_events</w:t>
            </w:r>
          </w:p>
        </w:tc>
        <w:tc>
          <w:tcPr/>
          <w:p>
            <w:pPr>
              <w:pStyle w:val="Compact"/>
              <w:jc w:val="left"/>
            </w:pPr>
            <w:r>
              <w:t xml:space="preserve">события исполнительных устройств</w:t>
            </w:r>
          </w:p>
        </w:tc>
      </w:tr>
      <w:tr>
        <w:tc>
          <w:tcPr/>
          <w:p>
            <w:pPr>
              <w:pStyle w:val="Compact"/>
              <w:jc w:val="left"/>
            </w:pPr>
            <w:r>
              <w:rPr>
                <w:rStyle w:val="VerbatimChar"/>
              </w:rPr>
              <w:t xml:space="preserve">control_profiles</w:t>
            </w:r>
          </w:p>
        </w:tc>
        <w:tc>
          <w:tcPr/>
          <w:p>
            <w:pPr>
              <w:pStyle w:val="Compact"/>
              <w:jc w:val="left"/>
            </w:pPr>
            <w:r>
              <w:t xml:space="preserve">профили управления и последовательности действий</w:t>
            </w:r>
          </w:p>
        </w:tc>
      </w:tr>
      <w:tr>
        <w:tc>
          <w:tcPr/>
          <w:p>
            <w:pPr>
              <w:pStyle w:val="Compact"/>
              <w:jc w:val="left"/>
            </w:pPr>
            <w:r>
              <w:rPr>
                <w:rStyle w:val="VerbatimChar"/>
              </w:rPr>
              <w:t xml:space="preserve">experiment_batches</w:t>
            </w:r>
          </w:p>
        </w:tc>
        <w:tc>
          <w:tcPr/>
          <w:p>
            <w:pPr>
              <w:pStyle w:val="Compact"/>
              <w:jc w:val="left"/>
            </w:pPr>
            <w:r>
              <w:t xml:space="preserve">партии растений и сроки выращивания</w:t>
            </w:r>
          </w:p>
        </w:tc>
      </w:tr>
      <w:tr>
        <w:tc>
          <w:tcPr/>
          <w:p>
            <w:pPr>
              <w:pStyle w:val="Compact"/>
              <w:jc w:val="left"/>
            </w:pPr>
            <w:r>
              <w:rPr>
                <w:rStyle w:val="VerbatimChar"/>
              </w:rPr>
              <w:t xml:space="preserve">growth_variants</w:t>
            </w:r>
          </w:p>
        </w:tc>
        <w:tc>
          <w:tcPr/>
          <w:p>
            <w:pPr>
              <w:pStyle w:val="Compact"/>
              <w:jc w:val="left"/>
            </w:pPr>
            <w:r>
              <w:t xml:space="preserve">варианты света, питания, зоны и ярусы</w:t>
            </w:r>
          </w:p>
        </w:tc>
      </w:tr>
      <w:tr>
        <w:tc>
          <w:tcPr/>
          <w:p>
            <w:pPr>
              <w:pStyle w:val="Compact"/>
              <w:jc w:val="left"/>
            </w:pPr>
            <w:r>
              <w:rPr>
                <w:rStyle w:val="VerbatimChar"/>
              </w:rPr>
              <w:t xml:space="preserve">plant_measurements</w:t>
            </w:r>
          </w:p>
        </w:tc>
        <w:tc>
          <w:tcPr/>
          <w:p>
            <w:pPr>
              <w:pStyle w:val="Compact"/>
              <w:jc w:val="left"/>
            </w:pPr>
            <w:r>
              <w:t xml:space="preserve">биометрия, хлорофилл, качество и хранение</w:t>
            </w:r>
          </w:p>
        </w:tc>
      </w:tr>
      <w:tr>
        <w:tc>
          <w:tcPr/>
          <w:p>
            <w:pPr>
              <w:pStyle w:val="Compact"/>
              <w:jc w:val="left"/>
            </w:pPr>
            <w:r>
              <w:rPr>
                <w:rStyle w:val="VerbatimChar"/>
              </w:rPr>
              <w:t xml:space="preserve">ml_feature_windows</w:t>
            </w:r>
          </w:p>
        </w:tc>
        <w:tc>
          <w:tcPr/>
          <w:p>
            <w:pPr>
              <w:pStyle w:val="Compact"/>
              <w:jc w:val="lef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42"/>
    <w:bookmarkStart w:id="43"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43"/>
    <w:bookmarkStart w:id="44"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 $T$ - температура воздуха, °C; $C_{\text{в}}$ - эффективная теплоемкость воздуха и конструкций; $Q_{\text{нагр}}$ - тепловая мощность нагрева; $Q_{\text{свет}}$ - тепловыделение освещения; $Q_{\text{сол}}$ - приток солнечной радиации; $Q_{\text{пот}}$ - теплопотери через ограждения; $Q_{\text{вент}}$ - потери или приток тепла при вентиляции; $Q_{\text{исп}}$ -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 $H$ - влагосодержание воздуха; $C_{\text{вл}}$ - влагоемкость воздуха; $G_{\text{исп}}$ - испарение с растений и раствора; $G_{\text{увл}}$ - подача влаги увлажнителем; $G_{\text{вент}}$ - удаление влаги вентиляцией; $G_{\text{конд}}$ -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 $C$ - концентрация CO2 в теплице; $V$ - объем воздуха; $F_{\text{обм}}$ - воздухообмен; $C_{\text{нар}}$ - наружная концентрация; $G_C$ - подача или внутреннее образование углекислого газа; $U_{\text{раст}}$ - поглощение растениями. Для опытного бокса объем воздуха $V$ 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Cs/>
          <w:i/>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 $\bar{x}</w:t>
      </w:r>
      <w:r>
        <w:rPr>
          <w:iCs/>
          <w:i/>
        </w:rPr>
        <w:t xml:space="preserve">{\text{до}}$ - среднее значение в окне до события; $\bar{x}</w:t>
      </w:r>
      <w:r>
        <w:t xml:space="preserve">{\text{после}}$ -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Cs/>
          <w:i/>
        </w:rPr>
        <w:t xml:space="preserve">i)^2}{\sum</w:t>
      </w:r>
      <w:r>
        <w:t xml:space="preserve">{i=1}^{n}(y_i-\bar{y})^2},</w:t>
      </w:r>
      <w:r>
        <w:t xml:space="preserve"> </w:t>
      </w:r>
      <w:r>
        <w:t xml:space="preserve">\tag{2.7}</w:t>
      </w:r>
      <w:r>
        <w:t xml:space="preserve"> </w:t>
      </w:r>
      <w:r>
        <w:t xml:space="preserve">\end{equation}</w:t>
      </w:r>
    </w:p>
    <w:p>
      <w:pPr>
        <w:pStyle w:val="BodyText"/>
      </w:pPr>
      <w:r>
        <w:t xml:space="preserve">где $y_i$ - фактическое значение; $\hat{y}_i$ - прогноз; $\bar{y}$ - среднее фактических значений; $n$ - число точек.</w:t>
      </w:r>
    </w:p>
    <w:bookmarkEnd w:id="44"/>
    <w:bookmarkStart w:id="45"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numPr>
          <w:ilvl w:val="0"/>
          <w:numId w:val="1007"/>
        </w:numPr>
        <w:pStyle w:val="Compact"/>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numPr>
          <w:ilvl w:val="0"/>
          <w:numId w:val="1007"/>
        </w:numPr>
        <w:pStyle w:val="Compact"/>
      </w:pPr>
      <w:r>
        <w:t xml:space="preserve">приведение временных меток к единой шкале;</w:t>
      </w:r>
    </w:p>
    <w:p>
      <w:pPr>
        <w:numPr>
          <w:ilvl w:val="0"/>
          <w:numId w:val="1007"/>
        </w:numPr>
        <w:pStyle w:val="Compact"/>
      </w:pPr>
      <w:r>
        <w:t xml:space="preserve">разворот сенсорных данных в wide-формат по устройствам и метрикам;</w:t>
      </w:r>
    </w:p>
    <w:p>
      <w:pPr>
        <w:numPr>
          <w:ilvl w:val="0"/>
          <w:numId w:val="1007"/>
        </w:numPr>
        <w:pStyle w:val="Compact"/>
      </w:pPr>
      <w:r>
        <w:t xml:space="preserve">ресемплирование к шагу 1-5 минут;</w:t>
      </w:r>
    </w:p>
    <w:p>
      <w:pPr>
        <w:numPr>
          <w:ilvl w:val="0"/>
          <w:numId w:val="1007"/>
        </w:numPr>
        <w:pStyle w:val="Compact"/>
      </w:pPr>
      <w:r>
        <w:t xml:space="preserve">восстановление состояний реле на временной шкале;</w:t>
      </w:r>
    </w:p>
    <w:p>
      <w:pPr>
        <w:numPr>
          <w:ilvl w:val="0"/>
          <w:numId w:val="1007"/>
        </w:numPr>
        <w:pStyle w:val="Compact"/>
      </w:pPr>
      <w:r>
        <w:t xml:space="preserve">фильтрацию технических нулей и физических выбросов;</w:t>
      </w:r>
    </w:p>
    <w:p>
      <w:pPr>
        <w:numPr>
          <w:ilvl w:val="0"/>
          <w:numId w:val="1007"/>
        </w:numPr>
        <w:pStyle w:val="Compact"/>
      </w:pPr>
      <w:r>
        <w:t xml:space="preserve">построение лагов 5, 10, 30 и 60 минут;</w:t>
      </w:r>
    </w:p>
    <w:p>
      <w:pPr>
        <w:numPr>
          <w:ilvl w:val="0"/>
          <w:numId w:val="1007"/>
        </w:numPr>
        <w:pStyle w:val="Compact"/>
      </w:pPr>
      <w:r>
        <w:t xml:space="preserve">расчет скользящих средних и стандартных отклонений;</w:t>
      </w:r>
    </w:p>
    <w:p>
      <w:pPr>
        <w:numPr>
          <w:ilvl w:val="0"/>
          <w:numId w:val="1007"/>
        </w:numPr>
        <w:pStyle w:val="Compact"/>
      </w:pPr>
      <w:r>
        <w:t xml:space="preserve">добавление календарных признаков и признаков день/ночь;</w:t>
      </w:r>
    </w:p>
    <w:p>
      <w:pPr>
        <w:numPr>
          <w:ilvl w:val="0"/>
          <w:numId w:val="1007"/>
        </w:numPr>
        <w:pStyle w:val="Compact"/>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45"/>
    <w:bookmarkStart w:id="46"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numPr>
          <w:ilvl w:val="0"/>
          <w:numId w:val="1008"/>
        </w:numPr>
        <w:pStyle w:val="Compact"/>
      </w:pPr>
      <w:r>
        <w:t xml:space="preserve">энергозатраты освещения;</w:t>
      </w:r>
    </w:p>
    <w:p>
      <w:pPr>
        <w:numPr>
          <w:ilvl w:val="0"/>
          <w:numId w:val="1008"/>
        </w:numPr>
        <w:pStyle w:val="Compact"/>
      </w:pPr>
      <w:r>
        <w:t xml:space="preserve">стоимость световой нагрузки DLI;</w:t>
      </w:r>
    </w:p>
    <w:p>
      <w:pPr>
        <w:numPr>
          <w:ilvl w:val="0"/>
          <w:numId w:val="1008"/>
        </w:numPr>
        <w:pStyle w:val="Compact"/>
      </w:pPr>
      <w:r>
        <w:t xml:space="preserve">энергозатраты исполнительных устройств по журналу реле;</w:t>
      </w:r>
    </w:p>
    <w:p>
      <w:pPr>
        <w:numPr>
          <w:ilvl w:val="0"/>
          <w:numId w:val="1008"/>
        </w:numPr>
        <w:pStyle w:val="Compact"/>
      </w:pPr>
      <w:r>
        <w:t xml:space="preserve">сценарную экономию от прогнозного управления;</w:t>
      </w:r>
    </w:p>
    <w:p>
      <w:pPr>
        <w:numPr>
          <w:ilvl w:val="0"/>
          <w:numId w:val="1008"/>
        </w:numPr>
        <w:pStyle w:val="Compact"/>
      </w:pPr>
      <w:r>
        <w:t xml:space="preserve">потенциальное снижение потерь товарной продукции;</w:t>
      </w:r>
    </w:p>
    <w:p>
      <w:pPr>
        <w:numPr>
          <w:ilvl w:val="0"/>
          <w:numId w:val="1008"/>
        </w:numPr>
        <w:pStyle w:val="Compact"/>
      </w:pPr>
      <w:r>
        <w:t xml:space="preserve">экономию трудозатрат оператора;</w:t>
      </w:r>
    </w:p>
    <w:p>
      <w:pPr>
        <w:numPr>
          <w:ilvl w:val="0"/>
          <w:numId w:val="1008"/>
        </w:numPr>
        <w:pStyle w:val="Compact"/>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 $P_{\text{осв}}$ - электрическая мощность светильника; $t_{\text{осв}}$ -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 $PPFD$ -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 $P_j$ - номинальная мощность $j$-го устройства; $t_j$ - суммарное время его включения по журналу реле; $m$ -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 $E_{\text{баз}}$ - базовое энергопотребление; $k_{\text{эк}}$ - сценарная доля экономии; $c_{\text{эл}}$ -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46"/>
    <w:bookmarkStart w:id="47"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47"/>
    <w:bookmarkEnd w:id="48"/>
    <w:bookmarkStart w:id="96" w:name="X446e5da1a3f702880ad6f65a67359ce5955b32b"/>
    <w:p>
      <w:pPr>
        <w:pStyle w:val="Heading1"/>
      </w:pPr>
      <w:r>
        <w:t xml:space="preserve">Глава 3. Реализация, опытное внедрение и анализ данных платформы</w:t>
      </w:r>
    </w:p>
    <w:bookmarkStart w:id="58"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50" name="Picture"/>
            <a:graphic>
              <a:graphicData uri="http://schemas.openxmlformats.org/drawingml/2006/picture">
                <pic:pic>
                  <pic:nvPicPr>
                    <pic:cNvPr descr="figures/greenhouse_overview.jpg" id="51" name="Picture"/>
                    <pic:cNvPicPr>
                      <a:picLocks noChangeArrowheads="1" noChangeAspect="1"/>
                    </pic:cNvPicPr>
                  </pic:nvPicPr>
                  <pic:blipFill>
                    <a:blip r:embed="rId49"/>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numPr>
          <w:ilvl w:val="0"/>
          <w:numId w:val="1009"/>
        </w:numPr>
        <w:pStyle w:val="Compact"/>
      </w:pPr>
      <w:r>
        <w:t xml:space="preserve">сенсорный узел температуры и влажности на ESP8266 и DHT11;</w:t>
      </w:r>
    </w:p>
    <w:p>
      <w:pPr>
        <w:numPr>
          <w:ilvl w:val="0"/>
          <w:numId w:val="1009"/>
        </w:numPr>
        <w:pStyle w:val="Compact"/>
      </w:pPr>
      <w:r>
        <w:t xml:space="preserve">сенсорный узел CO2, температуры и влажности на ESP8266 и SCD30;</w:t>
      </w:r>
    </w:p>
    <w:p>
      <w:pPr>
        <w:numPr>
          <w:ilvl w:val="0"/>
          <w:numId w:val="1009"/>
        </w:numPr>
        <w:pStyle w:val="Compact"/>
      </w:pPr>
      <w:r>
        <w:t xml:space="preserve">релейный контроллер на Arduino Mega 2560 с ESP8266 AT;</w:t>
      </w:r>
    </w:p>
    <w:p>
      <w:pPr>
        <w:numPr>
          <w:ilvl w:val="0"/>
          <w:numId w:val="1009"/>
        </w:numPr>
        <w:pStyle w:val="Compact"/>
      </w:pPr>
      <w:r>
        <w:t xml:space="preserve">MQTT-брокер Mosquitto;</w:t>
      </w:r>
    </w:p>
    <w:p>
      <w:pPr>
        <w:numPr>
          <w:ilvl w:val="0"/>
          <w:numId w:val="1009"/>
        </w:numPr>
        <w:pStyle w:val="Compact"/>
      </w:pPr>
      <w:r>
        <w:t xml:space="preserve">Flask-dashboard оператора;</w:t>
      </w:r>
    </w:p>
    <w:p>
      <w:pPr>
        <w:numPr>
          <w:ilvl w:val="0"/>
          <w:numId w:val="1009"/>
        </w:numPr>
        <w:pStyle w:val="Compact"/>
      </w:pPr>
      <w:r>
        <w:t xml:space="preserve">SQLite-базу истории;</w:t>
      </w:r>
    </w:p>
    <w:p>
      <w:pPr>
        <w:numPr>
          <w:ilvl w:val="0"/>
          <w:numId w:val="1009"/>
        </w:numPr>
        <w:pStyle w:val="Compact"/>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и группа силовых электромагнитных реле, через которые коммутируется оборудование микроклимата.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53" name="Picture"/>
            <a:graphic>
              <a:graphicData uri="http://schemas.openxmlformats.org/drawingml/2006/picture">
                <pic:pic>
                  <pic:nvPicPr>
                    <pic:cNvPr descr="figures/control_cabinet.jpg" id="54" name="Picture"/>
                    <pic:cNvPicPr>
                      <a:picLocks noChangeArrowheads="1" noChangeAspect="1"/>
                    </pic:cNvPicPr>
                  </pic:nvPicPr>
                  <pic:blipFill>
                    <a:blip r:embed="rId52"/>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Группа оборудования</w:t>
            </w:r>
          </w:p>
        </w:tc>
        <w:tc>
          <w:tcPr/>
          <w:p>
            <w:pPr>
              <w:pStyle w:val="Compact"/>
              <w:jc w:val="right"/>
            </w:pPr>
            <w:r>
              <w:t xml:space="preserve">Кол-во</w:t>
            </w:r>
          </w:p>
        </w:tc>
        <w:tc>
          <w:tcPr/>
          <w:p>
            <w:pPr>
              <w:pStyle w:val="Compact"/>
              <w:jc w:val="left"/>
            </w:pPr>
            <w:r>
              <w:t xml:space="preserve">Модель / обозначение</w:t>
            </w:r>
          </w:p>
        </w:tc>
        <w:tc>
          <w:tcPr/>
          <w:p>
            <w:pPr>
              <w:pStyle w:val="Compact"/>
              <w:jc w:val="left"/>
            </w:pPr>
            <w:r>
              <w:t xml:space="preserve">Характеристики</w:t>
            </w:r>
          </w:p>
        </w:tc>
        <w:tc>
          <w:tcPr/>
          <w:p>
            <w:pPr>
              <w:pStyle w:val="Compact"/>
              <w:jc w:val="right"/>
            </w:pPr>
            <w:r>
              <w:t xml:space="preserve">Установленная мощность</w:t>
            </w:r>
          </w:p>
        </w:tc>
      </w:tr>
      <w:tr>
        <w:tc>
          <w:tcPr/>
          <w:p>
            <w:pPr>
              <w:pStyle w:val="Compact"/>
              <w:jc w:val="left"/>
            </w:pPr>
            <w:r>
              <w:t xml:space="preserve">Канальные электронагреватели (ТЭН)</w:t>
            </w:r>
          </w:p>
        </w:tc>
        <w:tc>
          <w:tcPr/>
          <w:p>
            <w:pPr>
              <w:pStyle w:val="Compact"/>
              <w:jc w:val="right"/>
            </w:pPr>
            <w:r>
              <w:t xml:space="preserve">2</w:t>
            </w:r>
          </w:p>
        </w:tc>
        <w:tc>
          <w:tcPr/>
          <w:p>
            <w:pPr>
              <w:pStyle w:val="Compact"/>
              <w:jc w:val="left"/>
            </w:pPr>
            <w:r>
              <w:t xml:space="preserve">Ровен ЭНП 400×200/6,0</w:t>
            </w:r>
          </w:p>
        </w:tc>
        <w:tc>
          <w:tcPr/>
          <w:p>
            <w:pPr>
              <w:pStyle w:val="Compact"/>
              <w:jc w:val="left"/>
            </w:pPr>
            <w:r>
              <w:t xml:space="preserve">380 В, 50 Гц; ток до 9,1 А</w:t>
            </w:r>
          </w:p>
        </w:tc>
        <w:tc>
          <w:tcPr/>
          <w:p>
            <w:pPr>
              <w:pStyle w:val="Compact"/>
              <w:jc w:val="right"/>
            </w:pPr>
            <w:r>
              <w:t xml:space="preserve">6 кВт каждый, 12 кВт суммарно</w:t>
            </w:r>
          </w:p>
        </w:tc>
      </w:tr>
      <w:tr>
        <w:tc>
          <w:tcPr/>
          <w:p>
            <w:pPr>
              <w:pStyle w:val="Compact"/>
              <w:jc w:val="left"/>
            </w:pPr>
            <w:r>
              <w:t xml:space="preserve">Канальные вентиляторы</w:t>
            </w:r>
          </w:p>
        </w:tc>
        <w:tc>
          <w:tcPr/>
          <w:p>
            <w:pPr>
              <w:pStyle w:val="Compact"/>
              <w:jc w:val="right"/>
            </w:pPr>
            <w:r>
              <w:t xml:space="preserve">2</w:t>
            </w:r>
          </w:p>
        </w:tc>
        <w:tc>
          <w:tcPr/>
          <w:p>
            <w:pPr>
              <w:pStyle w:val="Compact"/>
              <w:jc w:val="left"/>
            </w:pPr>
            <w:r>
              <w:t xml:space="preserve">VCP-40-​20/​20-​GQ/​4E/​220</w:t>
            </w:r>
          </w:p>
        </w:tc>
        <w:tc>
          <w:tcPr/>
          <w:p>
            <w:pPr>
              <w:pStyle w:val="Compact"/>
              <w:jc w:val="left"/>
            </w:pPr>
            <w:r>
              <w:t xml:space="preserve">1500 об/мин</w:t>
            </w:r>
          </w:p>
        </w:tc>
        <w:tc>
          <w:tcPr/>
          <w:p>
            <w:pPr>
              <w:pStyle w:val="Compact"/>
              <w:jc w:val="right"/>
            </w:pPr>
            <w:r>
              <w:t xml:space="preserve">0,33 кВт каждый, 0,66 кВт суммарно</w:t>
            </w:r>
          </w:p>
        </w:tc>
      </w:tr>
      <w:tr>
        <w:tc>
          <w:tcPr/>
          <w:p>
            <w:pPr>
              <w:pStyle w:val="Compact"/>
              <w:jc w:val="left"/>
            </w:pPr>
            <w:r>
              <w:t xml:space="preserve">Циркуляционные насосы</w:t>
            </w:r>
          </w:p>
        </w:tc>
        <w:tc>
          <w:tcPr/>
          <w:p>
            <w:pPr>
              <w:pStyle w:val="Compact"/>
              <w:jc w:val="right"/>
            </w:pPr>
            <w:r>
              <w:t xml:space="preserve">4</w:t>
            </w:r>
          </w:p>
        </w:tc>
        <w:tc>
          <w:tcPr/>
          <w:p>
            <w:pPr>
              <w:pStyle w:val="Compact"/>
              <w:jc w:val="left"/>
            </w:pPr>
            <w:r>
              <w:t xml:space="preserve">НБЦ-380</w:t>
            </w:r>
          </w:p>
        </w:tc>
        <w:tc>
          <w:tcPr/>
          <w:p>
            <w:pPr>
              <w:pStyle w:val="Compact"/>
              <w:jc w:val="left"/>
            </w:pPr>
            <w:r>
              <w:t xml:space="preserve">2010 л/ч; напор 25 м; 2,5 атм</w:t>
            </w:r>
          </w:p>
        </w:tc>
        <w:tc>
          <w:tcPr/>
          <w:p>
            <w:pPr>
              <w:pStyle w:val="Compact"/>
              <w:jc w:val="right"/>
            </w:pPr>
            <w:r>
              <w:t xml:space="preserve">0,38 кВт каждый, 1,52 кВт суммарно</w:t>
            </w:r>
          </w:p>
        </w:tc>
      </w:tr>
      <w:tr>
        <w:tc>
          <w:tcPr/>
          <w:p>
            <w:pPr>
              <w:pStyle w:val="Compact"/>
              <w:jc w:val="left"/>
            </w:pPr>
            <w:r>
              <w:t xml:space="preserve">Светодиодные фитосветильники</w:t>
            </w:r>
          </w:p>
        </w:tc>
        <w:tc>
          <w:tcPr/>
          <w:p>
            <w:pPr>
              <w:pStyle w:val="Compact"/>
              <w:jc w:val="right"/>
            </w:pPr>
            <w:r>
              <w:t xml:space="preserve">8 на бокс</w:t>
            </w:r>
          </w:p>
        </w:tc>
        <w:tc>
          <w:tcPr/>
          <w:p>
            <w:pPr>
              <w:pStyle w:val="Compact"/>
              <w:jc w:val="left"/>
            </w:pPr>
            <w:r>
              <w:t xml:space="preserve">LED-драйвер MEAN WELL XLG-50-AB</w:t>
            </w:r>
          </w:p>
        </w:tc>
        <w:tc>
          <w:tcPr/>
          <w:p>
            <w:pPr>
              <w:pStyle w:val="Compact"/>
              <w:jc w:val="lef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jc w:val="left"/>
            </w:pPr>
            <w:r>
              <w:t xml:space="preserve">Силовые реле коммутации</w:t>
            </w:r>
          </w:p>
        </w:tc>
        <w:tc>
          <w:tcPr/>
          <w:p>
            <w:pPr>
              <w:pStyle w:val="Compact"/>
              <w:jc w:val="right"/>
            </w:pPr>
            <w:r>
              <w:t xml:space="preserve">15 каналов</w:t>
            </w:r>
          </w:p>
        </w:tc>
        <w:tc>
          <w:tcPr/>
          <w:p>
            <w:pPr>
              <w:pStyle w:val="Compact"/>
              <w:jc w:val="left"/>
            </w:pPr>
            <w:r>
              <w:t xml:space="preserve">SONGLE SLA-​05VDC-​SL-​C</w:t>
            </w:r>
          </w:p>
        </w:tc>
        <w:tc>
          <w:tcPr/>
          <w:p>
            <w:pPr>
              <w:pStyle w:val="Compact"/>
              <w:jc w:val="left"/>
            </w:pPr>
            <w:r>
              <w:t xml:space="preserve">катушка 5 В DC; контакты 30 А, 250 В AC</w:t>
            </w:r>
          </w:p>
        </w:tc>
        <w:tc>
          <w:tcPr/>
          <w:p>
            <w:pPr>
              <w:pStyle w:val="Compact"/>
              <w:jc w:val="right"/>
            </w:pPr>
            <w:r>
              <w:t xml:space="preserve">коммутируемая нагрузка</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56" name="Picture"/>
            <a:graphic>
              <a:graphicData uri="http://schemas.openxmlformats.org/drawingml/2006/picture">
                <pic:pic>
                  <pic:nvPicPr>
                    <pic:cNvPr descr="figures/circulation_pumps.jpg" id="57" name="Picture"/>
                    <pic:cNvPicPr>
                      <a:picLocks noChangeArrowheads="1" noChangeAspect="1"/>
                    </pic:cNvPicPr>
                  </pic:nvPicPr>
                  <pic:blipFill>
                    <a:blip r:embed="rId55"/>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58"/>
    <w:bookmarkStart w:id="59"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"th-1"</w:t>
      </w:r>
      <w:r>
        <w:rPr>
          <w:rStyle w:val="FunctionTok"/>
        </w:rPr>
        <w:t xml:space="preserve">,</w:t>
      </w:r>
      <w:r>
        <w:rPr>
          <w:rStyle w:val="DataTypeTok"/>
        </w:rPr>
        <w:t xml:space="preserve">"t"</w:t>
      </w:r>
      <w:r>
        <w:rPr>
          <w:rStyle w:val="FunctionTok"/>
        </w:rPr>
        <w:t xml:space="preserve">:</w:t>
      </w:r>
      <w:r>
        <w:rPr>
          <w:rStyle w:val="FloatTok"/>
        </w:rPr>
        <w:t xml:space="preserve">24.5</w:t>
      </w:r>
      <w:r>
        <w:rPr>
          <w:rStyle w:val="FunctionTok"/>
        </w:rPr>
        <w:t xml:space="preserve">,</w:t>
      </w:r>
      <w:r>
        <w:rPr>
          <w:rStyle w:val="DataTypeTok"/>
        </w:rPr>
        <w:t xml:space="preserve">"h"</w:t>
      </w:r>
      <w:r>
        <w:rPr>
          <w:rStyle w:val="FunctionTok"/>
        </w:rPr>
        <w:t xml:space="preserve">:</w:t>
      </w:r>
      <w:r>
        <w:rPr>
          <w:rStyle w:val="FloatTok"/>
        </w:rPr>
        <w:t xml:space="preserve">61.0</w:t>
      </w:r>
      <w:r>
        <w:rPr>
          <w:rStyle w:val="FunctionTok"/>
        </w:rPr>
        <w:t xml:space="preserve">}</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"co2-1"</w:t>
      </w:r>
      <w:r>
        <w:rPr>
          <w:rStyle w:val="FunctionTok"/>
        </w:rPr>
        <w:t xml:space="preserve">,</w:t>
      </w:r>
      <w:r>
        <w:rPr>
          <w:rStyle w:val="DataTypeTok"/>
        </w:rPr>
        <w:t xml:space="preserve">"co2"</w:t>
      </w:r>
      <w:r>
        <w:rPr>
          <w:rStyle w:val="FunctionTok"/>
        </w:rPr>
        <w:t xml:space="preserve">:</w:t>
      </w:r>
      <w:r>
        <w:rPr>
          <w:rStyle w:val="DecValTok"/>
        </w:rPr>
        <w:t xml:space="preserve">820</w:t>
      </w:r>
      <w:r>
        <w:rPr>
          <w:rStyle w:val="FunctionTok"/>
        </w:rPr>
        <w:t xml:space="preserve">,</w:t>
      </w:r>
      <w:r>
        <w:rPr>
          <w:rStyle w:val="DataTypeTok"/>
        </w:rPr>
        <w:t xml:space="preserve">"t"</w:t>
      </w:r>
      <w:r>
        <w:rPr>
          <w:rStyle w:val="FunctionTok"/>
        </w:rPr>
        <w:t xml:space="preserve">:</w:t>
      </w:r>
      <w:r>
        <w:rPr>
          <w:rStyle w:val="FloatTok"/>
        </w:rPr>
        <w:t xml:space="preserve">24.7</w:t>
      </w:r>
      <w:r>
        <w:rPr>
          <w:rStyle w:val="FunctionTok"/>
        </w:rPr>
        <w:t xml:space="preserve">,</w:t>
      </w:r>
      <w:r>
        <w:rPr>
          <w:rStyle w:val="DataTypeTok"/>
        </w:rPr>
        <w:t xml:space="preserve">"h"</w:t>
      </w:r>
      <w:r>
        <w:rPr>
          <w:rStyle w:val="FunctionTok"/>
        </w:rPr>
        <w:t xml:space="preserve">:</w:t>
      </w:r>
      <w:r>
        <w:rPr>
          <w:rStyle w:val="FloatTok"/>
        </w:rPr>
        <w:t xml:space="preserve">60.5</w:t>
      </w:r>
      <w:r>
        <w:rPr>
          <w:rStyle w:val="FunctionTok"/>
        </w:rPr>
        <w:t xml:space="preserve">}</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59"/>
    <w:bookmarkStart w:id="63"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вентиляторы, насосы, увлажнители и силовые цепи нагрева.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61" name="Picture"/>
            <a:graphic>
              <a:graphicData uri="http://schemas.openxmlformats.org/drawingml/2006/picture">
                <pic:pic>
                  <pic:nvPicPr>
                    <pic:cNvPr descr="figures/relay_modules.jpg" id="62" name="Picture"/>
                    <pic:cNvPicPr>
                      <a:picLocks noChangeArrowheads="1" noChangeAspect="1"/>
                    </pic:cNvPicPr>
                  </pic:nvPicPr>
                  <pic:blipFill>
                    <a:blip r:embed="rId60"/>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63"/>
    <w:bookmarkStart w:id="64"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64"/>
    <w:bookmarkStart w:id="65"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jc w:val="lef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jc w:val="lef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65"/>
    <w:bookmarkStart w:id="72"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jc w:val="lef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jc w:val="lef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jc w:val="lef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67" name="Picture"/>
            <a:graphic>
              <a:graphicData uri="http://schemas.openxmlformats.org/drawingml/2006/picture">
                <pic:pic>
                  <pic:nvPicPr>
                    <pic:cNvPr descr="figures/chart_daily_temp.pdf" id="68" name="Picture"/>
                    <pic:cNvPicPr>
                      <a:picLocks noChangeArrowheads="1" noChangeAspect="1"/>
                    </pic:cNvPicPr>
                  </pic:nvPicPr>
                  <pic:blipFill>
                    <a:blip r:embed="rId66"/>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 $T$ - температура воздуха, °C; $\varphi$ - относительная влажность, %; $e_{\text{н}}(T)$ -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70" name="Picture"/>
            <a:graphic>
              <a:graphicData uri="http://schemas.openxmlformats.org/drawingml/2006/picture">
                <pic:pic>
                  <pic:nvPicPr>
                    <pic:cNvPr descr="figures/chart_vpd.pdf" id="71" name="Picture"/>
                    <pic:cNvPicPr>
                      <a:picLocks noChangeArrowheads="1" noChangeAspect="1"/>
                    </pic:cNvPicPr>
                  </pic:nvPicPr>
                  <pic:blipFill>
                    <a:blip r:embed="rId69"/>
                    <a:stretch>
                      <a:fillRect/>
                    </a:stretch>
                  </pic:blipFill>
                  <pic:spPr bwMode="auto">
                    <a:xfrm>
                      <a:off x="0" y="0"/>
                      <a:ext cx="5207000" cy="2984500"/>
                    </a:xfrm>
                    <a:prstGeom prst="rect">
                      <a:avLst/>
                    </a:prstGeom>
                    <a:noFill/>
                    <a:ln w="9525">
                      <a:noFill/>
                      <a:headEnd/>
                      <a:tailEnd/>
                    </a:ln>
                  </pic:spPr>
                </pic:pic>
              </a:graphicData>
            </a:graphic>
          </wp:inline>
        </w:drawing>
      </w:r>
    </w:p>
    <w:bookmarkEnd w:id="72"/>
    <w:bookmarkStart w:id="76"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right"/>
            </w:pPr>
            <w:r>
              <w:t xml:space="preserve">Реле</w:t>
            </w:r>
          </w:p>
        </w:tc>
        <w:tc>
          <w:tcPr/>
          <w:p>
            <w:pPr>
              <w:pStyle w:val="Compact"/>
              <w:jc w:val="lef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jc w:val="lef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jc w:val="lef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jc w:val="lef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jc w:val="left"/>
            </w:pPr>
            <w:r>
              <w:t xml:space="preserve">ультразвуковой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jc w:val="left"/>
            </w:pPr>
            <w:r>
              <w:t xml:space="preserve">ультразвуковой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74" name="Picture"/>
            <a:graphic>
              <a:graphicData uri="http://schemas.openxmlformats.org/drawingml/2006/picture">
                <pic:pic>
                  <pic:nvPicPr>
                    <pic:cNvPr descr="figures/chart_relay_hourly.pdf" id="75" name="Picture"/>
                    <pic:cNvPicPr>
                      <a:picLocks noChangeArrowheads="1" noChangeAspect="1"/>
                    </pic:cNvPicPr>
                  </pic:nvPicPr>
                  <pic:blipFill>
                    <a:blip r:embed="rId73"/>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76"/>
    <w:bookmarkStart w:id="80"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78" name="Picture"/>
            <a:graphic>
              <a:graphicData uri="http://schemas.openxmlformats.org/drawingml/2006/picture">
                <pic:pic>
                  <pic:nvPicPr>
                    <pic:cNvPr descr="figures/chart_diurnal_temp.pdf" id="79" name="Picture"/>
                    <pic:cNvPicPr>
                      <a:picLocks noChangeArrowheads="1" noChangeAspect="1"/>
                    </pic:cNvPicPr>
                  </pic:nvPicPr>
                  <pic:blipFill>
                    <a:blip r:embed="rId77"/>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80"/>
    <w:bookmarkStart w:id="87"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Дополнительно проигрывают и сами светильники: фотонная отдача драйвера (PPFD на ватт) максимальна у варианта 2 (около 0,98) и снижается до 0,51 (мкмоль/(м²·с))/Вт у варианта 5. Таким образом, на верхних ступенях мощности возникает двойной проигрыш - и оборудование преобразует электроэнергию в свет менее эффективно, и растение уже не использует избыточный свет. Кривая «доза света - урожай» и удельная энергоэффективность вариантов показаны на рисунке 3.9.</w:t>
      </w:r>
    </w:p>
    <w:p>
      <w:pPr>
        <w:pStyle w:val="BodyText"/>
      </w:pPr>
      <w:r>
        <w:drawing>
          <wp:inline>
            <wp:extent cx="5334000" cy="3016968"/>
            <wp:effectExtent b="0" l="0" r="0" t="0"/>
            <wp:docPr descr="Рисунок 3.9 – Зависимость урожая (линия) и энергоэффективности (столбцы) от световой дозы DLI" title="" id="82" name="Picture"/>
            <a:graphic>
              <a:graphicData uri="http://schemas.openxmlformats.org/drawingml/2006/picture">
                <pic:pic>
                  <pic:nvPicPr>
                    <pic:cNvPr descr="figures/chart_light_yield.pdf" id="83" name="Picture"/>
                    <pic:cNvPicPr>
                      <a:picLocks noChangeArrowheads="1" noChangeAspect="1"/>
                    </pic:cNvPicPr>
                  </pic:nvPicPr>
                  <pic:blipFill>
                    <a:blip r:embed="rId81"/>
                    <a:stretch>
                      <a:fillRect/>
                    </a:stretch>
                  </pic:blipFill>
                  <pic:spPr bwMode="auto">
                    <a:xfrm>
                      <a:off x="0" y="0"/>
                      <a:ext cx="5334000" cy="3016968"/>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Содержание сухого вещества листа растет с 5,2 % (вариант 1) до 7,9 % (вариант 5) при коэффициенте корреляции с DLI около 0,53 - лист становится более плотным. Содержание нитратов, напротив, устойчиво снижается (корреляция с DLI около -0,62;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85" name="Picture"/>
            <a:graphic>
              <a:graphicData uri="http://schemas.openxmlformats.org/drawingml/2006/picture">
                <pic:pic>
                  <pic:nvPicPr>
                    <pic:cNvPr descr="figures/chart_light_quality.pdf" id="86" name="Picture"/>
                    <pic:cNvPicPr>
                      <a:picLocks noChangeArrowheads="1" noChangeAspect="1"/>
                    </pic:cNvPicPr>
                  </pic:nvPicPr>
                  <pic:blipFill>
                    <a:blip r:embed="rId84"/>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Среди органов растения наиболее светозависимой оказалась масса корня (корреляция с DLI около 0,83), а высота розетки, напротив, с ростом света снижается (корреляция около -0,47)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Все перечисленные связи получены на наблюдательных данных небольшого объема (по 6 сортов × 5 вариантов) и не являются строгим факторным доказательством, однако они согласованы между собой и физиологически непротиворечивы, поэтому пригодны как обоснование гипотез для последующего controlled experiment и как практический аргумент в пользу умеренных световых режимов (вариант 2-3) при оптимизации энергозатрат.</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87"/>
    <w:bookmarkStart w:id="88"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При тарифе $c_{el}$ (например, 6 руб./кВт·ч) это около 1300 руб. за два месяца только по одному вентиляционному каналу;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поэтому именно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 $E_{\text{баз}}$ - базовое энергопотребление по журналу; $k_{\text{эк}}$ - сценарная доля экономии (например, 0,1); $c_{\text{эл}}$ - тариф на электроэнергию. Такой расчет показывает потенциальную ценность прогнозного управления при явно указанных допущениях, но не подменяет собой экспериментальное подтверждение.</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88"/>
    <w:bookmarkStart w:id="92"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numPr>
          <w:ilvl w:val="0"/>
          <w:numId w:val="1010"/>
        </w:numPr>
        <w:pStyle w:val="Compact"/>
      </w:pPr>
      <w:r>
        <w:t xml:space="preserve">ресемплирование сенсорных рядов к равномерному шагу;</w:t>
      </w:r>
    </w:p>
    <w:p>
      <w:pPr>
        <w:numPr>
          <w:ilvl w:val="0"/>
          <w:numId w:val="1010"/>
        </w:numPr>
        <w:pStyle w:val="Compact"/>
      </w:pPr>
      <w:r>
        <w:t xml:space="preserve">разворот устройств в отдельные признаки;</w:t>
      </w:r>
    </w:p>
    <w:p>
      <w:pPr>
        <w:numPr>
          <w:ilvl w:val="0"/>
          <w:numId w:val="1010"/>
        </w:numPr>
        <w:pStyle w:val="Compact"/>
      </w:pPr>
      <w:r>
        <w:t xml:space="preserve">восстановление состояний реле на временной шкале;</w:t>
      </w:r>
    </w:p>
    <w:p>
      <w:pPr>
        <w:numPr>
          <w:ilvl w:val="0"/>
          <w:numId w:val="1010"/>
        </w:numPr>
        <w:pStyle w:val="Compact"/>
      </w:pPr>
      <w:r>
        <w:t xml:space="preserve">исключение технических нулей;</w:t>
      </w:r>
    </w:p>
    <w:p>
      <w:pPr>
        <w:numPr>
          <w:ilvl w:val="0"/>
          <w:numId w:val="1010"/>
        </w:numPr>
        <w:pStyle w:val="Compact"/>
      </w:pPr>
      <w:r>
        <w:t xml:space="preserve">построение лагов 5, 10, 30 и 60 минут;</w:t>
      </w:r>
    </w:p>
    <w:p>
      <w:pPr>
        <w:numPr>
          <w:ilvl w:val="0"/>
          <w:numId w:val="1010"/>
        </w:numPr>
        <w:pStyle w:val="Compact"/>
      </w:pPr>
      <w:r>
        <w:t xml:space="preserve">добавление признаков часа суток и дня недели;</w:t>
      </w:r>
    </w:p>
    <w:p>
      <w:pPr>
        <w:numPr>
          <w:ilvl w:val="0"/>
          <w:numId w:val="1010"/>
        </w:numPr>
        <w:pStyle w:val="Compact"/>
      </w:pPr>
      <w:r>
        <w:t xml:space="preserve">сдвиг целевой переменной на горизонт прогноза;</w:t>
      </w:r>
    </w:p>
    <w:p>
      <w:pPr>
        <w:numPr>
          <w:ilvl w:val="0"/>
          <w:numId w:val="1010"/>
        </w:numPr>
        <w:pStyle w:val="Compact"/>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numPr>
          <w:ilvl w:val="0"/>
          <w:numId w:val="1011"/>
        </w:numPr>
        <w:pStyle w:val="Compact"/>
      </w:pPr>
      <w:r>
        <w:rPr>
          <w:rStyle w:val="VerbatimChar"/>
        </w:rPr>
        <w:t xml:space="preserve">last_value</w:t>
      </w:r>
      <w:r>
        <w:t xml:space="preserve"> </w:t>
      </w:r>
      <w:r>
        <w:t xml:space="preserve">- прогноз последним известным значением;</w:t>
      </w:r>
    </w:p>
    <w:p>
      <w:pPr>
        <w:numPr>
          <w:ilvl w:val="0"/>
          <w:numId w:val="1011"/>
        </w:numPr>
        <w:pStyle w:val="Compact"/>
      </w:pPr>
      <w:r>
        <w:rPr>
          <w:rStyle w:val="VerbatimChar"/>
        </w:rPr>
        <w:t xml:space="preserve">moving_mean_30m</w:t>
      </w:r>
      <w:r>
        <w:t xml:space="preserve"> </w:t>
      </w:r>
      <w:r>
        <w:t xml:space="preserve">- прогноз средним за последние 30 минут;</w:t>
      </w:r>
    </w:p>
    <w:p>
      <w:pPr>
        <w:numPr>
          <w:ilvl w:val="0"/>
          <w:numId w:val="1011"/>
        </w:numPr>
        <w:pStyle w:val="Compact"/>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Цель</w:t>
            </w:r>
          </w:p>
        </w:tc>
        <w:tc>
          <w:tcPr/>
          <w:p>
            <w:pPr>
              <w:pStyle w:val="Compact"/>
              <w:jc w:val="right"/>
            </w:pPr>
            <w:r>
              <w:t xml:space="preserve">Горизонт</w:t>
            </w:r>
          </w:p>
        </w:tc>
        <w:tc>
          <w:tcPr/>
          <w:p>
            <w:pPr>
              <w:pStyle w:val="Compact"/>
              <w:jc w:val="lef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90" name="Picture"/>
            <a:graphic>
              <a:graphicData uri="http://schemas.openxmlformats.org/drawingml/2006/picture">
                <pic:pic>
                  <pic:nvPicPr>
                    <pic:cNvPr descr="figures/chart_ml_metrics.pdf" id="91" name="Picture"/>
                    <pic:cNvPicPr>
                      <a:picLocks noChangeArrowheads="1" noChangeAspect="1"/>
                    </pic:cNvPicPr>
                  </pic:nvPicPr>
                  <pic:blipFill>
                    <a:blip r:embed="rId89"/>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92"/>
    <w:bookmarkStart w:id="93" w:name="X0d4ec5514c29397e41ddbebf69f622baab0a7d3"/>
    <w:p>
      <w:pPr>
        <w:pStyle w:val="Heading2"/>
      </w:pPr>
      <w:r>
        <w:t xml:space="preserve">3.12.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numPr>
          <w:ilvl w:val="0"/>
          <w:numId w:val="1012"/>
        </w:numPr>
        <w:pStyle w:val="Compact"/>
      </w:pPr>
      <w:r>
        <w:t xml:space="preserve">данные являются наблюдательными, а не результатом специально поставленного факторного эксперимента;</w:t>
      </w:r>
    </w:p>
    <w:p>
      <w:pPr>
        <w:numPr>
          <w:ilvl w:val="0"/>
          <w:numId w:val="1012"/>
        </w:numPr>
        <w:pStyle w:val="Compact"/>
      </w:pPr>
      <w:r>
        <w:t xml:space="preserve">часть событий реле совпадает во времени, поэтому эффекты отдельных каналов трудно разделить;</w:t>
      </w:r>
    </w:p>
    <w:p>
      <w:pPr>
        <w:numPr>
          <w:ilvl w:val="0"/>
          <w:numId w:val="1012"/>
        </w:numPr>
        <w:pStyle w:val="Compact"/>
      </w:pPr>
      <w:r>
        <w:t xml:space="preserve">отсутствует непрерывная наружная температура, наружная влажность и солнечная радиация;</w:t>
      </w:r>
    </w:p>
    <w:p>
      <w:pPr>
        <w:numPr>
          <w:ilvl w:val="0"/>
          <w:numId w:val="1012"/>
        </w:numPr>
        <w:pStyle w:val="Compact"/>
      </w:pPr>
      <w:r>
        <w:t xml:space="preserve">у ряда</w:t>
      </w:r>
      <w:r>
        <w:t xml:space="preserve"> </w:t>
      </w:r>
      <w:r>
        <w:rPr>
          <w:rStyle w:val="VerbatimChar"/>
        </w:rPr>
        <w:t xml:space="preserve">co2-1</w:t>
      </w:r>
      <w:r>
        <w:t xml:space="preserve"> </w:t>
      </w:r>
      <w:r>
        <w:t xml:space="preserve">есть технические нули и разрывы;</w:t>
      </w:r>
    </w:p>
    <w:p>
      <w:pPr>
        <w:numPr>
          <w:ilvl w:val="0"/>
          <w:numId w:val="1012"/>
        </w:numPr>
        <w:pStyle w:val="Compact"/>
      </w:pPr>
      <w:r>
        <w:t xml:space="preserve">ручные измерения по салату не всегда имеют точное время, достаточное для синхронизации с минутным рядом микроклимата;</w:t>
      </w:r>
    </w:p>
    <w:p>
      <w:pPr>
        <w:numPr>
          <w:ilvl w:val="0"/>
          <w:numId w:val="1012"/>
        </w:numPr>
        <w:pStyle w:val="Compact"/>
      </w:pPr>
      <w:r>
        <w:t xml:space="preserve">мощности отдельных исполнительных устройств требуют уточнения для финального экономического расчета.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93"/>
    <w:bookmarkStart w:id="94" w:name="Xafbd119596ac3467e95f559994d58451e855cfa"/>
    <w:p>
      <w:pPr>
        <w:pStyle w:val="Heading2"/>
      </w:pPr>
      <w:r>
        <w:t xml:space="preserve">3.13.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94"/>
    <w:bookmarkStart w:id="95" w:name="X5f7d8633e2aeada61cce10f60c74edb4188e7af"/>
    <w:p>
      <w:pPr>
        <w:pStyle w:val="Heading2"/>
      </w:pPr>
      <w:r>
        <w:t xml:space="preserve">3.14.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Основной результат практической части состоит в создании измеряемого и управляемого объекта, пригодного для дальнейшего ML-прогнозирования и расчетной оценки потенциального экономического эффекта.</w:t>
      </w:r>
    </w:p>
    <w:bookmarkEnd w:id="95"/>
    <w:bookmarkEnd w:id="96"/>
    <w:bookmarkStart w:id="97"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что указывает на недостаточную производительность увлажнения.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снижает содержание нитратов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numPr>
          <w:ilvl w:val="0"/>
          <w:numId w:val="1014"/>
        </w:numPr>
        <w:pStyle w:val="Compact"/>
      </w:pPr>
      <w:r>
        <w:t xml:space="preserve">Обоснована исследовательская рамка ВКР как разработки расширяемой IoT/ML-платформы управления микроклиматом теплицы.</w:t>
      </w:r>
    </w:p>
    <w:p>
      <w:pPr>
        <w:numPr>
          <w:ilvl w:val="0"/>
          <w:numId w:val="1014"/>
        </w:numPr>
        <w:pStyle w:val="Compact"/>
      </w:pPr>
      <w:r>
        <w:t xml:space="preserve">Сформирован аналитический обзор smart greenhouse, IoT, ML-прогнозирования, методов управления и энергоэффективности.</w:t>
      </w:r>
    </w:p>
    <w:p>
      <w:pPr>
        <w:numPr>
          <w:ilvl w:val="0"/>
          <w:numId w:val="1014"/>
        </w:numPr>
        <w:pStyle w:val="Compact"/>
      </w:pPr>
      <w:r>
        <w:t xml:space="preserve">Спроектирована архитектура платформы с единой моделью обмена данными, журналированием датчиков и исполнительных воздействий.</w:t>
      </w:r>
    </w:p>
    <w:p>
      <w:pPr>
        <w:numPr>
          <w:ilvl w:val="0"/>
          <w:numId w:val="1014"/>
        </w:numPr>
        <w:pStyle w:val="Compact"/>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numPr>
          <w:ilvl w:val="0"/>
          <w:numId w:val="1014"/>
        </w:numPr>
        <w:pStyle w:val="Compact"/>
      </w:pPr>
      <w:r>
        <w:t xml:space="preserve">Получен фактический датасет опытной эксплуатации теплицы.</w:t>
      </w:r>
    </w:p>
    <w:p>
      <w:pPr>
        <w:numPr>
          <w:ilvl w:val="0"/>
          <w:numId w:val="1014"/>
        </w:numPr>
        <w:pStyle w:val="Compact"/>
      </w:pPr>
      <w:r>
        <w:t xml:space="preserve">Подготовлены таблицы и графики разведочного анализа данных.</w:t>
      </w:r>
    </w:p>
    <w:p>
      <w:pPr>
        <w:numPr>
          <w:ilvl w:val="0"/>
          <w:numId w:val="1014"/>
        </w:numPr>
        <w:pStyle w:val="Compact"/>
      </w:pPr>
      <w:r>
        <w:t xml:space="preserve">Выполнен baseline ML-эксперимент с лаговыми признаками и метриками MAE, RMSE и R².</w:t>
      </w:r>
    </w:p>
    <w:p>
      <w:pPr>
        <w:numPr>
          <w:ilvl w:val="0"/>
          <w:numId w:val="1014"/>
        </w:numPr>
        <w:pStyle w:val="Compact"/>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конструктивным разделением силовых и слаботочных цепей в шкафу управления, применением автоматических выключателей и реле с нормированным коммутируемым током.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97"/>
    <w:bookmarkStart w:id="108"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numPr>
          <w:ilvl w:val="0"/>
          <w:numId w:val="1015"/>
        </w:numPr>
        <w:pStyle w:val="Compact"/>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numPr>
          <w:ilvl w:val="0"/>
          <w:numId w:val="1015"/>
        </w:numPr>
        <w:pStyle w:val="Compact"/>
      </w:pPr>
      <w:r>
        <w:t xml:space="preserve">Bersani C., Ruggiero C., Sacile R., Soussi A., Zero E. Internet of Things Approaches for Monitoring and Control of Smart Greenhouses in Industry 4.0 // Energies. – 2022. – Vol. 15, No. 10. – Article 3834. – DOI: 10.3390/en15103834.</w:t>
      </w:r>
    </w:p>
    <w:p>
      <w:pPr>
        <w:numPr>
          <w:ilvl w:val="0"/>
          <w:numId w:val="1015"/>
        </w:numPr>
        <w:pStyle w:val="Compact"/>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98">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numPr>
          <w:ilvl w:val="0"/>
          <w:numId w:val="1015"/>
        </w:numPr>
        <w:pStyle w:val="Compact"/>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99">
        <w:r>
          <w:rPr>
            <w:rStyle w:val="Hyperlink"/>
          </w:rPr>
          <w:t xml:space="preserve">https://journal.altstu.ru/konf_2020/2020_1/54/</w:t>
        </w:r>
      </w:hyperlink>
      <w:r>
        <w:t xml:space="preserve"> </w:t>
      </w:r>
      <w:r>
        <w:t xml:space="preserve">(дата обращения: 03.06.2026).</w:t>
      </w:r>
    </w:p>
    <w:p>
      <w:pPr>
        <w:numPr>
          <w:ilvl w:val="0"/>
          <w:numId w:val="1015"/>
        </w:numPr>
        <w:pStyle w:val="Compact"/>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100">
        <w:r>
          <w:rPr>
            <w:rStyle w:val="Hyperlink"/>
          </w:rPr>
          <w:t xml:space="preserve">https://irsau.ru/structure/science/materials.php</w:t>
        </w:r>
      </w:hyperlink>
      <w:r>
        <w:t xml:space="preserve"> </w:t>
      </w:r>
      <w:r>
        <w:t xml:space="preserve">(дата обращения: 03.06.2026).</w:t>
      </w:r>
    </w:p>
    <w:p>
      <w:pPr>
        <w:numPr>
          <w:ilvl w:val="0"/>
          <w:numId w:val="1015"/>
        </w:numPr>
        <w:pStyle w:val="Compact"/>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numPr>
          <w:ilvl w:val="0"/>
          <w:numId w:val="1015"/>
        </w:numPr>
        <w:pStyle w:val="Compact"/>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101">
        <w:r>
          <w:rPr>
            <w:rStyle w:val="Hyperlink"/>
          </w:rPr>
          <w:t xml:space="preserve">http://elar.uspu.ru/handle/uspu/15860</w:t>
        </w:r>
      </w:hyperlink>
      <w:r>
        <w:t xml:space="preserve"> </w:t>
      </w:r>
      <w:r>
        <w:t xml:space="preserve">(дата обращения: 03.06.2026).</w:t>
      </w:r>
    </w:p>
    <w:p>
      <w:pPr>
        <w:numPr>
          <w:ilvl w:val="0"/>
          <w:numId w:val="1015"/>
        </w:numPr>
        <w:pStyle w:val="Compact"/>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102">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numPr>
          <w:ilvl w:val="0"/>
          <w:numId w:val="1015"/>
        </w:numPr>
        <w:pStyle w:val="Compact"/>
      </w:pPr>
      <w:r>
        <w:t xml:space="preserve">Alhnaity B., Pearson S., Leontidis G., Kollias S. Using Deep Learning to Predict Plant Growth and Yield in Greenhouse Environments [Электронный ресурс] // arXiv. – 2019. – arXiv:1907.00624. – URL:</w:t>
      </w:r>
      <w:r>
        <w:t xml:space="preserve"> </w:t>
      </w:r>
      <w:hyperlink r:id="rId103">
        <w:r>
          <w:rPr>
            <w:rStyle w:val="Hyperlink"/>
          </w:rPr>
          <w:t xml:space="preserve">https://arxiv.org/abs/1907.00624</w:t>
        </w:r>
      </w:hyperlink>
      <w:r>
        <w:t xml:space="preserve"> </w:t>
      </w:r>
      <w:r>
        <w:t xml:space="preserve">(дата обращения: 03.06.2026).</w:t>
      </w:r>
    </w:p>
    <w:p>
      <w:pPr>
        <w:numPr>
          <w:ilvl w:val="0"/>
          <w:numId w:val="1015"/>
        </w:numPr>
        <w:pStyle w:val="Compact"/>
      </w:pPr>
      <w:r>
        <w:t xml:space="preserve">Gong L., Yu M., Jiang S., Cutsuridis V., Pearson S. Deep Learning Based Prediction on Greenhouse Crop Yield Combined TCN and RNN // Sensors. – 2021. – Vol. 21, No. 13. – Article 4537. – DOI: 10.3390/s21134537.</w:t>
      </w:r>
    </w:p>
    <w:p>
      <w:pPr>
        <w:numPr>
          <w:ilvl w:val="0"/>
          <w:numId w:val="1015"/>
        </w:numPr>
        <w:pStyle w:val="Compact"/>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numPr>
          <w:ilvl w:val="0"/>
          <w:numId w:val="1015"/>
        </w:numPr>
        <w:pStyle w:val="Compact"/>
      </w:pPr>
      <w:r>
        <w:t xml:space="preserve">Huang S., Liu Q., Wu Y., Chen M., Yin H., Zhao J. Edible Mushroom Greenhouse Environment Prediction Model Based on Attention CNN-LSTM // Agronomy. – 2024. – Vol. 14, No. 3. – Article 473. – DOI: 10.3390/agronomy14030473.</w:t>
      </w:r>
    </w:p>
    <w:p>
      <w:pPr>
        <w:numPr>
          <w:ilvl w:val="0"/>
          <w:numId w:val="1015"/>
        </w:numPr>
        <w:pStyle w:val="Compact"/>
      </w:pPr>
      <w:r>
        <w:t xml:space="preserve">Choi W.-J., Yang M. Probabilistic Deep Learning Framework for Greenhouse Microclimate Prediction with Time-Varying Uncertainty and Covariance Analysis // Agriculture. – 2025. – Vol. 15, No. 23. – Article 2461. – DOI: 10.3390/agriculture15232461.</w:t>
      </w:r>
    </w:p>
    <w:p>
      <w:pPr>
        <w:numPr>
          <w:ilvl w:val="0"/>
          <w:numId w:val="1015"/>
        </w:numPr>
        <w:pStyle w:val="Compact"/>
      </w:pPr>
      <w:r>
        <w:t xml:space="preserve">Aborujilah A., Al-Sarem M., Abu-Zanona M. A. Forecast-Driven Climate Control for Smart Greenhouses: Energy Optimization Using LSTM Model // Energies. – 2025. – Vol. 18, No. 21. – Article 5821. – DOI: 10.3390/en18215821.</w:t>
      </w:r>
    </w:p>
    <w:p>
      <w:pPr>
        <w:numPr>
          <w:ilvl w:val="0"/>
          <w:numId w:val="1015"/>
        </w:numPr>
        <w:pStyle w:val="Compact"/>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104">
        <w:r>
          <w:rPr>
            <w:rStyle w:val="Hyperlink"/>
          </w:rPr>
          <w:t xml:space="preserve">https://arxiv.org/abs/2507.21669</w:t>
        </w:r>
      </w:hyperlink>
      <w:r>
        <w:t xml:space="preserve"> </w:t>
      </w:r>
      <w:r>
        <w:t xml:space="preserve">(дата обращения: 03.06.2026).</w:t>
      </w:r>
    </w:p>
    <w:p>
      <w:pPr>
        <w:numPr>
          <w:ilvl w:val="0"/>
          <w:numId w:val="1015"/>
        </w:numPr>
        <w:pStyle w:val="Compact"/>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numPr>
          <w:ilvl w:val="0"/>
          <w:numId w:val="1015"/>
        </w:numPr>
        <w:pStyle w:val="Compact"/>
      </w:pPr>
      <w:r>
        <w:t xml:space="preserve">Mallick S., Airaldi F., Dabiri A., Sun C., De Schutter B. Reinforcement learning-based model predictive control for greenhouse climate control // Smart Agricultural Technology. – 2025. – Vol. 10. – Article 100751. – DOI: 10.1016/j.atech.2024.100751.</w:t>
      </w:r>
    </w:p>
    <w:p>
      <w:pPr>
        <w:numPr>
          <w:ilvl w:val="0"/>
          <w:numId w:val="1015"/>
        </w:numPr>
        <w:pStyle w:val="Compact"/>
      </w:pPr>
      <w:r>
        <w:t xml:space="preserve">Msaad S., Harraway M., McAllister R. D. RL-Guided MPC for Autonomous Greenhouse Control [Электронный ресурс] // arXiv. – 2025. – arXiv:2506.13278. – URL:</w:t>
      </w:r>
      <w:r>
        <w:t xml:space="preserve"> </w:t>
      </w:r>
      <w:hyperlink r:id="rId105">
        <w:r>
          <w:rPr>
            <w:rStyle w:val="Hyperlink"/>
          </w:rPr>
          <w:t xml:space="preserve">https://arxiv.org/abs/2506.13278</w:t>
        </w:r>
      </w:hyperlink>
      <w:r>
        <w:t xml:space="preserve"> </w:t>
      </w:r>
      <w:r>
        <w:t xml:space="preserve">(дата обращения: 03.06.2026).</w:t>
      </w:r>
    </w:p>
    <w:p>
      <w:pPr>
        <w:numPr>
          <w:ilvl w:val="0"/>
          <w:numId w:val="1015"/>
        </w:numPr>
        <w:pStyle w:val="Compact"/>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106">
        <w:r>
          <w:rPr>
            <w:rStyle w:val="Hyperlink"/>
          </w:rPr>
          <w:t xml:space="preserve">https://arxiv.org/abs/2303.06110</w:t>
        </w:r>
      </w:hyperlink>
      <w:r>
        <w:t xml:space="preserve"> </w:t>
      </w:r>
      <w:r>
        <w:t xml:space="preserve">(дата обращения: 03.06.2026).</w:t>
      </w:r>
    </w:p>
    <w:p>
      <w:pPr>
        <w:numPr>
          <w:ilvl w:val="0"/>
          <w:numId w:val="1015"/>
        </w:numPr>
        <w:pStyle w:val="Compact"/>
      </w:pPr>
      <w:r>
        <w:t xml:space="preserve">Xiao M., Lan J., Yu J., Ma W., Xie Q., Sun C. Grower-in-the-Loop Interactive Reinforcement Learning for Greenhouse Climate Control [Электронный ресурс] // arXiv. – 2025. – arXiv:2505.23355. – URL:</w:t>
      </w:r>
      <w:r>
        <w:t xml:space="preserve"> </w:t>
      </w:r>
      <w:hyperlink r:id="rId107">
        <w:r>
          <w:rPr>
            <w:rStyle w:val="Hyperlink"/>
          </w:rPr>
          <w:t xml:space="preserve">https://arxiv.org/abs/2505.23355</w:t>
        </w:r>
      </w:hyperlink>
      <w:r>
        <w:t xml:space="preserve"> </w:t>
      </w:r>
      <w:r>
        <w:t xml:space="preserve">(дата обращения: 03.06.2026).</w:t>
      </w:r>
    </w:p>
    <w:p>
      <w:pPr>
        <w:numPr>
          <w:ilvl w:val="0"/>
          <w:numId w:val="1015"/>
        </w:numPr>
        <w:pStyle w:val="Compact"/>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numPr>
          <w:ilvl w:val="0"/>
          <w:numId w:val="1015"/>
        </w:numPr>
        <w:pStyle w:val="Compact"/>
      </w:pPr>
      <w:r>
        <w:t xml:space="preserve">Jawad M., Wahid F., Ali S., Ma Y., Alkhyyat A., Khan J., Lee Y. Energy optimization and plant comfort management in smart greenhouses using the artificial bee colony algorithm // Scientific Reports. – 2025. – Vol. 15. – DOI: 10.1038/s41598-024-84141-5.</w:t>
      </w:r>
    </w:p>
    <w:p>
      <w:pPr>
        <w:numPr>
          <w:ilvl w:val="0"/>
          <w:numId w:val="1015"/>
        </w:numPr>
        <w:pStyle w:val="Compact"/>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numPr>
          <w:ilvl w:val="0"/>
          <w:numId w:val="1015"/>
        </w:numPr>
        <w:pStyle w:val="Compact"/>
      </w:pPr>
      <w:r>
        <w:t xml:space="preserve">Joni I. M. [et al.]. Smart Farming Experiment: IoT-Enhanced Greenhouse Design for Rice Cultivation with Foliar and Soil Fertilization // AgriEngineering. – 2025. – Vol. 7, No. 11. – Article 380. – DOI: 10.3390/agriengineering7110380.</w:t>
      </w:r>
    </w:p>
    <w:p>
      <w:pPr>
        <w:numPr>
          <w:ilvl w:val="0"/>
          <w:numId w:val="1015"/>
        </w:numPr>
        <w:pStyle w:val="Compact"/>
      </w:pPr>
      <w:r>
        <w:t xml:space="preserve">Wu Y., Fu X. Clean and Smart Energy Technologies for Agricultural Energy Internet Systems: A Comprehensive Review and Future Perspectives // Applied Sciences. – 2026. – Vol. 16, No. 10. – Article 4859. – DOI: 10.3390/app16104859.</w:t>
      </w:r>
    </w:p>
    <w:p>
      <w:pPr>
        <w:numPr>
          <w:ilvl w:val="0"/>
          <w:numId w:val="1015"/>
        </w:numPr>
        <w:pStyle w:val="Compact"/>
      </w:pPr>
      <w:r>
        <w:t xml:space="preserve">Hindi I., Alsharkawi A., Al-Ajlouni M., Qarallah B. Enhancing autonomous agriculture control systems in greenhouses for sustainable resource usage using deep learning techniques // PLOS One. – 2026. – DOI: 10.1371/journal.pone.0344946.</w:t>
      </w:r>
    </w:p>
    <w:p>
      <w:pPr>
        <w:numPr>
          <w:ilvl w:val="0"/>
          <w:numId w:val="1015"/>
        </w:numPr>
        <w:pStyle w:val="Compact"/>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numPr>
          <w:ilvl w:val="0"/>
          <w:numId w:val="1015"/>
        </w:numPr>
        <w:pStyle w:val="Compact"/>
      </w:pPr>
      <w:r>
        <w:t xml:space="preserve">Chen S., Liu A., Tang F., Hou P., Lu Y., Yuan P. A Review of Environmental Control Strategies and Models for Modern Agricultural Greenhouses // Sensors. – 2025. – Vol. 25, No. 5. – Article 1388. – DOI: 10.3390/s25051388.</w:t>
      </w:r>
    </w:p>
    <w:p>
      <w:pPr>
        <w:numPr>
          <w:ilvl w:val="0"/>
          <w:numId w:val="1015"/>
        </w:numPr>
        <w:pStyle w:val="Compact"/>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numPr>
          <w:ilvl w:val="0"/>
          <w:numId w:val="1015"/>
        </w:numPr>
        <w:pStyle w:val="Compact"/>
      </w:pPr>
      <w:r>
        <w:t xml:space="preserve">Li H., Li A., Hou Y., Zhang C., Guo J., Li J., Ma Y., Wang T., Yin Y. Analysis of Heat and Humidity in Single-Slope Greenhouses with Natural Ventilation // Buildings. – 2023. – Vol. 13, No. 3. – Article 606. – DOI: 10.3390/buildings13030606.</w:t>
      </w:r>
    </w:p>
    <w:p>
      <w:pPr>
        <w:numPr>
          <w:ilvl w:val="0"/>
          <w:numId w:val="1015"/>
        </w:numPr>
        <w:pStyle w:val="Compact"/>
      </w:pPr>
      <w:r>
        <w:t xml:space="preserve">Ghaderi M., Reddick C., Sorin M. A Systematic Heat Recovery Approach for Designing Integrated Heating, Cooling, and Ventilation Systems for Greenhouses // Energies. – 2023. – Vol. 16, No. 14. – Article 5493. – DOI: 10.3390/en16145493.</w:t>
      </w:r>
    </w:p>
    <w:p>
      <w:pPr>
        <w:numPr>
          <w:ilvl w:val="0"/>
          <w:numId w:val="1015"/>
        </w:numPr>
        <w:pStyle w:val="Compact"/>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df" /><Relationship Type="http://schemas.openxmlformats.org/officeDocument/2006/relationships/image" Id="rId66" Target="media/rId66.pdf" /><Relationship Type="http://schemas.openxmlformats.org/officeDocument/2006/relationships/image" Id="rId77" Target="media/rId77.pdf" /><Relationship Type="http://schemas.openxmlformats.org/officeDocument/2006/relationships/image" Id="rId84" Target="media/rId84.pdf" /><Relationship Type="http://schemas.openxmlformats.org/officeDocument/2006/relationships/image" Id="rId81" Target="media/rId81.pdf" /><Relationship Type="http://schemas.openxmlformats.org/officeDocument/2006/relationships/image" Id="rId89" Target="media/rId89.pdf" /><Relationship Type="http://schemas.openxmlformats.org/officeDocument/2006/relationships/image" Id="rId73" Target="media/rId73.pdf" /><Relationship Type="http://schemas.openxmlformats.org/officeDocument/2006/relationships/image" Id="rId69" Target="media/rId69.pdf"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image" Id="rId49" Target="media/rId49.jpg" /><Relationship Type="http://schemas.openxmlformats.org/officeDocument/2006/relationships/image" Id="rId60" Target="media/rId60.jpg" /><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2026-06-03T19:00:06Z</dcterms:created>
  <dcterms:modified xsi:type="dcterms:W3CDTF">2026-06-03T19:00:06Z</dcterms:modified>
</cp:coreProperties>
</file>

<file path=docProps/custom.xml><?xml version="1.0" encoding="utf-8"?>
<Properties xmlns="http://schemas.openxmlformats.org/officeDocument/2006/custom-properties" xmlns:vt="http://schemas.openxmlformats.org/officeDocument/2006/docPropsVTypes"/>
</file>