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9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Чтобы уравнения (2.1)-(2.3) не оставались чисто символическими, их параметры оцениваются численно для опытного бокса объемом $V = 24$ м³ (площадь ограждений около $A = 44$ м²). Теплоемкость воздушного объема составляет $C_{\text{возд}} = \rho c_p V \approx 1{,}2 \cdot 1005 \cdot 24 \approx 28{,}9$ кДж/К ($\approx 8{,}0$ Вт·ч/К). Коэффициент теплопередачи ограждений, разделяющих бокс и окружающее отапливаемое помещение, при удельной теплопередаче ограждающей конструкции $U \approx 2{,}5$ Вт/(м²·К) равен $K!F = U A \approx 110$ Вт/К. Вентиляционный канал при паспортном расходе приточного вентилятора $L \approx 1200$ м³/ч задает кратность воздухообмена $n = L/V \approx 50$ ч⁻¹ и вентиляционный коэффициент потерь $G_{\text{вент}} = \rho c_p L/3600 \approx 400$ Вт/К. Сводка расчетных параметров теплотехнической модели приведена в таблице 2.2.</w:t>
      </w:r>
    </w:p>
    <w:p>
      <w:pPr>
        <w:pStyle w:val="BodyText"/>
      </w:pPr>
      <w:r>
        <w:t xml:space="preserve">Таблица 2.2 – Расчетные параметры теплотехнической модели опытного бокса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Обозначение</w:t>
            </w:r>
          </w:p>
        </w:tc>
        <w:tc>
          <w:tcPr/>
          <w:p>
            <w:pPr>
              <w:pStyle w:val="Compact"/>
              <w:jc w:val="right"/>
            </w:pPr>
            <w:r>
              <w:t xml:space="preserve">Значение</w:t>
            </w:r>
          </w:p>
        </w:tc>
      </w:tr>
      <w:tr>
        <w:tc>
          <w:tcPr/>
          <w:p>
            <w:pPr>
              <w:pStyle w:val="Compact"/>
              <w:jc w:val="left"/>
            </w:pPr>
            <w:r>
              <w:t xml:space="preserve">Объем воздуха</w:t>
            </w:r>
          </w:p>
        </w:tc>
        <w:tc>
          <w:tcPr/>
          <w:p>
            <w:pPr>
              <w:pStyle w:val="Compact"/>
              <w:jc w:val="left"/>
            </w:pPr>
            <w:r>
              <w:t xml:space="preserve">$V$</w:t>
            </w:r>
          </w:p>
        </w:tc>
        <w:tc>
          <w:tcPr/>
          <w:p>
            <w:pPr>
              <w:pStyle w:val="Compact"/>
              <w:jc w:val="right"/>
            </w:pPr>
            <w:r>
              <w:t xml:space="preserve">24 м³</w:t>
            </w:r>
          </w:p>
        </w:tc>
      </w:tr>
      <w:tr>
        <w:tc>
          <w:tcPr/>
          <w:p>
            <w:pPr>
              <w:pStyle w:val="Compact"/>
              <w:jc w:val="left"/>
            </w:pPr>
            <w:r>
              <w:t xml:space="preserve">Площадь ограждений</w:t>
            </w:r>
          </w:p>
        </w:tc>
        <w:tc>
          <w:tcPr/>
          <w:p>
            <w:pPr>
              <w:pStyle w:val="Compact"/>
              <w:jc w:val="left"/>
            </w:pPr>
            <w:r>
              <w:t xml:space="preserve">$A$</w:t>
            </w:r>
          </w:p>
        </w:tc>
        <w:tc>
          <w:tcPr/>
          <w:p>
            <w:pPr>
              <w:pStyle w:val="Compact"/>
              <w:jc w:val="right"/>
            </w:pPr>
            <w:r>
              <w:t xml:space="preserve">44 м²</w:t>
            </w:r>
          </w:p>
        </w:tc>
      </w:tr>
      <w:tr>
        <w:tc>
          <w:tcPr/>
          <w:p>
            <w:pPr>
              <w:pStyle w:val="Compact"/>
              <w:jc w:val="left"/>
            </w:pPr>
            <w:r>
              <w:t xml:space="preserve">Теплоемкость воздуха</w:t>
            </w:r>
          </w:p>
        </w:tc>
        <w:tc>
          <w:tcPr/>
          <w:p>
            <w:pPr>
              <w:pStyle w:val="Compact"/>
              <w:jc w:val="left"/>
            </w:pPr>
            <w:r>
              <w:t xml:space="preserve">$C_{\text{возд}}$</w:t>
            </w:r>
          </w:p>
        </w:tc>
        <w:tc>
          <w:tcPr/>
          <w:p>
            <w:pPr>
              <w:pStyle w:val="Compact"/>
              <w:jc w:val="right"/>
            </w:pPr>
            <w:r>
              <w:t xml:space="preserve">28,9 кДж/К</w:t>
            </w:r>
          </w:p>
        </w:tc>
      </w:tr>
      <w:tr>
        <w:tc>
          <w:tcPr/>
          <w:p>
            <w:pPr>
              <w:pStyle w:val="Compact"/>
              <w:jc w:val="left"/>
            </w:pPr>
            <w:r>
              <w:t xml:space="preserve">Коэффициент теплопередачи ограждений</w:t>
            </w:r>
          </w:p>
        </w:tc>
        <w:tc>
          <w:tcPr/>
          <w:p>
            <w:pPr>
              <w:pStyle w:val="Compact"/>
              <w:jc w:val="left"/>
            </w:pPr>
            <w:r>
              <w:t xml:space="preserve">$K!F = U A$</w:t>
            </w:r>
          </w:p>
        </w:tc>
        <w:tc>
          <w:tcPr/>
          <w:p>
            <w:pPr>
              <w:pStyle w:val="Compact"/>
              <w:jc w:val="right"/>
            </w:pPr>
            <w:r>
              <w:t xml:space="preserve">≈ 110 Вт/К</w:t>
            </w:r>
          </w:p>
        </w:tc>
      </w:tr>
      <w:tr>
        <w:tc>
          <w:tcPr/>
          <w:p>
            <w:pPr>
              <w:pStyle w:val="Compact"/>
              <w:jc w:val="left"/>
            </w:pPr>
            <w:r>
              <w:t xml:space="preserve">Кратность воздухообмена</w:t>
            </w:r>
          </w:p>
        </w:tc>
        <w:tc>
          <w:tcPr/>
          <w:p>
            <w:pPr>
              <w:pStyle w:val="Compact"/>
              <w:jc w:val="left"/>
            </w:pPr>
            <w:r>
              <w:t xml:space="preserve">$n = L/V$</w:t>
            </w:r>
          </w:p>
        </w:tc>
        <w:tc>
          <w:tcPr/>
          <w:p>
            <w:pPr>
              <w:pStyle w:val="Compact"/>
              <w:jc w:val="right"/>
            </w:pPr>
            <w:r>
              <w:t xml:space="preserve">≈ 50 ч⁻¹</w:t>
            </w:r>
          </w:p>
        </w:tc>
      </w:tr>
      <w:tr>
        <w:tc>
          <w:tcPr/>
          <w:p>
            <w:pPr>
              <w:pStyle w:val="Compact"/>
              <w:jc w:val="left"/>
            </w:pPr>
            <w:r>
              <w:t xml:space="preserve">Вентиляционный коэффициент потерь</w:t>
            </w:r>
          </w:p>
        </w:tc>
        <w:tc>
          <w:tcPr/>
          <w:p>
            <w:pPr>
              <w:pStyle w:val="Compact"/>
              <w:jc w:val="left"/>
            </w:pPr>
            <w:r>
              <w:t xml:space="preserve">$G_{\text{вент}}$</w:t>
            </w:r>
          </w:p>
        </w:tc>
        <w:tc>
          <w:tcPr/>
          <w:p>
            <w:pPr>
              <w:pStyle w:val="Compact"/>
              <w:jc w:val="right"/>
            </w:pPr>
            <w:r>
              <w:t xml:space="preserve">≈ 400 Вт/К</w:t>
            </w:r>
          </w:p>
        </w:tc>
      </w:tr>
    </w:tbl>
    <w:p>
      <w:pPr>
        <w:pStyle w:val="BodyText"/>
      </w:pPr>
      <w:r>
        <w:t xml:space="preserve">Сопоставление этих величин уже на стадии проектирования выявляет двухмасштабную структуру объекта. Воздушная постоянная времени мала: $\tau_{\text{возд}} = C_{\text{возд}}/K!F \approx 4$ мин при выключенной вентиляции и $C_{\text{возд}}/G_{\text{вент}} \approx 1$ мин при работающем притоке. Поэтому температура воздуха быстро реагирует на вентиляцию, тогда как реальная инерционность бокса определяется не воздухом, а массивными элементами (гидропонные баки, субстрат, конструкции стеллажей), эффективная теплоемкость которых $C_{\text{эфф}}$ на два порядка превышает $C_{\text{возд}}$. Численная идентификация $C_{\text{эфф}}$ по фактическим данным выполнена в подразделе 3.11.</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100"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группа силовых электромагнитных реле, а также пакетные выключатели и пускатели трехфазных цепей нагрева. Однофазное оборудование 220 В коммутируется реле напрямую, а трехфазные электронагреватели 380 В - через промежуточные пускатели, цепями управления которых управляют реле.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Оборудование</w:t>
            </w:r>
          </w:p>
        </w:tc>
        <w:tc>
          <w:tcPr/>
          <w:p>
            <w:pPr>
              <w:pStyle w:val="Compact"/>
              <w:jc w:val="right"/>
            </w:pPr>
            <w:r>
              <w:t xml:space="preserve">Кол-во</w:t>
            </w:r>
          </w:p>
        </w:tc>
        <w:tc>
          <w:tcPr/>
          <w:p>
            <w:pPr>
              <w:pStyle w:val="Compact"/>
              <w:jc w:val="left"/>
            </w:pPr>
            <w:r>
              <w:t xml:space="preserve">Модель</w:t>
            </w:r>
          </w:p>
        </w:tc>
        <w:tc>
          <w:tcPr/>
          <w:p>
            <w:pPr>
              <w:pStyle w:val="Compact"/>
              <w:jc w:val="left"/>
            </w:pPr>
            <w:r>
              <w:t xml:space="preserve">Параметры</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нагрузки 220 В напрямую; ТЭНы 380 В - через пускатели</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однофазные нагрузки 220 В - вентиляторы, насосы и увлажнители. Трехфазные канальные электронагреватели 380 В реле не коммутируют напрямую: канал реле замыкает цепь управления промежуточных коммутационных аппаратов (пакетных выключателей и пускателей, установленных в шкафу управления), которые и включают силовую цепь ТЭНов.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p>
      <w:pPr>
        <w:pStyle w:val="BodyText"/>
      </w:pPr>
      <w:r>
        <w:t xml:space="preserve">Давление насыщения $e_{\text{н}}(T)$ в формуле (3.1) вычислялось по температуре воздуха в боксе (а не по температуре листа), что соответствует распространенной инженерной оценке VPD по данным климатических датчиков и оговаривается как методическое допущение. Физическая причина хронически высокого дефицита связана с режимом вентиляции: в весенний период приток подает наружный воздух с низким влагосодержанием, который при нагреве в боксе дает низкую относительную влажность и, как следствие, высокий VPD. То есть высокий дефицит - не только следствие недостаточной мощности увлажнителей, но и прямое следствие интенсивного воздухообмена сухим воздухом.</w:t>
      </w:r>
    </w:p>
    <w:p>
      <w:pPr>
        <w:pStyle w:val="BodyText"/>
      </w:pPr>
      <w:r>
        <w:t xml:space="preserve">Это позволяет численно оценить требуемую влагопроизводительность. Чтобы при $T \approx 25$ °C снизить VPD с 2,3 до 1,0 кПа, относительную влажность нужно поднять примерно с 28 до 69 %, что соответствует увеличению влагосодержания на $\Delta x \approx 8{,}2$ г/кг. При компенсации вентиляционного выноса влаги потребная подача увлажнителя составляет $G_{\text{увл}} = \rho L,\Delta x$: при умеренном расходе притока 200 м³/ч это около 2 л/ч, а при полном расходе 1200 м³/ч - до 12 л/ч воды. Сопоставление с журналом реле (суммарное время работы увлажнителей - каналы 2 и 3 - около 72 ч за два месяца) показывает, что наблюдавшаяся производительность и продолжительность увлажнения на 1-2 порядка ниже необходимой, что и объясняет недостижение оптимального VPD. Рекомендация по увеличению увлажнения, таким образом, подкреплена конкретной расчетной потребностью, а не только качественным наблюдением.</w:t>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Тариф $c_{\text{эл}}$ в работе берется сценарно, без привязки к конкретному поставщику: для диапазона 6-9 руб./кВт·ч (характерного для прочих потребителей и сельхозпроизводителей) затраты по одному вентиляционному каналу составляют примерно 1300-1950 руб. за два месяца.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Их установленная мощность 12 кВт получает инженерное обоснование в подразделе 3.12 - она соответствует потребной мощности подогрева приточного воздуха при зимнем перепаде температур. Именно поэтому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$c_{\text{эл}}$ - тариф на электроэнергию. Коэффициент $k_{\text{эк}}$ не постулируется единственным числом, а рассматривается как диапазон чувствительности: для консервативной оценки $k_{\text{эк}} = 0{,}05{-}0{,}15$ (предотвращение части избыточных включений нагрева за счет прогнозного упреждения) экономия по нагреву составляет, в зависимости от тарифа и доли, от нескольких сотен до полутора-двух тысяч рублей в месяц. Такой расчет показывает потенциальную ценность прогнозного управления при явно указанных допущениях и их вариации, но не подменяет собой экспериментальное подтверждение, которое требует специально поставленного controlled experiment с измерением фактического потребления ТЭНов.</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6" w:name="X3a45b74862a624cab687af6d0b251e74b851dea"/>
    <w:p>
      <w:pPr>
        <w:pStyle w:val="Heading2"/>
      </w:pPr>
      <w:r>
        <w:t xml:space="preserve">3.12. Численная теплотехническая модель и проверка теплового баланса</w:t>
      </w:r>
    </w:p>
    <w:p>
      <w:pPr>
        <w:pStyle w:val="FirstParagraph"/>
      </w:pPr>
      <w:r>
        <w:t xml:space="preserve">Чтобы тепловой баланс (2.1) не оставался декларативным, его параметры численно оценены для опытного бокса, а постоянная времени идентифицирована по фактическим данным. Бокс размещен внутри отапливаемого здания, поэтому имеет два канала теплопотерь: кондукцию через ограждения в окружающее помещение и вентиляционный обмен с наружным воздухом при работе приточных каналов. Геометрия бокса (2 × 4 × 3 м) дает объем воздуха $V = 24$ м³ и площадь ограждений $A \approx 44$ м² (стены 36 м² и перекрытие 8 м²).</w:t>
      </w:r>
    </w:p>
    <w:p>
      <w:pPr>
        <w:pStyle w:val="BodyText"/>
      </w:pPr>
      <w:r>
        <w:t xml:space="preserve">Теплоемкость воздушного объема невелика: $C_{\text{возд}} = \rho c_p V \approx 1{,}2 \cdot 1005 \cdot 24 \approx 28{,}9$ кДж/К ($\approx 8{,}0$ Вт·ч/К). При удельной теплопередаче ограждающих перегородок $U \approx 2{,}5$ Вт/(м²·К) (принято для легкой светопрозрачной перегородки, граничащей с отапливаемым помещением) коэффициент теплопередачи составляет $K!F = U A \approx 110$ Вт/К. Лумпированный (сосредоточенный) тепловой баланс бокса как объекта управления записывается в виде (3.7):</w:t>
      </w:r>
    </w:p>
    <w:p>
      <w:pPr>
        <w:pStyle w:val="BodyText"/>
      </w:pPr>
      <w:r>
        <w:t xml:space="preserve">\begin{equation}</w:t>
      </w:r>
      <w:r>
        <w:t xml:space="preserve"> </w:t>
      </w:r>
      <w:r>
        <w:t xml:space="preserve">C_{\text{эфф}} \frac{dT}{dt} = \sum Q_{\text{подвод}} - (K!F + G_{\text{вент}})(T - T_{\text{окр}}),</w:t>
      </w:r>
      <w:r>
        <w:t xml:space="preserve"> </w:t>
      </w:r>
      <w:r>
        <w:t xml:space="preserve">\qquad \tau = \frac{C_{\text{эфф}}}{K!F + G_{\text{вент}}},</w:t>
      </w:r>
      <w:r>
        <w:t xml:space="preserve"> </w:t>
      </w:r>
      <w:r>
        <w:t xml:space="preserve">\tag{3.7}</w:t>
      </w:r>
      <w:r>
        <w:t xml:space="preserve"> </w:t>
      </w:r>
      <w:r>
        <w:t xml:space="preserve">\end{equation}</w:t>
      </w:r>
    </w:p>
    <w:p>
      <w:pPr>
        <w:pStyle w:val="BodyText"/>
      </w:pPr>
      <w:r>
        <w:t xml:space="preserve">где $C_{\text{эфф}}$ - эффективная теплоемкость бокса с учетом массивных элементов; $\sum Q_{\text{подвод}}$ - суммарный подвод тепла (нагрев, освещение); $G_{\text{вент}}$ - вентиляционный коэффициент потерь; $T_{\text{окр}}$ - температура среды, к которой стремится бокс; $\tau$ - постоянная времени.</w:t>
      </w:r>
    </w:p>
    <w:p>
      <w:pPr>
        <w:pStyle w:val="BodyText"/>
      </w:pPr>
      <w:r>
        <w:t xml:space="preserve">Если бы инерционность определялась только воздухом, постоянная времени была бы малой: $\tau_{\text{возд}} = C_{\text{возд}}/K!F \approx 28{,}9{\cdot}10^3 / 110 \approx 260$ с $\approx 4$ мин. Фактические данные дают принципиально иную картину. Ночью (22:00-06:00) реле ни разу не переключались (0 событий из 165) и нагрев не работал, поэтому ночное остывание является чистым релаксационным процессом и описывается первым порядком (3.8):</w:t>
      </w:r>
    </w:p>
    <w:p>
      <w:pPr>
        <w:pStyle w:val="BodyText"/>
      </w:pPr>
      <w:r>
        <w:t xml:space="preserve">\begin{equation}</w:t>
      </w:r>
      <w:r>
        <w:t xml:space="preserve"> </w:t>
      </w:r>
      <w:r>
        <w:t xml:space="preserve">T(t) = T_{\text{окр}} + \big(T(0) - T_{\text{окр}}\big), e^{-t/\tau}.</w:t>
      </w:r>
      <w:r>
        <w:t xml:space="preserve"> </w:t>
      </w:r>
      <w:r>
        <w:t xml:space="preserve">\tag{3.8}</w:t>
      </w:r>
      <w:r>
        <w:t xml:space="preserve"> </w:t>
      </w:r>
      <w:r>
        <w:t xml:space="preserve">\end{equation}</w:t>
      </w:r>
    </w:p>
    <w:p>
      <w:pPr>
        <w:pStyle w:val="BodyText"/>
      </w:pPr>
      <w:r>
        <w:t xml:space="preserve">По 56 ночам опытного периода медианное падение температуры</w:t>
      </w:r>
      <w:r>
        <w:t xml:space="preserve"> </w:t>
      </w:r>
      <w:r>
        <w:rPr>
          <w:rStyle w:val="VerbatimChar"/>
        </w:rPr>
        <w:t xml:space="preserve">th-1</w:t>
      </w:r>
      <w:r>
        <w:t xml:space="preserve"> </w:t>
      </w:r>
      <w:r>
        <w:t xml:space="preserve">составило около 2,64 °C за 8 ч, то есть всего около 0,33 °C/ч. Экспоненциальная аппроксимация ночных кривых остывания (рисунок 3.12) дает постоянную времени $\tau_{\text{ноч}} \approx 9{-}10$ ч (для показанной ночи 22-23.04.2026 - 9,6 ч при коэффициенте детерминации $R^2 = 0{,}91$). Отсюда по соотношению (3.9) восстанавливается эффективная теплоемкость:</w:t>
      </w:r>
    </w:p>
    <w:p>
      <w:pPr>
        <w:pStyle w:val="BodyText"/>
      </w:pPr>
      <w:r>
        <w:t xml:space="preserve">\begin{equation}</w:t>
      </w:r>
      <w:r>
        <w:t xml:space="preserve"> </w:t>
      </w:r>
      <w:r>
        <w:t xml:space="preserve">C_{\text{эфф}} = \tau_{\text{ноч}} \cdot K!F \approx 9{,}6 \cdot 3600 \cdot 110 \approx 3{,}8 \text{ МДж/К}.</w:t>
      </w:r>
      <w:r>
        <w:t xml:space="preserve"> </w:t>
      </w:r>
      <w:r>
        <w:t xml:space="preserve">\tag{3.9}</w:t>
      </w:r>
      <w:r>
        <w:t xml:space="preserve"> </w:t>
      </w:r>
      <w:r>
        <w:t xml:space="preserve">\end{equation}</w:t>
      </w:r>
    </w:p>
    <w:p>
      <w:pPr>
        <w:pStyle w:val="BodyText"/>
      </w:pPr>
      <w:r>
        <w:drawing>
          <wp:inline>
            <wp:extent cx="5029200" cy="3022600"/>
            <wp:effectExtent b="0" l="0" r="0" t="0"/>
            <wp:docPr descr="Рисунок 3.12 – Ночное остывание датчика th-1 и экспоненциальный фит первого порядка (идентификация постоянной времени теплового баланса)" title="" id="94" name="Picture"/>
            <a:graphic>
              <a:graphicData uri="http://schemas.openxmlformats.org/drawingml/2006/picture">
                <pic:pic>
                  <pic:nvPicPr>
                    <pic:cNvPr descr="figures/chart_thermal_inertia.pdf" id="95" name="Picture"/>
                    <pic:cNvPicPr>
                      <a:picLocks noChangeArrowheads="1" noChangeAspect="1"/>
                    </pic:cNvPicPr>
                  </pic:nvPicPr>
                  <pic:blipFill>
                    <a:blip r:embed="rId93"/>
                    <a:stretch>
                      <a:fillRect/>
                    </a:stretch>
                  </pic:blipFill>
                  <pic:spPr bwMode="auto">
                    <a:xfrm>
                      <a:off x="0" y="0"/>
                      <a:ext cx="5029200" cy="3022600"/>
                    </a:xfrm>
                    <a:prstGeom prst="rect">
                      <a:avLst/>
                    </a:prstGeom>
                    <a:noFill/>
                    <a:ln w="9525">
                      <a:noFill/>
                      <a:headEnd/>
                      <a:tailEnd/>
                    </a:ln>
                  </pic:spPr>
                </pic:pic>
              </a:graphicData>
            </a:graphic>
          </wp:inline>
        </w:drawing>
      </w:r>
    </w:p>
    <w:p>
      <w:pPr>
        <w:pStyle w:val="BodyText"/>
      </w:pPr>
      <w:r>
        <w:t xml:space="preserve">Полученное значение $C_{\text{эфф}} \approx 3{,}8$ МДж/К примерно в 130 раз превышает теплоемкость воздуха и эквивалентно теплоемкости около 0,9 т воды. Это физически согласуется с конструкцией бокса: гидропонные емкости, влажный субстрат и металл стеллажей запасают на два порядка больше тепла, чем воздух. Таким образом, тепловой баланс (2.1) не только записан, но и замкнут численно, а его ключевой параметр - эффективная теплоемкость - подтвержден экспериментальной кривой остывания, а не задан произвольно.</w:t>
      </w:r>
    </w:p>
    <w:p>
      <w:pPr>
        <w:pStyle w:val="BodyText"/>
      </w:pPr>
      <w:r>
        <w:t xml:space="preserve">Вентиляционный канал меняет баланс качественно. При паспортном расходе приточного вентилятора $L \approx 1200$ м³/ч кратность воздухообмена составляет $n = L/V \approx 50$ ч⁻¹, а вентиляционный коэффициент потерь - $G_{\text{вент}} = \rho c_p L / 3600 \approx 400$ Вт/К, что в 3-4 раза превышает кондуктивный $K!F$. Поэтому при включении притока воздушная составляющая отклика становится быстрой ($C_{\text{возд}}/G_{\text{вент}} \approx 1$ мин), что прямо объясняет наблюдавшийся в подразделе 3.7 быстрый эффект: после включения приточных каналов температура</w:t>
      </w:r>
      <w:r>
        <w:t xml:space="preserve"> </w:t>
      </w:r>
      <w:r>
        <w:rPr>
          <w:rStyle w:val="VerbatimChar"/>
        </w:rPr>
        <w:t xml:space="preserve">th-1</w:t>
      </w:r>
      <w:r>
        <w:t xml:space="preserve"> </w:t>
      </w:r>
      <w:r>
        <w:t xml:space="preserve">снизилась на 0,51 °C уже за первые 30 минут. Двухмасштабная структура «быстрый воздух - медленная масса» является основным теплотехническим выводом анализа и обосновывает выбор горизонта прогноза 10-30 минут для ML-слоя.</w:t>
      </w:r>
    </w:p>
    <w:p>
      <w:pPr>
        <w:pStyle w:val="BodyText"/>
      </w:pPr>
      <w:r>
        <w:t xml:space="preserve">Численная модель позволяет также дать инженерное обоснование установленной мощности нагрева. Потребная тепловая мощность для подогрева приточного воздуха оценивается по (3.10):</w:t>
      </w:r>
    </w:p>
    <w:p>
      <w:pPr>
        <w:pStyle w:val="BodyText"/>
      </w:pPr>
      <w:r>
        <w:t xml:space="preserve">\begin{equation}</w:t>
      </w:r>
      <w:r>
        <w:t xml:space="preserve"> </w:t>
      </w:r>
      <w:r>
        <w:t xml:space="preserve">Q_{\text{нагр}} = \frac{\rho c_p L}{3600},(T_{\text{внутр}} - T_{\text{нар}}).</w:t>
      </w:r>
      <w:r>
        <w:t xml:space="preserve"> </w:t>
      </w:r>
      <w:r>
        <w:t xml:space="preserve">\tag{3.10}</w:t>
      </w:r>
      <w:r>
        <w:t xml:space="preserve"> </w:t>
      </w:r>
      <w:r>
        <w:t xml:space="preserve">\end{equation}</w:t>
      </w:r>
    </w:p>
    <w:p>
      <w:pPr>
        <w:pStyle w:val="BodyText"/>
      </w:pPr>
      <w:r>
        <w:t xml:space="preserve">При $L = 1200$ м³/ч и зимнем перепаде $T_{\text{внутр}} - T_{\text{нар}} = 30$ °C (например, от −8 до +22 °C) требуется $Q_{\text{нагр}} \approx 0{,}333 \cdot 1{,}2 \cdot 1005 \cdot 30 \approx 12$ кВт. Это с высокой точностью совпадает с установленной мощностью двух канальных ТЭНов (12 кВт) и показывает, что нагрев рассчитан именно на температурную подготовку приточного воздуха в холодный период, а не на компенсацию кондуктивных потерь (которые при граничащем отапливаемом помещении невелики). Отсутствие событий ТЭНов в журнале реле за весенний период наблюдений (28.03-26.05) получает физическое объяснение: при умеренной наружной температуре приточный воздух не требовал догрева, а пассивные потери в отапливаемое здание были малы, поэтому контур нагрева не вызывался. Сводка идентифицированных теплотехнических параметров приведена в таблице 3.8.</w:t>
      </w:r>
    </w:p>
    <w:p>
      <w:pPr>
        <w:pStyle w:val="BodyText"/>
      </w:pPr>
      <w:r>
        <w:t xml:space="preserve">Таблица 3.8 – Идентифицированные параметры теплового баланса опытного бокса</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Обозначение</w:t>
            </w:r>
          </w:p>
        </w:tc>
        <w:tc>
          <w:tcPr/>
          <w:p>
            <w:pPr>
              <w:pStyle w:val="Compact"/>
              <w:jc w:val="right"/>
            </w:pPr>
            <w:r>
              <w:t xml:space="preserve">Значение</w:t>
            </w:r>
          </w:p>
        </w:tc>
        <w:tc>
          <w:tcPr/>
          <w:p>
            <w:pPr>
              <w:pStyle w:val="Compact"/>
              <w:jc w:val="left"/>
            </w:pPr>
            <w:r>
              <w:t xml:space="preserve">Источник</w:t>
            </w:r>
          </w:p>
        </w:tc>
      </w:tr>
      <w:tr>
        <w:tc>
          <w:tcPr/>
          <w:p>
            <w:pPr>
              <w:pStyle w:val="Compact"/>
              <w:jc w:val="left"/>
            </w:pPr>
            <w:r>
              <w:t xml:space="preserve">Теплоемкость воздуха</w:t>
            </w:r>
          </w:p>
        </w:tc>
        <w:tc>
          <w:tcPr/>
          <w:p>
            <w:pPr>
              <w:pStyle w:val="Compact"/>
              <w:jc w:val="left"/>
            </w:pPr>
            <w:r>
              <w:t xml:space="preserve">$C_{\text{возд}}$</w:t>
            </w:r>
          </w:p>
        </w:tc>
        <w:tc>
          <w:tcPr/>
          <w:p>
            <w:pPr>
              <w:pStyle w:val="Compact"/>
              <w:jc w:val="right"/>
            </w:pPr>
            <w:r>
              <w:t xml:space="preserve">28,9 кДж/К</w:t>
            </w:r>
          </w:p>
        </w:tc>
        <w:tc>
          <w:tcPr/>
          <w:p>
            <w:pPr>
              <w:pStyle w:val="Compact"/>
              <w:jc w:val="left"/>
            </w:pPr>
            <w:r>
              <w:t xml:space="preserve">расчет $\rho c_p V$</w:t>
            </w:r>
          </w:p>
        </w:tc>
      </w:tr>
      <w:tr>
        <w:tc>
          <w:tcPr/>
          <w:p>
            <w:pPr>
              <w:pStyle w:val="Compact"/>
              <w:jc w:val="left"/>
            </w:pPr>
            <w:r>
              <w:t xml:space="preserve">Коэффициент теплопередачи ограждений</w:t>
            </w:r>
          </w:p>
        </w:tc>
        <w:tc>
          <w:tcPr/>
          <w:p>
            <w:pPr>
              <w:pStyle w:val="Compact"/>
              <w:jc w:val="left"/>
            </w:pPr>
            <w:r>
              <w:t xml:space="preserve">$K!F$</w:t>
            </w:r>
          </w:p>
        </w:tc>
        <w:tc>
          <w:tcPr/>
          <w:p>
            <w:pPr>
              <w:pStyle w:val="Compact"/>
              <w:jc w:val="right"/>
            </w:pPr>
            <w:r>
              <w:t xml:space="preserve">≈ 110 Вт/К</w:t>
            </w:r>
          </w:p>
        </w:tc>
        <w:tc>
          <w:tcPr/>
          <w:p>
            <w:pPr>
              <w:pStyle w:val="Compact"/>
              <w:jc w:val="left"/>
            </w:pPr>
            <w:r>
              <w:t xml:space="preserve">расчет $U A$, $U=2{,}5$</w:t>
            </w:r>
          </w:p>
        </w:tc>
      </w:tr>
      <w:tr>
        <w:tc>
          <w:tcPr/>
          <w:p>
            <w:pPr>
              <w:pStyle w:val="Compact"/>
              <w:jc w:val="left"/>
            </w:pPr>
            <w:r>
              <w:t xml:space="preserve">Вентиляционный коэффициент потерь</w:t>
            </w:r>
          </w:p>
        </w:tc>
        <w:tc>
          <w:tcPr/>
          <w:p>
            <w:pPr>
              <w:pStyle w:val="Compact"/>
              <w:jc w:val="left"/>
            </w:pPr>
            <w:r>
              <w:t xml:space="preserve">$G_{\text{вент}}$</w:t>
            </w:r>
          </w:p>
        </w:tc>
        <w:tc>
          <w:tcPr/>
          <w:p>
            <w:pPr>
              <w:pStyle w:val="Compact"/>
              <w:jc w:val="right"/>
            </w:pPr>
            <w:r>
              <w:t xml:space="preserve">≈ 400 Вт/К</w:t>
            </w:r>
          </w:p>
        </w:tc>
        <w:tc>
          <w:tcPr/>
          <w:p>
            <w:pPr>
              <w:pStyle w:val="Compact"/>
              <w:jc w:val="left"/>
            </w:pPr>
            <w:r>
              <w:t xml:space="preserve">расчет по $L=1200$ м³/ч</w:t>
            </w:r>
          </w:p>
        </w:tc>
      </w:tr>
      <w:tr>
        <w:tc>
          <w:tcPr/>
          <w:p>
            <w:pPr>
              <w:pStyle w:val="Compact"/>
              <w:jc w:val="left"/>
            </w:pPr>
            <w:r>
              <w:t xml:space="preserve">Кратность воздухообмена</w:t>
            </w:r>
          </w:p>
        </w:tc>
        <w:tc>
          <w:tcPr/>
          <w:p>
            <w:pPr>
              <w:pStyle w:val="Compact"/>
              <w:jc w:val="left"/>
            </w:pPr>
            <w:r>
              <w:t xml:space="preserve">$n$</w:t>
            </w:r>
          </w:p>
        </w:tc>
        <w:tc>
          <w:tcPr/>
          <w:p>
            <w:pPr>
              <w:pStyle w:val="Compact"/>
              <w:jc w:val="right"/>
            </w:pPr>
            <w:r>
              <w:t xml:space="preserve">≈ 50 ч⁻¹</w:t>
            </w:r>
          </w:p>
        </w:tc>
        <w:tc>
          <w:tcPr/>
          <w:p>
            <w:pPr>
              <w:pStyle w:val="Compact"/>
              <w:jc w:val="left"/>
            </w:pPr>
            <w:r>
              <w:t xml:space="preserve">$L/V$</w:t>
            </w:r>
          </w:p>
        </w:tc>
      </w:tr>
      <w:tr>
        <w:tc>
          <w:tcPr/>
          <w:p>
            <w:pPr>
              <w:pStyle w:val="Compact"/>
              <w:jc w:val="left"/>
            </w:pPr>
            <w:r>
              <w:t xml:space="preserve">Постоянная времени по воздуху</w:t>
            </w:r>
          </w:p>
        </w:tc>
        <w:tc>
          <w:tcPr/>
          <w:p>
            <w:pPr>
              <w:pStyle w:val="Compact"/>
              <w:jc w:val="left"/>
            </w:pPr>
            <w:r>
              <w:t xml:space="preserve">$\tau_{\text{возд}}$</w:t>
            </w:r>
          </w:p>
        </w:tc>
        <w:tc>
          <w:tcPr/>
          <w:p>
            <w:pPr>
              <w:pStyle w:val="Compact"/>
              <w:jc w:val="right"/>
            </w:pPr>
            <w:r>
              <w:t xml:space="preserve">≈ 4 мин</w:t>
            </w:r>
          </w:p>
        </w:tc>
        <w:tc>
          <w:tcPr/>
          <w:p>
            <w:pPr>
              <w:pStyle w:val="Compact"/>
              <w:jc w:val="left"/>
            </w:pPr>
            <w:r>
              <w:t xml:space="preserve">$C_{\text{возд}}/K!F$</w:t>
            </w:r>
          </w:p>
        </w:tc>
      </w:tr>
      <w:tr>
        <w:tc>
          <w:tcPr/>
          <w:p>
            <w:pPr>
              <w:pStyle w:val="Compact"/>
              <w:jc w:val="left"/>
            </w:pPr>
            <w:r>
              <w:t xml:space="preserve">Постоянная времени бокса (ночь)</w:t>
            </w:r>
          </w:p>
        </w:tc>
        <w:tc>
          <w:tcPr/>
          <w:p>
            <w:pPr>
              <w:pStyle w:val="Compact"/>
              <w:jc w:val="left"/>
            </w:pPr>
            <w:r>
              <w:t xml:space="preserve">$\tau_{\text{ноч}}$</w:t>
            </w:r>
          </w:p>
        </w:tc>
        <w:tc>
          <w:tcPr/>
          <w:p>
            <w:pPr>
              <w:pStyle w:val="Compact"/>
              <w:jc w:val="right"/>
            </w:pPr>
            <w:r>
              <w:t xml:space="preserve">≈ 9-10 ч</w:t>
            </w:r>
          </w:p>
        </w:tc>
        <w:tc>
          <w:tcPr/>
          <w:p>
            <w:pPr>
              <w:pStyle w:val="Compact"/>
              <w:jc w:val="left"/>
            </w:pPr>
            <w:r>
              <w:t xml:space="preserve">фит кривой остывания, 56 ночей</w:t>
            </w:r>
          </w:p>
        </w:tc>
      </w:tr>
      <w:tr>
        <w:tc>
          <w:tcPr/>
          <w:p>
            <w:pPr>
              <w:pStyle w:val="Compact"/>
              <w:jc w:val="left"/>
            </w:pPr>
            <w:r>
              <w:t xml:space="preserve">Эффективная теплоемкость</w:t>
            </w:r>
          </w:p>
        </w:tc>
        <w:tc>
          <w:tcPr/>
          <w:p>
            <w:pPr>
              <w:pStyle w:val="Compact"/>
              <w:jc w:val="left"/>
            </w:pPr>
            <w:r>
              <w:t xml:space="preserve">$C_{\text{эфф}}$</w:t>
            </w:r>
          </w:p>
        </w:tc>
        <w:tc>
          <w:tcPr/>
          <w:p>
            <w:pPr>
              <w:pStyle w:val="Compact"/>
              <w:jc w:val="right"/>
            </w:pPr>
            <w:r>
              <w:t xml:space="preserve">≈ 3,8 МДж/К</w:t>
            </w:r>
          </w:p>
        </w:tc>
        <w:tc>
          <w:tcPr/>
          <w:p>
            <w:pPr>
              <w:pStyle w:val="Compact"/>
              <w:jc w:val="left"/>
            </w:pPr>
            <w:r>
              <w:t xml:space="preserve">$\tau_{\text{ноч}} K!F$</w:t>
            </w:r>
          </w:p>
        </w:tc>
      </w:tr>
      <w:tr>
        <w:tc>
          <w:tcPr/>
          <w:p>
            <w:pPr>
              <w:pStyle w:val="Compact"/>
              <w:jc w:val="left"/>
            </w:pPr>
            <w:r>
              <w:t xml:space="preserve">Потребная мощность подогрева притока</w:t>
            </w:r>
          </w:p>
        </w:tc>
        <w:tc>
          <w:tcPr/>
          <w:p>
            <w:pPr>
              <w:pStyle w:val="Compact"/>
              <w:jc w:val="left"/>
            </w:pPr>
            <w:r>
              <w:t xml:space="preserve">$Q_{\text{нагр}}$</w:t>
            </w:r>
          </w:p>
        </w:tc>
        <w:tc>
          <w:tcPr/>
          <w:p>
            <w:pPr>
              <w:pStyle w:val="Compact"/>
              <w:jc w:val="right"/>
            </w:pPr>
            <w:r>
              <w:t xml:space="preserve">≈ 12 кВт</w:t>
            </w:r>
          </w:p>
        </w:tc>
        <w:tc>
          <w:tcPr/>
          <w:p>
            <w:pPr>
              <w:pStyle w:val="Compact"/>
              <w:jc w:val="left"/>
            </w:pPr>
            <w:r>
              <w:t xml:space="preserve">(3.10), ΔT=30 °C</w:t>
            </w:r>
          </w:p>
        </w:tc>
      </w:tr>
    </w:tbl>
    <w:p>
      <w:pPr>
        <w:pStyle w:val="BodyText"/>
      </w:pPr>
      <w:r>
        <w:t xml:space="preserve">Численный теплотехнический анализ переводит профильную часть работы из символической записи балансов в идентифицированную по данным RC-модель объекта: эффективная теплоемкость, коэффициенты потерь и постоянные времени получены из фактической истории и согласованы между собой и с паспортной мощностью оборудования.</w:t>
      </w:r>
    </w:p>
    <w:bookmarkEnd w:id="96"/>
    <w:bookmarkStart w:id="97" w:name="X53ca1ab28b79053f34fc2c18c369b3e415b7634"/>
    <w:p>
      <w:pPr>
        <w:pStyle w:val="Heading2"/>
      </w:pPr>
      <w:r>
        <w:t xml:space="preserve">3.13.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фактическое потребление нагревателей не измерялось напрямую: тепловой баланс и потребная мощность нагрева оценены расчетно (подраздел 3.12), но для итогового энергоаудита требуется прямой учет энергии ТЭНов;</w:t>
      </w:r>
    </w:p>
    <w:p>
      <w:pPr>
        <w:numPr>
          <w:ilvl w:val="0"/>
          <w:numId w:val="1012"/>
        </w:numPr>
        <w:pStyle w:val="Compact"/>
      </w:pPr>
      <w:r>
        <w:t xml:space="preserve">удельная теплопередача ограждений $U$ принята оценочно для условий бокса внутри отапливаемого здания; уточнение $U$ инструментальным методом изменит абсолютные значения коэффициентов потерь, но не двухмасштабную структуру объекта.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7"/>
    <w:bookmarkStart w:id="98" w:name="X5202febd347614c9ce741187901b89ba333a04e"/>
    <w:p>
      <w:pPr>
        <w:pStyle w:val="Heading2"/>
      </w:pPr>
      <w:r>
        <w:t xml:space="preserve">3.14.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8"/>
    <w:bookmarkStart w:id="99" w:name="X89085dbe6e0efad0b881d924739b56acfe5a48b"/>
    <w:p>
      <w:pPr>
        <w:pStyle w:val="Heading2"/>
      </w:pPr>
      <w:r>
        <w:t xml:space="preserve">3.15.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Отдельным профильным результатом стала численная теплотехническая модель бокса: по фактическим кривым ночного остывания идентифицированы постоянная времени ($\tau \approx 9{-}10$ ч) и эффективная теплоемкость ($C_{\text{эфф}} \approx 3{,}8$ МДж/К), рассчитаны коэффициенты кондуктивных и вентиляционных потерь, а установленная мощность нагрева 12 кВт получила инженерное обоснование как мощность подогрева приточного воздуха. Тем самым тепловой баланс замкнут численно и проверен по экспериментальным данным. Основной результат практической части состоит в создании измеряемого и управляемого объекта, пригодного для теплотехнического расчета, дальнейшего ML-прогнозирования и расчетной оценки потенциального экономического эффекта.</w:t>
      </w:r>
    </w:p>
    <w:bookmarkEnd w:id="99"/>
    <w:bookmarkEnd w:id="100"/>
    <w:bookmarkStart w:id="101"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для устранения которого рассчитана требуемая влагопроизводительность увлажнения (около 2-12 л/ч в зависимости от расхода притока). Построена и идентифицирована по фактическим данным численная теплотехническая модель бокса: по кривым ночного остывания определены постоянная времени ($\tau \approx 9{-}10$ ч) и эффективная теплоемкость ($C_{\text{эфф}} \approx 3{,}8$ МДж/К), рассчитаны коэффициенты кондуктивных ($K!F \approx 110$ Вт/К) и вентиляционных ($G_{\text{вент}} \approx 400$ Вт/К) потерь и кратность воздухообмена ($n \approx 50$ ч⁻¹), а установленная мощность нагрева 12 кВт обоснована как мощность подогрева приточного воздуха при зимнем перепаде температур; тем самым тепловой баланс замкнут численно и проверен по эксперименту.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в соответствии с требованиями ГОСТ 12.1.019 и ПУЭ: защитным заземлением металлического корпуса шкафа управления и автоматическим отключением питания при замыкании на корпус (автоматические выключатели при этом выполняют защиту линий от перегрузки и короткого замыкания); цепи управления выполнены на безопасном сверхнизком напряжении 5 В постоянного тока и гальванически развязаны от силовых цепей блоками питания и контактными группами реле, а трехфазные электронагреватели 380 В включаются пускателями, реле коммутируют только их цепь управления. Конструктивное разделение силовых и слаботочных цепей в шкафу дополнительно исключает перенос опасного потенциала на цепи управления.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101"/>
    <w:bookmarkStart w:id="112"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102">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103">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4">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5">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6">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7">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8">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9">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10">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11">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93" Target="media/rId9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5" Target="http://elar.uspu.ru/handle/uspu/15860" TargetMode="External" /><Relationship Type="http://schemas.openxmlformats.org/officeDocument/2006/relationships/hyperlink" Id="rId107" Target="https://arxiv.org/abs/1907.00624" TargetMode="External" /><Relationship Type="http://schemas.openxmlformats.org/officeDocument/2006/relationships/hyperlink" Id="rId110" Target="https://arxiv.org/abs/2303.06110" TargetMode="External" /><Relationship Type="http://schemas.openxmlformats.org/officeDocument/2006/relationships/hyperlink" Id="rId111" Target="https://arxiv.org/abs/2505.23355" TargetMode="External" /><Relationship Type="http://schemas.openxmlformats.org/officeDocument/2006/relationships/hyperlink" Id="rId109" Target="https://arxiv.org/abs/2506.13278" TargetMode="External" /><Relationship Type="http://schemas.openxmlformats.org/officeDocument/2006/relationships/hyperlink" Id="rId108" Target="https://arxiv.org/abs/2507.21669" TargetMode="External" /><Relationship Type="http://schemas.openxmlformats.org/officeDocument/2006/relationships/hyperlink" Id="rId106" Target="https://cyberleninka.ru/article/n/obzor-sistemy-upravleniya-mikroklimatom-avtomatizirovannoy-teplitsy-dlya-vyraschivaniya-mikrozeleni" TargetMode="External" /><Relationship Type="http://schemas.openxmlformats.org/officeDocument/2006/relationships/hyperlink" Id="rId102" Target="https://cyberleninka.ru/article/n/sravnitelnyy-analiz-sovremennyh-sistem-avtomatizirovannogo-upravleniya-mikroklimatom-v-teplitse" TargetMode="External" /><Relationship Type="http://schemas.openxmlformats.org/officeDocument/2006/relationships/hyperlink" Id="rId104" Target="https://irsau.ru/structure/science/materials.php" TargetMode="External" /><Relationship Type="http://schemas.openxmlformats.org/officeDocument/2006/relationships/hyperlink" Id="rId103"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5" Target="http://elar.uspu.ru/handle/uspu/15860" TargetMode="External" /><Relationship Type="http://schemas.openxmlformats.org/officeDocument/2006/relationships/hyperlink" Id="rId107" Target="https://arxiv.org/abs/1907.00624" TargetMode="External" /><Relationship Type="http://schemas.openxmlformats.org/officeDocument/2006/relationships/hyperlink" Id="rId110" Target="https://arxiv.org/abs/2303.06110" TargetMode="External" /><Relationship Type="http://schemas.openxmlformats.org/officeDocument/2006/relationships/hyperlink" Id="rId111" Target="https://arxiv.org/abs/2505.23355" TargetMode="External" /><Relationship Type="http://schemas.openxmlformats.org/officeDocument/2006/relationships/hyperlink" Id="rId109" Target="https://arxiv.org/abs/2506.13278" TargetMode="External" /><Relationship Type="http://schemas.openxmlformats.org/officeDocument/2006/relationships/hyperlink" Id="rId108" Target="https://arxiv.org/abs/2507.21669" TargetMode="External" /><Relationship Type="http://schemas.openxmlformats.org/officeDocument/2006/relationships/hyperlink" Id="rId106" Target="https://cyberleninka.ru/article/n/obzor-sistemy-upravleniya-mikroklimatom-avtomatizirovannoy-teplitsy-dlya-vyraschivaniya-mikrozeleni" TargetMode="External" /><Relationship Type="http://schemas.openxmlformats.org/officeDocument/2006/relationships/hyperlink" Id="rId102" Target="https://cyberleninka.ru/article/n/sravnitelnyy-analiz-sovremennyh-sistem-avtomatizirovannogo-upravleniya-mikroklimatom-v-teplitse" TargetMode="External" /><Relationship Type="http://schemas.openxmlformats.org/officeDocument/2006/relationships/hyperlink" Id="rId104" Target="https://irsau.ru/structure/science/materials.php" TargetMode="External" /><Relationship Type="http://schemas.openxmlformats.org/officeDocument/2006/relationships/hyperlink" Id="rId103"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2026-06-05T10:13:42Z</dcterms:created>
  <dcterms:modified xsi:type="dcterms:W3CDTF">2026-06-05T10:13:42Z</dcterms:modified>
</cp:coreProperties>
</file>

<file path=docProps/custom.xml><?xml version="1.0" encoding="utf-8"?>
<Properties xmlns="http://schemas.openxmlformats.org/officeDocument/2006/custom-properties" xmlns:vt="http://schemas.openxmlformats.org/officeDocument/2006/docPropsVTypes"/>
</file>