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НАЦИОНАЛЬНЫЙ ИССЛЕДОВАТЕЛЬСКИЙ ЯДЕРНЫЙ УНИВЕРСИТЕТ «МИФИ»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ИНСТИТУТ ИНТЕЛЛЕКТУАЛЬНЫХ КИБЕРНЕТИЧЕСКИХ СИСТЕМ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567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«УТВЕРЖДАЮ»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Зав. каф. № 42</w:t>
        <w:br w:type="textWrapping"/>
        <w:t xml:space="preserve">«Криптология и кибербезопасность»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567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  Епишкина А.В.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«____»___________ 20__ г.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Программа подготовки магистра «Машинное обучение»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01.04.02 «Прикладная математика и информатика»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НА ВЫПУСКНУЮ КВАЛИФИКАЦИОННУЮ РАБОТУ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«Методика адаптивного автообзвона с использованием больших языковых моделей и анализа эмоционального состояния собеседника»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60" w:lineRule="auto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2667000</wp:posOffset>
            </wp:positionH>
            <wp:positionV relativeFrom="paragraph">
              <wp:posOffset>409575</wp:posOffset>
            </wp:positionV>
            <wp:extent cx="743903" cy="42981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529" l="6466" r="57301" t="32670"/>
                    <a:stretch>
                      <a:fillRect/>
                    </a:stretch>
                  </pic:blipFill>
                  <pic:spPr>
                    <a:xfrm>
                      <a:off x="0" y="0"/>
                      <a:ext cx="743903" cy="429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63.0" w:type="dxa"/>
        <w:jc w:val="left"/>
        <w:tblInd w:w="50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359"/>
        <w:gridCol w:w="2596"/>
        <w:gridCol w:w="3008"/>
        <w:tblGridChange w:id="0">
          <w:tblGrid>
            <w:gridCol w:w="3359"/>
            <w:gridCol w:w="2596"/>
            <w:gridCol w:w="3008"/>
          </w:tblGrid>
        </w:tblGridChange>
      </w:tblGrid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группы М24-525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16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Ларионов С.И.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Научный руководитель</w:t>
              <w:br w:type="textWrapping"/>
              <w:t xml:space="preserve">к.ф.-м.н., доцент  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160" w:lineRule="auto"/>
              <w:jc w:val="both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238125</wp:posOffset>
                  </wp:positionH>
                  <wp:positionV relativeFrom="paragraph">
                    <wp:posOffset>-38099</wp:posOffset>
                  </wp:positionV>
                  <wp:extent cx="605790" cy="352425"/>
                  <wp:effectExtent b="0" l="0" r="0" t="0"/>
                  <wp:wrapNone/>
                  <wp:docPr descr="вставленный-фильм.png" id="2" name="image2.png"/>
                  <a:graphic>
                    <a:graphicData uri="http://schemas.openxmlformats.org/drawingml/2006/picture">
                      <pic:pic>
                        <pic:nvPicPr>
                          <pic:cNvPr descr="вставленный-фильм.png" id="0" name="image2.png"/>
                          <pic:cNvPicPr preferRelativeResize="0"/>
                        </pic:nvPicPr>
                        <pic:blipFill>
                          <a:blip r:embed="rId7"/>
                          <a:srcRect b="7994" l="20813" r="27266" t="30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352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Кирова В.О.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Рецензент</w:t>
              <w:br w:type="textWrapping"/>
              <w:t xml:space="preserve">уч.степень, уч.звание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" w:right="0" w:hanging="392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Москва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jc w:val="center"/>
        <w:spacing w:before="120" w:after="120"/>
      </w:pPr>
      <w:r>
        <w:rPr>
          <w:b/>
          <w:sz w:val="28"/>
          <w:szCs w:val="28"/>
        </w:rPr>
        <w:t xml:space="preserve">Цель работы</w:t>
      </w:r>
    </w:p>
    <w:p>
      <w:pPr>
        <w:spacing w:after="200"/>
      </w:pPr>
      <w:r>
        <w:rPr>
          <w:sz w:val="28"/>
          <w:szCs w:val="28"/>
        </w:rPr>
        <w:t xml:space="preserve">Разработка методики адаптивного автообзвона, обеспечивающей динамическую корректировку сценариев диалога на основе больших языковых моделей (LLM) и анализа эмоционального состояния собеседника в реальном времени.</w:t>
      </w:r>
    </w:p>
    <w:p>
      <w:pPr>
        <w:jc w:val="center"/>
        <w:spacing w:before="200" w:after="120"/>
      </w:pPr>
      <w:r>
        <w:rPr>
          <w:b/>
          <w:sz w:val="28"/>
          <w:szCs w:val="28"/>
        </w:rPr>
        <w:t xml:space="preserve">Решаемые задачи</w:t>
      </w:r>
    </w:p>
    <w:p>
      <w:pPr>
        <w:spacing w:after="60"/>
      </w:pPr>
      <w:r>
        <w:rPr>
          <w:sz w:val="28"/>
          <w:szCs w:val="28"/>
        </w:rPr>
        <w:t xml:space="preserve">1. Провести анализ существующих подходов к автоматизации телефонных обзвонов и эмоционально-адаптивным диалоговым системам.</w:t>
      </w:r>
    </w:p>
    <w:p>
      <w:pPr>
        <w:spacing w:after="60"/>
      </w:pPr>
      <w:r>
        <w:rPr>
          <w:sz w:val="28"/>
          <w:szCs w:val="28"/>
        </w:rPr>
        <w:t xml:space="preserve">2. Разработать архитектуру системы адаптивного автообзвона с интеграцией LLM для генерации реплик и модуля распознавания эмоций в речи.</w:t>
      </w:r>
    </w:p>
    <w:p>
      <w:pPr>
        <w:spacing w:after="60"/>
      </w:pPr>
      <w:r>
        <w:rPr>
          <w:sz w:val="28"/>
          <w:szCs w:val="28"/>
        </w:rPr>
        <w:t xml:space="preserve">3. Предложить алгоритм адаптации сценария диалога на основе обратной связи от модуля распознавания эмоционального состояния собеседника.</w:t>
      </w:r>
    </w:p>
    <w:p>
      <w:pPr>
        <w:spacing w:after="60"/>
      </w:pPr>
      <w:r>
        <w:rPr>
          <w:sz w:val="28"/>
          <w:szCs w:val="28"/>
        </w:rPr>
        <w:t xml:space="preserve">4. Реализовать прототип системы и провести экспериментальную оценку на реальных данных автообзвона.</w:t>
      </w:r>
    </w:p>
    <w:p>
      <w:pPr>
        <w:spacing w:after="60"/>
      </w:pPr>
      <w:r>
        <w:rPr>
          <w:sz w:val="28"/>
          <w:szCs w:val="28"/>
        </w:rPr>
        <w:t xml:space="preserve">5. Выполнить сравнительный анализ адаптивного и неадаптивного подходов по метрикам конверсии и завершённости диалогов.</w:t>
      </w:r>
    </w:p>
    <w:p>
      <w:pPr>
        <w:jc w:val="center"/>
        <w:spacing w:before="240" w:after="120"/>
      </w:pPr>
      <w:r>
        <w:rPr>
          <w:b/>
          <w:sz w:val="28"/>
          <w:szCs w:val="28"/>
        </w:rPr>
        <w:t xml:space="preserve">Характеристика работы</w:t>
      </w:r>
    </w:p>
    <w:p>
      <w:pPr>
        <w:spacing w:before="120" w:after="80"/>
      </w:pPr>
      <w:r>
        <w:rPr>
          <w:b/>
          <w:sz w:val="28"/>
          <w:szCs w:val="28"/>
        </w:rPr>
        <w:t xml:space="preserve">1. Актуальность работы</w:t>
      </w:r>
    </w:p>
    <w:p>
      <w:pPr>
        <w:spacing w:after="200"/>
      </w:pPr>
      <w:r>
        <w:rPr>
          <w:sz w:val="28"/>
          <w:szCs w:val="28"/>
        </w:rPr>
        <w:t xml:space="preserve">Автоматизированные системы обзвона широко применяются в бизнесе для информирования клиентов, проведения опросов и продаж. Однако существующие решения используют жёсткие сценарии, не учитывающие эмоциональное состояние собеседника, что приводит к низкой конверсии и негативному восприятию. Развитие больших языковых моделей открывает возможность создания гибких диалоговых агентов, способных генерировать контекстно-релевантные реплики. Одновременно достижения в области распознавания эмоций по речи (Speech Emotion Recognition) позволяют оценивать реакцию собеседника в реальном времени. Совмещение этих технологий в единой методике адаптивного автообзвона является актуальной и малоисследованной задачей, решение которой способно существенно повысить эффективность автоматизированных коммуникаций.</w:t>
      </w:r>
    </w:p>
    <w:p>
      <w:pPr>
        <w:spacing w:before="120" w:after="80"/>
      </w:pPr>
      <w:r>
        <w:rPr>
          <w:b/>
          <w:sz w:val="28"/>
          <w:szCs w:val="28"/>
        </w:rPr>
        <w:t xml:space="preserve">2. Теоретическая и практическая значимость</w:t>
      </w:r>
    </w:p>
    <w:p>
      <w:pPr>
        <w:spacing w:after="200"/>
      </w:pPr>
      <w:r>
        <w:rPr>
          <w:sz w:val="28"/>
          <w:szCs w:val="28"/>
        </w:rPr>
        <w:t xml:space="preserve">Теоретическая значимость работы состоит в формализации методики адаптивного управления диалогом, объединяющей генеративные языковые модели и модели анализа эмоций в единый контур обратной связи. Предложенный подход расширяет существующие модели диалоговых систем, вводя эмоциональное состояние собеседника как управляющий параметр сценария. Практическая значимость заключается в создании прототипа системы, применимого в контакт-центрах, телемаркетинге и сервисах автоматического информирования. Внедрение адаптивного подхода позволяет снизить процент преждевременных отказов от разговора, повысить удовлетворённость абонентов и увеличить конверсию целевых действий. Результаты работы могут быть использованы компаниями, развивающими голосовых ассистентов и платформы автоматизации коммуникаций.</w:t>
      </w:r>
    </w:p>
    <w:p>
      <w:pPr>
        <w:jc w:val="center"/>
        <w:spacing w:before="240" w:after="120"/>
      </w:pPr>
      <w:r>
        <w:rPr>
          <w:b/>
          <w:sz w:val="28"/>
          <w:szCs w:val="28"/>
        </w:rPr>
        <w:t xml:space="preserve">Рекомендуемая литература</w:t>
      </w:r>
    </w:p>
    <w:p>
      <w:pPr>
        <w:spacing w:after="80"/>
      </w:pPr>
      <w:r>
        <w:rPr>
          <w:sz w:val="28"/>
          <w:szCs w:val="28"/>
        </w:rPr>
        <w:t xml:space="preserve">1. Qin Z. et al. E-chat: Emotion-sensitive Spoken Dialogue System with Large Language Models // arXiv:2401.00475, 2024.</w:t>
      </w:r>
    </w:p>
    <w:p>
      <w:pPr>
        <w:spacing w:after="80"/>
      </w:pPr>
      <w:r>
        <w:rPr>
          <w:sz w:val="28"/>
          <w:szCs w:val="28"/>
        </w:rPr>
        <w:t xml:space="preserve">2. Feng S. et al. Infusing Emotions into Task-oriented Dialogue Systems: Understanding, Management, and Generation // Proc. of SIGDIAL, 2024. — P. 699–717.</w:t>
      </w:r>
    </w:p>
    <w:p>
      <w:pPr>
        <w:spacing w:after="80"/>
      </w:pPr>
      <w:r>
        <w:rPr>
          <w:sz w:val="28"/>
          <w:szCs w:val="28"/>
        </w:rPr>
        <w:t xml:space="preserve">3. An Emotion-sensitive Dialogue Policy for Task-oriented Dialogue System // Scientific Reports, vol. 14, article 19759, 2024.</w:t>
      </w:r>
    </w:p>
    <w:p>
      <w:pPr>
        <w:spacing w:after="80"/>
      </w:pPr>
      <w:r>
        <w:rPr>
          <w:sz w:val="28"/>
          <w:szCs w:val="28"/>
        </w:rPr>
        <w:t xml:space="preserve">4. Rashkin H. et al. Towards Empathetic Open-domain Conversation Models: A New Benchmark and Dataset // Proc. of ACL, 2019. — P. 5370–5381.</w:t>
      </w:r>
    </w:p>
    <w:p>
      <w:pPr>
        <w:spacing w:after="80"/>
      </w:pPr>
      <w:r>
        <w:rPr>
          <w:sz w:val="28"/>
          <w:szCs w:val="28"/>
        </w:rPr>
        <w:t xml:space="preserve">5. Zhang Y. et al. Affective Computing in the Era of Large Language Models: A Survey from the NLP Perspective // arXiv:2408.04638, 2024.</w:t>
      </w:r>
    </w:p>
    <w:p>
      <w:pPr>
        <w:spacing w:after="80"/>
      </w:pPr>
      <w:r>
        <w:rPr>
          <w:sz w:val="28"/>
          <w:szCs w:val="28"/>
        </w:rPr>
        <w:t xml:space="preserve">6. Pepino L., Riera P., Ferrer L. Emotion Recognition from Speech Using Wav2vec 2.0 Embeddings // Proc. of Interspeech, 2021. — P. 3400–3404.</w:t>
      </w:r>
    </w:p>
    <w:p>
      <w:pPr>
        <w:jc w:val="center"/>
        <w:spacing w:before="240" w:after="120"/>
      </w:pPr>
      <w:r>
        <w:rPr>
          <w:b/>
          <w:sz w:val="28"/>
          <w:szCs w:val="28"/>
        </w:rPr>
        <w:t xml:space="preserve">Календарный план</w:t>
      </w:r>
    </w:p>
    <w:tbl>
      <w:tblPr>
        <w:tblStyle w:val="Table3"/>
        <w:tblW w:w="9247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841"/>
        <w:gridCol w:w="3911"/>
        <w:gridCol w:w="2249"/>
        <w:gridCol w:w="2246"/>
        <w:tblGridChange w:id="0">
          <w:tblGrid>
            <w:gridCol w:w="841"/>
            <w:gridCol w:w="3911"/>
            <w:gridCol w:w="2249"/>
            <w:gridCol w:w="224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этапов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Срок выполнения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Форма отчетности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Аналитический обзор и постановка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09.02.2026 – 01.03.2026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письменная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Разработка архитектуры системы и методики адаптации диалога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02.03.2026 – 22.03.2026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письменная</w:t>
            </w:r>
          </w:p>
        </w:tc>
      </w:tr>
      <w:tr>
        <w:trPr>
          <w:cantSplit w:val="0"/>
          <w:trHeight w:val="6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Реализация прототипа и проведение экспериментов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23.03.2026 – 10.04.2026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письменная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Оформление текста диссертации и подготовка к защите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11.04.2026 – 07.06.2026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письменная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Дата выдачи задания: 09.02.2026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Срок выполнения работы: 07.06.2026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ВКР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_____________________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_____________________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(подпись)                                                                                                     (подпись)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0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0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00"/>
      </w:pPr>
      <w:rPr>
        <w:b w:val="1"/>
        <w:bCs w:val="1"/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