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sz w:val="40"/>
        </w:rPr>
        <w:t>Jordan Chen</w:t>
      </w:r>
    </w:p>
    <w:p>
      <w:pPr>
        <w:spacing w:after="200"/>
      </w:pPr>
      <w:r>
        <w:rPr>
          <w:rFonts w:ascii="Calibri" w:hAnsi="Calibri"/>
          <w:b w:val="0"/>
          <w:i w:val="0"/>
          <w:color w:val="595959"/>
          <w:sz w:val="21"/>
        </w:rPr>
        <w:t>Richland, WA 99354  |  +1 (555) 123-4567  |  jordan.chen@email.com</w:t>
      </w:r>
    </w:p>
    <w:p>
      <w:pPr>
        <w:spacing w:after="200"/>
      </w:pPr>
      <w:r>
        <w:rPr>
          <w:rFonts w:ascii="Calibri" w:hAnsi="Calibri"/>
          <w:b w:val="0"/>
          <w:i w:val="0"/>
          <w:sz w:val="21"/>
        </w:rPr>
        <w:t>Hiring Committee</w:t>
      </w:r>
      <w:r>
        <w:br/>
      </w:r>
      <w:r>
        <w:rPr>
          <w:rFonts w:ascii="Calibri" w:hAnsi="Calibri"/>
          <w:b w:val="0"/>
          <w:i w:val="0"/>
          <w:sz w:val="21"/>
        </w:rPr>
        <w:t>Department of Biomedical Engineering</w:t>
      </w:r>
      <w:r>
        <w:br/>
      </w:r>
      <w:r>
        <w:rPr>
          <w:rFonts w:ascii="Calibri" w:hAnsi="Calibri"/>
          <w:b w:val="0"/>
          <w:i w:val="0"/>
          <w:sz w:val="21"/>
        </w:rPr>
        <w:t>Whitfield University</w:t>
      </w:r>
      <w:r>
        <w:br/>
      </w:r>
      <w:r>
        <w:rPr>
          <w:rFonts w:ascii="Calibri" w:hAnsi="Calibri"/>
          <w:b w:val="0"/>
          <w:i w:val="0"/>
          <w:sz w:val="21"/>
        </w:rPr>
        <w:t>Westbrook, MA 02481</w:t>
      </w:r>
      <w:r>
        <w:br/>
      </w:r>
    </w:p>
    <w:p>
      <w:pPr>
        <w:spacing w:after="200"/>
      </w:pPr>
      <w:r>
        <w:rPr>
          <w:rFonts w:ascii="Calibri" w:hAnsi="Calibri"/>
          <w:b w:val="0"/>
          <w:i w:val="0"/>
          <w:sz w:val="21"/>
        </w:rPr>
        <w:t>March 9, 2026</w:t>
      </w:r>
    </w:p>
    <w:p>
      <w:pPr>
        <w:spacing w:after="160"/>
      </w:pPr>
      <w:r>
        <w:rPr>
          <w:rFonts w:ascii="Calibri" w:hAnsi="Calibri"/>
          <w:b w:val="0"/>
          <w:i w:val="0"/>
          <w:sz w:val="21"/>
        </w:rPr>
        <w:t>Dear Members of the Hiring Committee,</w:t>
      </w:r>
    </w:p>
    <w:p>
      <w:pPr>
        <w:spacing w:after="160"/>
      </w:pPr>
      <w:r>
        <w:rPr>
          <w:rFonts w:ascii="Calibri" w:hAnsi="Calibri"/>
          <w:b w:val="0"/>
          <w:i w:val="0"/>
          <w:sz w:val="21"/>
        </w:rPr>
        <w:t>Your department's work at the intersection of structural biology and therapeutic design resonates with the research program I have built over the past three years: using machine learning to accelerate protein engineering decisions that would otherwise take months of experimental iteration. As a postdoctoral researcher developing ML-guided enzyme screening pipelines, I am excited to apply for the Assistant Professor position in Computational Protein Engineering (BME-2026-0042), where I would establish an independent group bridging data-driven protein design and biomolecular simulation.</w:t>
      </w:r>
    </w:p>
    <w:p>
      <w:pPr>
        <w:spacing w:after="160"/>
      </w:pPr>
      <w:r>
        <w:rPr>
          <w:rFonts w:ascii="Calibri" w:hAnsi="Calibri"/>
          <w:b w:val="0"/>
          <w:i w:val="0"/>
          <w:sz w:val="21"/>
        </w:rPr>
        <w:t>At Lakewood University, I fine-tuned the ESM-2 protein language model on 45,000 experimental melting temperatures to screen 8,500 enzyme variants for industrial thermostability, compressing what would have been over a year of wet-lab work into 48 hours of computation. Five of our top seven candidates were confirmed experimentally by collaborators via differential scanning calorimetry. I then co-developed an open-source transfer learning framework that reduces labeled training data requirements by 60%, now adopted by four external research groups. More recently, I extended our ML pipeline to predict enzyme tolerance across eight organic co-solvent systems, opening a pathway toward engineering biocatalysts for green chemistry. This research trajectory, from classical MD to ML-accelerated protein engineering, reflects the kind of program I would build at Whitfield.</w:t>
      </w:r>
    </w:p>
    <w:p>
      <w:pPr>
        <w:spacing w:after="160"/>
      </w:pPr>
      <w:r>
        <w:rPr>
          <w:rFonts w:ascii="Calibri" w:hAnsi="Calibri"/>
          <w:b w:val="0"/>
          <w:i w:val="0"/>
          <w:sz w:val="21"/>
        </w:rPr>
        <w:t>My doctoral work at Westfield established the simulation foundations that make this ML approach rigorous rather than purely correlative. I developed enhanced sampling protocols that predict protein folding temperatures within 8 K of experiment, benchmarked four force fields for intrinsically disordered proteins, and calculated ligand binding free energies across three drug target families with sub-kcal/mol accuracy. I also built the curated thermostability database that directly enabled my postdoctoral ML work. Throughout, I mentored three graduate students and developed computational lab modules now used department-wide.</w:t>
      </w:r>
    </w:p>
    <w:p>
      <w:pPr>
        <w:spacing w:after="160"/>
      </w:pPr>
      <w:r>
        <w:rPr>
          <w:rFonts w:ascii="Calibri" w:hAnsi="Calibri"/>
          <w:b w:val="0"/>
          <w:i w:val="0"/>
          <w:sz w:val="21"/>
        </w:rPr>
        <w:t>I would welcome the opportunity to contribute to Whitfield's strengths in biomaterials and therapeutic design. I could teach courses in computational biology, molecular modeling, and machine learning for biomedical applications. I look forward to discussing how my research program would complement your department's existing strengths and the collaborative opportunities available through your HPC infrastructure.</w:t>
      </w:r>
    </w:p>
    <w:p>
      <w:pPr>
        <w:spacing w:before="160"/>
      </w:pPr>
      <w:r>
        <w:rPr>
          <w:rFonts w:ascii="Calibri" w:hAnsi="Calibri"/>
          <w:b w:val="0"/>
          <w:i w:val="0"/>
          <w:sz w:val="21"/>
        </w:rPr>
        <w:t>Sincerely,</w:t>
      </w:r>
      <w:r>
        <w:br/>
      </w:r>
      <w:r>
        <w:rPr>
          <w:rFonts w:ascii="Calibri" w:hAnsi="Calibri"/>
          <w:b w:val="0"/>
          <w:i w:val="0"/>
          <w:sz w:val="21"/>
        </w:rPr>
        <w:t>Jordan Chen, Ph.D.</w:t>
      </w:r>
      <w:r>
        <w:br/>
      </w:r>
      <w:r>
        <w:rPr>
          <w:rFonts w:ascii="Calibri" w:hAnsi="Calibri"/>
          <w:b w:val="0"/>
          <w:i w:val="0"/>
          <w:sz w:val="21"/>
        </w:rPr>
        <w:t>Postdoctoral Research Associate</w:t>
      </w:r>
      <w:r>
        <w:br/>
      </w:r>
      <w:r>
        <w:rPr>
          <w:rFonts w:ascii="Calibri" w:hAnsi="Calibri"/>
          <w:b w:val="0"/>
          <w:i w:val="0"/>
          <w:sz w:val="21"/>
        </w:rPr>
        <w:t>Lakewood University</w:t>
      </w:r>
      <w:r>
        <w:br/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