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F4E79"/>
          <w:sz w:val="44"/>
        </w:rPr>
        <w:t>Estado da Arte em Aprendizado de Máquina para Credit Scoring</w:t>
      </w:r>
    </w:p>
    <w:p>
      <w:pPr>
        <w:spacing w:after="360"/>
      </w:pPr>
      <w:r>
        <w:rPr>
          <w:rFonts w:ascii="Calibri" w:hAnsi="Calibri"/>
          <w:i/>
          <w:color w:val="2980B9"/>
          <w:sz w:val="26"/>
        </w:rPr>
        <w:t>Levantamento Bibliográfico Sistemático Baseado nas Revisões de Dastile et al. (2020) e Ayari et al. (2026)</w:t>
      </w:r>
    </w:p>
    <w:p>
      <w:pPr>
        <w:spacing w:after="240"/>
      </w:pPr>
      <w:r>
        <w:rPr>
          <w:color w:val="C8C8C8"/>
        </w:rPr>
        <w:t>_________________________________________________________________________________</w:t>
      </w:r>
    </w:p>
    <w:p>
      <w:pPr>
        <w:spacing w:before="120" w:after="240"/>
        <w:ind w:left="288" w:right="288"/>
      </w:pPr>
      <w:r>
        <w:rPr>
          <w:b/>
          <w:color w:val="1F4E79"/>
        </w:rPr>
        <w:t xml:space="preserve">Resumo Executivo: </w:t>
      </w:r>
      <w:r>
        <w:t>Este levantamento bibliográfico sintetiza 14 anos contínuos de evolução científica (2010–2024) no uso de Inteligência Artificial e Aprendizado de Máquina para concessão de crédito financeiro. Com base em 137 estudos analisados rigorosamente por duas revisões sistemáticas da literatura (SLR), o documento mapeia a transição dos modelos estatísticos lineares para ensembles híbridos, a consolidação de métricas robustas contra o desbalanceamento e os desafios modernos de interpretabilidade (XAI) e regulação.</w:t>
      </w:r>
    </w:p>
    <w:p>
      <w:pPr>
        <w:pStyle w:val="Heading1"/>
        <w:spacing w:before="320" w:after="120"/>
      </w:pPr>
      <w:r>
        <w:rPr>
          <w:rFonts w:ascii="Calibri" w:hAnsi="Calibri"/>
          <w:b/>
          <w:color w:val="1F4E79"/>
          <w:sz w:val="32"/>
        </w:rPr>
        <w:t>1. Escopo e Metodologia das Revisões Sistemáticas</w:t>
      </w:r>
    </w:p>
    <w:p>
      <w:r>
        <w:t>O estudo do risco de crédito passou por intensas transformações tecnológicas nas últimas duas décadas. Para compreender a evolução das técnicas preditivas, este relatório consolida os achados de dois grandes surveys bibliográficos da literatura acadêmica internacional:</w:t>
      </w:r>
    </w:p>
    <w:p>
      <w:pPr>
        <w:pStyle w:val="ListBullet"/>
      </w:pPr>
      <w:r>
        <w:rPr>
          <w:b/>
        </w:rPr>
        <w:t xml:space="preserve">Primeiro Período (2010–2018) — Dastile et al. (2020): </w:t>
      </w:r>
      <w:r>
        <w:t>Mapeou 74 artigos científicos selecionados após rigorosa triagem. O estudo avaliou o desempenho de classificadores únicos estatísticos, algoritmos de aprendizado de máquina tradicionais e as primeiras iniciativas com redes neurais profundas.</w:t>
      </w:r>
    </w:p>
    <w:p>
      <w:pPr>
        <w:pStyle w:val="ListBullet"/>
      </w:pPr>
      <w:r>
        <w:rPr>
          <w:b/>
        </w:rPr>
        <w:t xml:space="preserve">Segundo Período (2018–2024) — Ayari et al. (2026): </w:t>
      </w:r>
      <w:r>
        <w:t>Analisou 63 artigos selecionados a partir de um universo inicial de 330 trabalhos recuperados em quatro grandes bases digitais. O foco central esteve na consolidação de modelos ensembles híbridos, na inteligência artificial explicável (XAI) e na integração de dados alternativos.</w:t>
      </w:r>
    </w:p>
    <w:p>
      <w:pPr>
        <w:pStyle w:val="Heading1"/>
        <w:spacing w:before="320" w:after="120"/>
      </w:pPr>
      <w:r>
        <w:rPr>
          <w:rFonts w:ascii="Calibri" w:hAnsi="Calibri"/>
          <w:b/>
          <w:color w:val="1F4E79"/>
          <w:sz w:val="32"/>
        </w:rPr>
        <w:t>2. Evolução das Arquiteturas e Frequência dos Modelos</w:t>
      </w:r>
    </w:p>
    <w:p>
      <w:r>
        <w:t xml:space="preserve">A análise combinada das duas décadas revela uma clara mudança de paradigma na engenharia de modelos de crédito. No período de 2010 a 2018, a literatura esteve dominada pela avaliação de classificadores individuais, com destaque para Support Vector Machines (SVM, 45 artigos), Redes Neurais Artificiais (ANN, 42 artigos) e Regressão Logística (LR, 39 artigos). No entanto, no período de 2018 a 2024, houve uma transição definitiva em direção aos </w:t>
      </w:r>
      <w:r>
        <w:rPr>
          <w:b/>
        </w:rPr>
        <w:t>modelos ensembles híbridos</w:t>
      </w:r>
      <w:r>
        <w:t xml:space="preserve"> (como Random Forest, XGBoost e LightGBM), que combinam múltiplos estimadores para reduzir viés e variância simultaneamente.</w:t>
      </w:r>
    </w:p>
    <w:p>
      <w:pPr>
        <w:spacing w:before="200" w:after="80"/>
      </w:pPr>
      <w:r>
        <w:rPr>
          <w:b/>
          <w:color w:val="1F4E79"/>
        </w:rPr>
        <w:t>Tabela 1: Distribuição de Frequência de Uso dos Modelos na Literatura (2010–2024)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fill="1F4E79" w:val="clear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Algoritmo / Arquitetura</w:t>
            </w:r>
          </w:p>
        </w:tc>
        <w:tc>
          <w:tcPr>
            <w:tcW w:type="dxa" w:w="2016"/>
            <w:shd w:fill="1F4E79" w:val="clear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Frequência (2010–2018)</w:t>
              <w:br/>
              <w:t>Dastile et al. (2020)</w:t>
            </w:r>
          </w:p>
        </w:tc>
        <w:tc>
          <w:tcPr>
            <w:tcW w:type="dxa" w:w="2016"/>
            <w:shd w:fill="1F4E79" w:val="clear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Frequência (2018–2024)</w:t>
              <w:br/>
              <w:t>Ayari et al. (2026)</w:t>
            </w:r>
          </w:p>
        </w:tc>
        <w:tc>
          <w:tcPr>
            <w:tcW w:type="dxa" w:w="2880"/>
            <w:shd w:fill="1F4E79" w:val="clear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Papel / Tendência na Literatura</w:t>
            </w:r>
          </w:p>
        </w:tc>
      </w:tr>
      <w:tr>
        <w:tc>
          <w:tcPr>
            <w:tcW w:type="dxa" w:w="3168"/>
            <w:shd w:fill="F2F5F8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Regressão Logística (LR)</w:t>
            </w:r>
          </w:p>
        </w:tc>
        <w:tc>
          <w:tcPr>
            <w:tcW w:type="dxa" w:w="2016"/>
            <w:shd w:fill="F2F5F8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39 artigos</w:t>
            </w:r>
          </w:p>
        </w:tc>
        <w:tc>
          <w:tcPr>
            <w:tcW w:type="dxa" w:w="2016"/>
            <w:shd w:fill="F2F5F8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Elevada (Benchmark)</w:t>
            </w:r>
          </w:p>
        </w:tc>
        <w:tc>
          <w:tcPr>
            <w:tcW w:type="dxa" w:w="2880"/>
            <w:shd w:fill="F2F5F8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Benchmark clássico obrigatório por reguladores</w:t>
            </w:r>
          </w:p>
        </w:tc>
      </w:tr>
      <w:tr>
        <w:tc>
          <w:tcPr>
            <w:tcW w:type="dxa" w:w="316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Support Vector Machines (SVM)</w:t>
            </w:r>
          </w:p>
        </w:tc>
        <w:tc>
          <w:tcPr>
            <w:tcW w:type="dxa" w:w="2016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45 artigos</w:t>
            </w:r>
          </w:p>
        </w:tc>
        <w:tc>
          <w:tcPr>
            <w:tcW w:type="dxa" w:w="2016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Moderada</w:t>
            </w:r>
          </w:p>
        </w:tc>
        <w:tc>
          <w:tcPr>
            <w:tcW w:type="dxa" w:w="288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Dominante no 1º período; perdeu espaço para ensembles</w:t>
            </w:r>
          </w:p>
        </w:tc>
      </w:tr>
      <w:tr>
        <w:tc>
          <w:tcPr>
            <w:tcW w:type="dxa" w:w="3168"/>
            <w:shd w:fill="F2F5F8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Árvores de Decisão (DT)</w:t>
            </w:r>
          </w:p>
        </w:tc>
        <w:tc>
          <w:tcPr>
            <w:tcW w:type="dxa" w:w="2016"/>
            <w:shd w:fill="F2F5F8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24 artigos</w:t>
            </w:r>
          </w:p>
        </w:tc>
        <w:tc>
          <w:tcPr>
            <w:tcW w:type="dxa" w:w="2016"/>
            <w:shd w:fill="F2F5F8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Elevada (Benchmark)</w:t>
            </w:r>
          </w:p>
        </w:tc>
        <w:tc>
          <w:tcPr>
            <w:tcW w:type="dxa" w:w="2880"/>
            <w:shd w:fill="F2F5F8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Base para conjuntos e regras de decisão explicáveis</w:t>
            </w:r>
          </w:p>
        </w:tc>
      </w:tr>
      <w:tr>
        <w:tc>
          <w:tcPr>
            <w:tcW w:type="dxa" w:w="316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Random Forest (RF)</w:t>
            </w:r>
          </w:p>
        </w:tc>
        <w:tc>
          <w:tcPr>
            <w:tcW w:type="dxa" w:w="2016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13 artigos</w:t>
            </w:r>
          </w:p>
        </w:tc>
        <w:tc>
          <w:tcPr>
            <w:tcW w:type="dxa" w:w="2016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Consolidada / Alta</w:t>
            </w:r>
          </w:p>
        </w:tc>
        <w:tc>
          <w:tcPr>
            <w:tcW w:type="dxa" w:w="288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Campeão de consistência em bases tabulares</w:t>
            </w:r>
          </w:p>
        </w:tc>
      </w:tr>
      <w:tr>
        <w:tc>
          <w:tcPr>
            <w:tcW w:type="dxa" w:w="3168"/>
            <w:shd w:fill="F2F5F8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XGBoost / LightGBM</w:t>
            </w:r>
          </w:p>
        </w:tc>
        <w:tc>
          <w:tcPr>
            <w:tcW w:type="dxa" w:w="2016"/>
            <w:shd w:fill="F2F5F8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3 artigos</w:t>
            </w:r>
          </w:p>
        </w:tc>
        <w:tc>
          <w:tcPr>
            <w:tcW w:type="dxa" w:w="2016"/>
            <w:shd w:fill="F2F5F8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Dominante (Estado da Arte)</w:t>
            </w:r>
          </w:p>
        </w:tc>
        <w:tc>
          <w:tcPr>
            <w:tcW w:type="dxa" w:w="2880"/>
            <w:shd w:fill="F2F5F8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Líder em acurácia e AUC na literatura recente</w:t>
            </w:r>
          </w:p>
        </w:tc>
      </w:tr>
      <w:tr>
        <w:tc>
          <w:tcPr>
            <w:tcW w:type="dxa" w:w="316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Redes Neurais / Deep Learning</w:t>
            </w:r>
          </w:p>
        </w:tc>
        <w:tc>
          <w:tcPr>
            <w:tcW w:type="dxa" w:w="2016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42 artigos (ANN)</w:t>
            </w:r>
          </w:p>
        </w:tc>
        <w:tc>
          <w:tcPr>
            <w:tcW w:type="dxa" w:w="2016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Moderada (CNN / LSTM)</w:t>
            </w:r>
          </w:p>
        </w:tc>
        <w:tc>
          <w:tcPr>
            <w:tcW w:type="dxa" w:w="288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Elevado poder preditivo; uso restrito por opacidade</w:t>
            </w:r>
          </w:p>
        </w:tc>
      </w:tr>
      <w:tr>
        <w:tc>
          <w:tcPr>
            <w:tcW w:type="dxa" w:w="3168"/>
            <w:shd w:fill="F2F5F8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k-Nearest Neighbors (k-NN)</w:t>
            </w:r>
          </w:p>
        </w:tc>
        <w:tc>
          <w:tcPr>
            <w:tcW w:type="dxa" w:w="2016"/>
            <w:shd w:fill="F2F5F8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12 artigos</w:t>
            </w:r>
          </w:p>
        </w:tc>
        <w:tc>
          <w:tcPr>
            <w:tcW w:type="dxa" w:w="2016"/>
            <w:shd w:fill="F2F5F8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Baixa</w:t>
            </w:r>
          </w:p>
        </w:tc>
        <w:tc>
          <w:tcPr>
            <w:tcW w:type="dxa" w:w="2880"/>
            <w:shd w:fill="F2F5F8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Uso reduzido devido à sensibilidade à dimensionalidade</w:t>
            </w:r>
          </w:p>
        </w:tc>
      </w:tr>
      <w:tr>
        <w:tc>
          <w:tcPr>
            <w:tcW w:type="dxa" w:w="316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Naïve Bayes (NB)</w:t>
            </w:r>
          </w:p>
        </w:tc>
        <w:tc>
          <w:tcPr>
            <w:tcW w:type="dxa" w:w="2016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7 artigos</w:t>
            </w:r>
          </w:p>
        </w:tc>
        <w:tc>
          <w:tcPr>
            <w:tcW w:type="dxa" w:w="2016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Rara</w:t>
            </w:r>
          </w:p>
        </w:tc>
        <w:tc>
          <w:tcPr>
            <w:tcW w:type="dxa" w:w="288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Desempenho limitado por premissas de independência</w:t>
            </w:r>
          </w:p>
        </w:tc>
      </w:tr>
      <w:tr>
        <w:tc>
          <w:tcPr>
            <w:tcW w:type="dxa" w:w="3168"/>
            <w:shd w:fill="F2F5F8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Modelos Híbridos / Stacking</w:t>
            </w:r>
          </w:p>
        </w:tc>
        <w:tc>
          <w:tcPr>
            <w:tcW w:type="dxa" w:w="2016"/>
            <w:shd w:fill="F2F5F8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17 artigos (Boosting)</w:t>
            </w:r>
          </w:p>
        </w:tc>
        <w:tc>
          <w:tcPr>
            <w:tcW w:type="dxa" w:w="2016"/>
            <w:shd w:fill="F2F5F8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Dominante</w:t>
            </w:r>
          </w:p>
        </w:tc>
        <w:tc>
          <w:tcPr>
            <w:tcW w:type="dxa" w:w="2880"/>
            <w:shd w:fill="F2F5F8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Integração de filtros, otimizadores e meta-classificadores</w:t>
            </w:r>
          </w:p>
        </w:tc>
      </w:tr>
    </w:tbl>
    <w:p>
      <w:pPr>
        <w:spacing w:before="80" w:after="240"/>
      </w:pPr>
      <w:r>
        <w:rPr>
          <w:i/>
          <w:color w:val="787878"/>
          <w:sz w:val="17"/>
        </w:rPr>
        <w:t>Fonte: Dados compilados a partir de Dastile et al. (2020) e Ayari et al. (2026).</w:t>
      </w:r>
    </w:p>
    <w:p>
      <w:pPr>
        <w:pStyle w:val="Heading1"/>
        <w:spacing w:before="320" w:after="120"/>
      </w:pPr>
      <w:r>
        <w:rPr>
          <w:rFonts w:ascii="Calibri" w:hAnsi="Calibri"/>
          <w:b/>
          <w:color w:val="1F4E79"/>
          <w:sz w:val="32"/>
        </w:rPr>
        <w:t>3. Métricas de Avaliação e o Alerta Metodológico</w:t>
      </w:r>
    </w:p>
    <w:p>
      <w:r>
        <w:t xml:space="preserve">A escolha adequada das métricas de desempenho é um dos tópicos mais criticados nas duas revisões sistemáticas. A Acurácia Global (PCC) permanece como a métrica mais reportada em ambos os períodos (48 usos no primeiro survey e 49 no segundo). No entanto, ambos os estudos alertam que a Acurácia é </w:t>
      </w:r>
      <w:r>
        <w:rPr>
          <w:b/>
        </w:rPr>
        <w:t>altamente enganosa</w:t>
      </w:r>
      <w:r>
        <w:t xml:space="preserve"> para carteiras de crédito, pois o desbalanceamento inerente entre maus e bons pagadores permite que modelos ingênuos obtenham altos índices de acurácia simplesmente aprovando quase todas as propostas, enquanto falham na detecção do risco real.</w:t>
      </w:r>
    </w:p>
    <w:p>
      <w:pPr>
        <w:spacing w:before="200" w:after="80"/>
      </w:pPr>
      <w:r>
        <w:rPr>
          <w:b/>
          <w:color w:val="1F4E79"/>
        </w:rPr>
        <w:t>Tabela 2: Frequência Absoluta das Métricas de Avaliação Reportadas na Literatura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fill="1F4E79" w:val="clear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Métrica de Avaliação</w:t>
            </w:r>
          </w:p>
        </w:tc>
        <w:tc>
          <w:tcPr>
            <w:tcW w:type="dxa" w:w="2016"/>
            <w:shd w:fill="1F4E79" w:val="clear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Frequência (2010–2018)</w:t>
              <w:br/>
              <w:t>Dastile et al. (2020)</w:t>
            </w:r>
          </w:p>
        </w:tc>
        <w:tc>
          <w:tcPr>
            <w:tcW w:type="dxa" w:w="2016"/>
            <w:shd w:fill="1F4E79" w:val="clear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Frequência (2018–2024)</w:t>
              <w:br/>
              <w:t>Ayari et al. (2026)</w:t>
            </w:r>
          </w:p>
        </w:tc>
        <w:tc>
          <w:tcPr>
            <w:tcW w:type="dxa" w:w="2880"/>
            <w:shd w:fill="1F4E79" w:val="clear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Relevância Prática em Crédito</w:t>
            </w:r>
          </w:p>
        </w:tc>
      </w:tr>
      <w:tr>
        <w:tc>
          <w:tcPr>
            <w:tcW w:type="dxa" w:w="3168"/>
            <w:shd w:fill="F2F5F8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Acurácia (PCC / Accuracy)</w:t>
            </w:r>
          </w:p>
        </w:tc>
        <w:tc>
          <w:tcPr>
            <w:tcW w:type="dxa" w:w="2016"/>
            <w:shd w:fill="F2F5F8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48 artigos</w:t>
            </w:r>
          </w:p>
        </w:tc>
        <w:tc>
          <w:tcPr>
            <w:tcW w:type="dxa" w:w="2016"/>
            <w:shd w:fill="F2F5F8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49 artigos</w:t>
            </w:r>
          </w:p>
        </w:tc>
        <w:tc>
          <w:tcPr>
            <w:tcW w:type="dxa" w:w="2880"/>
            <w:shd w:fill="F2F5F8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Mais frequente, porém enganosa sob desbalanceamento</w:t>
            </w:r>
          </w:p>
        </w:tc>
      </w:tr>
      <w:tr>
        <w:tc>
          <w:tcPr>
            <w:tcW w:type="dxa" w:w="316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AUC (Área sob a Curva ROC)</w:t>
            </w:r>
          </w:p>
        </w:tc>
        <w:tc>
          <w:tcPr>
            <w:tcW w:type="dxa" w:w="2016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30 artigos</w:t>
            </w:r>
          </w:p>
        </w:tc>
        <w:tc>
          <w:tcPr>
            <w:tcW w:type="dxa" w:w="2016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31 artigos</w:t>
            </w:r>
          </w:p>
        </w:tc>
        <w:tc>
          <w:tcPr>
            <w:tcW w:type="dxa" w:w="288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Métrica padrão para capacidade discriminatória global</w:t>
            </w:r>
          </w:p>
        </w:tc>
      </w:tr>
      <w:tr>
        <w:tc>
          <w:tcPr>
            <w:tcW w:type="dxa" w:w="3168"/>
            <w:shd w:fill="F2F5F8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F1-Score / F-measure</w:t>
            </w:r>
          </w:p>
        </w:tc>
        <w:tc>
          <w:tcPr>
            <w:tcW w:type="dxa" w:w="2016"/>
            <w:shd w:fill="F2F5F8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3 artigos</w:t>
            </w:r>
          </w:p>
        </w:tc>
        <w:tc>
          <w:tcPr>
            <w:tcW w:type="dxa" w:w="2016"/>
            <w:shd w:fill="F2F5F8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25 artigos</w:t>
            </w:r>
          </w:p>
        </w:tc>
        <w:tc>
          <w:tcPr>
            <w:tcW w:type="dxa" w:w="2880"/>
            <w:shd w:fill="F2F5F8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Crescimento expressivo; equilibra precisão e recall</w:t>
            </w:r>
          </w:p>
        </w:tc>
      </w:tr>
      <w:tr>
        <w:tc>
          <w:tcPr>
            <w:tcW w:type="dxa" w:w="316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Recall / Sensibilidade</w:t>
            </w:r>
          </w:p>
        </w:tc>
        <w:tc>
          <w:tcPr>
            <w:tcW w:type="dxa" w:w="2016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12 artigos</w:t>
            </w:r>
          </w:p>
        </w:tc>
        <w:tc>
          <w:tcPr>
            <w:tcW w:type="dxa" w:w="2016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24 artigos</w:t>
            </w:r>
          </w:p>
        </w:tc>
        <w:tc>
          <w:tcPr>
            <w:tcW w:type="dxa" w:w="288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Mede a capacidade de identificar inadimplentes reais</w:t>
            </w:r>
          </w:p>
        </w:tc>
      </w:tr>
      <w:tr>
        <w:tc>
          <w:tcPr>
            <w:tcW w:type="dxa" w:w="3168"/>
            <w:shd w:fill="F2F5F8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Especificidade (Specificity)</w:t>
            </w:r>
          </w:p>
        </w:tc>
        <w:tc>
          <w:tcPr>
            <w:tcW w:type="dxa" w:w="2016"/>
            <w:shd w:fill="F2F5F8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9 artigos</w:t>
            </w:r>
          </w:p>
        </w:tc>
        <w:tc>
          <w:tcPr>
            <w:tcW w:type="dxa" w:w="2016"/>
            <w:shd w:fill="F2F5F8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14 artigos</w:t>
            </w:r>
          </w:p>
        </w:tc>
        <w:tc>
          <w:tcPr>
            <w:tcW w:type="dxa" w:w="2880"/>
            <w:shd w:fill="F2F5F8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Mede a taxa de identificação de bons pagadores</w:t>
            </w:r>
          </w:p>
        </w:tc>
      </w:tr>
      <w:tr>
        <w:tc>
          <w:tcPr>
            <w:tcW w:type="dxa" w:w="316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KS (Kolmogorov-Smirnov)</w:t>
            </w:r>
          </w:p>
        </w:tc>
        <w:tc>
          <w:tcPr>
            <w:tcW w:type="dxa" w:w="2016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6 artigos</w:t>
            </w:r>
          </w:p>
        </w:tc>
        <w:tc>
          <w:tcPr>
            <w:tcW w:type="dxa" w:w="2016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13 artigos</w:t>
            </w:r>
          </w:p>
        </w:tc>
        <w:tc>
          <w:tcPr>
            <w:tcW w:type="dxa" w:w="288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Tradicional em instituições financeiras e Basileia</w:t>
            </w:r>
          </w:p>
        </w:tc>
      </w:tr>
      <w:tr>
        <w:tc>
          <w:tcPr>
            <w:tcW w:type="dxa" w:w="3168"/>
            <w:shd w:fill="F2F5F8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Precisão (Precision)</w:t>
            </w:r>
          </w:p>
        </w:tc>
        <w:tc>
          <w:tcPr>
            <w:tcW w:type="dxa" w:w="2016"/>
            <w:shd w:fill="F2F5F8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Não reportado isolado</w:t>
            </w:r>
          </w:p>
        </w:tc>
        <w:tc>
          <w:tcPr>
            <w:tcW w:type="dxa" w:w="2016"/>
            <w:shd w:fill="F2F5F8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13 artigos</w:t>
            </w:r>
          </w:p>
        </w:tc>
        <w:tc>
          <w:tcPr>
            <w:tcW w:type="dxa" w:w="2880"/>
            <w:shd w:fill="F2F5F8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Mede a proporção de maus pagadores entre os sinalizados</w:t>
            </w:r>
          </w:p>
        </w:tc>
      </w:tr>
      <w:tr>
        <w:tc>
          <w:tcPr>
            <w:tcW w:type="dxa" w:w="316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Brier Score</w:t>
            </w:r>
          </w:p>
        </w:tc>
        <w:tc>
          <w:tcPr>
            <w:tcW w:type="dxa" w:w="2016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Não reportado isolado</w:t>
            </w:r>
          </w:p>
        </w:tc>
        <w:tc>
          <w:tcPr>
            <w:tcW w:type="dxa" w:w="2016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10 artigos</w:t>
            </w:r>
          </w:p>
        </w:tc>
        <w:tc>
          <w:tcPr>
            <w:tcW w:type="dxa" w:w="288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Mede a calibração de probabilidades das previsões</w:t>
            </w:r>
          </w:p>
        </w:tc>
      </w:tr>
      <w:tr>
        <w:tc>
          <w:tcPr>
            <w:tcW w:type="dxa" w:w="3168"/>
            <w:shd w:fill="F2F5F8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G-Mean (Média Geométrica)</w:t>
            </w:r>
          </w:p>
        </w:tc>
        <w:tc>
          <w:tcPr>
            <w:tcW w:type="dxa" w:w="2016"/>
            <w:shd w:fill="F2F5F8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3 artigos</w:t>
            </w:r>
          </w:p>
        </w:tc>
        <w:tc>
          <w:tcPr>
            <w:tcW w:type="dxa" w:w="2016"/>
            <w:shd w:fill="F2F5F8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10 artigos</w:t>
            </w:r>
          </w:p>
        </w:tc>
        <w:tc>
          <w:tcPr>
            <w:tcW w:type="dxa" w:w="2880"/>
            <w:shd w:fill="F2F5F8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Equilibra sensibilidade e especificidade de forma justa</w:t>
            </w:r>
          </w:p>
        </w:tc>
      </w:tr>
      <w:tr>
        <w:tc>
          <w:tcPr>
            <w:tcW w:type="dxa" w:w="316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Erro Tipo II (Falso Negativo)</w:t>
            </w:r>
          </w:p>
        </w:tc>
        <w:tc>
          <w:tcPr>
            <w:tcW w:type="dxa" w:w="2016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14 artigos</w:t>
            </w:r>
          </w:p>
        </w:tc>
        <w:tc>
          <w:tcPr>
            <w:tcW w:type="dxa" w:w="2016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7 artigos</w:t>
            </w:r>
          </w:p>
        </w:tc>
        <w:tc>
          <w:tcPr>
            <w:tcW w:type="dxa" w:w="288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O erro mais custoso: aprovar um cliente inadimplente</w:t>
            </w:r>
          </w:p>
        </w:tc>
      </w:tr>
      <w:tr>
        <w:tc>
          <w:tcPr>
            <w:tcW w:type="dxa" w:w="3168"/>
            <w:shd w:fill="F2F5F8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Erro Tipo I (Falso Positivo)</w:t>
            </w:r>
          </w:p>
        </w:tc>
        <w:tc>
          <w:tcPr>
            <w:tcW w:type="dxa" w:w="2016"/>
            <w:shd w:fill="F2F5F8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14 artigos</w:t>
            </w:r>
          </w:p>
        </w:tc>
        <w:tc>
          <w:tcPr>
            <w:tcW w:type="dxa" w:w="2016"/>
            <w:shd w:fill="F2F5F8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5 artigos</w:t>
            </w:r>
          </w:p>
        </w:tc>
        <w:tc>
          <w:tcPr>
            <w:tcW w:type="dxa" w:w="2880"/>
            <w:shd w:fill="F2F5F8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Custo de oportunidade: recusar um bom pagador</w:t>
            </w:r>
          </w:p>
        </w:tc>
      </w:tr>
    </w:tbl>
    <w:p>
      <w:pPr>
        <w:spacing w:before="80" w:after="240"/>
      </w:pPr>
      <w:r>
        <w:rPr>
          <w:i/>
          <w:color w:val="787878"/>
          <w:sz w:val="17"/>
        </w:rPr>
        <w:t>Fonte: Dados quantitativos sumarizados das duas revisões sistemáticas.</w:t>
      </w:r>
    </w:p>
    <w:p>
      <w:pPr>
        <w:pStyle w:val="Heading1"/>
        <w:spacing w:before="320" w:after="120"/>
      </w:pPr>
      <w:r>
        <w:rPr>
          <w:rFonts w:ascii="Calibri" w:hAnsi="Calibri"/>
          <w:b/>
          <w:color w:val="1F4E79"/>
          <w:sz w:val="32"/>
        </w:rPr>
        <w:t>4. Desafios Críticos e Tendências Emergentes</w:t>
      </w:r>
    </w:p>
    <w:p>
      <w:r>
        <w:rPr>
          <w:b/>
        </w:rPr>
        <w:t>A. Inteligência Artificial Explicável (XAI) e Conformidade Regulatória</w:t>
        <w:br/>
      </w:r>
      <w:r>
        <w:t xml:space="preserve">As regulamentações financeiras globais (como o Acordo de Basileia II e a LGPD/GDPR) exigem que as instituições financeiras justifiquem de forma clara os motivos de uma recusa de crédito. Dastile et al. (2020) apontaram que apenas 8% dos trabalhos anteriores a 2018 utilizavam técnicas de explicabilidade. Em contrapartida, Ayari et al. (2026) documentam a ascensão de métodos como </w:t>
      </w:r>
      <w:r>
        <w:rPr>
          <w:b/>
        </w:rPr>
        <w:t>SHAP (Shapley Additive exPlanations)</w:t>
      </w:r>
      <w:r>
        <w:t xml:space="preserve"> e </w:t>
      </w:r>
      <w:r>
        <w:rPr>
          <w:b/>
        </w:rPr>
        <w:t>LIME (Local Interpretable Model-agnostic Explanations)</w:t>
      </w:r>
      <w:r>
        <w:t>, permitindo auditorias individuais em modelos complexos de 'caixa-preta' sem sacrificar o poder preditivo.</w:t>
      </w:r>
    </w:p>
    <w:p>
      <w:r>
        <w:rPr>
          <w:b/>
        </w:rPr>
        <w:t>B. Tratamento do Desbalanceamento de Dados</w:t>
        <w:br/>
      </w:r>
      <w:r>
        <w:t>Apenas 18% dos artigos revisados no primeiro período (2010–2018) aplicaram técnicas formais de balanceamento de classes. Na literatura recente (2018–2024), consolidou-se a aplicação da sobreamostragem sintética (SMOTE) no conjunto de treino e, principalmente, o Aprendizado Sensível ao Custo (Cost-Sensitive Learning), que atribui penalidades superiores aos erros no Erro Tipo II (Falso Negativo).</w:t>
      </w:r>
    </w:p>
    <w:p>
      <w:r>
        <w:rPr>
          <w:b/>
        </w:rPr>
        <w:t>C. Inclusão Financeira via Dados Alternativos</w:t>
        <w:br/>
      </w:r>
      <w:r>
        <w:t>Para suprir a escassez de histórico financeiro formal em populações não bancarizadas (unbanked), os estudos recentes destacam a incorporação de dados alternativos, incluindo padrões de uso de aplicativos móveis, dados transacionais de e-commerce, redes sociais e testes psicométricos.</w:t>
      </w:r>
    </w:p>
    <w:p>
      <w:pPr>
        <w:pStyle w:val="Heading1"/>
        <w:spacing w:before="320" w:after="120"/>
      </w:pPr>
      <w:r>
        <w:rPr>
          <w:rFonts w:ascii="Calibri" w:hAnsi="Calibri"/>
          <w:b/>
          <w:color w:val="1F4E79"/>
          <w:sz w:val="32"/>
        </w:rPr>
        <w:t>5. Referências Bibliográficas</w:t>
      </w:r>
    </w:p>
    <w:p>
      <w:pPr>
        <w:ind w:left="432" w:hanging="432"/>
      </w:pPr>
      <w:r>
        <w:rPr>
          <w:b/>
        </w:rPr>
        <w:t xml:space="preserve">• Dastile, X., Celik, T., &amp; Potsane, M. (2020). </w:t>
      </w:r>
      <w:r>
        <w:t xml:space="preserve">Statistical and machine learning models in credit scoring: A systematic literature survey. </w:t>
      </w:r>
      <w:r>
        <w:t>Applied Soft Computing, 91, 106263.</w:t>
      </w:r>
    </w:p>
    <w:p>
      <w:pPr>
        <w:ind w:left="432" w:hanging="432"/>
      </w:pPr>
      <w:r>
        <w:rPr>
          <w:b/>
        </w:rPr>
        <w:t xml:space="preserve">• Ayari, A., et al. (2026). </w:t>
      </w:r>
      <w:r>
        <w:t xml:space="preserve">Machine learning in financial credit scoring: A systematic literature review. </w:t>
      </w:r>
      <w:r>
        <w:t>Neural Computing and Applications / Springer.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87878"/>
        <w:sz w:val="18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87878"/>
        <w:sz w:val="17"/>
      </w:rPr>
      <w:t>Estado da Arte em Credit Scoring (2010–2024)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