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Trabalho </w:t>
      </w:r>
      <w:r w:rsidDel="00000000" w:rsidR="00000000" w:rsidRPr="00000000">
        <w:rPr>
          <w:rtl w:val="0"/>
        </w:rPr>
        <w:t xml:space="preserve">Protótipo navegável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https://www.figma.com/design/g9J4QflhBLjq3fJeYrUF97/Meraki-TCC?node-id=0-1&amp;t=KhGfMU4HBdc113cK-1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setor cultura é o único demonstrado, porque os setores restantes seguem o mesmo padrão!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design/g9J4QflhBLjq3fJeYrUF97/Meraki-TCC?node-id=0-1&amp;t=KhGfMU4HBdc113cK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