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https://www.figma.com/design/g9J4QflhBLjq3fJeYrUF97/Meraki-TCC?node-id=0-1&amp;t=KhGfMU4HBdc113cK-1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4"/>
          <w:szCs w:val="24"/>
          <w:rtl w:val="0"/>
        </w:rPr>
        <w:t xml:space="preserve">O setor cultura é o único demonstrado, porque os setores restantes seguem o mesmo padrão!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g9J4QflhBLjq3fJeYrUF97/Meraki-TCC?node-id=0-1&amp;t=KhGfMU4HBdc113c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