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4A11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2" w14:textId="77777777" w:rsidR="005A0F33" w:rsidRDefault="005A0F33">
      <w:pPr>
        <w:spacing w:after="160" w:line="360" w:lineRule="auto"/>
        <w:ind w:firstLine="567"/>
        <w:jc w:val="center"/>
        <w:rPr>
          <w:rFonts w:ascii="Arial" w:eastAsia="Arial" w:hAnsi="Arial" w:cs="Arial"/>
        </w:rPr>
      </w:pPr>
    </w:p>
    <w:p w14:paraId="3CA94A13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4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5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6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7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8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9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A" w14:textId="77777777" w:rsidR="005A0F33" w:rsidRDefault="009F4969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REGULAMENTO DO NÚCLEO DE INOVAÇÃO E TECNOLOGIA</w:t>
      </w:r>
    </w:p>
    <w:p w14:paraId="3CA94A1B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C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D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E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F" w14:textId="77777777" w:rsidR="005A0F33" w:rsidRDefault="005A0F33">
      <w:pPr>
        <w:spacing w:line="360" w:lineRule="auto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0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1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2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3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  <w:sectPr w:rsidR="005A0F33">
          <w:headerReference w:type="default" r:id="rId8"/>
          <w:footerReference w:type="default" r:id="rId9"/>
          <w:pgSz w:w="11906" w:h="16838"/>
          <w:pgMar w:top="1293" w:right="1418" w:bottom="1134" w:left="1701" w:header="426" w:footer="377" w:gutter="0"/>
          <w:pgNumType w:start="1"/>
          <w:cols w:space="720"/>
        </w:sectPr>
      </w:pPr>
    </w:p>
    <w:p w14:paraId="3CA94A24" w14:textId="77777777" w:rsidR="005A0F33" w:rsidRDefault="005A0F33">
      <w:pPr>
        <w:spacing w:after="200" w:line="276" w:lineRule="auto"/>
        <w:ind w:right="-994"/>
        <w:rPr>
          <w:rFonts w:ascii="Arial" w:eastAsia="Arial" w:hAnsi="Arial" w:cs="Arial"/>
          <w:b/>
          <w:sz w:val="28"/>
          <w:szCs w:val="28"/>
        </w:rPr>
      </w:pPr>
    </w:p>
    <w:p w14:paraId="3CA94A25" w14:textId="77777777" w:rsidR="005A0F33" w:rsidRDefault="009F4969">
      <w:pPr>
        <w:spacing w:after="200" w:line="276" w:lineRule="auto"/>
        <w:ind w:left="-851" w:right="-99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NÚCLEO DE INOVAÇÃO E TECNOLOGIA – NIT</w:t>
      </w:r>
    </w:p>
    <w:p w14:paraId="3CA94A26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27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 – APRESENTAÇÃO</w:t>
      </w:r>
    </w:p>
    <w:p w14:paraId="3CA94A28" w14:textId="0A9A46B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Faculdade XXXXXXXXXXXXX</w:t>
      </w:r>
      <w:r>
        <w:rPr>
          <w:rFonts w:ascii="Arial" w:eastAsia="Arial" w:hAnsi="Arial" w:cs="Arial"/>
          <w:sz w:val="24"/>
          <w:szCs w:val="24"/>
        </w:rPr>
        <w:t xml:space="preserve"> considera como valores fundamentais: a pessoa humana; a síntese entre ciência, cultura, pesquisa e extensão; a vivência comunitária; a moral e a capacidade técnico-científica. Busca ainda definir a melhor proposta curricula</w:t>
      </w:r>
      <w:r>
        <w:rPr>
          <w:rFonts w:ascii="Arial" w:eastAsia="Arial" w:hAnsi="Arial" w:cs="Arial"/>
          <w:sz w:val="24"/>
          <w:szCs w:val="24"/>
        </w:rPr>
        <w:t xml:space="preserve">r que venha a atender as necessidades sociais da sua comunidade.  </w:t>
      </w:r>
    </w:p>
    <w:p w14:paraId="3CA94A29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suas práxis fundam-se em princípios educativos que apontam para um sentido de participação, no qual o discente é visto como ser ativo, sujeito responsável e solidário, que busca a conscie</w:t>
      </w:r>
      <w:r>
        <w:rPr>
          <w:rFonts w:ascii="Arial" w:eastAsia="Arial" w:hAnsi="Arial" w:cs="Arial"/>
          <w:sz w:val="24"/>
          <w:szCs w:val="24"/>
        </w:rPr>
        <w:t xml:space="preserve">ntização através da compreensão dos fenômenos na sua totalidade. </w:t>
      </w:r>
    </w:p>
    <w:p w14:paraId="3CA94A2A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Nessa trajetória de construção e consolidação de seu papel social procura-se não somente, mas principalmente, a conquista de espaço ético e sociopolítico, aberto às questões de defesa ao exe</w:t>
      </w:r>
      <w:r>
        <w:rPr>
          <w:rFonts w:ascii="Arial" w:eastAsia="Arial" w:hAnsi="Arial" w:cs="Arial"/>
          <w:sz w:val="24"/>
          <w:szCs w:val="24"/>
        </w:rPr>
        <w:t>rcício pleno do educando e educador da cidadania e dos direitos humanos.  Como instituição educativa prioriza o conhecimento e o desenvolvimento das capacidades e competências necessárias aos educandos para o exercício profissional e inserção no mercado de</w:t>
      </w:r>
      <w:r>
        <w:rPr>
          <w:rFonts w:ascii="Arial" w:eastAsia="Arial" w:hAnsi="Arial" w:cs="Arial"/>
          <w:sz w:val="24"/>
          <w:szCs w:val="24"/>
        </w:rPr>
        <w:t xml:space="preserve"> trabalho de forma crítica e transformadora. </w:t>
      </w:r>
    </w:p>
    <w:p w14:paraId="3CA94A2B" w14:textId="585A90EC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Através da criação do Núcleo de Inovação e Tecnologia da IES</w:t>
      </w:r>
      <w:r>
        <w:rPr>
          <w:rFonts w:ascii="Arial" w:eastAsia="Arial" w:hAnsi="Arial" w:cs="Arial"/>
          <w:sz w:val="24"/>
          <w:szCs w:val="24"/>
        </w:rPr>
        <w:t xml:space="preserve">, a instituição renova seus votos de comprometimento e busca por aperfeiçoamentos que promovam a inclusão digital, educação tecnológica, disseminação </w:t>
      </w:r>
      <w:r>
        <w:rPr>
          <w:rFonts w:ascii="Arial" w:eastAsia="Arial" w:hAnsi="Arial" w:cs="Arial"/>
          <w:sz w:val="24"/>
          <w:szCs w:val="24"/>
        </w:rPr>
        <w:t>da inovação e empreendedorismo por meio da tecnologia da potencializando a mão de obra da comunidade acadêmica.</w:t>
      </w:r>
    </w:p>
    <w:p w14:paraId="3CA94A2C" w14:textId="77777777" w:rsidR="005A0F33" w:rsidRDefault="005A0F33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3CA94A2D" w14:textId="77777777" w:rsidR="005A0F33" w:rsidRDefault="005A0F33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3CA94A2E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 – OBJETIVO</w:t>
      </w:r>
    </w:p>
    <w:p w14:paraId="3CA94A2F" w14:textId="08C4247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Núcleo de Inovação e Tecnologia da IES</w:t>
      </w:r>
      <w:r>
        <w:rPr>
          <w:rFonts w:ascii="Arial" w:eastAsia="Arial" w:hAnsi="Arial" w:cs="Arial"/>
          <w:sz w:val="24"/>
          <w:szCs w:val="24"/>
        </w:rPr>
        <w:t xml:space="preserve"> tem por objetivo promover a criação e o gerenciamento da política de incentivo à inovaçã</w:t>
      </w:r>
      <w:r>
        <w:rPr>
          <w:rFonts w:ascii="Arial" w:eastAsia="Arial" w:hAnsi="Arial" w:cs="Arial"/>
          <w:sz w:val="24"/>
          <w:szCs w:val="24"/>
        </w:rPr>
        <w:t>o e à pesquisa científica e tecnológica, usando ferramentas como a educação digital, inclusão tecnológica por meio da tecnologia da informação à comunidade acadêmica bem como a viabilização de estratégias e ações relacionadas à propriedade intelectual e em</w:t>
      </w:r>
      <w:r>
        <w:rPr>
          <w:rFonts w:ascii="Arial" w:eastAsia="Arial" w:hAnsi="Arial" w:cs="Arial"/>
          <w:sz w:val="24"/>
          <w:szCs w:val="24"/>
        </w:rPr>
        <w:t xml:space="preserve">preendedorismo nos âmbitos interno e externo da instituição. </w:t>
      </w:r>
    </w:p>
    <w:p w14:paraId="3CA94A30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NIT oferecerá espaços diversificados visando à integração de alunos e docentes em geral por meio de projetos e ações desenvolvidas pela própria instituição.   </w:t>
      </w:r>
    </w:p>
    <w:p w14:paraId="3CA94A31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NIT apresentará seu planejamen</w:t>
      </w:r>
      <w:r>
        <w:rPr>
          <w:rFonts w:ascii="Arial" w:eastAsia="Arial" w:hAnsi="Arial" w:cs="Arial"/>
          <w:sz w:val="24"/>
          <w:szCs w:val="24"/>
        </w:rPr>
        <w:t>to estratégico para o período de 2022 – 2025. A partir do uso de ferramentas de gestão, esse projeto lança suas diretrizes estratégicas a fim de nortear suas atividades para o período de 2023. Para tanto, sua missão e visão foram elaboradas, alicerçadas em</w:t>
      </w:r>
      <w:r>
        <w:rPr>
          <w:rFonts w:ascii="Arial" w:eastAsia="Arial" w:hAnsi="Arial" w:cs="Arial"/>
          <w:sz w:val="24"/>
          <w:szCs w:val="24"/>
        </w:rPr>
        <w:t xml:space="preserve"> valores indispensáveis para o sucesso de qualquer instituição. </w:t>
      </w:r>
    </w:p>
    <w:p w14:paraId="3CA94A32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33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 – PÚBLICO-ALVO</w:t>
      </w:r>
    </w:p>
    <w:p w14:paraId="3CA94A34" w14:textId="7DFADD29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vez implantadas políticas de inovação no ensino superior, a IES</w:t>
      </w:r>
      <w:r>
        <w:rPr>
          <w:rFonts w:ascii="Arial" w:eastAsia="Arial" w:hAnsi="Arial" w:cs="Arial"/>
          <w:sz w:val="24"/>
          <w:szCs w:val="24"/>
        </w:rPr>
        <w:t xml:space="preserve"> visa que tais práticas sejam não só estendidas, mas efetivamente empregadas por toda a comunidade acadêmi</w:t>
      </w:r>
      <w:r>
        <w:rPr>
          <w:rFonts w:ascii="Arial" w:eastAsia="Arial" w:hAnsi="Arial" w:cs="Arial"/>
          <w:sz w:val="24"/>
          <w:szCs w:val="24"/>
        </w:rPr>
        <w:t>ca. Desta forma, buscará sempre novos agentes para que a inovação possa ser uma prática frequente e dinâmica. Assim, tem como público-alvo:</w:t>
      </w:r>
    </w:p>
    <w:p w14:paraId="3CA94A35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Docentes;</w:t>
      </w:r>
    </w:p>
    <w:p w14:paraId="3CA94A36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Discentes;</w:t>
      </w:r>
    </w:p>
    <w:p w14:paraId="3CA94A37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Corpo Técnico-Administrativo;</w:t>
      </w:r>
    </w:p>
    <w:p w14:paraId="3CA94A38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Comunidade em geral.</w:t>
      </w:r>
    </w:p>
    <w:p w14:paraId="3CA94A39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3A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 – METAS</w:t>
      </w:r>
    </w:p>
    <w:p w14:paraId="3CA94A3B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>Para o período inicial de vigência do Projeto de Desenvolvimento no NIT, as metas serão:</w:t>
      </w:r>
    </w:p>
    <w:p w14:paraId="3CA94A3C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Criação de um ambiente físico de apoio, reuniões e aperfeiçoamentos até o fim de 2022, dentro da própria instituição de ensino com atendimento a todo corpo docente e l</w:t>
      </w:r>
      <w:r>
        <w:rPr>
          <w:rFonts w:ascii="Arial" w:eastAsia="Arial" w:hAnsi="Arial" w:cs="Arial"/>
          <w:color w:val="000000"/>
          <w:sz w:val="24"/>
          <w:szCs w:val="24"/>
        </w:rPr>
        <w:t>ivre acesso dos alunos interessados;</w:t>
      </w:r>
    </w:p>
    <w:p w14:paraId="3CA94A3D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da escolha dos docentes formadores do núcleo, estabelecer a criação de um regimento interno com distribuição das atribuições até 2023/1;</w:t>
      </w:r>
    </w:p>
    <w:p w14:paraId="3CA94A3E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processo de atribuição dos cargos através de portarias afim de m</w:t>
      </w:r>
      <w:r>
        <w:rPr>
          <w:rFonts w:ascii="Arial" w:eastAsia="Arial" w:hAnsi="Arial" w:cs="Arial"/>
          <w:color w:val="000000"/>
          <w:sz w:val="24"/>
          <w:szCs w:val="24"/>
        </w:rPr>
        <w:t>elhor distribuir as atividades internas;</w:t>
      </w:r>
    </w:p>
    <w:p w14:paraId="3CA94A3F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Adequar os instrumentos legais do projeto, bem como homologar os cargos de acordo com o organograma aprovado no regimento;</w:t>
      </w:r>
    </w:p>
    <w:p w14:paraId="3CA94A40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Elaborar e distribuir material de divulgação e orientação sobre as ações do núcleo aos docen</w:t>
      </w:r>
      <w:r>
        <w:rPr>
          <w:rFonts w:ascii="Arial" w:eastAsia="Arial" w:hAnsi="Arial" w:cs="Arial"/>
          <w:color w:val="000000"/>
          <w:sz w:val="24"/>
          <w:szCs w:val="24"/>
        </w:rPr>
        <w:t>tes, tutores e corpo administrativo;</w:t>
      </w:r>
    </w:p>
    <w:p w14:paraId="3CA94A41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Elaboração anual de folders, banners e panfletos de apresentação do projeto aos novos colaboradores da instituição, mantendo vínculo ativo com o departamento de recursos humanos para garantir a continuidade do núcleo e </w:t>
      </w:r>
      <w:r>
        <w:rPr>
          <w:rFonts w:ascii="Arial" w:eastAsia="Arial" w:hAnsi="Arial" w:cs="Arial"/>
          <w:color w:val="000000"/>
          <w:sz w:val="24"/>
          <w:szCs w:val="24"/>
        </w:rPr>
        <w:t>suas ações;</w:t>
      </w:r>
    </w:p>
    <w:p w14:paraId="3CA94A42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Participação dos coordenadores, professores, auxiliares de coordenação e demais colaboradores da área acadêmica em treinamentos, cursos ou oficinas que deverão ser ofertadas semestralmente presenciais ou virtuais;</w:t>
      </w:r>
    </w:p>
    <w:p w14:paraId="3CA94A43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Mapear, avaliar e classificar os projetos de pesquisa e extensão de caráter inovador realizados na instituição, bem como manter atualizada a base de dados de no NIT.</w:t>
      </w:r>
    </w:p>
    <w:p w14:paraId="3CA94A44" w14:textId="77777777" w:rsidR="005A0F33" w:rsidRDefault="005A0F33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CA94A45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 – EIXOS TEMÁTICOS</w:t>
      </w:r>
    </w:p>
    <w:p w14:paraId="3CA94A46" w14:textId="792BE5BF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Núcleo de Tecnologia e Inovação da IES</w:t>
      </w:r>
      <w:r>
        <w:rPr>
          <w:rFonts w:ascii="Arial" w:eastAsia="Arial" w:hAnsi="Arial" w:cs="Arial"/>
          <w:sz w:val="24"/>
          <w:szCs w:val="24"/>
        </w:rPr>
        <w:t xml:space="preserve"> visa oferecer através de seu</w:t>
      </w:r>
      <w:r>
        <w:rPr>
          <w:rFonts w:ascii="Arial" w:eastAsia="Arial" w:hAnsi="Arial" w:cs="Arial"/>
          <w:sz w:val="24"/>
          <w:szCs w:val="24"/>
        </w:rPr>
        <w:t xml:space="preserve"> espaço físico a integração de alunos, docentes e comunidade em geral por meio de conhecimento de práticas de inovação previamente analisadas nos seguintes eixos temáticos:</w:t>
      </w:r>
    </w:p>
    <w:p w14:paraId="3CA94A47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CO-WORKING</w:t>
      </w:r>
    </w:p>
    <w:p w14:paraId="3CA94A48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Co-working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conhecido como um espaço moderno, dinâmico que permite aos seus usuários a troca de conhecimento, mentorias em diferentes áreas de conhecimento que são oportunizadas nesse espaço de recursos compartilhados.</w:t>
      </w:r>
    </w:p>
    <w:p w14:paraId="3CA94A49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MENTORIAS </w:t>
      </w:r>
    </w:p>
    <w:p w14:paraId="3CA94A4A" w14:textId="63D0AA24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Oportunidade mentores </w:t>
      </w:r>
      <w:r>
        <w:rPr>
          <w:rFonts w:ascii="Arial" w:eastAsia="Arial" w:hAnsi="Arial" w:cs="Arial"/>
          <w:sz w:val="24"/>
          <w:szCs w:val="24"/>
        </w:rPr>
        <w:t>(docentes ou alunos graduados pela instituição) auxiliarem os ingressantes e membros em seus projetos desenvolvidos na IES</w:t>
      </w:r>
      <w:r>
        <w:rPr>
          <w:rFonts w:ascii="Arial" w:eastAsia="Arial" w:hAnsi="Arial" w:cs="Arial"/>
          <w:sz w:val="24"/>
          <w:szCs w:val="24"/>
        </w:rPr>
        <w:t xml:space="preserve"> e comunidade local.</w:t>
      </w:r>
    </w:p>
    <w:p w14:paraId="3CA94A4B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PESQUISA</w:t>
      </w:r>
    </w:p>
    <w:p w14:paraId="3CA94A4C" w14:textId="0ED044EA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NIT da IES</w:t>
      </w:r>
      <w:r>
        <w:rPr>
          <w:rFonts w:ascii="Arial" w:eastAsia="Arial" w:hAnsi="Arial" w:cs="Arial"/>
          <w:sz w:val="24"/>
          <w:szCs w:val="24"/>
        </w:rPr>
        <w:t xml:space="preserve"> objetiva o desenvolvimento e acompanhamento de diversos projetos de pesquisa desenvolvidos </w:t>
      </w:r>
      <w:r>
        <w:rPr>
          <w:rFonts w:ascii="Arial" w:eastAsia="Arial" w:hAnsi="Arial" w:cs="Arial"/>
          <w:sz w:val="24"/>
          <w:szCs w:val="24"/>
        </w:rPr>
        <w:t>pelos alunos nos cursos de graduação e pós-graduação.</w:t>
      </w:r>
    </w:p>
    <w:p w14:paraId="3CA94A4D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MEETUPS e WORKSHOPS</w:t>
      </w:r>
    </w:p>
    <w:p w14:paraId="3CA94A4E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Oportunizar um espaço para encontros que facilitem as conexões entre empreendimentos e empreendedores.</w:t>
      </w:r>
    </w:p>
    <w:p w14:paraId="3CA94A4F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EXPOSIÇÕES</w:t>
      </w:r>
    </w:p>
    <w:p w14:paraId="3CA94A50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 espaço permanente para exposições para a apresentação de novos projetos e startups.</w:t>
      </w:r>
    </w:p>
    <w:p w14:paraId="3CA94A51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ACELERADORA</w:t>
      </w:r>
    </w:p>
    <w:p w14:paraId="3CA94A52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Propiciar aos projetos apresentados relacionamento com investidores e empresas para desenvolvimento rápido de </w:t>
      </w:r>
      <w:r>
        <w:rPr>
          <w:rFonts w:ascii="Arial" w:eastAsia="Arial" w:hAnsi="Arial" w:cs="Arial"/>
          <w:i/>
          <w:sz w:val="24"/>
          <w:szCs w:val="24"/>
        </w:rPr>
        <w:t>startups</w:t>
      </w:r>
      <w:r>
        <w:rPr>
          <w:rFonts w:ascii="Arial" w:eastAsia="Arial" w:hAnsi="Arial" w:cs="Arial"/>
          <w:sz w:val="24"/>
          <w:szCs w:val="24"/>
        </w:rPr>
        <w:t>.</w:t>
      </w:r>
    </w:p>
    <w:p w14:paraId="3CA94A53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OPEN TALKS</w:t>
      </w:r>
    </w:p>
    <w:p w14:paraId="3CA94A54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Bate-papos abertos com me</w:t>
      </w:r>
      <w:r>
        <w:rPr>
          <w:rFonts w:ascii="Arial" w:eastAsia="Arial" w:hAnsi="Arial" w:cs="Arial"/>
          <w:sz w:val="24"/>
          <w:szCs w:val="24"/>
        </w:rPr>
        <w:t xml:space="preserve">mbros de </w:t>
      </w:r>
      <w:r>
        <w:rPr>
          <w:rFonts w:ascii="Arial" w:eastAsia="Arial" w:hAnsi="Arial" w:cs="Arial"/>
          <w:i/>
          <w:sz w:val="24"/>
          <w:szCs w:val="24"/>
        </w:rPr>
        <w:t>startups</w:t>
      </w:r>
      <w:r>
        <w:rPr>
          <w:rFonts w:ascii="Arial" w:eastAsia="Arial" w:hAnsi="Arial" w:cs="Arial"/>
          <w:sz w:val="24"/>
          <w:szCs w:val="24"/>
        </w:rPr>
        <w:t xml:space="preserve"> a respeito de ideias e futuros projetos.</w:t>
      </w:r>
    </w:p>
    <w:p w14:paraId="3CA94A55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LABORATÓRIOS</w:t>
      </w:r>
    </w:p>
    <w:p w14:paraId="3CA94A56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Laboratórios onde as startups podem discutir e testar os seus projetos.</w:t>
      </w:r>
    </w:p>
    <w:p w14:paraId="3CA94A57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58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 – ORÇAMENTO </w:t>
      </w:r>
    </w:p>
    <w:p w14:paraId="3CA94A59" w14:textId="4660601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regulamentação do NIT promovendo a viabilização de estratégias e ações relacionadas à busc</w:t>
      </w:r>
      <w:r>
        <w:rPr>
          <w:rFonts w:ascii="Arial" w:eastAsia="Arial" w:hAnsi="Arial" w:cs="Arial"/>
          <w:sz w:val="24"/>
          <w:szCs w:val="24"/>
        </w:rPr>
        <w:t>a por crescimento e desenvolvimento nos âmbitos interno e externo da IES</w:t>
      </w:r>
      <w:r>
        <w:rPr>
          <w:rFonts w:ascii="Arial" w:eastAsia="Arial" w:hAnsi="Arial" w:cs="Arial"/>
          <w:sz w:val="24"/>
          <w:szCs w:val="24"/>
        </w:rPr>
        <w:t>, uma vez que a previsão de funcionamento/instalação é para o período de 20XX</w:t>
      </w:r>
      <w:r>
        <w:rPr>
          <w:rFonts w:ascii="Arial" w:eastAsia="Arial" w:hAnsi="Arial" w:cs="Arial"/>
          <w:sz w:val="24"/>
          <w:szCs w:val="24"/>
        </w:rPr>
        <w:t>/X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, não consta no PDI previsão de orçamento específico para este Núcleo, mas dada a dinâmica do planejament</w:t>
      </w:r>
      <w:r>
        <w:rPr>
          <w:rFonts w:ascii="Arial" w:eastAsia="Arial" w:hAnsi="Arial" w:cs="Arial"/>
          <w:sz w:val="24"/>
          <w:szCs w:val="24"/>
        </w:rPr>
        <w:t>o, as reuniões ordinárias do Conselho Superior futuras tratarão, especificamente, deste, quando de sua realização, e tal previsão constará em ambos os documentos, especificando as áreas de atuação e investimentos para os próximos anos. Além dos investiment</w:t>
      </w:r>
      <w:r>
        <w:rPr>
          <w:rFonts w:ascii="Arial" w:eastAsia="Arial" w:hAnsi="Arial" w:cs="Arial"/>
          <w:sz w:val="24"/>
          <w:szCs w:val="24"/>
        </w:rPr>
        <w:t>os próprios, da programação para os eixos temáticos, os autores e futuros atores do NIT buscarão parcerias com empresas que desejem, assim como a IES</w:t>
      </w:r>
      <w:r>
        <w:rPr>
          <w:rFonts w:ascii="Arial" w:eastAsia="Arial" w:hAnsi="Arial" w:cs="Arial"/>
          <w:sz w:val="24"/>
          <w:szCs w:val="24"/>
        </w:rPr>
        <w:t>, investir numa política sólida para a inovação e tecnologia, através de convênios, que possam permitir a a</w:t>
      </w:r>
      <w:r>
        <w:rPr>
          <w:rFonts w:ascii="Arial" w:eastAsia="Arial" w:hAnsi="Arial" w:cs="Arial"/>
          <w:sz w:val="24"/>
          <w:szCs w:val="24"/>
        </w:rPr>
        <w:t>mbas as partes, além de seu público-alvo, a promoção eficaz de tais práticas.</w:t>
      </w:r>
    </w:p>
    <w:p w14:paraId="3CA94A5A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5B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 – CONSIDERAÇÕES FINAIS</w:t>
      </w:r>
    </w:p>
    <w:p w14:paraId="3CA94A5C" w14:textId="5FA145CC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>Este projeto entrará em vigor na data de sua aprovação pela Diretoria Geral da IES</w:t>
      </w:r>
      <w:r>
        <w:rPr>
          <w:rFonts w:ascii="Arial" w:eastAsia="Arial" w:hAnsi="Arial" w:cs="Arial"/>
          <w:sz w:val="24"/>
          <w:szCs w:val="24"/>
        </w:rPr>
        <w:t xml:space="preserve">, revogando-se as disposições em contrário. A partir da aprovação, os </w:t>
      </w:r>
      <w:r>
        <w:rPr>
          <w:rFonts w:ascii="Arial" w:eastAsia="Arial" w:hAnsi="Arial" w:cs="Arial"/>
          <w:sz w:val="24"/>
          <w:szCs w:val="24"/>
        </w:rPr>
        <w:t>membros indicados para a coordenação geral responsável pelo planejamento estratégico do núcleo de inovação tecnológica deverão apresentar o plano de ação, regimento interno, diretrizes, editais e metas estimadas para o biênio.</w:t>
      </w:r>
    </w:p>
    <w:p w14:paraId="3CA94A5D" w14:textId="77777777" w:rsidR="005A0F33" w:rsidRDefault="005A0F33">
      <w:pPr>
        <w:spacing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5A0F33">
      <w:headerReference w:type="default" r:id="rId10"/>
      <w:footerReference w:type="default" r:id="rId11"/>
      <w:pgSz w:w="11906" w:h="16838"/>
      <w:pgMar w:top="1417" w:right="1701" w:bottom="1417" w:left="1701" w:header="28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94A68" w14:textId="77777777" w:rsidR="00000000" w:rsidRDefault="009F4969">
      <w:r>
        <w:separator/>
      </w:r>
    </w:p>
  </w:endnote>
  <w:endnote w:type="continuationSeparator" w:id="0">
    <w:p w14:paraId="3CA94A6A" w14:textId="77777777" w:rsidR="00000000" w:rsidRDefault="009F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5F" w14:textId="77777777" w:rsidR="005A0F33" w:rsidRDefault="005A0F33">
    <w:pPr>
      <w:pBdr>
        <w:top w:val="nil"/>
        <w:left w:val="nil"/>
        <w:bottom w:val="nil"/>
        <w:right w:val="nil"/>
        <w:between w:val="nil"/>
      </w:pBdr>
      <w:spacing w:before="240" w:after="120" w:line="36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3CA94A60" w14:textId="77777777" w:rsidR="005A0F33" w:rsidRDefault="005A0F33">
    <w:pPr>
      <w:pBdr>
        <w:top w:val="nil"/>
        <w:left w:val="nil"/>
        <w:bottom w:val="nil"/>
        <w:right w:val="nil"/>
        <w:between w:val="nil"/>
      </w:pBdr>
      <w:spacing w:before="240" w:after="120" w:line="360" w:lineRule="auto"/>
      <w:jc w:val="both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62" w14:textId="77777777" w:rsidR="005A0F33" w:rsidRDefault="009F49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A94A66" wp14:editId="3CA94A67">
              <wp:simplePos x="0" y="0"/>
              <wp:positionH relativeFrom="column">
                <wp:posOffset>127000</wp:posOffset>
              </wp:positionH>
              <wp:positionV relativeFrom="paragraph">
                <wp:posOffset>8864600</wp:posOffset>
              </wp:positionV>
              <wp:extent cx="919480" cy="380557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599247"/>
                        <a:ext cx="900430" cy="3615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94A68" w14:textId="77777777" w:rsidR="005A0F33" w:rsidRDefault="009F4969">
                          <w:pPr>
                            <w:textDirection w:val="btLr"/>
                          </w:pPr>
                          <w:r>
                            <w:rPr>
                              <w:rFonts w:ascii="Avenir" w:eastAsia="Avenir" w:hAnsi="Avenir" w:cs="Avenir"/>
                              <w:color w:val="244061"/>
                              <w:sz w:val="20"/>
                            </w:rPr>
                            <w:t>PAGE   \* MERGEFORMAT143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A94A66" id="_x0000_s1026" style="position:absolute;left:0;text-align:left;margin-left:10pt;margin-top:698pt;width:72.4pt;height: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" filled="f" stroked="f">
              <v:textbox inset="2.53958mm,1.2694mm,2.53958mm,1.2694mm">
                <w:txbxContent>
                  <w:p w14:paraId="3CA94A68" w14:textId="77777777" w:rsidR="005A0F33" w:rsidRDefault="009F4969">
                    <w:pPr>
                      <w:textDirection w:val="btLr"/>
                    </w:pPr>
                    <w:r>
                      <w:rPr>
                        <w:rFonts w:ascii="Avenir" w:eastAsia="Avenir" w:hAnsi="Avenir" w:cs="Avenir"/>
                        <w:color w:val="244061"/>
                        <w:sz w:val="20"/>
                      </w:rPr>
                      <w:t>PAGE   \* MERGEFORMAT143</w:t>
                    </w:r>
                  </w:p>
                </w:txbxContent>
              </v:textbox>
            </v:rect>
          </w:pict>
        </mc:Fallback>
      </mc:AlternateContent>
    </w:r>
  </w:p>
  <w:p w14:paraId="3CA94A63" w14:textId="77777777" w:rsidR="005A0F33" w:rsidRDefault="005A0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4A64" w14:textId="77777777" w:rsidR="00000000" w:rsidRDefault="009F4969">
      <w:r>
        <w:separator/>
      </w:r>
    </w:p>
  </w:footnote>
  <w:footnote w:type="continuationSeparator" w:id="0">
    <w:p w14:paraId="3CA94A66" w14:textId="77777777" w:rsidR="00000000" w:rsidRDefault="009F4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5E" w14:textId="047323B0" w:rsidR="005A0F33" w:rsidRDefault="005A0F33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61" w14:textId="77777777" w:rsidR="005A0F33" w:rsidRDefault="005A0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0C70"/>
    <w:multiLevelType w:val="multilevel"/>
    <w:tmpl w:val="9496A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15360D"/>
    <w:multiLevelType w:val="multilevel"/>
    <w:tmpl w:val="B1EAD72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33"/>
    <w:rsid w:val="005A0F33"/>
    <w:rsid w:val="009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4A11"/>
  <w15:docId w15:val="{7534DDAA-E068-4519-87A7-1950FA93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16" w:lineRule="auto"/>
    </w:pPr>
    <w:rPr>
      <w:rFonts w:ascii="Cambria" w:eastAsia="Cambria" w:hAnsi="Cambria" w:cs="Cambria"/>
      <w:color w:val="40404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160" w:line="259" w:lineRule="auto"/>
    </w:pPr>
    <w:rPr>
      <w:color w:val="5A5A5A"/>
    </w:rPr>
  </w:style>
  <w:style w:type="paragraph" w:styleId="Cabealho">
    <w:name w:val="header"/>
    <w:basedOn w:val="Normal"/>
    <w:link w:val="CabealhoChar"/>
    <w:uiPriority w:val="99"/>
    <w:unhideWhenUsed/>
    <w:rsid w:val="009F4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4969"/>
  </w:style>
  <w:style w:type="paragraph" w:styleId="Rodap">
    <w:name w:val="footer"/>
    <w:basedOn w:val="Normal"/>
    <w:link w:val="RodapChar"/>
    <w:uiPriority w:val="99"/>
    <w:unhideWhenUsed/>
    <w:rsid w:val="009F49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AlS5nIiNfjKYl66FB38AJzWdg==">AMUW2mUc4LBEqIpNe1r+Btufcrd6/k+sTZRq4wXVBoE2pbldu8L86BdOoIda2IwId3XcjMA7HM0nx7KxphZunDwO5yaJ+24acjjnN94VU7+Pkvh5ynuJh6ksCw3PvS6G+hhsjzZ9vExA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Santiago</cp:lastModifiedBy>
  <cp:revision>2</cp:revision>
  <dcterms:created xsi:type="dcterms:W3CDTF">2022-05-05T17:24:00Z</dcterms:created>
  <dcterms:modified xsi:type="dcterms:W3CDTF">2022-05-05T17:25:00Z</dcterms:modified>
</cp:coreProperties>
</file>