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todas las simulaciones se utilizaron dos grafos de prueba, uno en formación triangular y otro en formación hexagonal, las figuras se encuentran en esta carpeta. En este documento se indica a qué figura corresponde en la tesis.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Grafo de prueba 1: Formación triangular (Figura 6)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Grafo de prueba 2: Formación hexagonal (Figura 7)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