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2C22" w14:textId="390EEF6B" w:rsidR="00E06A14" w:rsidRPr="006A670A" w:rsidRDefault="00E06A14">
      <w:pPr>
        <w:rPr>
          <w:rFonts w:ascii="Times New Roman" w:hAnsi="Times New Roman" w:cs="Times New Roman"/>
          <w:b/>
          <w:bCs/>
          <w:u w:val="single"/>
          <w:lang w:val="en-GB"/>
        </w:rPr>
      </w:pPr>
      <w:proofErr w:type="spellStart"/>
      <w:r w:rsidRPr="006A670A">
        <w:rPr>
          <w:rFonts w:ascii="Times New Roman" w:hAnsi="Times New Roman" w:cs="Times New Roman"/>
          <w:b/>
          <w:bCs/>
          <w:u w:val="single"/>
          <w:lang w:val="en-GB"/>
        </w:rPr>
        <w:t>Borrador</w:t>
      </w:r>
      <w:proofErr w:type="spellEnd"/>
      <w:r w:rsidRPr="006A670A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</w:p>
    <w:p w14:paraId="65F5B3B1" w14:textId="46E63C96" w:rsidR="00E06A14" w:rsidRPr="00B65755" w:rsidRDefault="00E06A14">
      <w:pPr>
        <w:rPr>
          <w:rFonts w:ascii="Times New Roman" w:hAnsi="Times New Roman" w:cs="Times New Roman"/>
          <w:lang w:val="en-GB"/>
        </w:rPr>
      </w:pPr>
      <w:r w:rsidRPr="00B65755">
        <w:rPr>
          <w:rFonts w:ascii="Times New Roman" w:hAnsi="Times New Roman" w:cs="Times New Roman"/>
          <w:lang w:val="en-GB"/>
        </w:rPr>
        <w:t>Analysis Lossless Compression of Classification Map Images</w:t>
      </w:r>
    </w:p>
    <w:p w14:paraId="484A22F4" w14:textId="24F018D8" w:rsidR="00E06A14" w:rsidRPr="00B65755" w:rsidRDefault="00962971">
      <w:pPr>
        <w:rPr>
          <w:rFonts w:ascii="Times New Roman" w:hAnsi="Times New Roman" w:cs="Times New Roman"/>
        </w:rPr>
      </w:pPr>
      <w:r w:rsidRPr="00B65755">
        <w:rPr>
          <w:rFonts w:ascii="Times New Roman" w:hAnsi="Times New Roman" w:cs="Times New Roman"/>
        </w:rPr>
        <w:t>El siguiente análisis se</w:t>
      </w:r>
      <w:r w:rsidR="006D518D">
        <w:rPr>
          <w:rFonts w:ascii="Times New Roman" w:hAnsi="Times New Roman" w:cs="Times New Roman"/>
        </w:rPr>
        <w:t xml:space="preserve"> en</w:t>
      </w:r>
      <w:r w:rsidRPr="00B65755">
        <w:rPr>
          <w:rFonts w:ascii="Times New Roman" w:hAnsi="Times New Roman" w:cs="Times New Roman"/>
        </w:rPr>
        <w:t xml:space="preserve"> los resultados obtenidos al a</w:t>
      </w:r>
      <w:r w:rsidR="00233130" w:rsidRPr="00B65755">
        <w:rPr>
          <w:rFonts w:ascii="Times New Roman" w:hAnsi="Times New Roman" w:cs="Times New Roman"/>
        </w:rPr>
        <w:t>pl</w:t>
      </w:r>
      <w:r w:rsidRPr="00B65755">
        <w:rPr>
          <w:rFonts w:ascii="Times New Roman" w:hAnsi="Times New Roman" w:cs="Times New Roman"/>
        </w:rPr>
        <w:t>icar el siguiente pipeline de compresión</w:t>
      </w:r>
      <w:r w:rsidR="006D518D">
        <w:rPr>
          <w:rFonts w:ascii="Times New Roman" w:hAnsi="Times New Roman" w:cs="Times New Roman"/>
        </w:rPr>
        <w:t xml:space="preserve"> a 5 mapas de clasificación</w:t>
      </w:r>
      <w:r w:rsidRPr="00B65755">
        <w:rPr>
          <w:rFonts w:ascii="Times New Roman" w:hAnsi="Times New Roman" w:cs="Times New Roman"/>
        </w:rPr>
        <w:t>:</w:t>
      </w:r>
    </w:p>
    <w:p w14:paraId="4665B1D5" w14:textId="0206F345" w:rsidR="00E06A14" w:rsidRPr="00B65755" w:rsidRDefault="00962971">
      <w:pPr>
        <w:rPr>
          <w:rFonts w:ascii="Times New Roman" w:hAnsi="Times New Roman" w:cs="Times New Roman"/>
        </w:rPr>
      </w:pPr>
      <w:r w:rsidRPr="00B65755">
        <w:rPr>
          <w:rFonts w:ascii="Times New Roman" w:hAnsi="Times New Roman" w:cs="Times New Roman"/>
          <w:noProof/>
        </w:rPr>
        <w:drawing>
          <wp:inline distT="0" distB="0" distL="0" distR="0" wp14:anchorId="5FAF4062" wp14:editId="1B10DB71">
            <wp:extent cx="5400040" cy="1054100"/>
            <wp:effectExtent l="0" t="0" r="0" b="0"/>
            <wp:docPr id="1734438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E20D" w14:textId="77777777" w:rsidR="008F4761" w:rsidRPr="003F294A" w:rsidRDefault="002C1452">
      <w:pPr>
        <w:rPr>
          <w:rFonts w:ascii="Times New Roman" w:hAnsi="Times New Roman" w:cs="Times New Roman"/>
          <w:b/>
          <w:bCs/>
        </w:rPr>
      </w:pPr>
      <w:r w:rsidRPr="003F294A">
        <w:rPr>
          <w:rFonts w:ascii="Times New Roman" w:hAnsi="Times New Roman" w:cs="Times New Roman"/>
          <w:b/>
          <w:bCs/>
        </w:rPr>
        <w:t>Tabla 1. C</w:t>
      </w:r>
      <w:r w:rsidR="00962971" w:rsidRPr="003F294A">
        <w:rPr>
          <w:rFonts w:ascii="Times New Roman" w:hAnsi="Times New Roman" w:cs="Times New Roman"/>
          <w:b/>
          <w:bCs/>
        </w:rPr>
        <w:t>omparación de b</w:t>
      </w:r>
      <w:r w:rsidRPr="003F294A">
        <w:rPr>
          <w:rFonts w:ascii="Times New Roman" w:hAnsi="Times New Roman" w:cs="Times New Roman"/>
          <w:b/>
          <w:bCs/>
        </w:rPr>
        <w:t xml:space="preserve">it-rate del </w:t>
      </w:r>
      <w:proofErr w:type="spellStart"/>
      <w:r w:rsidRPr="003F294A">
        <w:rPr>
          <w:rFonts w:ascii="Times New Roman" w:hAnsi="Times New Roman" w:cs="Times New Roman"/>
          <w:b/>
          <w:bCs/>
        </w:rPr>
        <w:t>paper</w:t>
      </w:r>
      <w:proofErr w:type="spellEnd"/>
      <w:r w:rsidRPr="003F294A">
        <w:rPr>
          <w:rFonts w:ascii="Times New Roman" w:hAnsi="Times New Roman" w:cs="Times New Roman"/>
          <w:b/>
          <w:bCs/>
        </w:rPr>
        <w:t xml:space="preserve"> vs el obtenido con el nuevo pipeline</w:t>
      </w:r>
      <w:r w:rsidR="008F4761" w:rsidRPr="003F294A"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6180" w:type="dxa"/>
        <w:tblInd w:w="11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677"/>
        <w:gridCol w:w="1545"/>
        <w:gridCol w:w="1545"/>
      </w:tblGrid>
      <w:tr w:rsidR="008F4761" w:rsidRPr="00B65755" w14:paraId="17F72276" w14:textId="77777777" w:rsidTr="008F4761">
        <w:trPr>
          <w:trHeight w:val="27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0069" w14:textId="77777777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B6575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n_clases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A75E" w14:textId="77777777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B6575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bbp_paper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984B" w14:textId="77777777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B6575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bpp_total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323D" w14:textId="77777777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B6575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diff</w:t>
            </w:r>
            <w:proofErr w:type="spellEnd"/>
            <w:r w:rsidRPr="00B6575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%</w:t>
            </w:r>
          </w:p>
        </w:tc>
      </w:tr>
      <w:tr w:rsidR="008F4761" w:rsidRPr="00B65755" w14:paraId="206BBFFE" w14:textId="77777777" w:rsidTr="008F4761">
        <w:trPr>
          <w:trHeight w:val="29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BA3E" w14:textId="77777777" w:rsidR="008F4761" w:rsidRPr="00B65755" w:rsidRDefault="008F4761" w:rsidP="006A6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2D144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0.1764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2D12E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0.1831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FA362" w14:textId="053777DC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3.81</w:t>
            </w:r>
          </w:p>
        </w:tc>
      </w:tr>
      <w:tr w:rsidR="008F4761" w:rsidRPr="00B65755" w14:paraId="4DD88841" w14:textId="77777777" w:rsidTr="008F4761">
        <w:trPr>
          <w:trHeight w:val="277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1417F" w14:textId="77777777" w:rsidR="008F4761" w:rsidRPr="00B65755" w:rsidRDefault="008F4761" w:rsidP="006A6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A9742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0.2793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6496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0.2845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4D5BD" w14:textId="186DF25B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1.87</w:t>
            </w:r>
          </w:p>
        </w:tc>
      </w:tr>
      <w:tr w:rsidR="008F4761" w:rsidRPr="00B65755" w14:paraId="57CAA90D" w14:textId="77777777" w:rsidTr="008F4761">
        <w:trPr>
          <w:trHeight w:val="277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0023A" w14:textId="77777777" w:rsidR="008F4761" w:rsidRPr="00B65755" w:rsidRDefault="008F4761" w:rsidP="006A6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3207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0.4869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610E8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0.4932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3705E" w14:textId="46C69EAC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1.29</w:t>
            </w:r>
          </w:p>
        </w:tc>
      </w:tr>
      <w:tr w:rsidR="008F4761" w:rsidRPr="00B65755" w14:paraId="24BB7DE9" w14:textId="77777777" w:rsidTr="008F4761">
        <w:trPr>
          <w:trHeight w:val="277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44EF0" w14:textId="77777777" w:rsidR="008F4761" w:rsidRPr="00B65755" w:rsidRDefault="008F4761" w:rsidP="006A6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004A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0.9146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EC14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0.9225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82E6" w14:textId="490C6040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0.86</w:t>
            </w:r>
          </w:p>
        </w:tc>
      </w:tr>
      <w:tr w:rsidR="008F4761" w:rsidRPr="00B65755" w14:paraId="1519225A" w14:textId="77777777" w:rsidTr="008F4761">
        <w:trPr>
          <w:trHeight w:val="277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A0AA4" w14:textId="77777777" w:rsidR="008F4761" w:rsidRPr="00B65755" w:rsidRDefault="008F4761" w:rsidP="006A6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1BDC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2.4147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47813" w14:textId="77777777" w:rsidR="008F4761" w:rsidRPr="00B65755" w:rsidRDefault="008F4761" w:rsidP="008F47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2.4276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F50BD" w14:textId="62756978" w:rsidR="008F4761" w:rsidRPr="00B65755" w:rsidRDefault="008F4761" w:rsidP="008F4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57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0.54</w:t>
            </w:r>
          </w:p>
        </w:tc>
      </w:tr>
    </w:tbl>
    <w:p w14:paraId="69AE35A5" w14:textId="77777777" w:rsidR="004B7FD9" w:rsidRDefault="004B7FD9">
      <w:pPr>
        <w:rPr>
          <w:rFonts w:ascii="Times New Roman" w:hAnsi="Times New Roman" w:cs="Times New Roman"/>
        </w:rPr>
      </w:pPr>
    </w:p>
    <w:p w14:paraId="4AE1E77B" w14:textId="1D1991B2" w:rsidR="003F294A" w:rsidRDefault="00F65A2E">
      <w:pPr>
        <w:rPr>
          <w:rFonts w:ascii="Times New Roman" w:hAnsi="Times New Roman" w:cs="Times New Roman"/>
        </w:rPr>
      </w:pPr>
      <w:r w:rsidRPr="00F65A2E">
        <w:rPr>
          <w:rFonts w:ascii="Times New Roman" w:hAnsi="Times New Roman" w:cs="Times New Roman"/>
        </w:rPr>
        <w:t>La Tabla 1 presenta una comparación entre los bit-</w:t>
      </w:r>
      <w:proofErr w:type="spellStart"/>
      <w:r w:rsidRPr="00F65A2E">
        <w:rPr>
          <w:rFonts w:ascii="Times New Roman" w:hAnsi="Times New Roman" w:cs="Times New Roman"/>
        </w:rPr>
        <w:t>rates</w:t>
      </w:r>
      <w:proofErr w:type="spellEnd"/>
      <w:r w:rsidRPr="00F65A2E">
        <w:rPr>
          <w:rFonts w:ascii="Times New Roman" w:hAnsi="Times New Roman" w:cs="Times New Roman"/>
        </w:rPr>
        <w:t xml:space="preserve"> reportados en el </w:t>
      </w:r>
      <w:proofErr w:type="spellStart"/>
      <w:proofErr w:type="gramStart"/>
      <w:r w:rsidRPr="00F65A2E">
        <w:rPr>
          <w:rFonts w:ascii="Times New Roman" w:hAnsi="Times New Roman" w:cs="Times New Roman"/>
        </w:rPr>
        <w:t>paper</w:t>
      </w:r>
      <w:proofErr w:type="spellEnd"/>
      <w:proofErr w:type="gramEnd"/>
      <w:r w:rsidRPr="00F65A2E">
        <w:rPr>
          <w:rFonts w:ascii="Times New Roman" w:hAnsi="Times New Roman" w:cs="Times New Roman"/>
        </w:rPr>
        <w:t xml:space="preserve"> original y los obtenidos con el pipeline implementado, para los cinco mapas de clasificación. En todos los casos los valores obtenidos son ligeramente superiores a los del </w:t>
      </w:r>
      <w:proofErr w:type="spellStart"/>
      <w:r w:rsidRPr="00F65A2E">
        <w:rPr>
          <w:rFonts w:ascii="Times New Roman" w:hAnsi="Times New Roman" w:cs="Times New Roman"/>
        </w:rPr>
        <w:t>paper</w:t>
      </w:r>
      <w:proofErr w:type="spellEnd"/>
      <w:r w:rsidRPr="00F65A2E">
        <w:rPr>
          <w:rFonts w:ascii="Times New Roman" w:hAnsi="Times New Roman" w:cs="Times New Roman"/>
        </w:rPr>
        <w:t xml:space="preserve">, con diferencias relativas que van del 0.54% para el mapa de 32 clases hasta el 3.81% para el mapa de 4 clases. </w:t>
      </w:r>
      <w:r w:rsidR="003F294A" w:rsidRPr="003F294A">
        <w:rPr>
          <w:rFonts w:ascii="Times New Roman" w:hAnsi="Times New Roman" w:cs="Times New Roman"/>
        </w:rPr>
        <w:t xml:space="preserve">Las diferencias observadas son consistentemente pequeñas y no atribuibles a un factor único identificable. Dado que el arithmetic </w:t>
      </w:r>
      <w:proofErr w:type="spellStart"/>
      <w:r w:rsidR="003F294A" w:rsidRPr="003F294A">
        <w:rPr>
          <w:rFonts w:ascii="Times New Roman" w:hAnsi="Times New Roman" w:cs="Times New Roman"/>
        </w:rPr>
        <w:t>coder</w:t>
      </w:r>
      <w:proofErr w:type="spellEnd"/>
      <w:r w:rsidR="003F294A" w:rsidRPr="003F294A">
        <w:rPr>
          <w:rFonts w:ascii="Times New Roman" w:hAnsi="Times New Roman" w:cs="Times New Roman"/>
        </w:rPr>
        <w:t xml:space="preserve"> opera con una eficiencia </w:t>
      </w:r>
      <w:r w:rsidR="003F294A">
        <w:rPr>
          <w:rFonts w:ascii="Times New Roman" w:hAnsi="Times New Roman" w:cs="Times New Roman"/>
        </w:rPr>
        <w:t>prácticamente del 100</w:t>
      </w:r>
      <w:r w:rsidR="003F294A" w:rsidRPr="003F294A">
        <w:rPr>
          <w:rFonts w:ascii="Times New Roman" w:hAnsi="Times New Roman" w:cs="Times New Roman"/>
        </w:rPr>
        <w:t xml:space="preserve">%, la diferencia no proviene del tipo de codificador. </w:t>
      </w:r>
      <w:r w:rsidR="003F294A">
        <w:rPr>
          <w:rFonts w:ascii="Times New Roman" w:hAnsi="Times New Roman" w:cs="Times New Roman"/>
        </w:rPr>
        <w:t>Se sugiere</w:t>
      </w:r>
      <w:r w:rsidR="003F294A" w:rsidRPr="003F294A">
        <w:rPr>
          <w:rFonts w:ascii="Times New Roman" w:hAnsi="Times New Roman" w:cs="Times New Roman"/>
        </w:rPr>
        <w:t xml:space="preserve"> que se deba a detalles de implementación que el </w:t>
      </w:r>
      <w:proofErr w:type="spellStart"/>
      <w:proofErr w:type="gramStart"/>
      <w:r w:rsidR="003F294A" w:rsidRPr="003F294A">
        <w:rPr>
          <w:rFonts w:ascii="Times New Roman" w:hAnsi="Times New Roman" w:cs="Times New Roman"/>
        </w:rPr>
        <w:t>paper</w:t>
      </w:r>
      <w:proofErr w:type="spellEnd"/>
      <w:proofErr w:type="gramEnd"/>
      <w:r w:rsidR="003F294A" w:rsidRPr="003F294A">
        <w:rPr>
          <w:rFonts w:ascii="Times New Roman" w:hAnsi="Times New Roman" w:cs="Times New Roman"/>
        </w:rPr>
        <w:t xml:space="preserve"> no especifica explícitamente, como el manejo de píxeles en los bordes de la imagen o la inicialización del modelo de probabilidades</w:t>
      </w:r>
      <w:r w:rsidR="00955DB9">
        <w:rPr>
          <w:rFonts w:ascii="Times New Roman" w:hAnsi="Times New Roman" w:cs="Times New Roman"/>
        </w:rPr>
        <w:t xml:space="preserve"> (pendiente de ver)</w:t>
      </w:r>
    </w:p>
    <w:p w14:paraId="523C1925" w14:textId="1C1774A0" w:rsidR="00F65A2E" w:rsidRPr="003F294A" w:rsidRDefault="00F65A2E">
      <w:pPr>
        <w:rPr>
          <w:rFonts w:ascii="Times New Roman" w:hAnsi="Times New Roman" w:cs="Times New Roman"/>
          <w:b/>
          <w:bCs/>
        </w:rPr>
      </w:pPr>
      <w:r w:rsidRPr="003F294A">
        <w:rPr>
          <w:rFonts w:ascii="Times New Roman" w:hAnsi="Times New Roman" w:cs="Times New Roman"/>
          <w:b/>
          <w:bCs/>
        </w:rPr>
        <w:t xml:space="preserve">Fig 1. Ganancia del modelado de contexto sobre los bits de decisión </w:t>
      </w:r>
    </w:p>
    <w:p w14:paraId="5C78013F" w14:textId="003D89D6" w:rsidR="00F65A2E" w:rsidRDefault="00F65A2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3A5936" wp14:editId="148F2F31">
            <wp:extent cx="5400040" cy="3322955"/>
            <wp:effectExtent l="0" t="0" r="0" b="0"/>
            <wp:docPr id="84458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11C4" w14:textId="0CDD34DB" w:rsidR="00F65A2E" w:rsidRDefault="00F65A2E">
      <w:pPr>
        <w:rPr>
          <w:rFonts w:ascii="Times New Roman" w:hAnsi="Times New Roman" w:cs="Times New Roman"/>
        </w:rPr>
      </w:pPr>
      <w:r w:rsidRPr="00F65A2E">
        <w:rPr>
          <w:rFonts w:ascii="Times New Roman" w:hAnsi="Times New Roman" w:cs="Times New Roman"/>
        </w:rPr>
        <w:t xml:space="preserve">La Figura </w:t>
      </w:r>
      <w:r>
        <w:rPr>
          <w:rFonts w:ascii="Times New Roman" w:hAnsi="Times New Roman" w:cs="Times New Roman"/>
        </w:rPr>
        <w:t>1</w:t>
      </w:r>
      <w:r w:rsidRPr="00F65A2E">
        <w:rPr>
          <w:rFonts w:ascii="Times New Roman" w:hAnsi="Times New Roman" w:cs="Times New Roman"/>
        </w:rPr>
        <w:t xml:space="preserve"> compara la entropía de los bits de decisión antes y después de aplicar el </w:t>
      </w:r>
      <w:proofErr w:type="spellStart"/>
      <w:r w:rsidRPr="00F65A2E">
        <w:rPr>
          <w:rFonts w:ascii="Times New Roman" w:hAnsi="Times New Roman" w:cs="Times New Roman"/>
        </w:rPr>
        <w:t>model</w:t>
      </w:r>
      <w:proofErr w:type="spellEnd"/>
      <w:r w:rsidRPr="00F65A2E">
        <w:rPr>
          <w:rFonts w:ascii="Times New Roman" w:hAnsi="Times New Roman" w:cs="Times New Roman"/>
        </w:rPr>
        <w:t xml:space="preserve"> de contexto </w:t>
      </w:r>
      <w:proofErr w:type="spellStart"/>
      <w:r w:rsidRPr="00F65A2E">
        <w:rPr>
          <w:rFonts w:ascii="Times New Roman" w:hAnsi="Times New Roman" w:cs="Times New Roman"/>
        </w:rPr>
        <w:t>pattern-based</w:t>
      </w:r>
      <w:proofErr w:type="spellEnd"/>
      <w:r w:rsidRPr="00F65A2E">
        <w:rPr>
          <w:rFonts w:ascii="Times New Roman" w:hAnsi="Times New Roman" w:cs="Times New Roman"/>
        </w:rPr>
        <w:t xml:space="preserve"> para los cinco mapas de clasificación. En todos los casos el </w:t>
      </w:r>
      <w:proofErr w:type="spellStart"/>
      <w:r w:rsidRPr="00F65A2E">
        <w:rPr>
          <w:rFonts w:ascii="Times New Roman" w:hAnsi="Times New Roman" w:cs="Times New Roman"/>
        </w:rPr>
        <w:t>context</w:t>
      </w:r>
      <w:proofErr w:type="spellEnd"/>
      <w:r w:rsidRPr="00F65A2E">
        <w:rPr>
          <w:rFonts w:ascii="Times New Roman" w:hAnsi="Times New Roman" w:cs="Times New Roman"/>
        </w:rPr>
        <w:t xml:space="preserve"> </w:t>
      </w:r>
      <w:proofErr w:type="spellStart"/>
      <w:r w:rsidRPr="00F65A2E">
        <w:rPr>
          <w:rFonts w:ascii="Times New Roman" w:hAnsi="Times New Roman" w:cs="Times New Roman"/>
        </w:rPr>
        <w:t>model</w:t>
      </w:r>
      <w:proofErr w:type="spellEnd"/>
      <w:r w:rsidRPr="00F65A2E">
        <w:rPr>
          <w:rFonts w:ascii="Times New Roman" w:hAnsi="Times New Roman" w:cs="Times New Roman"/>
        </w:rPr>
        <w:t xml:space="preserve"> reduce consistentemente la entropía, confirmando su efectividad para explotar las redundancias espaciales entre píxeles vecinos. </w:t>
      </w:r>
    </w:p>
    <w:p w14:paraId="24D76C20" w14:textId="172314E9" w:rsidR="00314C17" w:rsidRDefault="00314C17" w:rsidP="00314C17">
      <w:pPr>
        <w:rPr>
          <w:rFonts w:ascii="Times New Roman" w:hAnsi="Times New Roman" w:cs="Times New Roman"/>
        </w:rPr>
      </w:pPr>
      <w:r w:rsidRPr="003F294A">
        <w:rPr>
          <w:rFonts w:ascii="Times New Roman" w:hAnsi="Times New Roman" w:cs="Times New Roman"/>
          <w:b/>
          <w:bCs/>
        </w:rPr>
        <w:t xml:space="preserve">Fig </w:t>
      </w:r>
      <w:r w:rsidR="003F294A">
        <w:rPr>
          <w:rFonts w:ascii="Times New Roman" w:hAnsi="Times New Roman" w:cs="Times New Roman"/>
          <w:b/>
          <w:bCs/>
        </w:rPr>
        <w:t>2</w:t>
      </w:r>
      <w:r w:rsidRPr="003F294A">
        <w:rPr>
          <w:rFonts w:ascii="Times New Roman" w:hAnsi="Times New Roman" w:cs="Times New Roman"/>
          <w:b/>
          <w:bCs/>
        </w:rPr>
        <w:t>. Desglose del límite teórico y bit-rate de los bits decisión y valores crudos, para dife</w:t>
      </w:r>
      <w:r w:rsidR="003F294A" w:rsidRPr="003F294A">
        <w:rPr>
          <w:rFonts w:ascii="Times New Roman" w:hAnsi="Times New Roman" w:cs="Times New Roman"/>
          <w:b/>
          <w:bCs/>
        </w:rPr>
        <w:t>rentes clases</w:t>
      </w:r>
      <w:r>
        <w:rPr>
          <w:rFonts w:ascii="Times New Roman" w:hAnsi="Times New Roman" w:cs="Times New Roman"/>
        </w:rPr>
        <w:t>.</w:t>
      </w:r>
    </w:p>
    <w:p w14:paraId="775BC8CF" w14:textId="77777777" w:rsidR="00314C17" w:rsidRDefault="00314C17" w:rsidP="00314C1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B8585B" wp14:editId="1F226816">
            <wp:extent cx="5400040" cy="3322955"/>
            <wp:effectExtent l="0" t="0" r="0" b="0"/>
            <wp:docPr id="1392746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AE74" w14:textId="0C56ABF3" w:rsidR="00314C17" w:rsidRDefault="00314C17" w:rsidP="00314C17">
      <w:pPr>
        <w:rPr>
          <w:rFonts w:ascii="Times New Roman" w:hAnsi="Times New Roman" w:cs="Times New Roman"/>
        </w:rPr>
      </w:pPr>
      <w:r w:rsidRPr="00A3371E">
        <w:rPr>
          <w:rFonts w:ascii="Times New Roman" w:hAnsi="Times New Roman" w:cs="Times New Roman"/>
        </w:rPr>
        <w:t xml:space="preserve">La Figura </w:t>
      </w:r>
      <w:r w:rsidR="003F294A">
        <w:rPr>
          <w:rFonts w:ascii="Times New Roman" w:hAnsi="Times New Roman" w:cs="Times New Roman"/>
        </w:rPr>
        <w:t>2</w:t>
      </w:r>
      <w:r w:rsidRPr="00A3371E">
        <w:rPr>
          <w:rFonts w:ascii="Times New Roman" w:hAnsi="Times New Roman" w:cs="Times New Roman"/>
        </w:rPr>
        <w:t xml:space="preserve"> compara los límites de entropía teóricos y las tasas de bits reales para los bits de decisión y los valores </w:t>
      </w:r>
      <w:r>
        <w:rPr>
          <w:rFonts w:ascii="Times New Roman" w:hAnsi="Times New Roman" w:cs="Times New Roman"/>
        </w:rPr>
        <w:t>crudos</w:t>
      </w:r>
      <w:r w:rsidRPr="00A3371E">
        <w:rPr>
          <w:rFonts w:ascii="Times New Roman" w:hAnsi="Times New Roman" w:cs="Times New Roman"/>
        </w:rPr>
        <w:t xml:space="preserve"> en los cinco mapas de clasificación. Para los bits de </w:t>
      </w:r>
      <w:r w:rsidRPr="00A3371E">
        <w:rPr>
          <w:rFonts w:ascii="Times New Roman" w:hAnsi="Times New Roman" w:cs="Times New Roman"/>
        </w:rPr>
        <w:lastRenderedPageBreak/>
        <w:t xml:space="preserve">decisión, el límite teórico y la tasa de bits real son casi idénticos en todos los mapas, lo que demuestra que el codificador aritmético opera muy cerca del límite de Shannon </w:t>
      </w:r>
      <w:r w:rsidR="003F294A">
        <w:rPr>
          <w:rFonts w:ascii="Times New Roman" w:hAnsi="Times New Roman" w:cs="Times New Roman"/>
        </w:rPr>
        <w:t>con eficiencia promedio del 99%</w:t>
      </w:r>
      <w:r w:rsidRPr="00A3371E">
        <w:rPr>
          <w:rFonts w:ascii="Times New Roman" w:hAnsi="Times New Roman" w:cs="Times New Roman"/>
        </w:rPr>
        <w:t xml:space="preserve">. Sin embargo, para los valores brutos, la tasa de bits real es consistentemente mayor que la entropía teórica, y esta diferencia se amplía con el número de clases. Esta sobrecarga surge porque los valores brutos se transmiten sin codificar utilizando un </w:t>
      </w:r>
      <w:proofErr w:type="spellStart"/>
      <w:r w:rsidRPr="00A3371E">
        <w:rPr>
          <w:rFonts w:ascii="Times New Roman" w:hAnsi="Times New Roman" w:cs="Times New Roman"/>
        </w:rPr>
        <w:t>ceil</w:t>
      </w:r>
      <w:proofErr w:type="spellEnd"/>
      <w:r w:rsidRPr="00A3371E">
        <w:rPr>
          <w:rFonts w:ascii="Times New Roman" w:hAnsi="Times New Roman" w:cs="Times New Roman"/>
        </w:rPr>
        <w:t>(log2(</w:t>
      </w:r>
      <w:proofErr w:type="spellStart"/>
      <w:r w:rsidRPr="00A3371E">
        <w:rPr>
          <w:rFonts w:ascii="Times New Roman" w:hAnsi="Times New Roman" w:cs="Times New Roman"/>
        </w:rPr>
        <w:t>n_classes</w:t>
      </w:r>
      <w:proofErr w:type="spellEnd"/>
      <w:r w:rsidRPr="00A3371E">
        <w:rPr>
          <w:rFonts w:ascii="Times New Roman" w:hAnsi="Times New Roman" w:cs="Times New Roman"/>
        </w:rPr>
        <w:t>)) fijo de bits por valor</w:t>
      </w:r>
      <w:r w:rsidR="003F294A">
        <w:rPr>
          <w:rFonts w:ascii="Times New Roman" w:hAnsi="Times New Roman" w:cs="Times New Roman"/>
        </w:rPr>
        <w:t xml:space="preserve"> en esta implementación</w:t>
      </w:r>
      <w:r w:rsidRPr="00A3371E">
        <w:rPr>
          <w:rFonts w:ascii="Times New Roman" w:hAnsi="Times New Roman" w:cs="Times New Roman"/>
        </w:rPr>
        <w:t xml:space="preserve">, en lugar de ser codificados por entropía. Con 32 clases, los valores brutos contribuyen con más de 1,1 </w:t>
      </w:r>
      <w:proofErr w:type="spellStart"/>
      <w:r w:rsidRPr="00A3371E">
        <w:rPr>
          <w:rFonts w:ascii="Times New Roman" w:hAnsi="Times New Roman" w:cs="Times New Roman"/>
        </w:rPr>
        <w:t>bpp</w:t>
      </w:r>
      <w:proofErr w:type="spellEnd"/>
      <w:r w:rsidRPr="00A3371E">
        <w:rPr>
          <w:rFonts w:ascii="Times New Roman" w:hAnsi="Times New Roman" w:cs="Times New Roman"/>
        </w:rPr>
        <w:t xml:space="preserve"> al flujo de bits final, lo que representa casi la mitad de la tasa de bits total, haciendo que el manejo de </w:t>
      </w:r>
      <w:r>
        <w:rPr>
          <w:rFonts w:ascii="Times New Roman" w:hAnsi="Times New Roman" w:cs="Times New Roman"/>
        </w:rPr>
        <w:t>valores crudos</w:t>
      </w:r>
      <w:r w:rsidRPr="00A3371E">
        <w:rPr>
          <w:rFonts w:ascii="Times New Roman" w:hAnsi="Times New Roman" w:cs="Times New Roman"/>
        </w:rPr>
        <w:t xml:space="preserve"> sea el principal cuello de botella del algoritmo con un alto número de clases.</w:t>
      </w:r>
      <w:r>
        <w:rPr>
          <w:rFonts w:ascii="Times New Roman" w:hAnsi="Times New Roman" w:cs="Times New Roman"/>
        </w:rPr>
        <w:t xml:space="preserve"> En la tabla 2 se muestra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detalle de este último punto. </w:t>
      </w:r>
    </w:p>
    <w:p w14:paraId="4AC6123F" w14:textId="57005EE2" w:rsidR="004B7FD9" w:rsidRPr="003F294A" w:rsidRDefault="004B7FD9">
      <w:pPr>
        <w:rPr>
          <w:rFonts w:ascii="Times New Roman" w:hAnsi="Times New Roman" w:cs="Times New Roman"/>
          <w:b/>
          <w:bCs/>
        </w:rPr>
      </w:pPr>
      <w:r w:rsidRPr="003F294A">
        <w:rPr>
          <w:rFonts w:ascii="Times New Roman" w:hAnsi="Times New Roman" w:cs="Times New Roman"/>
          <w:b/>
          <w:bCs/>
        </w:rPr>
        <w:t xml:space="preserve">Tabla 2. </w:t>
      </w:r>
      <w:r w:rsidR="00707225" w:rsidRPr="003F294A">
        <w:rPr>
          <w:rFonts w:ascii="Times New Roman" w:hAnsi="Times New Roman" w:cs="Times New Roman"/>
          <w:b/>
          <w:bCs/>
        </w:rPr>
        <w:t>Eficiencia perdida por transmisión de valores crudos sin codificar</w:t>
      </w:r>
    </w:p>
    <w:tbl>
      <w:tblPr>
        <w:tblW w:w="7226" w:type="dxa"/>
        <w:tblInd w:w="7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409"/>
        <w:gridCol w:w="1062"/>
        <w:gridCol w:w="1591"/>
        <w:gridCol w:w="2123"/>
      </w:tblGrid>
      <w:tr w:rsidR="00707225" w:rsidRPr="00707225" w14:paraId="7D5450EB" w14:textId="77777777" w:rsidTr="000A195B">
        <w:trPr>
          <w:trHeight w:val="29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70EB6" w14:textId="77777777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n_clases</w:t>
            </w:r>
            <w:proofErr w:type="spellEnd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C42FE" w14:textId="77777777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H_limit_raw</w:t>
            </w:r>
            <w:proofErr w:type="spellEnd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F32C" w14:textId="77777777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bpp_raw</w:t>
            </w:r>
            <w:proofErr w:type="spellEnd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C436" w14:textId="0A98FEF1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overhead_</w:t>
            </w:r>
            <w:r w:rsidR="000A195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bpp</w:t>
            </w:r>
            <w:proofErr w:type="spellEnd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34AA" w14:textId="77829C2D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overhead_relativo</w:t>
            </w:r>
            <w:proofErr w:type="spellEnd"/>
            <w:r w:rsidR="000A195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%</w:t>
            </w:r>
            <w:r w:rsidRPr="0070722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</w:p>
        </w:tc>
      </w:tr>
      <w:tr w:rsidR="00707225" w:rsidRPr="00707225" w14:paraId="752294AA" w14:textId="77777777" w:rsidTr="000A195B">
        <w:trPr>
          <w:trHeight w:val="296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4E9E" w14:textId="3CE92FF8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1D7FD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0.0124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807E2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0.0165 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3566D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0.0041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479A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     24.7657 </w:t>
            </w:r>
          </w:p>
        </w:tc>
      </w:tr>
      <w:tr w:rsidR="00707225" w:rsidRPr="00707225" w14:paraId="3E772867" w14:textId="77777777" w:rsidTr="000A195B">
        <w:trPr>
          <w:trHeight w:val="296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4707" w14:textId="737A0D4C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7B3EF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0.0296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89E0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0.0389 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C3D19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0.0093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0E969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     23.8945 </w:t>
            </w:r>
          </w:p>
        </w:tc>
      </w:tr>
      <w:tr w:rsidR="00707225" w:rsidRPr="00707225" w14:paraId="64F80CEB" w14:textId="77777777" w:rsidTr="000A195B">
        <w:trPr>
          <w:trHeight w:val="296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5C74A" w14:textId="08FC6259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B53DA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0.0621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904F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0.1021 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16CC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0.0400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C507A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     39.1435 </w:t>
            </w:r>
          </w:p>
        </w:tc>
      </w:tr>
      <w:tr w:rsidR="00707225" w:rsidRPr="00707225" w14:paraId="671B9B5F" w14:textId="77777777" w:rsidTr="000A195B">
        <w:trPr>
          <w:trHeight w:val="296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480D8" w14:textId="51F5A84F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FA067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0.1897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989A1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0.2809 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1A2DB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0.0912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7C56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     32.4692 </w:t>
            </w:r>
          </w:p>
        </w:tc>
      </w:tr>
      <w:tr w:rsidR="00707225" w:rsidRPr="00707225" w14:paraId="19F190BB" w14:textId="77777777" w:rsidTr="000A195B">
        <w:trPr>
          <w:trHeight w:val="296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48B31" w14:textId="2E419F5D" w:rsidR="00707225" w:rsidRPr="00707225" w:rsidRDefault="00707225" w:rsidP="007072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C9E0E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1.0209 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7552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1.1129 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9BCE7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0.0920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0DC56" w14:textId="77777777" w:rsidR="00707225" w:rsidRPr="00707225" w:rsidRDefault="00707225" w:rsidP="00707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072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                     8.2641 </w:t>
            </w:r>
          </w:p>
        </w:tc>
      </w:tr>
    </w:tbl>
    <w:p w14:paraId="38578A56" w14:textId="77777777" w:rsidR="00707225" w:rsidRDefault="00707225">
      <w:pPr>
        <w:rPr>
          <w:rFonts w:ascii="Times New Roman" w:hAnsi="Times New Roman" w:cs="Times New Roman"/>
        </w:rPr>
      </w:pPr>
    </w:p>
    <w:p w14:paraId="184C48DD" w14:textId="41F3F487" w:rsidR="000A195B" w:rsidRDefault="00707225">
      <w:pPr>
        <w:rPr>
          <w:rFonts w:ascii="Times New Roman" w:hAnsi="Times New Roman" w:cs="Times New Roman"/>
        </w:rPr>
      </w:pPr>
      <w:r w:rsidRPr="00707225">
        <w:rPr>
          <w:rFonts w:ascii="Times New Roman" w:hAnsi="Times New Roman" w:cs="Times New Roman"/>
        </w:rPr>
        <w:t xml:space="preserve">La Tabla 2 muestra la eficiencia perdida por transmitir los valores crudos sin codificar. La columna </w:t>
      </w:r>
      <w:proofErr w:type="spellStart"/>
      <w:r w:rsidRPr="00707225">
        <w:rPr>
          <w:rFonts w:ascii="Times New Roman" w:hAnsi="Times New Roman" w:cs="Times New Roman"/>
        </w:rPr>
        <w:t>overhead_bpp</w:t>
      </w:r>
      <w:proofErr w:type="spellEnd"/>
      <w:r w:rsidRPr="00707225">
        <w:rPr>
          <w:rFonts w:ascii="Times New Roman" w:hAnsi="Times New Roman" w:cs="Times New Roman"/>
        </w:rPr>
        <w:t xml:space="preserve"> indica cuántos bits por </w:t>
      </w:r>
      <w:r w:rsidR="00314C17" w:rsidRPr="00707225">
        <w:rPr>
          <w:rFonts w:ascii="Times New Roman" w:hAnsi="Times New Roman" w:cs="Times New Roman"/>
        </w:rPr>
        <w:t>píxel</w:t>
      </w:r>
      <w:r w:rsidRPr="00707225">
        <w:rPr>
          <w:rFonts w:ascii="Times New Roman" w:hAnsi="Times New Roman" w:cs="Times New Roman"/>
        </w:rPr>
        <w:t xml:space="preserve"> adicionales se gastan respecto al límite teórico </w:t>
      </w:r>
      <w:proofErr w:type="spellStart"/>
      <w:r w:rsidRPr="00707225">
        <w:rPr>
          <w:rFonts w:ascii="Times New Roman" w:hAnsi="Times New Roman" w:cs="Times New Roman"/>
        </w:rPr>
        <w:t>H_</w:t>
      </w:r>
      <w:r w:rsidR="000A195B">
        <w:rPr>
          <w:rFonts w:ascii="Times New Roman" w:hAnsi="Times New Roman" w:cs="Times New Roman"/>
        </w:rPr>
        <w:t>limit_</w:t>
      </w:r>
      <w:r w:rsidRPr="00707225">
        <w:rPr>
          <w:rFonts w:ascii="Times New Roman" w:hAnsi="Times New Roman" w:cs="Times New Roman"/>
        </w:rPr>
        <w:t>raw</w:t>
      </w:r>
      <w:proofErr w:type="spellEnd"/>
      <w:r w:rsidRPr="00707225">
        <w:rPr>
          <w:rFonts w:ascii="Times New Roman" w:hAnsi="Times New Roman" w:cs="Times New Roman"/>
        </w:rPr>
        <w:t xml:space="preserve">, mientras que </w:t>
      </w:r>
      <w:proofErr w:type="spellStart"/>
      <w:r w:rsidRPr="00707225">
        <w:rPr>
          <w:rFonts w:ascii="Times New Roman" w:hAnsi="Times New Roman" w:cs="Times New Roman"/>
        </w:rPr>
        <w:t>overhead</w:t>
      </w:r>
      <w:proofErr w:type="spellEnd"/>
      <w:r w:rsidRPr="00707225">
        <w:rPr>
          <w:rFonts w:ascii="Times New Roman" w:hAnsi="Times New Roman" w:cs="Times New Roman"/>
        </w:rPr>
        <w:t xml:space="preserve">_% expresa esta pérdida en términos relativos. Se observa que el </w:t>
      </w:r>
      <w:proofErr w:type="spellStart"/>
      <w:r w:rsidRPr="00707225">
        <w:rPr>
          <w:rFonts w:ascii="Times New Roman" w:hAnsi="Times New Roman" w:cs="Times New Roman"/>
        </w:rPr>
        <w:t>overhead</w:t>
      </w:r>
      <w:proofErr w:type="spellEnd"/>
      <w:r w:rsidRPr="00707225">
        <w:rPr>
          <w:rFonts w:ascii="Times New Roman" w:hAnsi="Times New Roman" w:cs="Times New Roman"/>
        </w:rPr>
        <w:t xml:space="preserve"> relativo es más significativo para 9 y 17 clases, donde el número de </w:t>
      </w:r>
      <w:r w:rsidR="00314C17">
        <w:rPr>
          <w:rFonts w:ascii="Times New Roman" w:hAnsi="Times New Roman" w:cs="Times New Roman"/>
        </w:rPr>
        <w:t>valores crudos</w:t>
      </w:r>
      <w:r w:rsidRPr="00707225">
        <w:rPr>
          <w:rFonts w:ascii="Times New Roman" w:hAnsi="Times New Roman" w:cs="Times New Roman"/>
        </w:rPr>
        <w:t xml:space="preserve"> es relevante pero el alfabeto aún no es tan grande. Para 32 clases el </w:t>
      </w:r>
      <w:proofErr w:type="spellStart"/>
      <w:r w:rsidRPr="00707225">
        <w:rPr>
          <w:rFonts w:ascii="Times New Roman" w:hAnsi="Times New Roman" w:cs="Times New Roman"/>
        </w:rPr>
        <w:t>overhead</w:t>
      </w:r>
      <w:proofErr w:type="spellEnd"/>
      <w:r w:rsidRPr="00707225">
        <w:rPr>
          <w:rFonts w:ascii="Times New Roman" w:hAnsi="Times New Roman" w:cs="Times New Roman"/>
        </w:rPr>
        <w:t xml:space="preserve"> relativo disminuye porque el límite teórico </w:t>
      </w:r>
      <w:proofErr w:type="spellStart"/>
      <w:r w:rsidRPr="00707225">
        <w:rPr>
          <w:rFonts w:ascii="Times New Roman" w:hAnsi="Times New Roman" w:cs="Times New Roman"/>
        </w:rPr>
        <w:t>H_</w:t>
      </w:r>
      <w:r w:rsidR="00314C17">
        <w:rPr>
          <w:rFonts w:ascii="Times New Roman" w:hAnsi="Times New Roman" w:cs="Times New Roman"/>
        </w:rPr>
        <w:t>limit_</w:t>
      </w:r>
      <w:r w:rsidRPr="00707225">
        <w:rPr>
          <w:rFonts w:ascii="Times New Roman" w:hAnsi="Times New Roman" w:cs="Times New Roman"/>
        </w:rPr>
        <w:t>raw</w:t>
      </w:r>
      <w:proofErr w:type="spellEnd"/>
      <w:r w:rsidRPr="00707225">
        <w:rPr>
          <w:rFonts w:ascii="Times New Roman" w:hAnsi="Times New Roman" w:cs="Times New Roman"/>
        </w:rPr>
        <w:t xml:space="preserve"> ya es alto de por sí dado el gran número de clases posibles, pero el </w:t>
      </w:r>
      <w:proofErr w:type="spellStart"/>
      <w:r w:rsidRPr="00707225">
        <w:rPr>
          <w:rFonts w:ascii="Times New Roman" w:hAnsi="Times New Roman" w:cs="Times New Roman"/>
        </w:rPr>
        <w:t>overhead</w:t>
      </w:r>
      <w:proofErr w:type="spellEnd"/>
      <w:r w:rsidRPr="00707225">
        <w:rPr>
          <w:rFonts w:ascii="Times New Roman" w:hAnsi="Times New Roman" w:cs="Times New Roman"/>
        </w:rPr>
        <w:t xml:space="preserve"> absoluto sigue siendo el mayor de todos los mapas.</w:t>
      </w:r>
      <w:r w:rsidR="000A195B">
        <w:rPr>
          <w:rFonts w:ascii="Times New Roman" w:hAnsi="Times New Roman" w:cs="Times New Roman"/>
        </w:rPr>
        <w:t xml:space="preserve"> </w:t>
      </w:r>
    </w:p>
    <w:p w14:paraId="6ABF837D" w14:textId="7C84886B" w:rsidR="00AD7EAA" w:rsidRPr="00263503" w:rsidRDefault="00AD7EAA">
      <w:pPr>
        <w:rPr>
          <w:rFonts w:ascii="Times New Roman" w:hAnsi="Times New Roman" w:cs="Times New Roman"/>
          <w:b/>
          <w:bCs/>
        </w:rPr>
      </w:pPr>
      <w:r w:rsidRPr="00263503">
        <w:rPr>
          <w:rFonts w:ascii="Times New Roman" w:hAnsi="Times New Roman" w:cs="Times New Roman"/>
          <w:b/>
          <w:bCs/>
        </w:rPr>
        <w:t xml:space="preserve">Fig </w:t>
      </w:r>
      <w:r w:rsidR="00263503">
        <w:rPr>
          <w:rFonts w:ascii="Times New Roman" w:hAnsi="Times New Roman" w:cs="Times New Roman"/>
          <w:b/>
          <w:bCs/>
        </w:rPr>
        <w:t>3</w:t>
      </w:r>
      <w:r w:rsidRPr="00263503">
        <w:rPr>
          <w:rFonts w:ascii="Times New Roman" w:hAnsi="Times New Roman" w:cs="Times New Roman"/>
          <w:b/>
          <w:bCs/>
        </w:rPr>
        <w:t xml:space="preserve">. Distribución estadística de pixeles por longitud de bits de decisión </w:t>
      </w:r>
    </w:p>
    <w:p w14:paraId="6EC0F47A" w14:textId="63195BC6" w:rsidR="00AD7EAA" w:rsidRDefault="00AD7EA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25EEC19" wp14:editId="2A615A7C">
            <wp:extent cx="5400040" cy="3489325"/>
            <wp:effectExtent l="0" t="0" r="0" b="0"/>
            <wp:docPr id="7168069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7F21" w14:textId="77777777" w:rsidR="00356D3E" w:rsidRDefault="00356D3E" w:rsidP="00C577C5">
      <w:pPr>
        <w:rPr>
          <w:rFonts w:ascii="Times New Roman" w:hAnsi="Times New Roman" w:cs="Times New Roman"/>
        </w:rPr>
      </w:pPr>
    </w:p>
    <w:p w14:paraId="5DC7E63C" w14:textId="03B43D1A" w:rsidR="00356D3E" w:rsidRDefault="00356D3E" w:rsidP="00C577C5">
      <w:pPr>
        <w:rPr>
          <w:rFonts w:ascii="Times New Roman" w:hAnsi="Times New Roman" w:cs="Times New Roman"/>
        </w:rPr>
      </w:pPr>
      <w:r w:rsidRPr="00356D3E">
        <w:rPr>
          <w:rFonts w:ascii="Times New Roman" w:hAnsi="Times New Roman" w:cs="Times New Roman"/>
        </w:rPr>
        <w:t xml:space="preserve">La figura </w:t>
      </w:r>
      <w:r w:rsidR="00263503">
        <w:rPr>
          <w:rFonts w:ascii="Times New Roman" w:hAnsi="Times New Roman" w:cs="Times New Roman"/>
        </w:rPr>
        <w:t>3</w:t>
      </w:r>
      <w:r w:rsidRPr="00356D3E">
        <w:rPr>
          <w:rFonts w:ascii="Times New Roman" w:hAnsi="Times New Roman" w:cs="Times New Roman"/>
        </w:rPr>
        <w:t xml:space="preserve"> muestra la distribución de píxeles según la longitud de la secuencia de </w:t>
      </w:r>
      <w:r>
        <w:rPr>
          <w:rFonts w:ascii="Times New Roman" w:hAnsi="Times New Roman" w:cs="Times New Roman"/>
        </w:rPr>
        <w:t xml:space="preserve">bit de </w:t>
      </w:r>
      <w:r w:rsidRPr="00356D3E">
        <w:rPr>
          <w:rFonts w:ascii="Times New Roman" w:hAnsi="Times New Roman" w:cs="Times New Roman"/>
        </w:rPr>
        <w:t xml:space="preserve">decisión en los cinco mapas de clasificación. Para mapas con pocas clases, el predictor es altamente efectivo: en el mapa de 4 clases, el 94 % de los píxeles se resuelven con una sola decisión binaria, lo que significa que el píxel actual coincide con su vecino izquierdo en la gran mayoría de los casos. A medida que aumenta el número de clases, esta eficiencia se degrada notablemente. En el mapa de 32 clases, solo el 52 % de los píxeles se resuelven con una decisión, y el segmento no </w:t>
      </w:r>
      <w:r>
        <w:rPr>
          <w:rFonts w:ascii="Times New Roman" w:hAnsi="Times New Roman" w:cs="Times New Roman"/>
        </w:rPr>
        <w:t>codificado</w:t>
      </w:r>
      <w:r w:rsidRPr="00356D3E">
        <w:rPr>
          <w:rFonts w:ascii="Times New Roman" w:hAnsi="Times New Roman" w:cs="Times New Roman"/>
        </w:rPr>
        <w:t xml:space="preserve"> (píxeles que no coinciden con ninguno de sus cuatro vecinos y deben transmitirse como valores sin procesar) crece hasta el 22 % de todos los píxeles. Los casos que requieren 3 o 4 decisiones siguen siendo marginales en todos los mapas, lo que</w:t>
      </w:r>
      <w:r>
        <w:rPr>
          <w:rFonts w:ascii="Times New Roman" w:hAnsi="Times New Roman" w:cs="Times New Roman"/>
        </w:rPr>
        <w:t xml:space="preserve"> puede</w:t>
      </w:r>
      <w:r w:rsidRPr="00356D3E">
        <w:rPr>
          <w:rFonts w:ascii="Times New Roman" w:hAnsi="Times New Roman" w:cs="Times New Roman"/>
        </w:rPr>
        <w:t xml:space="preserve"> confirma</w:t>
      </w:r>
      <w:r>
        <w:rPr>
          <w:rFonts w:ascii="Times New Roman" w:hAnsi="Times New Roman" w:cs="Times New Roman"/>
        </w:rPr>
        <w:t>r</w:t>
      </w:r>
      <w:r w:rsidRPr="00356D3E">
        <w:rPr>
          <w:rFonts w:ascii="Times New Roman" w:hAnsi="Times New Roman" w:cs="Times New Roman"/>
        </w:rPr>
        <w:t xml:space="preserve"> que el predictor rara vez necesita consultar a los segundos y cuartos vecinos. </w:t>
      </w:r>
      <w:r>
        <w:rPr>
          <w:rFonts w:ascii="Times New Roman" w:hAnsi="Times New Roman" w:cs="Times New Roman"/>
        </w:rPr>
        <w:t>Lo más recalcable es e</w:t>
      </w:r>
      <w:r w:rsidRPr="00356D3E">
        <w:rPr>
          <w:rFonts w:ascii="Times New Roman" w:hAnsi="Times New Roman" w:cs="Times New Roman"/>
        </w:rPr>
        <w:t xml:space="preserve">l crecimiento del segmento </w:t>
      </w:r>
      <w:r>
        <w:rPr>
          <w:rFonts w:ascii="Times New Roman" w:hAnsi="Times New Roman" w:cs="Times New Roman"/>
        </w:rPr>
        <w:t xml:space="preserve">de valores crudos </w:t>
      </w:r>
      <w:r w:rsidRPr="00356D3E">
        <w:rPr>
          <w:rFonts w:ascii="Times New Roman" w:hAnsi="Times New Roman" w:cs="Times New Roman"/>
        </w:rPr>
        <w:t>con el aument</w:t>
      </w:r>
      <w:r>
        <w:rPr>
          <w:rFonts w:ascii="Times New Roman" w:hAnsi="Times New Roman" w:cs="Times New Roman"/>
        </w:rPr>
        <w:t>o</w:t>
      </w:r>
      <w:r w:rsidR="00263503">
        <w:rPr>
          <w:rFonts w:ascii="Times New Roman" w:hAnsi="Times New Roman" w:cs="Times New Roman"/>
        </w:rPr>
        <w:t xml:space="preserve"> de clases.</w:t>
      </w:r>
    </w:p>
    <w:p w14:paraId="72B39271" w14:textId="60940C17" w:rsidR="00B41A53" w:rsidRPr="00263503" w:rsidRDefault="00B41A53" w:rsidP="00C577C5">
      <w:pPr>
        <w:rPr>
          <w:rFonts w:ascii="Times New Roman" w:hAnsi="Times New Roman" w:cs="Times New Roman"/>
          <w:b/>
          <w:bCs/>
        </w:rPr>
      </w:pPr>
      <w:r w:rsidRPr="00263503">
        <w:rPr>
          <w:rFonts w:ascii="Times New Roman" w:hAnsi="Times New Roman" w:cs="Times New Roman"/>
          <w:b/>
          <w:bCs/>
        </w:rPr>
        <w:t xml:space="preserve">Fig </w:t>
      </w:r>
      <w:r w:rsidR="00263503" w:rsidRPr="00263503">
        <w:rPr>
          <w:rFonts w:ascii="Times New Roman" w:hAnsi="Times New Roman" w:cs="Times New Roman"/>
          <w:b/>
          <w:bCs/>
        </w:rPr>
        <w:t>4</w:t>
      </w:r>
      <w:r w:rsidRPr="00263503">
        <w:rPr>
          <w:rFonts w:ascii="Times New Roman" w:hAnsi="Times New Roman" w:cs="Times New Roman"/>
          <w:b/>
          <w:bCs/>
        </w:rPr>
        <w:t xml:space="preserve">. Activación de contexto por n clases </w:t>
      </w:r>
    </w:p>
    <w:p w14:paraId="5B2982DD" w14:textId="77777777" w:rsidR="00B41A53" w:rsidRDefault="00B41A53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87FE69" wp14:editId="0196FA81">
            <wp:extent cx="5400040" cy="2160270"/>
            <wp:effectExtent l="0" t="0" r="0" b="0"/>
            <wp:docPr id="12418178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601A" w14:textId="7509CAA4" w:rsidR="00AD7EAA" w:rsidRDefault="00B41A53">
      <w:pPr>
        <w:rPr>
          <w:rFonts w:ascii="Times New Roman" w:hAnsi="Times New Roman" w:cs="Times New Roman"/>
          <w:u w:val="single"/>
        </w:rPr>
      </w:pPr>
      <w:r w:rsidRPr="00B41A53">
        <w:rPr>
          <w:rFonts w:ascii="Times New Roman" w:hAnsi="Times New Roman" w:cs="Times New Roman"/>
        </w:rPr>
        <w:t xml:space="preserve">La Figura </w:t>
      </w:r>
      <w:r>
        <w:rPr>
          <w:rFonts w:ascii="Times New Roman" w:hAnsi="Times New Roman" w:cs="Times New Roman"/>
        </w:rPr>
        <w:t>3</w:t>
      </w:r>
      <w:r w:rsidRPr="00B41A53">
        <w:rPr>
          <w:rFonts w:ascii="Times New Roman" w:hAnsi="Times New Roman" w:cs="Times New Roman"/>
        </w:rPr>
        <w:t xml:space="preserve"> muestra el mapa de calor de frecuencia de activación de contexto para los 37 contextos basados ​​en patrones en los cinco mapas de clasificación. El contexto 0, correspondiente al patrón AAAA donde todos los píxeles vecinos pertenecen a la misma región, es consistentemente el más activo en todos los mapas, lo cual </w:t>
      </w:r>
      <w:r>
        <w:rPr>
          <w:rFonts w:ascii="Times New Roman" w:hAnsi="Times New Roman" w:cs="Times New Roman"/>
        </w:rPr>
        <w:t>puede ser</w:t>
      </w:r>
      <w:r w:rsidRPr="00B41A53">
        <w:rPr>
          <w:rFonts w:ascii="Times New Roman" w:hAnsi="Times New Roman" w:cs="Times New Roman"/>
        </w:rPr>
        <w:t xml:space="preserve"> esperado dadas las grandes regiones homogéneas de los mapas de clasificación. En contraste, los contextos 23 y 30, que corresponden a patrones más complejos con vecindarios muy diversos, muestran una activación mínima, particularmente con pocas clases, apareciendo casi en blanco en el mapa de calor. Una observación clave es que, a medida que aumenta el número de clases, la distribución de activación se vuelve cada vez más uniforme en todos los contextos: la fila correspondiente a 32 clases muestra niveles de activación similares en la mayoría de los contextos, mientras que el mapa de 4 clases exhibe un fuerte contraste entre los contextos de uso frecuente y los de uso poco frecuente. Esta homogeneización indica </w:t>
      </w:r>
      <w:r w:rsidR="006A670A" w:rsidRPr="00B41A53">
        <w:rPr>
          <w:rFonts w:ascii="Times New Roman" w:hAnsi="Times New Roman" w:cs="Times New Roman"/>
        </w:rPr>
        <w:t>que,</w:t>
      </w:r>
      <w:r w:rsidRPr="00B41A53">
        <w:rPr>
          <w:rFonts w:ascii="Times New Roman" w:hAnsi="Times New Roman" w:cs="Times New Roman"/>
        </w:rPr>
        <w:t xml:space="preserve"> con más clases, el modelo de contexto debe manejar una mayor variedad de configuraciones de vecindario, lo que reduce el predominio de patrones homogéneos simples y contribuye a la degradación en la eficiencia de compresión observada con un mayor número de clases.</w:t>
      </w:r>
    </w:p>
    <w:sectPr w:rsidR="00AD7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77D5"/>
    <w:multiLevelType w:val="multilevel"/>
    <w:tmpl w:val="DA8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53B6A"/>
    <w:multiLevelType w:val="multilevel"/>
    <w:tmpl w:val="0E8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2323">
    <w:abstractNumId w:val="0"/>
  </w:num>
  <w:num w:numId="2" w16cid:durableId="57922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14"/>
    <w:rsid w:val="000A195B"/>
    <w:rsid w:val="001C68A2"/>
    <w:rsid w:val="001D00CD"/>
    <w:rsid w:val="00233130"/>
    <w:rsid w:val="00263503"/>
    <w:rsid w:val="002B1CBC"/>
    <w:rsid w:val="002C1452"/>
    <w:rsid w:val="00314C17"/>
    <w:rsid w:val="00317836"/>
    <w:rsid w:val="00356D3E"/>
    <w:rsid w:val="003E05B7"/>
    <w:rsid w:val="003F294A"/>
    <w:rsid w:val="00463563"/>
    <w:rsid w:val="004B7FD9"/>
    <w:rsid w:val="006534E5"/>
    <w:rsid w:val="006A670A"/>
    <w:rsid w:val="006B0136"/>
    <w:rsid w:val="006D518D"/>
    <w:rsid w:val="00707225"/>
    <w:rsid w:val="007B5259"/>
    <w:rsid w:val="008F4761"/>
    <w:rsid w:val="00954146"/>
    <w:rsid w:val="00955DB9"/>
    <w:rsid w:val="00962971"/>
    <w:rsid w:val="009652FB"/>
    <w:rsid w:val="009F5E6C"/>
    <w:rsid w:val="00A3371E"/>
    <w:rsid w:val="00AD3BD4"/>
    <w:rsid w:val="00AD73AF"/>
    <w:rsid w:val="00AD7EAA"/>
    <w:rsid w:val="00B41A53"/>
    <w:rsid w:val="00B65755"/>
    <w:rsid w:val="00C577C5"/>
    <w:rsid w:val="00D128F0"/>
    <w:rsid w:val="00D43394"/>
    <w:rsid w:val="00E06A14"/>
    <w:rsid w:val="00E13D68"/>
    <w:rsid w:val="00F6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6FB8E"/>
  <w15:chartTrackingRefBased/>
  <w15:docId w15:val="{32D20771-25CC-4460-961A-FC8A7543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A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A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A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A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A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A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A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A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A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A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A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1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6A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5</Pages>
  <Words>1024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Lariza Maholy Sandoval Cruz</dc:creator>
  <cp:keywords/>
  <dc:description/>
  <cp:lastModifiedBy>Lariza Maholy Sandoval Cruz</cp:lastModifiedBy>
  <cp:revision>14</cp:revision>
  <cp:lastPrinted>2026-05-18T20:40:00Z</cp:lastPrinted>
  <dcterms:created xsi:type="dcterms:W3CDTF">2026-05-17T14:12:00Z</dcterms:created>
  <dcterms:modified xsi:type="dcterms:W3CDTF">2026-05-19T21:31:00Z</dcterms:modified>
</cp:coreProperties>
</file>