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Noto Sans CJK SC" w:hAnsi="Noto Sans CJK SC" w:eastAsia="Noto Sans CJK SC"/>
          <w:b/>
          <w:color w:val="1F4E78"/>
          <w:sz w:val="54"/>
        </w:rPr>
        <w:t>台区光储充辨识与光伏功率分离系统</w:t>
      </w:r>
    </w:p>
    <w:p>
      <w:pPr>
        <w:jc w:val="center"/>
      </w:pPr>
      <w:r>
        <w:rPr>
          <w:rFonts w:ascii="Noto Sans CJK SC" w:hAnsi="Noto Sans CJK SC" w:eastAsia="Noto Sans CJK SC"/>
          <w:b/>
          <w:color w:val="1F4E78"/>
          <w:sz w:val="68"/>
        </w:rPr>
        <w:t>需求手册</w:t>
      </w:r>
    </w:p>
    <w:p>
      <w:pPr>
        <w:spacing w:before="560"/>
        <w:jc w:val="center"/>
      </w:pPr>
      <w:r>
        <w:rPr>
          <w:rFonts w:ascii="Noto Sans CJK SC" w:hAnsi="Noto Sans CJK SC" w:eastAsia="Noto Sans CJK SC"/>
          <w:b/>
          <w:color w:val="5B9BD5"/>
          <w:sz w:val="30"/>
        </w:rPr>
        <w:t>V0.3 讨论稿</w:t>
      </w:r>
    </w:p>
    <w:tbl>
      <w:tblPr>
        <w:tblW w:type="auto" w:w="0"/>
        <w:jc w:val="center"/>
        <w:tblLayout w:type="fixed"/>
        <w:tblLook w:firstColumn="1" w:firstRow="1" w:lastColumn="0" w:lastRow="0" w:noHBand="0" w:noVBand="1" w:val="04A0"/>
      </w:tblPr>
      <w:tblGrid>
        <w:gridCol w:w="3061"/>
        <w:gridCol w:w="3061"/>
        <w:gridCol w:w="3061"/>
      </w:tblGrid>
      <w:tr>
        <w:trPr>
          <w:tblHeader w:val="true"/>
          <w:cantSplit/>
        </w:trPr>
        <w:tc>
          <w:tcPr>
            <w:tcW w:type="dxa" w:w="2551"/>
            <w:tcMar>
              <w:top w:w="20" w:type="dxa"/>
              <w:start w:w="0" w:type="dxa"/>
              <w:bottom w:w="20" w:type="dxa"/>
              <w:end w:w="0" w:type="dxa"/>
            </w:tcMar>
            <w:shd w:fill="FFFFFF"/>
            <w:tcBorders>
              <w:bottom w:val="single" w:sz="0" w:color="FFFFFF"/>
            </w:tcBorders>
          </w:tcPr>
          <w:p/>
        </w:tc>
        <w:tc>
          <w:tcPr>
            <w:tcW w:type="dxa" w:w="1984"/>
            <w:tcMar>
              <w:top w:w="20" w:type="dxa"/>
              <w:start w:w="0" w:type="dxa"/>
              <w:bottom w:w="20" w:type="dxa"/>
              <w:end w:w="0" w:type="dxa"/>
            </w:tcMar>
            <w:shd w:fill="5B9BD5"/>
            <w:tcBorders>
              <w:bottom w:val="single" w:sz="0" w:color="FFFFFF"/>
            </w:tcBorders>
          </w:tcPr>
          <w:p/>
        </w:tc>
        <w:tc>
          <w:tcPr>
            <w:tcW w:type="dxa" w:w="2551"/>
            <w:tcMar>
              <w:top w:w="20" w:type="dxa"/>
              <w:start w:w="0" w:type="dxa"/>
              <w:bottom w:w="20" w:type="dxa"/>
              <w:end w:w="0" w:type="dxa"/>
            </w:tcMar>
            <w:shd w:fill="FFFFFF"/>
            <w:tcBorders>
              <w:bottom w:val="single" w:sz="0" w:color="FFFFFF"/>
            </w:tcBorders>
          </w:tcPr>
          <w:p/>
        </w:tc>
      </w:tr>
    </w:tbl>
    <w:p>
      <w:pPr>
        <w:spacing w:before="2400"/>
        <w:jc w:val="center"/>
      </w:pPr>
      <w:r>
        <w:rPr>
          <w:rFonts w:ascii="Noto Sans CJK SC" w:hAnsi="Noto Sans CJK SC" w:eastAsia="Noto Sans CJK SC"/>
          <w:color w:val="6B7280"/>
          <w:sz w:val="22"/>
        </w:rPr>
        <w:t>编制日期：2026年7月</w:t>
      </w:r>
    </w:p>
    <w:p>
      <w:pPr>
        <w:jc w:val="center"/>
      </w:pPr>
      <w:r>
        <w:rPr>
          <w:rFonts w:ascii="Noto Sans CJK SC" w:hAnsi="Noto Sans CJK SC" w:eastAsia="Noto Sans CJK SC"/>
          <w:color w:val="6B7280"/>
          <w:sz w:val="21"/>
        </w:rPr>
        <w:t>适用范围：前端Demo及后续系统需求确认</w:t>
      </w:r>
    </w:p>
    <w:p>
      <w:r>
        <w:rPr>
          <w:rFonts w:ascii="Noto Sans CJK SC" w:hAnsi="Noto Sans CJK SC" w:eastAsia="Noto Sans CJK SC"/>
        </w:rPr>
        <w:br w:type="page"/>
      </w:r>
    </w:p>
    <w:p>
      <w:pPr>
        <w:pStyle w:val="Heading1"/>
        <w:keepNext/>
        <w:spacing w:before="200" w:after="120" w:line="288" w:lineRule="auto"/>
      </w:pPr>
    </w:p>
    <w:tbl>
      <w:tblPr>
        <w:tblW w:type="auto" w:w="0"/>
        <w:jc w:val="center"/>
        <w:tblLayout w:type="fixed"/>
        <w:tblLook w:firstColumn="1" w:firstRow="1" w:lastColumn="0" w:lastRow="0" w:noHBand="0" w:noVBand="1" w:val="04A0"/>
      </w:tblPr>
      <w:tblGrid>
        <w:gridCol w:w="2296"/>
        <w:gridCol w:w="2296"/>
        <w:gridCol w:w="2296"/>
        <w:gridCol w:w="2296"/>
      </w:tblGrid>
      <w:tr>
        <w:trPr>
          <w:tblHeader w:val="true"/>
          <w:cantSplit/>
        </w:trPr>
        <w:tc>
          <w:tcPr>
            <w:tcW w:type="dxa" w:w="1247"/>
            <w:shd w:fill="1F4E7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center"/>
            </w:pPr>
            <w:r>
              <w:rPr>
                <w:rFonts w:ascii="Noto Sans CJK SC" w:hAnsi="Noto Sans CJK SC" w:eastAsia="Noto Sans CJK SC"/>
                <w:b/>
                <w:color w:val="FFFFFF"/>
                <w:sz w:val="19"/>
              </w:rPr>
              <w:t>版本</w:t>
            </w:r>
          </w:p>
        </w:tc>
        <w:tc>
          <w:tcPr>
            <w:tcW w:type="dxa" w:w="1587"/>
            <w:shd w:fill="1F4E7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center"/>
            </w:pPr>
            <w:r>
              <w:rPr>
                <w:rFonts w:ascii="Noto Sans CJK SC" w:hAnsi="Noto Sans CJK SC" w:eastAsia="Noto Sans CJK SC"/>
                <w:b/>
                <w:color w:val="FFFFFF"/>
                <w:sz w:val="19"/>
              </w:rPr>
              <w:t>日期</w:t>
            </w:r>
          </w:p>
        </w:tc>
        <w:tc>
          <w:tcPr>
            <w:tcW w:type="dxa" w:w="5216"/>
            <w:shd w:fill="1F4E7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center"/>
            </w:pPr>
            <w:r>
              <w:rPr>
                <w:rFonts w:ascii="Noto Sans CJK SC" w:hAnsi="Noto Sans CJK SC" w:eastAsia="Noto Sans CJK SC"/>
                <w:b/>
                <w:color w:val="FFFFFF"/>
                <w:sz w:val="19"/>
              </w:rPr>
              <w:t>修订内容</w:t>
            </w:r>
          </w:p>
        </w:tc>
        <w:tc>
          <w:tcPr>
            <w:tcW w:type="dxa" w:w="1304"/>
            <w:shd w:fill="1F4E7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center"/>
            </w:pPr>
            <w:r>
              <w:rPr>
                <w:rFonts w:ascii="Noto Sans CJK SC" w:hAnsi="Noto Sans CJK SC" w:eastAsia="Noto Sans CJK SC"/>
                <w:b/>
                <w:color w:val="FFFFFF"/>
                <w:sz w:val="19"/>
              </w:rPr>
              <w:t>状态</w:t>
            </w:r>
          </w:p>
        </w:tc>
      </w:tr>
      <w:tr>
        <w:trPr>
          <w:cantSplit/>
        </w:trPr>
        <w:tc>
          <w:tcPr>
            <w:tcW w:type="dxa" w:w="1247"/>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V0.1</w:t>
            </w:r>
          </w:p>
        </w:tc>
        <w:tc>
          <w:tcPr>
            <w:tcW w:type="dxa" w:w="1587"/>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2026年7月</w:t>
            </w:r>
          </w:p>
        </w:tc>
        <w:tc>
          <w:tcPr>
            <w:tcW w:type="dxa" w:w="5216"/>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形成初始需求框架</w:t>
            </w:r>
          </w:p>
        </w:tc>
        <w:tc>
          <w:tcPr>
            <w:tcW w:type="dxa" w:w="1304"/>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历史版本</w:t>
            </w:r>
          </w:p>
        </w:tc>
      </w:tr>
      <w:tr>
        <w:trPr>
          <w:cantSplit/>
        </w:trPr>
        <w:tc>
          <w:tcPr>
            <w:tcW w:type="dxa" w:w="1247"/>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V0.2</w:t>
            </w:r>
          </w:p>
        </w:tc>
        <w:tc>
          <w:tcPr>
            <w:tcW w:type="dxa" w:w="1587"/>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2026年7月</w:t>
            </w:r>
          </w:p>
        </w:tc>
        <w:tc>
          <w:tcPr>
            <w:tcW w:type="dxa" w:w="5216"/>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明确主站为1分钟级数据；分站为15分钟级数据；回传间隔不固定且均为15分钟以上；明确一个辨识模型和一个光伏分离模型</w:t>
            </w:r>
          </w:p>
        </w:tc>
        <w:tc>
          <w:tcPr>
            <w:tcW w:type="dxa" w:w="1304"/>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历史版本</w:t>
            </w:r>
          </w:p>
        </w:tc>
      </w:tr>
      <w:tr>
        <w:trPr>
          <w:cantSplit/>
        </w:trPr>
        <w:tc>
          <w:tcPr>
            <w:tcW w:type="dxa" w:w="1247"/>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V0.3</w:t>
            </w:r>
          </w:p>
        </w:tc>
        <w:tc>
          <w:tcPr>
            <w:tcW w:type="dxa" w:w="1587"/>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2026年7月</w:t>
            </w:r>
          </w:p>
        </w:tc>
        <w:tc>
          <w:tcPr>
            <w:tcW w:type="dxa" w:w="5216"/>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明确主站侧光伏功率按1分钟级实时滚动分离；每到达一个新分钟数据点即更新结果；分站延迟反馈不作为分离前置条件</w:t>
            </w:r>
          </w:p>
        </w:tc>
        <w:tc>
          <w:tcPr>
            <w:tcW w:type="dxa" w:w="1304"/>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本次讨论稿</w:t>
            </w:r>
          </w:p>
        </w:tc>
      </w:tr>
    </w:tbl>
    <w:p>
      <w:pPr>
        <w:spacing w:after="0"/>
      </w:pPr>
    </w:p>
    <w:p>
      <w:pPr>
        <w:pStyle w:val="Heading1"/>
        <w:keepNext/>
        <w:spacing w:before="200" w:after="120" w:line="288" w:lineRule="auto"/>
      </w:pPr>
    </w:p>
    <w:p>
      <w:pPr>
        <w:spacing w:before="0" w:after="60" w:line="348" w:lineRule="auto"/>
      </w:pPr>
      <w:r>
        <w:rPr>
          <w:rFonts w:ascii="Noto Sans CJK SC" w:hAnsi="Noto Sans CJK SC" w:eastAsia="Noto Sans CJK SC"/>
          <w:b w:val="0"/>
          <w:color w:val="1F2937"/>
          <w:sz w:val="21"/>
        </w:rPr>
        <w:t>1. 项目概述</w:t>
      </w:r>
    </w:p>
    <w:p>
      <w:pPr>
        <w:spacing w:before="0" w:after="60" w:line="348" w:lineRule="auto"/>
      </w:pPr>
      <w:r>
        <w:rPr>
          <w:rFonts w:ascii="Noto Sans CJK SC" w:hAnsi="Noto Sans CJK SC" w:eastAsia="Noto Sans CJK SC"/>
          <w:b w:val="0"/>
          <w:color w:val="1F2937"/>
          <w:sz w:val="21"/>
        </w:rPr>
        <w:t>2. 系统定位与建设范围</w:t>
      </w:r>
    </w:p>
    <w:p>
      <w:pPr>
        <w:spacing w:before="0" w:after="60" w:line="348" w:lineRule="auto"/>
      </w:pPr>
      <w:r>
        <w:rPr>
          <w:rFonts w:ascii="Noto Sans CJK SC" w:hAnsi="Noto Sans CJK SC" w:eastAsia="Noto Sans CJK SC"/>
          <w:b w:val="0"/>
          <w:color w:val="1F2937"/>
          <w:sz w:val="21"/>
        </w:rPr>
        <w:t>3. 数据条件与时间语义</w:t>
      </w:r>
    </w:p>
    <w:p>
      <w:pPr>
        <w:spacing w:before="0" w:after="60" w:line="348" w:lineRule="auto"/>
      </w:pPr>
      <w:r>
        <w:rPr>
          <w:rFonts w:ascii="Noto Sans CJK SC" w:hAnsi="Noto Sans CJK SC" w:eastAsia="Noto Sans CJK SC"/>
          <w:b w:val="0"/>
          <w:color w:val="1F2937"/>
          <w:sz w:val="21"/>
        </w:rPr>
        <w:t>4. 总体架构与业务流程</w:t>
      </w:r>
    </w:p>
    <w:p>
      <w:pPr>
        <w:spacing w:before="0" w:after="60" w:line="348" w:lineRule="auto"/>
      </w:pPr>
      <w:r>
        <w:rPr>
          <w:rFonts w:ascii="Noto Sans CJK SC" w:hAnsi="Noto Sans CJK SC" w:eastAsia="Noto Sans CJK SC"/>
          <w:b w:val="0"/>
          <w:color w:val="1F2937"/>
          <w:sz w:val="21"/>
        </w:rPr>
        <w:t>5. 功能需求</w:t>
      </w:r>
    </w:p>
    <w:p>
      <w:pPr>
        <w:spacing w:before="0" w:after="60" w:line="348" w:lineRule="auto"/>
      </w:pPr>
      <w:r>
        <w:rPr>
          <w:rFonts w:ascii="Noto Sans CJK SC" w:hAnsi="Noto Sans CJK SC" w:eastAsia="Noto Sans CJK SC"/>
          <w:b w:val="0"/>
          <w:color w:val="1F2937"/>
          <w:sz w:val="21"/>
        </w:rPr>
        <w:t>6. 前端展示需求</w:t>
      </w:r>
    </w:p>
    <w:p>
      <w:pPr>
        <w:spacing w:before="0" w:after="60" w:line="348" w:lineRule="auto"/>
      </w:pPr>
      <w:r>
        <w:rPr>
          <w:rFonts w:ascii="Noto Sans CJK SC" w:hAnsi="Noto Sans CJK SC" w:eastAsia="Noto Sans CJK SC"/>
          <w:b w:val="0"/>
          <w:color w:val="1F2937"/>
          <w:sz w:val="21"/>
        </w:rPr>
        <w:t>7. 数据结构要求</w:t>
      </w:r>
    </w:p>
    <w:p>
      <w:pPr>
        <w:spacing w:before="0" w:after="60" w:line="348" w:lineRule="auto"/>
      </w:pPr>
      <w:r>
        <w:rPr>
          <w:rFonts w:ascii="Noto Sans CJK SC" w:hAnsi="Noto Sans CJK SC" w:eastAsia="Noto Sans CJK SC"/>
          <w:b w:val="0"/>
          <w:color w:val="1F2937"/>
          <w:sz w:val="21"/>
        </w:rPr>
        <w:t>8. 模型与校正接口要求</w:t>
      </w:r>
    </w:p>
    <w:p>
      <w:pPr>
        <w:spacing w:before="0" w:after="60" w:line="348" w:lineRule="auto"/>
      </w:pPr>
      <w:r>
        <w:rPr>
          <w:rFonts w:ascii="Noto Sans CJK SC" w:hAnsi="Noto Sans CJK SC" w:eastAsia="Noto Sans CJK SC"/>
          <w:b w:val="0"/>
          <w:color w:val="1F2937"/>
          <w:sz w:val="21"/>
        </w:rPr>
        <w:t>9. 非功能需求</w:t>
      </w:r>
    </w:p>
    <w:p>
      <w:pPr>
        <w:spacing w:before="0" w:after="60" w:line="348" w:lineRule="auto"/>
      </w:pPr>
      <w:r>
        <w:rPr>
          <w:rFonts w:ascii="Noto Sans CJK SC" w:hAnsi="Noto Sans CJK SC" w:eastAsia="Noto Sans CJK SC"/>
          <w:b w:val="0"/>
          <w:color w:val="1F2937"/>
          <w:sz w:val="21"/>
        </w:rPr>
        <w:t>10. Demo第一版范围</w:t>
      </w:r>
    </w:p>
    <w:p>
      <w:pPr>
        <w:spacing w:before="0" w:after="60" w:line="348" w:lineRule="auto"/>
      </w:pPr>
      <w:r>
        <w:rPr>
          <w:rFonts w:ascii="Noto Sans CJK SC" w:hAnsi="Noto Sans CJK SC" w:eastAsia="Noto Sans CJK SC"/>
          <w:b w:val="0"/>
          <w:color w:val="1F2937"/>
          <w:sz w:val="21"/>
        </w:rPr>
        <w:t>11. 验收要求</w:t>
      </w:r>
    </w:p>
    <w:p>
      <w:pPr>
        <w:spacing w:before="0" w:after="60" w:line="348" w:lineRule="auto"/>
      </w:pPr>
      <w:r>
        <w:rPr>
          <w:rFonts w:ascii="Noto Sans CJK SC" w:hAnsi="Noto Sans CJK SC" w:eastAsia="Noto Sans CJK SC"/>
          <w:b w:val="0"/>
          <w:color w:val="1F2937"/>
          <w:sz w:val="21"/>
        </w:rPr>
        <w:t>12. 待确认事项</w:t>
      </w:r>
    </w:p>
    <w:p>
      <w:pPr>
        <w:pStyle w:val="Heading1"/>
        <w:keepNext/>
        <w:spacing w:before="200" w:after="120" w:line="288" w:lineRule="auto"/>
      </w:pPr>
    </w:p>
    <w:p>
      <w:pPr>
        <w:pStyle w:val="Heading2"/>
        <w:keepNext/>
        <w:spacing w:before="120" w:after="120" w:line="288" w:lineRule="auto"/>
      </w:pPr>
    </w:p>
    <w:p>
      <w:pPr>
        <w:spacing w:before="0" w:after="120" w:line="348" w:lineRule="auto"/>
      </w:pPr>
      <w:r>
        <w:rPr>
          <w:rFonts w:ascii="Noto Sans CJK SC" w:hAnsi="Noto Sans CJK SC" w:eastAsia="Noto Sans CJK SC"/>
          <w:b w:val="0"/>
          <w:color w:val="1F2937"/>
          <w:sz w:val="21"/>
        </w:rPr>
        <w:t>台区主站持续接收1分钟级综合功率数据。该数据反映的是台区内常规用电负荷、分布式光伏、用户侧储能以及电动汽车充电桩等多类设备共同作用后的综合结果。仅通过总功率曲线，无法直接判断台区内是否接入光伏、储能和充电桩，也无法直接获得每分钟的光伏发电功率。系统需要随主站分钟数据持续更新分析结果。</w:t>
      </w:r>
    </w:p>
    <w:p>
      <w:pPr>
        <w:spacing w:before="0" w:after="120" w:line="348" w:lineRule="auto"/>
      </w:pPr>
      <w:r>
        <w:rPr>
          <w:rFonts w:ascii="Noto Sans CJK SC" w:hAnsi="Noto Sans CJK SC" w:eastAsia="Noto Sans CJK SC"/>
          <w:b w:val="0"/>
          <w:color w:val="1F2937"/>
          <w:sz w:val="21"/>
        </w:rPr>
        <w:t>台区下辖光伏分站能够提供15分钟级光伏数据，但回传时间不固定，实际回传间隔均为15分钟以上，且一批数据可能覆盖多个历史15分钟时段。主站侧不等待分站数据回传，而是基于持续到达的1分钟级综合功率实时滚动分离光伏功率：每接收到一个新的分钟数据点，分离模型即更新并输出该分钟的初始光伏分离结果。分站数据后续到达后，再对同一历史时段的分离结果进行校验、回补和反馈校正。</w:t>
      </w:r>
    </w:p>
    <w:p>
      <w:pPr>
        <w:pStyle w:val="Heading2"/>
        <w:keepNext/>
        <w:spacing w:before="120" w:after="120" w:line="288" w:lineRule="auto"/>
      </w:pPr>
    </w:p>
    <w:p>
      <w:pPr>
        <w:pStyle w:val="ListBullet"/>
        <w:spacing w:before="0" w:after="60" w:line="324" w:lineRule="auto"/>
      </w:pPr>
      <w:r>
        <w:rPr>
          <w:rFonts w:ascii="Noto Sans CJK SC" w:hAnsi="Noto Sans CJK SC" w:eastAsia="Noto Sans CJK SC"/>
          <w:color w:val="1F2937"/>
          <w:sz w:val="21"/>
        </w:rPr>
        <w:t>构建一个光储充辨识模型，判断台区内分布式光伏、用户侧储能和充电桩是否存在，并输出相应辨识分数。</w:t>
      </w:r>
    </w:p>
    <w:p>
      <w:pPr>
        <w:pStyle w:val="ListBullet"/>
        <w:spacing w:before="0" w:after="60" w:line="324" w:lineRule="auto"/>
      </w:pPr>
      <w:r>
        <w:rPr>
          <w:rFonts w:ascii="Noto Sans CJK SC" w:hAnsi="Noto Sans CJK SC" w:eastAsia="Noto Sans CJK SC"/>
          <w:color w:val="1F2937"/>
          <w:sz w:val="21"/>
        </w:rPr>
        <w:t>构建一个光伏功率分离模型，随主站1分钟级综合功率数据实时滚动运行，每到达一个新的分钟数据点即输出该分钟的初始光伏分离功率。</w:t>
      </w:r>
    </w:p>
    <w:p>
      <w:pPr>
        <w:pStyle w:val="ListBullet"/>
        <w:spacing w:before="0" w:after="60" w:line="324" w:lineRule="auto"/>
      </w:pPr>
      <w:r>
        <w:rPr>
          <w:rFonts w:ascii="Noto Sans CJK SC" w:hAnsi="Noto Sans CJK SC" w:eastAsia="Noto Sans CJK SC"/>
          <w:color w:val="1F2937"/>
          <w:sz w:val="21"/>
        </w:rPr>
        <w:t>接入光伏分站15分钟级数据，识别数据对应时间、到达时间和批次覆盖时段。</w:t>
      </w:r>
    </w:p>
    <w:p>
      <w:pPr>
        <w:pStyle w:val="ListBullet"/>
        <w:spacing w:before="0" w:after="60" w:line="324" w:lineRule="auto"/>
      </w:pPr>
      <w:r>
        <w:rPr>
          <w:rFonts w:ascii="Noto Sans CJK SC" w:hAnsi="Noto Sans CJK SC" w:eastAsia="Noto Sans CJK SC"/>
          <w:color w:val="1F2937"/>
          <w:sz w:val="21"/>
        </w:rPr>
        <w:t>将主站1分钟级光伏分离结果聚合到15分钟口径，与分站同期数据进行对比。</w:t>
      </w:r>
    </w:p>
    <w:p>
      <w:pPr>
        <w:pStyle w:val="ListBullet"/>
        <w:spacing w:before="0" w:after="60" w:line="324" w:lineRule="auto"/>
      </w:pPr>
      <w:r>
        <w:rPr>
          <w:rFonts w:ascii="Noto Sans CJK SC" w:hAnsi="Noto Sans CJK SC" w:eastAsia="Noto Sans CJK SC"/>
          <w:color w:val="1F2937"/>
          <w:sz w:val="21"/>
        </w:rPr>
        <w:t>基于分站反馈对历史分钟级光伏分离结果进行回补，并更新后续分离所使用的校正状态。</w:t>
      </w:r>
    </w:p>
    <w:p>
      <w:pPr>
        <w:pStyle w:val="ListBullet"/>
        <w:spacing w:before="0" w:after="60" w:line="324" w:lineRule="auto"/>
      </w:pPr>
      <w:r>
        <w:rPr>
          <w:rFonts w:ascii="Noto Sans CJK SC" w:hAnsi="Noto Sans CJK SC" w:eastAsia="Noto Sans CJK SC"/>
          <w:color w:val="1F2937"/>
          <w:sz w:val="21"/>
        </w:rPr>
        <w:t>通过前端完整展示数据接入、数据处理、光储充辨识、光伏分离、分站反馈校正和结果输出全过程。</w:t>
      </w:r>
    </w:p>
    <w:tbl>
      <w:tblPr>
        <w:tblW w:type="auto" w:w="0"/>
        <w:jc w:val="center"/>
        <w:tblLook w:firstColumn="1" w:firstRow="1" w:lastColumn="0" w:lastRow="0" w:noHBand="0" w:noVBand="1" w:val="04A0"/>
      </w:tblPr>
      <w:tblGrid>
        <w:gridCol w:w="9184"/>
      </w:tblGrid>
      <w:tr>
        <w:trPr>
          <w:tblHeader w:val="true"/>
          <w:cantSplit/>
        </w:trPr>
        <w:tc>
          <w:tcPr>
            <w:tcW w:type="dxa" w:w="9184"/>
            <w:shd w:fill="FFF2CC"/>
            <w:tcMar>
              <w:top w:w="140" w:type="dxa"/>
              <w:start w:w="160" w:type="dxa"/>
              <w:bottom w:w="140" w:type="dxa"/>
              <w:end w:w="160" w:type="dxa"/>
            </w:tcMar>
            <w:tcBorders>
              <w:top w:val="single" w:sz="8" w:color="D6B656"/>
              <w:left w:val="single" w:sz="8" w:color="D6B656"/>
              <w:bottom w:val="single" w:sz="8" w:color="D6B656"/>
              <w:right w:val="single" w:sz="8" w:color="D6B656"/>
            </w:tcBorders>
          </w:tcPr>
          <w:p>
            <w:r>
              <w:rPr>
                <w:rFonts w:ascii="Noto Sans CJK SC" w:hAnsi="Noto Sans CJK SC" w:eastAsia="Noto Sans CJK SC"/>
                <w:b/>
                <w:color w:val="7F6000"/>
                <w:sz w:val="21"/>
              </w:rPr>
              <w:t>核心口径：</w:t>
            </w:r>
            <w:r>
              <w:rPr>
                <w:rFonts w:ascii="Noto Sans CJK SC" w:hAnsi="Noto Sans CJK SC" w:eastAsia="Noto Sans CJK SC"/>
                <w:color w:val="1F2937"/>
                <w:sz w:val="21"/>
              </w:rPr>
              <w:t>本系统不是光伏预测系统。辨识模型负责回答“有没有光伏、储能和充电桩”；分离模型随主站分钟数据实时滚动运行，负责回答“当前及历史每一分钟的光伏功率是多少”。分站反馈不作为实时分离的前置条件。</w:t>
            </w:r>
          </w:p>
        </w:tc>
      </w:tr>
    </w:tbl>
    <w:p>
      <w:pPr>
        <w:spacing w:after="0"/>
      </w:pPr>
    </w:p>
    <w:p>
      <w:pPr>
        <w:pStyle w:val="Heading1"/>
        <w:keepNext/>
        <w:spacing w:before="200" w:after="120" w:line="288" w:lineRule="auto"/>
      </w:pPr>
    </w:p>
    <w:p>
      <w:pPr>
        <w:pStyle w:val="Heading2"/>
        <w:keepNext/>
        <w:spacing w:before="120" w:after="120" w:line="288" w:lineRule="auto"/>
      </w:pPr>
    </w:p>
    <w:p>
      <w:pPr>
        <w:spacing w:before="0" w:after="120" w:line="348" w:lineRule="auto"/>
      </w:pPr>
      <w:r>
        <w:rPr>
          <w:rFonts w:ascii="Noto Sans CJK SC" w:hAnsi="Noto Sans CJK SC" w:eastAsia="Noto Sans CJK SC"/>
          <w:b w:val="0"/>
          <w:color w:val="1F2937"/>
          <w:sz w:val="21"/>
        </w:rPr>
        <w:t>系统定位为：基于台区1分钟级综合功率数据的光伏、储能、充电桩多标签辨识、光伏功率分钟级实时滚动分离，以及基于分站15分钟级延迟反馈的历史回补与分离校正系统。</w:t>
      </w:r>
    </w:p>
    <w:p>
      <w:pPr>
        <w:spacing w:before="0" w:after="120" w:line="348" w:lineRule="auto"/>
      </w:pPr>
      <w:r>
        <w:rPr>
          <w:rFonts w:ascii="Noto Sans CJK SC" w:hAnsi="Noto Sans CJK SC" w:eastAsia="Noto Sans CJK SC"/>
          <w:b w:val="0"/>
          <w:color w:val="1F2937"/>
          <w:sz w:val="21"/>
        </w:rPr>
        <w:t>光伏、储能和充电桩可同时存在，因此辨识任务属于多标签辨识，而不是三选一分类。第一阶段仅对光伏功率进行具体数值分离，储能和充电桩仅输出存在性结果及辨识分数。</w:t>
      </w:r>
    </w:p>
    <w:p>
      <w:pPr>
        <w:pStyle w:val="Heading2"/>
        <w:keepNext/>
        <w:spacing w:before="120" w:after="120" w:line="288" w:lineRule="auto"/>
      </w:pPr>
    </w:p>
    <w:tbl>
      <w:tblPr>
        <w:tblW w:type="auto" w:w="0"/>
        <w:jc w:val="center"/>
        <w:tblLayout w:type="fixed"/>
        <w:tblLook w:firstColumn="1" w:firstRow="1" w:lastColumn="0" w:lastRow="0" w:noHBand="0" w:noVBand="1" w:val="04A0"/>
      </w:tblPr>
      <w:tblGrid>
        <w:gridCol w:w="4592"/>
        <w:gridCol w:w="4592"/>
      </w:tblGrid>
      <w:tr>
        <w:trPr>
          <w:tblHeader w:val="true"/>
          <w:cantSplit/>
        </w:trPr>
        <w:tc>
          <w:tcPr>
            <w:tcW w:type="dxa" w:w="1814"/>
            <w:shd w:fill="1F4E7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center"/>
            </w:pPr>
            <w:r>
              <w:rPr>
                <w:rFonts w:ascii="Noto Sans CJK SC" w:hAnsi="Noto Sans CJK SC" w:eastAsia="Noto Sans CJK SC"/>
                <w:b/>
                <w:color w:val="FFFFFF"/>
                <w:sz w:val="19"/>
              </w:rPr>
              <w:t>模块</w:t>
            </w:r>
          </w:p>
        </w:tc>
        <w:tc>
          <w:tcPr>
            <w:tcW w:type="dxa" w:w="7540"/>
            <w:shd w:fill="1F4E7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center"/>
            </w:pPr>
            <w:r>
              <w:rPr>
                <w:rFonts w:ascii="Noto Sans CJK SC" w:hAnsi="Noto Sans CJK SC" w:eastAsia="Noto Sans CJK SC"/>
                <w:b/>
                <w:color w:val="FFFFFF"/>
                <w:sz w:val="19"/>
              </w:rPr>
              <w:t>本期建设内容</w:t>
            </w:r>
          </w:p>
        </w:tc>
      </w:tr>
      <w:tr>
        <w:trPr>
          <w:cantSplit/>
        </w:trPr>
        <w:tc>
          <w:tcPr>
            <w:tcW w:type="dxa" w:w="1814"/>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数据接入</w:t>
            </w:r>
          </w:p>
        </w:tc>
        <w:tc>
          <w:tcPr>
            <w:tcW w:type="dxa" w:w="7540"/>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接入主站1分钟级综合功率数据及光伏分站15分钟级数据</w:t>
            </w:r>
          </w:p>
        </w:tc>
      </w:tr>
      <w:tr>
        <w:trPr>
          <w:cantSplit/>
        </w:trPr>
        <w:tc>
          <w:tcPr>
            <w:tcW w:type="dxa" w:w="1814"/>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数据处理</w:t>
            </w:r>
          </w:p>
        </w:tc>
        <w:tc>
          <w:tcPr>
            <w:tcW w:type="dxa" w:w="7540"/>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时间排序、重复处理、缺失检查、异常标记、质量评估及时间尺度对齐</w:t>
            </w:r>
          </w:p>
        </w:tc>
      </w:tr>
      <w:tr>
        <w:trPr>
          <w:cantSplit/>
        </w:trPr>
        <w:tc>
          <w:tcPr>
            <w:tcW w:type="dxa" w:w="1814"/>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辨识模型</w:t>
            </w:r>
          </w:p>
        </w:tc>
        <w:tc>
          <w:tcPr>
            <w:tcW w:type="dxa" w:w="7540"/>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输出光伏、储能、充电桩三个独立辨识结果及辨识分数</w:t>
            </w:r>
          </w:p>
        </w:tc>
      </w:tr>
      <w:tr>
        <w:trPr>
          <w:cantSplit/>
        </w:trPr>
        <w:tc>
          <w:tcPr>
            <w:tcW w:type="dxa" w:w="1814"/>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分离模型</w:t>
            </w:r>
          </w:p>
        </w:tc>
        <w:tc>
          <w:tcPr>
            <w:tcW w:type="dxa" w:w="7540"/>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每到达一个新的主站分钟数据点即实时滚动输出该分钟的初始光伏功率及结果置信度</w:t>
            </w:r>
          </w:p>
        </w:tc>
      </w:tr>
      <w:tr>
        <w:trPr>
          <w:cantSplit/>
        </w:trPr>
        <w:tc>
          <w:tcPr>
            <w:tcW w:type="dxa" w:w="1814"/>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反馈校正</w:t>
            </w:r>
          </w:p>
        </w:tc>
        <w:tc>
          <w:tcPr>
            <w:tcW w:type="dxa" w:w="7540"/>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将主站分钟级结果聚合至15分钟口径，与分站同期数据比较并进行校正</w:t>
            </w:r>
          </w:p>
        </w:tc>
      </w:tr>
      <w:tr>
        <w:trPr>
          <w:cantSplit/>
        </w:trPr>
        <w:tc>
          <w:tcPr>
            <w:tcW w:type="dxa" w:w="1814"/>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前端展示</w:t>
            </w:r>
          </w:p>
        </w:tc>
        <w:tc>
          <w:tcPr>
            <w:tcW w:type="dxa" w:w="7540"/>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展示全过程、模型结果、分站回传状态、校正前后曲线及结果表格</w:t>
            </w:r>
          </w:p>
        </w:tc>
      </w:tr>
      <w:tr>
        <w:trPr>
          <w:cantSplit/>
        </w:trPr>
        <w:tc>
          <w:tcPr>
            <w:tcW w:type="dxa" w:w="1814"/>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结果导出</w:t>
            </w:r>
          </w:p>
        </w:tc>
        <w:tc>
          <w:tcPr>
            <w:tcW w:type="dxa" w:w="7540"/>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导出辨识结果、光伏分离结果、分站汇总结果和校正记录</w:t>
            </w:r>
          </w:p>
        </w:tc>
      </w:tr>
    </w:tbl>
    <w:p>
      <w:pPr>
        <w:spacing w:after="0"/>
      </w:pPr>
    </w:p>
    <w:p>
      <w:pPr>
        <w:pStyle w:val="Heading2"/>
        <w:keepNext/>
        <w:spacing w:before="120" w:after="120" w:line="288" w:lineRule="auto"/>
      </w:pPr>
    </w:p>
    <w:p>
      <w:pPr>
        <w:pStyle w:val="ListBullet"/>
        <w:spacing w:before="0" w:after="60" w:line="324" w:lineRule="auto"/>
      </w:pPr>
      <w:r>
        <w:rPr>
          <w:rFonts w:ascii="Noto Sans CJK SC" w:hAnsi="Noto Sans CJK SC" w:eastAsia="Noto Sans CJK SC"/>
          <w:color w:val="1F2937"/>
          <w:sz w:val="21"/>
        </w:rPr>
        <w:t>未来光伏功率预测；</w:t>
      </w:r>
    </w:p>
    <w:p>
      <w:pPr>
        <w:pStyle w:val="ListBullet"/>
        <w:spacing w:before="0" w:after="60" w:line="324" w:lineRule="auto"/>
      </w:pPr>
      <w:r>
        <w:rPr>
          <w:rFonts w:ascii="Noto Sans CJK SC" w:hAnsi="Noto Sans CJK SC" w:eastAsia="Noto Sans CJK SC"/>
          <w:color w:val="1F2937"/>
          <w:sz w:val="21"/>
        </w:rPr>
        <w:t>储能充放电功率曲线分离；</w:t>
      </w:r>
    </w:p>
    <w:p>
      <w:pPr>
        <w:pStyle w:val="ListBullet"/>
        <w:spacing w:before="0" w:after="60" w:line="324" w:lineRule="auto"/>
      </w:pPr>
      <w:r>
        <w:rPr>
          <w:rFonts w:ascii="Noto Sans CJK SC" w:hAnsi="Noto Sans CJK SC" w:eastAsia="Noto Sans CJK SC"/>
          <w:color w:val="1F2937"/>
          <w:sz w:val="21"/>
        </w:rPr>
        <w:t>充电桩功率曲线分离；</w:t>
      </w:r>
    </w:p>
    <w:p>
      <w:pPr>
        <w:pStyle w:val="ListBullet"/>
        <w:spacing w:before="0" w:after="60" w:line="324" w:lineRule="auto"/>
      </w:pPr>
      <w:r>
        <w:rPr>
          <w:rFonts w:ascii="Noto Sans CJK SC" w:hAnsi="Noto Sans CJK SC" w:eastAsia="Noto Sans CJK SC"/>
          <w:color w:val="1F2937"/>
          <w:sz w:val="21"/>
        </w:rPr>
        <w:t>在前端页面中训练模型；</w:t>
      </w:r>
    </w:p>
    <w:p>
      <w:pPr>
        <w:pStyle w:val="ListBullet"/>
        <w:spacing w:before="0" w:after="60" w:line="324" w:lineRule="auto"/>
      </w:pPr>
      <w:r>
        <w:rPr>
          <w:rFonts w:ascii="Noto Sans CJK SC" w:hAnsi="Noto Sans CJK SC" w:eastAsia="Noto Sans CJK SC"/>
          <w:color w:val="1F2937"/>
          <w:sz w:val="21"/>
        </w:rPr>
        <w:t>把分站回传周期固定写死为15分钟；</w:t>
      </w:r>
    </w:p>
    <w:p>
      <w:pPr>
        <w:pStyle w:val="ListBullet"/>
        <w:spacing w:before="0" w:after="60" w:line="324" w:lineRule="auto"/>
      </w:pPr>
      <w:r>
        <w:rPr>
          <w:rFonts w:ascii="Noto Sans CJK SC" w:hAnsi="Noto Sans CJK SC" w:eastAsia="Noto Sans CJK SC"/>
          <w:color w:val="1F2937"/>
          <w:sz w:val="21"/>
        </w:rPr>
        <w:t>设备控制、调度指令下发或闭环控制。</w:t>
      </w:r>
    </w:p>
    <w:p>
      <w:pPr>
        <w:pStyle w:val="Heading1"/>
        <w:keepNext/>
        <w:spacing w:before="200" w:after="120" w:line="288" w:lineRule="auto"/>
      </w:pPr>
    </w:p>
    <w:p>
      <w:pPr>
        <w:pStyle w:val="Heading2"/>
        <w:keepNext/>
        <w:spacing w:before="120" w:after="120" w:line="288" w:lineRule="auto"/>
      </w:pPr>
    </w:p>
    <w:tbl>
      <w:tblPr>
        <w:tblW w:type="auto" w:w="0"/>
        <w:jc w:val="center"/>
        <w:tblLayout w:type="fixed"/>
        <w:tblLook w:firstColumn="1" w:firstRow="1" w:lastColumn="0" w:lastRow="0" w:noHBand="0" w:noVBand="1" w:val="04A0"/>
      </w:tblPr>
      <w:tblGrid>
        <w:gridCol w:w="2296"/>
        <w:gridCol w:w="2296"/>
        <w:gridCol w:w="2296"/>
        <w:gridCol w:w="2296"/>
      </w:tblGrid>
      <w:tr>
        <w:trPr>
          <w:tblHeader w:val="true"/>
          <w:cantSplit/>
        </w:trPr>
        <w:tc>
          <w:tcPr>
            <w:tcW w:type="dxa" w:w="1814"/>
            <w:shd w:fill="1F4E7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center"/>
            </w:pPr>
            <w:r>
              <w:rPr>
                <w:rFonts w:ascii="Noto Sans CJK SC" w:hAnsi="Noto Sans CJK SC" w:eastAsia="Noto Sans CJK SC"/>
                <w:b/>
                <w:color w:val="FFFFFF"/>
                <w:sz w:val="19"/>
              </w:rPr>
              <w:t>数据来源</w:t>
            </w:r>
          </w:p>
        </w:tc>
        <w:tc>
          <w:tcPr>
            <w:tcW w:type="dxa" w:w="1587"/>
            <w:shd w:fill="1F4E7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center"/>
            </w:pPr>
            <w:r>
              <w:rPr>
                <w:rFonts w:ascii="Noto Sans CJK SC" w:hAnsi="Noto Sans CJK SC" w:eastAsia="Noto Sans CJK SC"/>
                <w:b/>
                <w:color w:val="FFFFFF"/>
                <w:sz w:val="19"/>
              </w:rPr>
              <w:t>时间粒度</w:t>
            </w:r>
          </w:p>
        </w:tc>
        <w:tc>
          <w:tcPr>
            <w:tcW w:type="dxa" w:w="3685"/>
            <w:shd w:fill="1F4E7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center"/>
            </w:pPr>
            <w:r>
              <w:rPr>
                <w:rFonts w:ascii="Noto Sans CJK SC" w:hAnsi="Noto Sans CJK SC" w:eastAsia="Noto Sans CJK SC"/>
                <w:b/>
                <w:color w:val="FFFFFF"/>
                <w:sz w:val="19"/>
              </w:rPr>
              <w:t>到达方式</w:t>
            </w:r>
          </w:p>
        </w:tc>
        <w:tc>
          <w:tcPr>
            <w:tcW w:type="dxa" w:w="2268"/>
            <w:shd w:fill="1F4E7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center"/>
            </w:pPr>
            <w:r>
              <w:rPr>
                <w:rFonts w:ascii="Noto Sans CJK SC" w:hAnsi="Noto Sans CJK SC" w:eastAsia="Noto Sans CJK SC"/>
                <w:b/>
                <w:color w:val="FFFFFF"/>
                <w:sz w:val="19"/>
              </w:rPr>
              <w:t>主要用途</w:t>
            </w:r>
          </w:p>
        </w:tc>
      </w:tr>
      <w:tr>
        <w:trPr>
          <w:cantSplit/>
        </w:trPr>
        <w:tc>
          <w:tcPr>
            <w:tcW w:type="dxa" w:w="1814"/>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台区主站</w:t>
            </w:r>
          </w:p>
        </w:tc>
        <w:tc>
          <w:tcPr>
            <w:tcW w:type="dxa" w:w="1587"/>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1分钟级</w:t>
            </w:r>
          </w:p>
        </w:tc>
        <w:tc>
          <w:tcPr>
            <w:tcW w:type="dxa" w:w="3685"/>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持续接入；每到达一个新分钟点触发或更新光伏分离</w:t>
            </w:r>
          </w:p>
        </w:tc>
        <w:tc>
          <w:tcPr>
            <w:tcW w:type="dxa" w:w="226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作为辨识模型和光伏分离模型的主要输入</w:t>
            </w:r>
          </w:p>
        </w:tc>
      </w:tr>
      <w:tr>
        <w:trPr>
          <w:cantSplit/>
        </w:trPr>
        <w:tc>
          <w:tcPr>
            <w:tcW w:type="dxa" w:w="1814"/>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光伏分站</w:t>
            </w:r>
          </w:p>
        </w:tc>
        <w:tc>
          <w:tcPr>
            <w:tcW w:type="dxa" w:w="1587"/>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15分钟级</w:t>
            </w:r>
          </w:p>
        </w:tc>
        <w:tc>
          <w:tcPr>
            <w:tcW w:type="dxa" w:w="3685"/>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回传时间不固定，回传间隔均为15分钟以上；可一次回传多个历史数据点</w:t>
            </w:r>
          </w:p>
        </w:tc>
        <w:tc>
          <w:tcPr>
            <w:tcW w:type="dxa" w:w="2268"/>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作为光伏分离结果的监督参考、历史回补和后续校正依据</w:t>
            </w:r>
          </w:p>
        </w:tc>
      </w:tr>
    </w:tbl>
    <w:p>
      <w:pPr>
        <w:spacing w:after="0"/>
      </w:pPr>
    </w:p>
    <w:tbl>
      <w:tblPr>
        <w:tblW w:type="auto" w:w="0"/>
        <w:jc w:val="center"/>
        <w:tblLook w:firstColumn="1" w:firstRow="1" w:lastColumn="0" w:lastRow="0" w:noHBand="0" w:noVBand="1" w:val="04A0"/>
      </w:tblPr>
      <w:tblGrid>
        <w:gridCol w:w="9184"/>
      </w:tblGrid>
      <w:tr>
        <w:trPr>
          <w:tblHeader w:val="true"/>
          <w:cantSplit/>
        </w:trPr>
        <w:tc>
          <w:tcPr>
            <w:tcW w:type="dxa" w:w="9184"/>
            <w:shd w:fill="FFF2CC"/>
            <w:tcMar>
              <w:top w:w="140" w:type="dxa"/>
              <w:start w:w="160" w:type="dxa"/>
              <w:bottom w:w="140" w:type="dxa"/>
              <w:end w:w="160" w:type="dxa"/>
            </w:tcMar>
            <w:tcBorders>
              <w:top w:val="single" w:sz="8" w:color="D6B656"/>
              <w:left w:val="single" w:sz="8" w:color="D6B656"/>
              <w:bottom w:val="single" w:sz="8" w:color="D6B656"/>
              <w:right w:val="single" w:sz="8" w:color="D6B656"/>
            </w:tcBorders>
          </w:tcPr>
          <w:p>
            <w:r>
              <w:rPr>
                <w:rFonts w:ascii="Noto Sans CJK SC" w:hAnsi="Noto Sans CJK SC" w:eastAsia="Noto Sans CJK SC"/>
                <w:b/>
                <w:color w:val="7F6000"/>
                <w:sz w:val="21"/>
              </w:rPr>
              <w:t>实时分离原则：</w:t>
            </w:r>
            <w:r>
              <w:rPr>
                <w:rFonts w:ascii="Noto Sans CJK SC" w:hAnsi="Noto Sans CJK SC" w:eastAsia="Noto Sans CJK SC"/>
                <w:color w:val="1F2937"/>
                <w:sz w:val="21"/>
              </w:rPr>
              <w:t>主站光伏分离以1分钟为结果粒度。每到达一个新的主站分钟数据点，系统立即更新并输出该分钟的初始光伏分离结果。分站15分钟级数据是否到达，不影响主站实时分离的连续运行。</w:t>
            </w:r>
          </w:p>
        </w:tc>
      </w:tr>
    </w:tbl>
    <w:p>
      <w:pPr>
        <w:spacing w:after="0"/>
      </w:pPr>
    </w:p>
    <w:p>
      <w:pPr>
        <w:pStyle w:val="Heading2"/>
        <w:keepNext/>
        <w:spacing w:before="120" w:after="120" w:line="288" w:lineRule="auto"/>
      </w:pPr>
    </w:p>
    <w:tbl>
      <w:tblPr>
        <w:tblW w:type="auto" w:w="0"/>
        <w:jc w:val="center"/>
        <w:tblLayout w:type="fixed"/>
        <w:tblLook w:firstColumn="1" w:firstRow="1" w:lastColumn="0" w:lastRow="0" w:noHBand="0" w:noVBand="1" w:val="04A0"/>
      </w:tblPr>
      <w:tblGrid>
        <w:gridCol w:w="3061"/>
        <w:gridCol w:w="3061"/>
        <w:gridCol w:w="3061"/>
      </w:tblGrid>
      <w:tr>
        <w:trPr>
          <w:tblHeader w:val="true"/>
          <w:cantSplit/>
        </w:trPr>
        <w:tc>
          <w:tcPr>
            <w:tcW w:type="dxa" w:w="1814"/>
            <w:shd w:fill="1F4E7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center"/>
            </w:pPr>
            <w:r>
              <w:rPr>
                <w:rFonts w:ascii="Noto Sans CJK SC" w:hAnsi="Noto Sans CJK SC" w:eastAsia="Noto Sans CJK SC"/>
                <w:b/>
                <w:color w:val="FFFFFF"/>
                <w:sz w:val="19"/>
              </w:rPr>
              <w:t>时间字段</w:t>
            </w:r>
          </w:p>
        </w:tc>
        <w:tc>
          <w:tcPr>
            <w:tcW w:type="dxa" w:w="4649"/>
            <w:shd w:fill="1F4E7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center"/>
            </w:pPr>
            <w:r>
              <w:rPr>
                <w:rFonts w:ascii="Noto Sans CJK SC" w:hAnsi="Noto Sans CJK SC" w:eastAsia="Noto Sans CJK SC"/>
                <w:b/>
                <w:color w:val="FFFFFF"/>
                <w:sz w:val="19"/>
              </w:rPr>
              <w:t>定义</w:t>
            </w:r>
          </w:p>
        </w:tc>
        <w:tc>
          <w:tcPr>
            <w:tcW w:type="dxa" w:w="2891"/>
            <w:shd w:fill="1F4E7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center"/>
            </w:pPr>
            <w:r>
              <w:rPr>
                <w:rFonts w:ascii="Noto Sans CJK SC" w:hAnsi="Noto Sans CJK SC" w:eastAsia="Noto Sans CJK SC"/>
                <w:b/>
                <w:color w:val="FFFFFF"/>
                <w:sz w:val="19"/>
              </w:rPr>
              <w:t>示例</w:t>
            </w:r>
          </w:p>
        </w:tc>
      </w:tr>
      <w:tr>
        <w:trPr>
          <w:cantSplit/>
        </w:trPr>
        <w:tc>
          <w:tcPr>
            <w:tcW w:type="dxa" w:w="1814"/>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数据对应时间</w:t>
            </w:r>
          </w:p>
        </w:tc>
        <w:tc>
          <w:tcPr>
            <w:tcW w:type="dxa" w:w="4649"/>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该15分钟数据实际代表的采集时段或时刻</w:t>
            </w:r>
          </w:p>
        </w:tc>
        <w:tc>
          <w:tcPr>
            <w:tcW w:type="dxa" w:w="2891"/>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09:00—09:15</w:t>
            </w:r>
          </w:p>
        </w:tc>
      </w:tr>
      <w:tr>
        <w:trPr>
          <w:cantSplit/>
        </w:trPr>
        <w:tc>
          <w:tcPr>
            <w:tcW w:type="dxa" w:w="1814"/>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数据到达时间</w:t>
            </w:r>
          </w:p>
        </w:tc>
        <w:tc>
          <w:tcPr>
            <w:tcW w:type="dxa" w:w="4649"/>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该批数据实际进入主站的时间</w:t>
            </w:r>
          </w:p>
        </w:tc>
        <w:tc>
          <w:tcPr>
            <w:tcW w:type="dxa" w:w="2891"/>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10:07</w:t>
            </w:r>
          </w:p>
        </w:tc>
      </w:tr>
      <w:tr>
        <w:trPr>
          <w:cantSplit/>
        </w:trPr>
        <w:tc>
          <w:tcPr>
            <w:tcW w:type="dxa" w:w="1814"/>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批次覆盖时段</w:t>
            </w:r>
          </w:p>
        </w:tc>
        <w:tc>
          <w:tcPr>
            <w:tcW w:type="dxa" w:w="4649"/>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本次回传中包含的全部历史区间</w:t>
            </w:r>
          </w:p>
        </w:tc>
        <w:tc>
          <w:tcPr>
            <w:tcW w:type="dxa" w:w="2891"/>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09:00—09:45</w:t>
            </w:r>
          </w:p>
        </w:tc>
      </w:tr>
      <w:tr>
        <w:trPr>
          <w:cantSplit/>
        </w:trPr>
        <w:tc>
          <w:tcPr>
            <w:tcW w:type="dxa" w:w="1814"/>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实际回传间隔</w:t>
            </w:r>
          </w:p>
        </w:tc>
        <w:tc>
          <w:tcPr>
            <w:tcW w:type="dxa" w:w="4649"/>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本次到达时间与上次到达时间之间的间隔</w:t>
            </w:r>
          </w:p>
        </w:tc>
        <w:tc>
          <w:tcPr>
            <w:tcW w:type="dxa" w:w="2891"/>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32分钟</w:t>
            </w:r>
          </w:p>
        </w:tc>
      </w:tr>
    </w:tbl>
    <w:p>
      <w:pPr>
        <w:spacing w:after="0"/>
      </w:pPr>
    </w:p>
    <w:tbl>
      <w:tblPr>
        <w:tblW w:type="auto" w:w="0"/>
        <w:jc w:val="center"/>
        <w:tblLook w:firstColumn="1" w:firstRow="1" w:lastColumn="0" w:lastRow="0" w:noHBand="0" w:noVBand="1" w:val="04A0"/>
      </w:tblPr>
      <w:tblGrid>
        <w:gridCol w:w="9184"/>
      </w:tblGrid>
      <w:tr>
        <w:trPr>
          <w:tblHeader w:val="true"/>
          <w:cantSplit/>
        </w:trPr>
        <w:tc>
          <w:tcPr>
            <w:tcW w:type="dxa" w:w="9184"/>
            <w:shd w:fill="FFF2CC"/>
            <w:tcMar>
              <w:top w:w="140" w:type="dxa"/>
              <w:start w:w="160" w:type="dxa"/>
              <w:bottom w:w="140" w:type="dxa"/>
              <w:end w:w="160" w:type="dxa"/>
            </w:tcMar>
            <w:tcBorders>
              <w:top w:val="single" w:sz="8" w:color="D6B656"/>
              <w:left w:val="single" w:sz="8" w:color="D6B656"/>
              <w:bottom w:val="single" w:sz="8" w:color="D6B656"/>
              <w:right w:val="single" w:sz="8" w:color="D6B656"/>
            </w:tcBorders>
          </w:tcPr>
          <w:p>
            <w:r>
              <w:rPr>
                <w:rFonts w:ascii="Noto Sans CJK SC" w:hAnsi="Noto Sans CJK SC" w:eastAsia="Noto Sans CJK SC"/>
                <w:b/>
                <w:color w:val="7F6000"/>
                <w:sz w:val="21"/>
              </w:rPr>
              <w:t>时间匹配原则：</w:t>
            </w:r>
            <w:r>
              <w:rPr>
                <w:rFonts w:ascii="Noto Sans CJK SC" w:hAnsi="Noto Sans CJK SC" w:eastAsia="Noto Sans CJK SC"/>
                <w:color w:val="1F2937"/>
                <w:sz w:val="21"/>
              </w:rPr>
              <w:t>分站09:00—09:15的数据只能与主站09:00—09:15的光伏分离结果比较，不能与数据到达时刻10:07的分离结果直接比较。</w:t>
            </w:r>
          </w:p>
        </w:tc>
      </w:tr>
    </w:tbl>
    <w:p>
      <w:pPr>
        <w:spacing w:after="0"/>
      </w:pPr>
    </w:p>
    <w:p>
      <w:pPr>
        <w:pStyle w:val="Heading2"/>
        <w:keepNext/>
        <w:spacing w:before="120" w:after="120" w:line="288" w:lineRule="auto"/>
      </w:pPr>
    </w:p>
    <w:p>
      <w:pPr>
        <w:spacing w:before="0" w:after="120" w:line="348" w:lineRule="auto"/>
      </w:pPr>
      <w:r>
        <w:rPr>
          <w:rFonts w:ascii="Noto Sans CJK SC" w:hAnsi="Noto Sans CJK SC" w:eastAsia="Noto Sans CJK SC"/>
          <w:b w:val="0"/>
          <w:color w:val="1F2937"/>
          <w:sz w:val="21"/>
        </w:rPr>
        <w:t>主站输出的是1分钟级光伏分离结果，分站提供的是15分钟级光伏数据。校正前必须将主站对应15分钟时段内的分钟级分离结果聚合到与分站一致的口径。</w:t>
      </w:r>
    </w:p>
    <w:tbl>
      <w:tblPr>
        <w:tblW w:type="auto" w:w="0"/>
        <w:jc w:val="center"/>
        <w:tblLayout w:type="fixed"/>
        <w:tblLook w:firstColumn="1" w:firstRow="1" w:lastColumn="0" w:lastRow="0" w:noHBand="0" w:noVBand="1" w:val="04A0"/>
      </w:tblPr>
      <w:tblGrid>
        <w:gridCol w:w="4592"/>
        <w:gridCol w:w="4592"/>
      </w:tblGrid>
      <w:tr>
        <w:trPr>
          <w:tblHeader w:val="true"/>
          <w:cantSplit/>
        </w:trPr>
        <w:tc>
          <w:tcPr>
            <w:tcW w:type="dxa" w:w="2948"/>
            <w:shd w:fill="1F4E7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center"/>
            </w:pPr>
            <w:r>
              <w:rPr>
                <w:rFonts w:ascii="Noto Sans CJK SC" w:hAnsi="Noto Sans CJK SC" w:eastAsia="Noto Sans CJK SC"/>
                <w:b/>
                <w:color w:val="FFFFFF"/>
                <w:sz w:val="19"/>
              </w:rPr>
              <w:t>处理对象</w:t>
            </w:r>
          </w:p>
        </w:tc>
        <w:tc>
          <w:tcPr>
            <w:tcW w:type="dxa" w:w="6406"/>
            <w:shd w:fill="1F4E7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center"/>
            </w:pPr>
            <w:r>
              <w:rPr>
                <w:rFonts w:ascii="Noto Sans CJK SC" w:hAnsi="Noto Sans CJK SC" w:eastAsia="Noto Sans CJK SC"/>
                <w:b/>
                <w:color w:val="FFFFFF"/>
                <w:sz w:val="19"/>
              </w:rPr>
              <w:t>处理方式</w:t>
            </w:r>
          </w:p>
        </w:tc>
      </w:tr>
      <w:tr>
        <w:trPr>
          <w:cantSplit/>
        </w:trPr>
        <w:tc>
          <w:tcPr>
            <w:tcW w:type="dxa" w:w="294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分站数据为15分钟平均功率</w:t>
            </w:r>
          </w:p>
        </w:tc>
        <w:tc>
          <w:tcPr>
            <w:tcW w:type="dxa" w:w="6406"/>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计算主站对应15分钟内分钟级分离功率的平均值后进行比较</w:t>
            </w:r>
          </w:p>
        </w:tc>
      </w:tr>
      <w:tr>
        <w:trPr>
          <w:cantSplit/>
        </w:trPr>
        <w:tc>
          <w:tcPr>
            <w:tcW w:type="dxa" w:w="2948"/>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分站数据为15分钟电量</w:t>
            </w:r>
          </w:p>
        </w:tc>
        <w:tc>
          <w:tcPr>
            <w:tcW w:type="dxa" w:w="6406"/>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将主站分钟级分离功率换算并累加为同一时段电量后进行比较</w:t>
            </w:r>
          </w:p>
        </w:tc>
      </w:tr>
      <w:tr>
        <w:trPr>
          <w:cantSplit/>
        </w:trPr>
        <w:tc>
          <w:tcPr>
            <w:tcW w:type="dxa" w:w="294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分站数据口径暂不明确</w:t>
            </w:r>
          </w:p>
        </w:tc>
        <w:tc>
          <w:tcPr>
            <w:tcW w:type="dxa" w:w="6406"/>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在接入配置中标记功率/电量口径，不允许默认混用</w:t>
            </w:r>
          </w:p>
        </w:tc>
      </w:tr>
    </w:tbl>
    <w:p>
      <w:pPr>
        <w:spacing w:after="0"/>
      </w:pPr>
    </w:p>
    <w:p>
      <w:pPr>
        <w:pStyle w:val="Heading1"/>
        <w:keepNext/>
        <w:spacing w:before="200" w:after="120" w:line="288" w:lineRule="auto"/>
      </w:pPr>
    </w:p>
    <w:p>
      <w:pPr>
        <w:pStyle w:val="Heading2"/>
        <w:keepNext/>
        <w:spacing w:before="120" w:after="120" w:line="288" w:lineRule="auto"/>
      </w:pPr>
    </w:p>
    <w:tbl>
      <w:tblPr>
        <w:tblW w:type="auto" w:w="0"/>
        <w:jc w:val="center"/>
        <w:tblLayout w:type="fixed"/>
        <w:tblLook w:firstColumn="1" w:firstRow="1" w:lastColumn="0" w:lastRow="0" w:noHBand="0" w:noVBand="1" w:val="04A0"/>
      </w:tblPr>
      <w:tblGrid>
        <w:gridCol w:w="3061"/>
        <w:gridCol w:w="3061"/>
        <w:gridCol w:w="3061"/>
      </w:tblGrid>
      <w:tr>
        <w:trPr>
          <w:tblHeader w:val="true"/>
          <w:cantSplit/>
        </w:trPr>
        <w:tc>
          <w:tcPr>
            <w:tcW w:type="dxa" w:w="1701"/>
            <w:shd w:fill="1F4E7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center"/>
            </w:pPr>
            <w:r>
              <w:rPr>
                <w:rFonts w:ascii="Noto Sans CJK SC" w:hAnsi="Noto Sans CJK SC" w:eastAsia="Noto Sans CJK SC"/>
                <w:b/>
                <w:color w:val="FFFFFF"/>
                <w:sz w:val="19"/>
              </w:rPr>
              <w:t>层级</w:t>
            </w:r>
          </w:p>
        </w:tc>
        <w:tc>
          <w:tcPr>
            <w:tcW w:type="dxa" w:w="2835"/>
            <w:shd w:fill="1F4E7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center"/>
            </w:pPr>
            <w:r>
              <w:rPr>
                <w:rFonts w:ascii="Noto Sans CJK SC" w:hAnsi="Noto Sans CJK SC" w:eastAsia="Noto Sans CJK SC"/>
                <w:b/>
                <w:color w:val="FFFFFF"/>
                <w:sz w:val="19"/>
              </w:rPr>
              <w:t>组成</w:t>
            </w:r>
          </w:p>
        </w:tc>
        <w:tc>
          <w:tcPr>
            <w:tcW w:type="dxa" w:w="4819"/>
            <w:shd w:fill="1F4E7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center"/>
            </w:pPr>
            <w:r>
              <w:rPr>
                <w:rFonts w:ascii="Noto Sans CJK SC" w:hAnsi="Noto Sans CJK SC" w:eastAsia="Noto Sans CJK SC"/>
                <w:b/>
                <w:color w:val="FFFFFF"/>
                <w:sz w:val="19"/>
              </w:rPr>
              <w:t>职责</w:t>
            </w:r>
          </w:p>
        </w:tc>
      </w:tr>
      <w:tr>
        <w:trPr>
          <w:cantSplit/>
        </w:trPr>
        <w:tc>
          <w:tcPr>
            <w:tcW w:type="dxa" w:w="1701"/>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数据源层</w:t>
            </w:r>
          </w:p>
        </w:tc>
        <w:tc>
          <w:tcPr>
            <w:tcW w:type="dxa" w:w="2835"/>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台区主站、多个光伏分站</w:t>
            </w:r>
          </w:p>
        </w:tc>
        <w:tc>
          <w:tcPr>
            <w:tcW w:type="dxa" w:w="4819"/>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提供1分钟级综合功率和15分钟级光伏反馈数据</w:t>
            </w:r>
          </w:p>
        </w:tc>
      </w:tr>
      <w:tr>
        <w:trPr>
          <w:cantSplit/>
        </w:trPr>
        <w:tc>
          <w:tcPr>
            <w:tcW w:type="dxa" w:w="1701"/>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数据处理层</w:t>
            </w:r>
          </w:p>
        </w:tc>
        <w:tc>
          <w:tcPr>
            <w:tcW w:type="dxa" w:w="2835"/>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数据接入、质量检查、时间对齐、特征构建</w:t>
            </w:r>
          </w:p>
        </w:tc>
        <w:tc>
          <w:tcPr>
            <w:tcW w:type="dxa" w:w="4819"/>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形成模型可用数据和同期比较口径</w:t>
            </w:r>
          </w:p>
        </w:tc>
      </w:tr>
      <w:tr>
        <w:trPr>
          <w:cantSplit/>
        </w:trPr>
        <w:tc>
          <w:tcPr>
            <w:tcW w:type="dxa" w:w="1701"/>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模型分析层</w:t>
            </w:r>
          </w:p>
        </w:tc>
        <w:tc>
          <w:tcPr>
            <w:tcW w:type="dxa" w:w="2835"/>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光储充辨识模型、光伏功率分离模型</w:t>
            </w:r>
          </w:p>
        </w:tc>
        <w:tc>
          <w:tcPr>
            <w:tcW w:type="dxa" w:w="4819"/>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辨识模型按设定窗口和周期运行；分离模型随主站新分钟数据实时滚动输出光伏功率</w:t>
            </w:r>
          </w:p>
        </w:tc>
      </w:tr>
      <w:tr>
        <w:trPr>
          <w:cantSplit/>
        </w:trPr>
        <w:tc>
          <w:tcPr>
            <w:tcW w:type="dxa" w:w="1701"/>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反馈校正层</w:t>
            </w:r>
          </w:p>
        </w:tc>
        <w:tc>
          <w:tcPr>
            <w:tcW w:type="dxa" w:w="2835"/>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分站数据汇总、同期对比、历史回补、校正状态更新</w:t>
            </w:r>
          </w:p>
        </w:tc>
        <w:tc>
          <w:tcPr>
            <w:tcW w:type="dxa" w:w="4819"/>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利用延迟反馈提高分离结果准确性</w:t>
            </w:r>
          </w:p>
        </w:tc>
      </w:tr>
      <w:tr>
        <w:trPr>
          <w:cantSplit/>
        </w:trPr>
        <w:tc>
          <w:tcPr>
            <w:tcW w:type="dxa" w:w="1701"/>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应用展示层</w:t>
            </w:r>
          </w:p>
        </w:tc>
        <w:tc>
          <w:tcPr>
            <w:tcW w:type="dxa" w:w="2835"/>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状态看板、流程展示、结果曲线、表格和导出</w:t>
            </w:r>
          </w:p>
        </w:tc>
        <w:tc>
          <w:tcPr>
            <w:tcW w:type="dxa" w:w="4819"/>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向用户展示全过程及最终结果</w:t>
            </w:r>
          </w:p>
        </w:tc>
      </w:tr>
    </w:tbl>
    <w:p>
      <w:pPr>
        <w:spacing w:after="0"/>
      </w:pPr>
    </w:p>
    <w:p>
      <w:pPr>
        <w:pStyle w:val="Heading2"/>
        <w:keepNext/>
        <w:spacing w:before="120" w:after="120" w:line="288" w:lineRule="auto"/>
      </w:pPr>
    </w:p>
    <w:tbl>
      <w:tblPr>
        <w:tblW w:type="auto" w:w="0"/>
        <w:jc w:val="center"/>
        <w:tblLayout w:type="fixed"/>
        <w:tblLook w:firstColumn="1" w:firstRow="1" w:lastColumn="0" w:lastRow="0" w:noHBand="0" w:noVBand="1" w:val="04A0"/>
      </w:tblPr>
      <w:tblGrid>
        <w:gridCol w:w="4592"/>
        <w:gridCol w:w="4592"/>
      </w:tblGrid>
      <w:tr>
        <w:trPr>
          <w:cantSplit/>
        </w:trPr>
        <w:tc>
          <w:tcPr>
            <w:tcW w:type="dxa" w:w="907"/>
            <w:shd w:fill="5B9BD5"/>
            <w:tcMar>
              <w:top w:w="120" w:type="dxa"/>
              <w:start w:w="120" w:type="dxa"/>
              <w:bottom w:w="120" w:type="dxa"/>
              <w:end w:w="120" w:type="dxa"/>
            </w:tcMar>
            <w:vAlign w:val="center"/>
            <w:tcBorders>
              <w:top w:val="single" w:sz="4" w:color="FFFFFF"/>
              <w:left w:val="single" w:sz="4" w:color="FFFFFF"/>
              <w:bottom w:val="single" w:sz="4" w:color="FFFFFF"/>
              <w:right w:val="single" w:sz="4" w:color="FFFFFF"/>
            </w:tcBorders>
          </w:tcPr>
          <w:p>
            <w:pPr>
              <w:jc w:val="center"/>
            </w:pPr>
            <w:r>
              <w:rPr>
                <w:rFonts w:ascii="Noto Sans CJK SC" w:hAnsi="Noto Sans CJK SC" w:eastAsia="Noto Sans CJK SC"/>
                <w:b/>
                <w:color w:val="FFFFFF"/>
                <w:sz w:val="24"/>
              </w:rPr>
              <w:t>1</w:t>
            </w:r>
          </w:p>
        </w:tc>
        <w:tc>
          <w:tcPr>
            <w:tcW w:type="dxa" w:w="8391"/>
            <w:shd w:fill="D9EAF7"/>
            <w:tcMar>
              <w:top w:w="120" w:type="dxa"/>
              <w:start w:w="120" w:type="dxa"/>
              <w:bottom w:w="120" w:type="dxa"/>
              <w:end w:w="120" w:type="dxa"/>
            </w:tcMar>
            <w:vAlign w:val="center"/>
            <w:tcBorders>
              <w:top w:val="single" w:sz="4" w:color="FFFFFF"/>
              <w:left w:val="single" w:sz="4" w:color="FFFFFF"/>
              <w:bottom w:val="single" w:sz="4" w:color="FFFFFF"/>
              <w:right w:val="single" w:sz="4" w:color="FFFFFF"/>
            </w:tcBorders>
          </w:tcPr>
          <w:p>
            <w:pPr>
              <w:spacing w:after="40"/>
            </w:pPr>
            <w:r>
              <w:rPr>
                <w:rFonts w:ascii="Noto Sans CJK SC" w:hAnsi="Noto Sans CJK SC" w:eastAsia="Noto Sans CJK SC"/>
                <w:b/>
                <w:color w:val="1F4E78"/>
                <w:sz w:val="21"/>
              </w:rPr>
              <w:t>主站数据接入</w:t>
            </w:r>
          </w:p>
          <w:p>
            <w:pPr>
              <w:spacing w:after="0"/>
            </w:pPr>
            <w:r>
              <w:rPr>
                <w:rFonts w:ascii="Noto Sans CJK SC" w:hAnsi="Noto Sans CJK SC" w:eastAsia="Noto Sans CJK SC"/>
                <w:color w:val="1F2937"/>
                <w:sz w:val="19"/>
              </w:rPr>
              <w:t>持续接入1分钟级台区综合功率数据。</w:t>
            </w:r>
          </w:p>
        </w:tc>
      </w:tr>
      <w:tr>
        <w:trPr>
          <w:cantSplit/>
        </w:trPr>
        <w:tc>
          <w:tcPr>
            <w:tcW w:type="dxa" w:w="907"/>
            <w:shd w:fill="5B9BD5"/>
            <w:tcMar>
              <w:top w:w="120" w:type="dxa"/>
              <w:start w:w="120" w:type="dxa"/>
              <w:bottom w:w="120" w:type="dxa"/>
              <w:end w:w="120" w:type="dxa"/>
            </w:tcMar>
            <w:vAlign w:val="center"/>
            <w:tcBorders>
              <w:top w:val="single" w:sz="4" w:color="FFFFFF"/>
              <w:left w:val="single" w:sz="4" w:color="FFFFFF"/>
              <w:bottom w:val="single" w:sz="4" w:color="FFFFFF"/>
              <w:right w:val="single" w:sz="4" w:color="FFFFFF"/>
            </w:tcBorders>
          </w:tcPr>
          <w:p>
            <w:pPr>
              <w:jc w:val="center"/>
            </w:pPr>
            <w:r>
              <w:rPr>
                <w:rFonts w:ascii="Noto Sans CJK SC" w:hAnsi="Noto Sans CJK SC" w:eastAsia="Noto Sans CJK SC"/>
                <w:b/>
                <w:color w:val="FFFFFF"/>
                <w:sz w:val="24"/>
              </w:rPr>
              <w:t>2</w:t>
            </w:r>
          </w:p>
        </w:tc>
        <w:tc>
          <w:tcPr>
            <w:tcW w:type="dxa" w:w="8391"/>
            <w:shd w:fill="EDF4FA"/>
            <w:tcMar>
              <w:top w:w="120" w:type="dxa"/>
              <w:start w:w="120" w:type="dxa"/>
              <w:bottom w:w="120" w:type="dxa"/>
              <w:end w:w="120" w:type="dxa"/>
            </w:tcMar>
            <w:vAlign w:val="center"/>
            <w:tcBorders>
              <w:top w:val="single" w:sz="4" w:color="FFFFFF"/>
              <w:left w:val="single" w:sz="4" w:color="FFFFFF"/>
              <w:bottom w:val="single" w:sz="4" w:color="FFFFFF"/>
              <w:right w:val="single" w:sz="4" w:color="FFFFFF"/>
            </w:tcBorders>
          </w:tcPr>
          <w:p>
            <w:pPr>
              <w:spacing w:after="40"/>
            </w:pPr>
            <w:r>
              <w:rPr>
                <w:rFonts w:ascii="Noto Sans CJK SC" w:hAnsi="Noto Sans CJK SC" w:eastAsia="Noto Sans CJK SC"/>
                <w:b/>
                <w:color w:val="1F4E78"/>
                <w:sz w:val="21"/>
              </w:rPr>
              <w:t>数据清洗与时间对齐</w:t>
            </w:r>
          </w:p>
          <w:p>
            <w:pPr>
              <w:spacing w:after="0"/>
            </w:pPr>
            <w:r>
              <w:rPr>
                <w:rFonts w:ascii="Noto Sans CJK SC" w:hAnsi="Noto Sans CJK SC" w:eastAsia="Noto Sans CJK SC"/>
                <w:color w:val="1F2937"/>
                <w:sz w:val="19"/>
              </w:rPr>
              <w:t>完成缺失、异常、重复和时间戳处理，形成统一分钟级输入。</w:t>
            </w:r>
          </w:p>
        </w:tc>
      </w:tr>
      <w:tr>
        <w:trPr>
          <w:cantSplit/>
        </w:trPr>
        <w:tc>
          <w:tcPr>
            <w:tcW w:type="dxa" w:w="907"/>
            <w:shd w:fill="5B9BD5"/>
            <w:tcMar>
              <w:top w:w="120" w:type="dxa"/>
              <w:start w:w="120" w:type="dxa"/>
              <w:bottom w:w="120" w:type="dxa"/>
              <w:end w:w="120" w:type="dxa"/>
            </w:tcMar>
            <w:vAlign w:val="center"/>
            <w:tcBorders>
              <w:top w:val="single" w:sz="4" w:color="FFFFFF"/>
              <w:left w:val="single" w:sz="4" w:color="FFFFFF"/>
              <w:bottom w:val="single" w:sz="4" w:color="FFFFFF"/>
              <w:right w:val="single" w:sz="4" w:color="FFFFFF"/>
            </w:tcBorders>
          </w:tcPr>
          <w:p>
            <w:pPr>
              <w:jc w:val="center"/>
            </w:pPr>
            <w:r>
              <w:rPr>
                <w:rFonts w:ascii="Noto Sans CJK SC" w:hAnsi="Noto Sans CJK SC" w:eastAsia="Noto Sans CJK SC"/>
                <w:b/>
                <w:color w:val="FFFFFF"/>
                <w:sz w:val="24"/>
              </w:rPr>
              <w:t>3</w:t>
            </w:r>
          </w:p>
        </w:tc>
        <w:tc>
          <w:tcPr>
            <w:tcW w:type="dxa" w:w="8391"/>
            <w:shd w:fill="D9EAF7"/>
            <w:tcMar>
              <w:top w:w="120" w:type="dxa"/>
              <w:start w:w="120" w:type="dxa"/>
              <w:bottom w:w="120" w:type="dxa"/>
              <w:end w:w="120" w:type="dxa"/>
            </w:tcMar>
            <w:vAlign w:val="center"/>
            <w:tcBorders>
              <w:top w:val="single" w:sz="4" w:color="FFFFFF"/>
              <w:left w:val="single" w:sz="4" w:color="FFFFFF"/>
              <w:bottom w:val="single" w:sz="4" w:color="FFFFFF"/>
              <w:right w:val="single" w:sz="4" w:color="FFFFFF"/>
            </w:tcBorders>
          </w:tcPr>
          <w:p>
            <w:pPr>
              <w:spacing w:after="40"/>
            </w:pPr>
            <w:r>
              <w:rPr>
                <w:rFonts w:ascii="Noto Sans CJK SC" w:hAnsi="Noto Sans CJK SC" w:eastAsia="Noto Sans CJK SC"/>
                <w:b/>
                <w:color w:val="1F4E78"/>
                <w:sz w:val="21"/>
              </w:rPr>
              <w:t>特征构建</w:t>
            </w:r>
          </w:p>
          <w:p>
            <w:pPr>
              <w:spacing w:after="0"/>
            </w:pPr>
            <w:r>
              <w:rPr>
                <w:rFonts w:ascii="Noto Sans CJK SC" w:hAnsi="Noto Sans CJK SC" w:eastAsia="Noto Sans CJK SC"/>
                <w:color w:val="1F2937"/>
                <w:sz w:val="19"/>
              </w:rPr>
              <w:t>形成辨识模型和分离模型所需的时序及辅助特征。</w:t>
            </w:r>
          </w:p>
        </w:tc>
      </w:tr>
      <w:tr>
        <w:trPr>
          <w:cantSplit/>
        </w:trPr>
        <w:tc>
          <w:tcPr>
            <w:tcW w:type="dxa" w:w="907"/>
            <w:shd w:fill="5B9BD5"/>
            <w:tcMar>
              <w:top w:w="120" w:type="dxa"/>
              <w:start w:w="120" w:type="dxa"/>
              <w:bottom w:w="120" w:type="dxa"/>
              <w:end w:w="120" w:type="dxa"/>
            </w:tcMar>
            <w:vAlign w:val="center"/>
            <w:tcBorders>
              <w:top w:val="single" w:sz="4" w:color="FFFFFF"/>
              <w:left w:val="single" w:sz="4" w:color="FFFFFF"/>
              <w:bottom w:val="single" w:sz="4" w:color="FFFFFF"/>
              <w:right w:val="single" w:sz="4" w:color="FFFFFF"/>
            </w:tcBorders>
          </w:tcPr>
          <w:p>
            <w:pPr>
              <w:jc w:val="center"/>
            </w:pPr>
            <w:r>
              <w:rPr>
                <w:rFonts w:ascii="Noto Sans CJK SC" w:hAnsi="Noto Sans CJK SC" w:eastAsia="Noto Sans CJK SC"/>
                <w:b/>
                <w:color w:val="FFFFFF"/>
                <w:sz w:val="24"/>
              </w:rPr>
              <w:t>4</w:t>
            </w:r>
          </w:p>
        </w:tc>
        <w:tc>
          <w:tcPr>
            <w:tcW w:type="dxa" w:w="8391"/>
            <w:shd w:fill="EDF4FA"/>
            <w:tcMar>
              <w:top w:w="120" w:type="dxa"/>
              <w:start w:w="120" w:type="dxa"/>
              <w:bottom w:w="120" w:type="dxa"/>
              <w:end w:w="120" w:type="dxa"/>
            </w:tcMar>
            <w:vAlign w:val="center"/>
            <w:tcBorders>
              <w:top w:val="single" w:sz="4" w:color="FFFFFF"/>
              <w:left w:val="single" w:sz="4" w:color="FFFFFF"/>
              <w:bottom w:val="single" w:sz="4" w:color="FFFFFF"/>
              <w:right w:val="single" w:sz="4" w:color="FFFFFF"/>
            </w:tcBorders>
          </w:tcPr>
          <w:p>
            <w:pPr>
              <w:spacing w:after="40"/>
            </w:pPr>
            <w:r>
              <w:rPr>
                <w:rFonts w:ascii="Noto Sans CJK SC" w:hAnsi="Noto Sans CJK SC" w:eastAsia="Noto Sans CJK SC"/>
                <w:b/>
                <w:color w:val="1F4E78"/>
                <w:sz w:val="21"/>
              </w:rPr>
              <w:t>模型运行</w:t>
            </w:r>
          </w:p>
          <w:p>
            <w:pPr>
              <w:spacing w:after="0"/>
            </w:pPr>
            <w:r>
              <w:rPr>
                <w:rFonts w:ascii="Noto Sans CJK SC" w:hAnsi="Noto Sans CJK SC" w:eastAsia="Noto Sans CJK SC"/>
                <w:color w:val="1F2937"/>
                <w:sz w:val="19"/>
              </w:rPr>
              <w:t>辨识模型按设定数据窗口和运行周期输出光储充存在性；分离模型每接收一个新的主站分钟数据点，即更新并输出该分钟的初始光伏功率。</w:t>
            </w:r>
          </w:p>
        </w:tc>
      </w:tr>
      <w:tr>
        <w:trPr>
          <w:cantSplit/>
        </w:trPr>
        <w:tc>
          <w:tcPr>
            <w:tcW w:type="dxa" w:w="907"/>
            <w:shd w:fill="5B9BD5"/>
            <w:tcMar>
              <w:top w:w="120" w:type="dxa"/>
              <w:start w:w="120" w:type="dxa"/>
              <w:bottom w:w="120" w:type="dxa"/>
              <w:end w:w="120" w:type="dxa"/>
            </w:tcMar>
            <w:vAlign w:val="center"/>
            <w:tcBorders>
              <w:top w:val="single" w:sz="4" w:color="FFFFFF"/>
              <w:left w:val="single" w:sz="4" w:color="FFFFFF"/>
              <w:bottom w:val="single" w:sz="4" w:color="FFFFFF"/>
              <w:right w:val="single" w:sz="4" w:color="FFFFFF"/>
            </w:tcBorders>
          </w:tcPr>
          <w:p>
            <w:pPr>
              <w:jc w:val="center"/>
            </w:pPr>
            <w:r>
              <w:rPr>
                <w:rFonts w:ascii="Noto Sans CJK SC" w:hAnsi="Noto Sans CJK SC" w:eastAsia="Noto Sans CJK SC"/>
                <w:b/>
                <w:color w:val="FFFFFF"/>
                <w:sz w:val="24"/>
              </w:rPr>
              <w:t>5</w:t>
            </w:r>
          </w:p>
        </w:tc>
        <w:tc>
          <w:tcPr>
            <w:tcW w:type="dxa" w:w="8391"/>
            <w:shd w:fill="D9EAF7"/>
            <w:tcMar>
              <w:top w:w="120" w:type="dxa"/>
              <w:start w:w="120" w:type="dxa"/>
              <w:bottom w:w="120" w:type="dxa"/>
              <w:end w:w="120" w:type="dxa"/>
            </w:tcMar>
            <w:vAlign w:val="center"/>
            <w:tcBorders>
              <w:top w:val="single" w:sz="4" w:color="FFFFFF"/>
              <w:left w:val="single" w:sz="4" w:color="FFFFFF"/>
              <w:bottom w:val="single" w:sz="4" w:color="FFFFFF"/>
              <w:right w:val="single" w:sz="4" w:color="FFFFFF"/>
            </w:tcBorders>
          </w:tcPr>
          <w:p>
            <w:pPr>
              <w:spacing w:after="40"/>
            </w:pPr>
            <w:r>
              <w:rPr>
                <w:rFonts w:ascii="Noto Sans CJK SC" w:hAnsi="Noto Sans CJK SC" w:eastAsia="Noto Sans CJK SC"/>
                <w:b/>
                <w:color w:val="1F4E78"/>
                <w:sz w:val="21"/>
              </w:rPr>
              <w:t>分站数据不定期回传</w:t>
            </w:r>
          </w:p>
          <w:p>
            <w:pPr>
              <w:spacing w:after="0"/>
            </w:pPr>
            <w:r>
              <w:rPr>
                <w:rFonts w:ascii="Noto Sans CJK SC" w:hAnsi="Noto Sans CJK SC" w:eastAsia="Noto Sans CJK SC"/>
                <w:color w:val="1F2937"/>
                <w:sz w:val="19"/>
              </w:rPr>
              <w:t>接收15分钟级光伏数据，记录到达时间、覆盖时段和参与节点。</w:t>
            </w:r>
          </w:p>
        </w:tc>
      </w:tr>
      <w:tr>
        <w:trPr>
          <w:cantSplit/>
        </w:trPr>
        <w:tc>
          <w:tcPr>
            <w:tcW w:type="dxa" w:w="907"/>
            <w:shd w:fill="5B9BD5"/>
            <w:tcMar>
              <w:top w:w="120" w:type="dxa"/>
              <w:start w:w="120" w:type="dxa"/>
              <w:bottom w:w="120" w:type="dxa"/>
              <w:end w:w="120" w:type="dxa"/>
            </w:tcMar>
            <w:vAlign w:val="center"/>
            <w:tcBorders>
              <w:top w:val="single" w:sz="4" w:color="FFFFFF"/>
              <w:left w:val="single" w:sz="4" w:color="FFFFFF"/>
              <w:bottom w:val="single" w:sz="4" w:color="FFFFFF"/>
              <w:right w:val="single" w:sz="4" w:color="FFFFFF"/>
            </w:tcBorders>
          </w:tcPr>
          <w:p>
            <w:pPr>
              <w:jc w:val="center"/>
            </w:pPr>
            <w:r>
              <w:rPr>
                <w:rFonts w:ascii="Noto Sans CJK SC" w:hAnsi="Noto Sans CJK SC" w:eastAsia="Noto Sans CJK SC"/>
                <w:b/>
                <w:color w:val="FFFFFF"/>
                <w:sz w:val="24"/>
              </w:rPr>
              <w:t>6</w:t>
            </w:r>
          </w:p>
        </w:tc>
        <w:tc>
          <w:tcPr>
            <w:tcW w:type="dxa" w:w="8391"/>
            <w:shd w:fill="EDF4FA"/>
            <w:tcMar>
              <w:top w:w="120" w:type="dxa"/>
              <w:start w:w="120" w:type="dxa"/>
              <w:bottom w:w="120" w:type="dxa"/>
              <w:end w:w="120" w:type="dxa"/>
            </w:tcMar>
            <w:vAlign w:val="center"/>
            <w:tcBorders>
              <w:top w:val="single" w:sz="4" w:color="FFFFFF"/>
              <w:left w:val="single" w:sz="4" w:color="FFFFFF"/>
              <w:bottom w:val="single" w:sz="4" w:color="FFFFFF"/>
              <w:right w:val="single" w:sz="4" w:color="FFFFFF"/>
            </w:tcBorders>
          </w:tcPr>
          <w:p>
            <w:pPr>
              <w:spacing w:after="40"/>
            </w:pPr>
            <w:r>
              <w:rPr>
                <w:rFonts w:ascii="Noto Sans CJK SC" w:hAnsi="Noto Sans CJK SC" w:eastAsia="Noto Sans CJK SC"/>
                <w:b/>
                <w:color w:val="1F4E78"/>
                <w:sz w:val="21"/>
              </w:rPr>
              <w:t>分站同期汇总</w:t>
            </w:r>
          </w:p>
          <w:p>
            <w:pPr>
              <w:spacing w:after="0"/>
            </w:pPr>
            <w:r>
              <w:rPr>
                <w:rFonts w:ascii="Noto Sans CJK SC" w:hAnsi="Noto Sans CJK SC" w:eastAsia="Noto Sans CJK SC"/>
                <w:color w:val="1F2937"/>
                <w:sz w:val="19"/>
              </w:rPr>
              <w:t>将多个光伏分站同一15分钟时段的数据汇总为台区光伏参考值。</w:t>
            </w:r>
          </w:p>
        </w:tc>
      </w:tr>
      <w:tr>
        <w:trPr>
          <w:cantSplit/>
        </w:trPr>
        <w:tc>
          <w:tcPr>
            <w:tcW w:type="dxa" w:w="907"/>
            <w:shd w:fill="5B9BD5"/>
            <w:tcMar>
              <w:top w:w="120" w:type="dxa"/>
              <w:start w:w="120" w:type="dxa"/>
              <w:bottom w:w="120" w:type="dxa"/>
              <w:end w:w="120" w:type="dxa"/>
            </w:tcMar>
            <w:vAlign w:val="center"/>
            <w:tcBorders>
              <w:top w:val="single" w:sz="4" w:color="FFFFFF"/>
              <w:left w:val="single" w:sz="4" w:color="FFFFFF"/>
              <w:bottom w:val="single" w:sz="4" w:color="FFFFFF"/>
              <w:right w:val="single" w:sz="4" w:color="FFFFFF"/>
            </w:tcBorders>
          </w:tcPr>
          <w:p>
            <w:pPr>
              <w:jc w:val="center"/>
            </w:pPr>
            <w:r>
              <w:rPr>
                <w:rFonts w:ascii="Noto Sans CJK SC" w:hAnsi="Noto Sans CJK SC" w:eastAsia="Noto Sans CJK SC"/>
                <w:b/>
                <w:color w:val="FFFFFF"/>
                <w:sz w:val="24"/>
              </w:rPr>
              <w:t>7</w:t>
            </w:r>
          </w:p>
        </w:tc>
        <w:tc>
          <w:tcPr>
            <w:tcW w:type="dxa" w:w="8391"/>
            <w:shd w:fill="D9EAF7"/>
            <w:tcMar>
              <w:top w:w="120" w:type="dxa"/>
              <w:start w:w="120" w:type="dxa"/>
              <w:bottom w:w="120" w:type="dxa"/>
              <w:end w:w="120" w:type="dxa"/>
            </w:tcMar>
            <w:vAlign w:val="center"/>
            <w:tcBorders>
              <w:top w:val="single" w:sz="4" w:color="FFFFFF"/>
              <w:left w:val="single" w:sz="4" w:color="FFFFFF"/>
              <w:bottom w:val="single" w:sz="4" w:color="FFFFFF"/>
              <w:right w:val="single" w:sz="4" w:color="FFFFFF"/>
            </w:tcBorders>
          </w:tcPr>
          <w:p>
            <w:pPr>
              <w:spacing w:after="40"/>
            </w:pPr>
            <w:r>
              <w:rPr>
                <w:rFonts w:ascii="Noto Sans CJK SC" w:hAnsi="Noto Sans CJK SC" w:eastAsia="Noto Sans CJK SC"/>
                <w:b/>
                <w:color w:val="1F4E78"/>
                <w:sz w:val="21"/>
              </w:rPr>
              <w:t>主站结果聚合</w:t>
            </w:r>
          </w:p>
          <w:p>
            <w:pPr>
              <w:spacing w:after="0"/>
            </w:pPr>
            <w:r>
              <w:rPr>
                <w:rFonts w:ascii="Noto Sans CJK SC" w:hAnsi="Noto Sans CJK SC" w:eastAsia="Noto Sans CJK SC"/>
                <w:color w:val="1F2937"/>
                <w:sz w:val="19"/>
              </w:rPr>
              <w:t>将对应时段的1分钟级光伏分离结果聚合为15分钟口径。</w:t>
            </w:r>
          </w:p>
        </w:tc>
      </w:tr>
      <w:tr>
        <w:trPr>
          <w:cantSplit/>
        </w:trPr>
        <w:tc>
          <w:tcPr>
            <w:tcW w:type="dxa" w:w="907"/>
            <w:shd w:fill="5B9BD5"/>
            <w:tcMar>
              <w:top w:w="120" w:type="dxa"/>
              <w:start w:w="120" w:type="dxa"/>
              <w:bottom w:w="120" w:type="dxa"/>
              <w:end w:w="120" w:type="dxa"/>
            </w:tcMar>
            <w:vAlign w:val="center"/>
            <w:tcBorders>
              <w:top w:val="single" w:sz="4" w:color="FFFFFF"/>
              <w:left w:val="single" w:sz="4" w:color="FFFFFF"/>
              <w:bottom w:val="single" w:sz="4" w:color="FFFFFF"/>
              <w:right w:val="single" w:sz="4" w:color="FFFFFF"/>
            </w:tcBorders>
          </w:tcPr>
          <w:p>
            <w:pPr>
              <w:jc w:val="center"/>
            </w:pPr>
            <w:r>
              <w:rPr>
                <w:rFonts w:ascii="Noto Sans CJK SC" w:hAnsi="Noto Sans CJK SC" w:eastAsia="Noto Sans CJK SC"/>
                <w:b/>
                <w:color w:val="FFFFFF"/>
                <w:sz w:val="24"/>
              </w:rPr>
              <w:t>8</w:t>
            </w:r>
          </w:p>
        </w:tc>
        <w:tc>
          <w:tcPr>
            <w:tcW w:type="dxa" w:w="8391"/>
            <w:shd w:fill="EDF4FA"/>
            <w:tcMar>
              <w:top w:w="120" w:type="dxa"/>
              <w:start w:w="120" w:type="dxa"/>
              <w:bottom w:w="120" w:type="dxa"/>
              <w:end w:w="120" w:type="dxa"/>
            </w:tcMar>
            <w:vAlign w:val="center"/>
            <w:tcBorders>
              <w:top w:val="single" w:sz="4" w:color="FFFFFF"/>
              <w:left w:val="single" w:sz="4" w:color="FFFFFF"/>
              <w:bottom w:val="single" w:sz="4" w:color="FFFFFF"/>
              <w:right w:val="single" w:sz="4" w:color="FFFFFF"/>
            </w:tcBorders>
          </w:tcPr>
          <w:p>
            <w:pPr>
              <w:spacing w:after="40"/>
            </w:pPr>
            <w:r>
              <w:rPr>
                <w:rFonts w:ascii="Noto Sans CJK SC" w:hAnsi="Noto Sans CJK SC" w:eastAsia="Noto Sans CJK SC"/>
                <w:b/>
                <w:color w:val="1F4E78"/>
                <w:sz w:val="21"/>
              </w:rPr>
              <w:t>同期比较与偏差计算</w:t>
            </w:r>
          </w:p>
          <w:p>
            <w:pPr>
              <w:spacing w:after="0"/>
            </w:pPr>
            <w:r>
              <w:rPr>
                <w:rFonts w:ascii="Noto Sans CJK SC" w:hAnsi="Noto Sans CJK SC" w:eastAsia="Noto Sans CJK SC"/>
                <w:color w:val="1F2937"/>
                <w:sz w:val="19"/>
              </w:rPr>
              <w:t>比较主站聚合结果与分站汇总结果，计算偏差及校正置信度。</w:t>
            </w:r>
          </w:p>
        </w:tc>
      </w:tr>
      <w:tr>
        <w:trPr>
          <w:cantSplit/>
        </w:trPr>
        <w:tc>
          <w:tcPr>
            <w:tcW w:type="dxa" w:w="907"/>
            <w:shd w:fill="5B9BD5"/>
            <w:tcMar>
              <w:top w:w="120" w:type="dxa"/>
              <w:start w:w="120" w:type="dxa"/>
              <w:bottom w:w="120" w:type="dxa"/>
              <w:end w:w="120" w:type="dxa"/>
            </w:tcMar>
            <w:vAlign w:val="center"/>
            <w:tcBorders>
              <w:top w:val="single" w:sz="4" w:color="FFFFFF"/>
              <w:left w:val="single" w:sz="4" w:color="FFFFFF"/>
              <w:bottom w:val="single" w:sz="4" w:color="FFFFFF"/>
              <w:right w:val="single" w:sz="4" w:color="FFFFFF"/>
            </w:tcBorders>
          </w:tcPr>
          <w:p>
            <w:pPr>
              <w:jc w:val="center"/>
            </w:pPr>
            <w:r>
              <w:rPr>
                <w:rFonts w:ascii="Noto Sans CJK SC" w:hAnsi="Noto Sans CJK SC" w:eastAsia="Noto Sans CJK SC"/>
                <w:b/>
                <w:color w:val="FFFFFF"/>
                <w:sz w:val="24"/>
              </w:rPr>
              <w:t>9</w:t>
            </w:r>
          </w:p>
        </w:tc>
        <w:tc>
          <w:tcPr>
            <w:tcW w:type="dxa" w:w="8391"/>
            <w:shd w:fill="D9EAF7"/>
            <w:tcMar>
              <w:top w:w="120" w:type="dxa"/>
              <w:start w:w="120" w:type="dxa"/>
              <w:bottom w:w="120" w:type="dxa"/>
              <w:end w:w="120" w:type="dxa"/>
            </w:tcMar>
            <w:vAlign w:val="center"/>
            <w:tcBorders>
              <w:top w:val="single" w:sz="4" w:color="FFFFFF"/>
              <w:left w:val="single" w:sz="4" w:color="FFFFFF"/>
              <w:bottom w:val="single" w:sz="4" w:color="FFFFFF"/>
              <w:right w:val="single" w:sz="4" w:color="FFFFFF"/>
            </w:tcBorders>
          </w:tcPr>
          <w:p>
            <w:pPr>
              <w:spacing w:after="40"/>
            </w:pPr>
            <w:r>
              <w:rPr>
                <w:rFonts w:ascii="Noto Sans CJK SC" w:hAnsi="Noto Sans CJK SC" w:eastAsia="Noto Sans CJK SC"/>
                <w:b/>
                <w:color w:val="1F4E78"/>
                <w:sz w:val="21"/>
              </w:rPr>
              <w:t>历史回补及状态更新</w:t>
            </w:r>
          </w:p>
          <w:p>
            <w:pPr>
              <w:spacing w:after="0"/>
            </w:pPr>
            <w:r>
              <w:rPr>
                <w:rFonts w:ascii="Noto Sans CJK SC" w:hAnsi="Noto Sans CJK SC" w:eastAsia="Noto Sans CJK SC"/>
                <w:color w:val="1F2937"/>
                <w:sz w:val="19"/>
              </w:rPr>
              <w:t>保留原分钟曲线形状，校正历史幅值或总量，并更新后续校正状态。</w:t>
            </w:r>
          </w:p>
        </w:tc>
      </w:tr>
      <w:tr>
        <w:trPr>
          <w:cantSplit/>
        </w:trPr>
        <w:tc>
          <w:tcPr>
            <w:tcW w:type="dxa" w:w="907"/>
            <w:shd w:fill="5B9BD5"/>
            <w:tcMar>
              <w:top w:w="120" w:type="dxa"/>
              <w:start w:w="120" w:type="dxa"/>
              <w:bottom w:w="120" w:type="dxa"/>
              <w:end w:w="120" w:type="dxa"/>
            </w:tcMar>
            <w:vAlign w:val="center"/>
            <w:tcBorders>
              <w:top w:val="single" w:sz="4" w:color="FFFFFF"/>
              <w:left w:val="single" w:sz="4" w:color="FFFFFF"/>
              <w:bottom w:val="single" w:sz="4" w:color="FFFFFF"/>
              <w:right w:val="single" w:sz="4" w:color="FFFFFF"/>
            </w:tcBorders>
          </w:tcPr>
          <w:p>
            <w:pPr>
              <w:jc w:val="center"/>
            </w:pPr>
            <w:r>
              <w:rPr>
                <w:rFonts w:ascii="Noto Sans CJK SC" w:hAnsi="Noto Sans CJK SC" w:eastAsia="Noto Sans CJK SC"/>
                <w:b/>
                <w:color w:val="FFFFFF"/>
                <w:sz w:val="24"/>
              </w:rPr>
              <w:t>10</w:t>
            </w:r>
          </w:p>
        </w:tc>
        <w:tc>
          <w:tcPr>
            <w:tcW w:type="dxa" w:w="8391"/>
            <w:shd w:fill="EDF4FA"/>
            <w:tcMar>
              <w:top w:w="120" w:type="dxa"/>
              <w:start w:w="120" w:type="dxa"/>
              <w:bottom w:w="120" w:type="dxa"/>
              <w:end w:w="120" w:type="dxa"/>
            </w:tcMar>
            <w:vAlign w:val="center"/>
            <w:tcBorders>
              <w:top w:val="single" w:sz="4" w:color="FFFFFF"/>
              <w:left w:val="single" w:sz="4" w:color="FFFFFF"/>
              <w:bottom w:val="single" w:sz="4" w:color="FFFFFF"/>
              <w:right w:val="single" w:sz="4" w:color="FFFFFF"/>
            </w:tcBorders>
          </w:tcPr>
          <w:p>
            <w:pPr>
              <w:spacing w:after="40"/>
            </w:pPr>
            <w:r>
              <w:rPr>
                <w:rFonts w:ascii="Noto Sans CJK SC" w:hAnsi="Noto Sans CJK SC" w:eastAsia="Noto Sans CJK SC"/>
                <w:b/>
                <w:color w:val="1F4E78"/>
                <w:sz w:val="21"/>
              </w:rPr>
              <w:t>持续结果输出</w:t>
            </w:r>
          </w:p>
          <w:p>
            <w:pPr>
              <w:spacing w:after="0"/>
            </w:pPr>
            <w:r>
              <w:rPr>
                <w:rFonts w:ascii="Noto Sans CJK SC" w:hAnsi="Noto Sans CJK SC" w:eastAsia="Noto Sans CJK SC"/>
                <w:color w:val="1F2937"/>
                <w:sz w:val="19"/>
              </w:rPr>
              <w:t>持续输出光储充辨识结果、实时初始分离结果及已反馈校正的历史分钟级光伏功率。</w:t>
            </w:r>
          </w:p>
        </w:tc>
      </w:tr>
    </w:tbl>
    <w:p>
      <w:pPr>
        <w:spacing w:after="0"/>
      </w:pPr>
    </w:p>
    <w:p>
      <w:pPr>
        <w:pStyle w:val="Heading1"/>
        <w:keepNext/>
        <w:spacing w:before="200" w:after="120" w:line="288" w:lineRule="auto"/>
      </w:pPr>
    </w:p>
    <w:p>
      <w:pPr>
        <w:pStyle w:val="Heading2"/>
        <w:keepNext/>
        <w:spacing w:before="120" w:after="120" w:line="288" w:lineRule="auto"/>
      </w:pPr>
    </w:p>
    <w:tbl>
      <w:tblPr>
        <w:tblW w:type="auto" w:w="0"/>
        <w:jc w:val="center"/>
        <w:tblLayout w:type="fixed"/>
        <w:tblLook w:firstColumn="1" w:firstRow="1" w:lastColumn="0" w:lastRow="0" w:noHBand="0" w:noVBand="1" w:val="04A0"/>
      </w:tblPr>
      <w:tblGrid>
        <w:gridCol w:w="3061"/>
        <w:gridCol w:w="3061"/>
        <w:gridCol w:w="3061"/>
      </w:tblGrid>
      <w:tr>
        <w:trPr>
          <w:tblHeader w:val="true"/>
          <w:cantSplit/>
        </w:trPr>
        <w:tc>
          <w:tcPr>
            <w:tcW w:type="dxa" w:w="1247"/>
            <w:shd w:fill="1F4E7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center"/>
            </w:pPr>
            <w:r>
              <w:rPr>
                <w:rFonts w:ascii="Noto Sans CJK SC" w:hAnsi="Noto Sans CJK SC" w:eastAsia="Noto Sans CJK SC"/>
                <w:b/>
                <w:color w:val="FFFFFF"/>
                <w:sz w:val="19"/>
              </w:rPr>
              <w:t>编号</w:t>
            </w:r>
          </w:p>
        </w:tc>
        <w:tc>
          <w:tcPr>
            <w:tcW w:type="dxa" w:w="6690"/>
            <w:shd w:fill="1F4E7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center"/>
            </w:pPr>
            <w:r>
              <w:rPr>
                <w:rFonts w:ascii="Noto Sans CJK SC" w:hAnsi="Noto Sans CJK SC" w:eastAsia="Noto Sans CJK SC"/>
                <w:b/>
                <w:color w:val="FFFFFF"/>
                <w:sz w:val="19"/>
              </w:rPr>
              <w:t>功能要求</w:t>
            </w:r>
          </w:p>
        </w:tc>
        <w:tc>
          <w:tcPr>
            <w:tcW w:type="dxa" w:w="1417"/>
            <w:shd w:fill="1F4E7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center"/>
            </w:pPr>
            <w:r>
              <w:rPr>
                <w:rFonts w:ascii="Noto Sans CJK SC" w:hAnsi="Noto Sans CJK SC" w:eastAsia="Noto Sans CJK SC"/>
                <w:b/>
                <w:color w:val="FFFFFF"/>
                <w:sz w:val="19"/>
              </w:rPr>
              <w:t>优先级</w:t>
            </w:r>
          </w:p>
        </w:tc>
      </w:tr>
      <w:tr>
        <w:trPr>
          <w:cantSplit/>
        </w:trPr>
        <w:tc>
          <w:tcPr>
            <w:tcW w:type="dxa" w:w="1247"/>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FR-001</w:t>
            </w:r>
          </w:p>
        </w:tc>
        <w:tc>
          <w:tcPr>
            <w:tcW w:type="dxa" w:w="6690"/>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接入1分钟级台区综合功率数据，并显示最新时间和覆盖范围。</w:t>
            </w:r>
          </w:p>
        </w:tc>
        <w:tc>
          <w:tcPr>
            <w:tcW w:type="dxa" w:w="1417"/>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高</w:t>
            </w:r>
          </w:p>
        </w:tc>
      </w:tr>
      <w:tr>
        <w:trPr>
          <w:cantSplit/>
        </w:trPr>
        <w:tc>
          <w:tcPr>
            <w:tcW w:type="dxa" w:w="1247"/>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FR-002</w:t>
            </w:r>
          </w:p>
        </w:tc>
        <w:tc>
          <w:tcPr>
            <w:tcW w:type="dxa" w:w="6690"/>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检查时间戳重复、缺失和乱序，保留原始数据与处理后数据。</w:t>
            </w:r>
          </w:p>
        </w:tc>
        <w:tc>
          <w:tcPr>
            <w:tcW w:type="dxa" w:w="1417"/>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高</w:t>
            </w:r>
          </w:p>
        </w:tc>
      </w:tr>
      <w:tr>
        <w:trPr>
          <w:cantSplit/>
        </w:trPr>
        <w:tc>
          <w:tcPr>
            <w:tcW w:type="dxa" w:w="1247"/>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FR-003</w:t>
            </w:r>
          </w:p>
        </w:tc>
        <w:tc>
          <w:tcPr>
            <w:tcW w:type="dxa" w:w="6690"/>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支持文件导入，后续可扩展为接口接入。</w:t>
            </w:r>
          </w:p>
        </w:tc>
        <w:tc>
          <w:tcPr>
            <w:tcW w:type="dxa" w:w="1417"/>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高</w:t>
            </w:r>
          </w:p>
        </w:tc>
      </w:tr>
      <w:tr>
        <w:trPr>
          <w:cantSplit/>
        </w:trPr>
        <w:tc>
          <w:tcPr>
            <w:tcW w:type="dxa" w:w="1247"/>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FR-004</w:t>
            </w:r>
          </w:p>
        </w:tc>
        <w:tc>
          <w:tcPr>
            <w:tcW w:type="dxa" w:w="6690"/>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支持可选接入无功、电压、电流、功率因数等辅助量。</w:t>
            </w:r>
          </w:p>
        </w:tc>
        <w:tc>
          <w:tcPr>
            <w:tcW w:type="dxa" w:w="1417"/>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中</w:t>
            </w:r>
          </w:p>
        </w:tc>
      </w:tr>
      <w:tr>
        <w:trPr>
          <w:cantSplit/>
        </w:trPr>
        <w:tc>
          <w:tcPr>
            <w:tcW w:type="dxa" w:w="1247"/>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FR-005</w:t>
            </w:r>
          </w:p>
        </w:tc>
        <w:tc>
          <w:tcPr>
            <w:tcW w:type="dxa" w:w="6690"/>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每接收到一个新的1分钟级台区综合功率数据点，应自动触发或更新光伏分离处理。</w:t>
            </w:r>
          </w:p>
        </w:tc>
        <w:tc>
          <w:tcPr>
            <w:tcW w:type="dxa" w:w="1417"/>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高</w:t>
            </w:r>
          </w:p>
        </w:tc>
      </w:tr>
      <w:tr>
        <w:trPr>
          <w:cantSplit/>
        </w:trPr>
        <w:tc>
          <w:tcPr>
            <w:tcW w:type="dxa" w:w="1247"/>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FR-006</w:t>
            </w:r>
          </w:p>
        </w:tc>
        <w:tc>
          <w:tcPr>
            <w:tcW w:type="dxa" w:w="6690"/>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主站分钟级光伏分离不得以分站15分钟级数据到达作为前置条件。</w:t>
            </w:r>
          </w:p>
        </w:tc>
        <w:tc>
          <w:tcPr>
            <w:tcW w:type="dxa" w:w="1417"/>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高</w:t>
            </w:r>
          </w:p>
        </w:tc>
      </w:tr>
    </w:tbl>
    <w:p>
      <w:pPr>
        <w:spacing w:after="0"/>
      </w:pPr>
    </w:p>
    <w:p>
      <w:pPr>
        <w:pStyle w:val="Heading2"/>
        <w:keepNext/>
        <w:spacing w:before="120" w:after="120" w:line="288" w:lineRule="auto"/>
      </w:pPr>
    </w:p>
    <w:tbl>
      <w:tblPr>
        <w:tblW w:type="auto" w:w="0"/>
        <w:jc w:val="center"/>
        <w:tblLayout w:type="fixed"/>
        <w:tblLook w:firstColumn="1" w:firstRow="1" w:lastColumn="0" w:lastRow="0" w:noHBand="0" w:noVBand="1" w:val="04A0"/>
      </w:tblPr>
      <w:tblGrid>
        <w:gridCol w:w="3061"/>
        <w:gridCol w:w="3061"/>
        <w:gridCol w:w="3061"/>
      </w:tblGrid>
      <w:tr>
        <w:trPr>
          <w:tblHeader w:val="true"/>
          <w:cantSplit/>
        </w:trPr>
        <w:tc>
          <w:tcPr>
            <w:tcW w:type="dxa" w:w="1247"/>
            <w:shd w:fill="1F4E7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center"/>
            </w:pPr>
            <w:r>
              <w:rPr>
                <w:rFonts w:ascii="Noto Sans CJK SC" w:hAnsi="Noto Sans CJK SC" w:eastAsia="Noto Sans CJK SC"/>
                <w:b/>
                <w:color w:val="FFFFFF"/>
                <w:sz w:val="19"/>
              </w:rPr>
              <w:t>编号</w:t>
            </w:r>
          </w:p>
        </w:tc>
        <w:tc>
          <w:tcPr>
            <w:tcW w:type="dxa" w:w="6690"/>
            <w:shd w:fill="1F4E7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center"/>
            </w:pPr>
            <w:r>
              <w:rPr>
                <w:rFonts w:ascii="Noto Sans CJK SC" w:hAnsi="Noto Sans CJK SC" w:eastAsia="Noto Sans CJK SC"/>
                <w:b/>
                <w:color w:val="FFFFFF"/>
                <w:sz w:val="19"/>
              </w:rPr>
              <w:t>功能要求</w:t>
            </w:r>
          </w:p>
        </w:tc>
        <w:tc>
          <w:tcPr>
            <w:tcW w:type="dxa" w:w="1417"/>
            <w:shd w:fill="1F4E7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center"/>
            </w:pPr>
            <w:r>
              <w:rPr>
                <w:rFonts w:ascii="Noto Sans CJK SC" w:hAnsi="Noto Sans CJK SC" w:eastAsia="Noto Sans CJK SC"/>
                <w:b/>
                <w:color w:val="FFFFFF"/>
                <w:sz w:val="19"/>
              </w:rPr>
              <w:t>优先级</w:t>
            </w:r>
          </w:p>
        </w:tc>
      </w:tr>
      <w:tr>
        <w:trPr>
          <w:cantSplit/>
        </w:trPr>
        <w:tc>
          <w:tcPr>
            <w:tcW w:type="dxa" w:w="1247"/>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FR-010</w:t>
            </w:r>
          </w:p>
        </w:tc>
        <w:tc>
          <w:tcPr>
            <w:tcW w:type="dxa" w:w="6690"/>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接入多个分站15分钟级光伏数据。</w:t>
            </w:r>
          </w:p>
        </w:tc>
        <w:tc>
          <w:tcPr>
            <w:tcW w:type="dxa" w:w="1417"/>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高</w:t>
            </w:r>
          </w:p>
        </w:tc>
      </w:tr>
      <w:tr>
        <w:trPr>
          <w:cantSplit/>
        </w:trPr>
        <w:tc>
          <w:tcPr>
            <w:tcW w:type="dxa" w:w="1247"/>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FR-011</w:t>
            </w:r>
          </w:p>
        </w:tc>
        <w:tc>
          <w:tcPr>
            <w:tcW w:type="dxa" w:w="6690"/>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记录节点编号、数据对应时间、到达时间、批次编号和覆盖时段。</w:t>
            </w:r>
          </w:p>
        </w:tc>
        <w:tc>
          <w:tcPr>
            <w:tcW w:type="dxa" w:w="1417"/>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高</w:t>
            </w:r>
          </w:p>
        </w:tc>
      </w:tr>
      <w:tr>
        <w:trPr>
          <w:cantSplit/>
        </w:trPr>
        <w:tc>
          <w:tcPr>
            <w:tcW w:type="dxa" w:w="1247"/>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FR-012</w:t>
            </w:r>
          </w:p>
        </w:tc>
        <w:tc>
          <w:tcPr>
            <w:tcW w:type="dxa" w:w="6690"/>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根据到达记录自动计算实际回传间隔，不将15分钟粒度等同于15分钟回传。</w:t>
            </w:r>
          </w:p>
        </w:tc>
        <w:tc>
          <w:tcPr>
            <w:tcW w:type="dxa" w:w="1417"/>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高</w:t>
            </w:r>
          </w:p>
        </w:tc>
      </w:tr>
      <w:tr>
        <w:trPr>
          <w:cantSplit/>
        </w:trPr>
        <w:tc>
          <w:tcPr>
            <w:tcW w:type="dxa" w:w="1247"/>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FR-013</w:t>
            </w:r>
          </w:p>
        </w:tc>
        <w:tc>
          <w:tcPr>
            <w:tcW w:type="dxa" w:w="6690"/>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识别参与节点、缺失节点、数据点完整率和装机容量覆盖率。</w:t>
            </w:r>
          </w:p>
        </w:tc>
        <w:tc>
          <w:tcPr>
            <w:tcW w:type="dxa" w:w="1417"/>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高</w:t>
            </w:r>
          </w:p>
        </w:tc>
      </w:tr>
      <w:tr>
        <w:trPr>
          <w:cantSplit/>
        </w:trPr>
        <w:tc>
          <w:tcPr>
            <w:tcW w:type="dxa" w:w="1247"/>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FR-014</w:t>
            </w:r>
          </w:p>
        </w:tc>
        <w:tc>
          <w:tcPr>
            <w:tcW w:type="dxa" w:w="6690"/>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支持不规则回传和一次回传多个历史15分钟数据点。</w:t>
            </w:r>
          </w:p>
        </w:tc>
        <w:tc>
          <w:tcPr>
            <w:tcW w:type="dxa" w:w="1417"/>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高</w:t>
            </w:r>
          </w:p>
        </w:tc>
      </w:tr>
    </w:tbl>
    <w:p>
      <w:pPr>
        <w:spacing w:after="0"/>
      </w:pPr>
    </w:p>
    <w:p>
      <w:pPr>
        <w:pStyle w:val="Heading2"/>
        <w:keepNext/>
        <w:spacing w:before="120" w:after="120" w:line="288" w:lineRule="auto"/>
      </w:pPr>
    </w:p>
    <w:p>
      <w:pPr>
        <w:pStyle w:val="ListBullet"/>
        <w:spacing w:before="0" w:after="60" w:line="324" w:lineRule="auto"/>
      </w:pPr>
      <w:r>
        <w:rPr>
          <w:rFonts w:ascii="Noto Sans CJK SC" w:hAnsi="Noto Sans CJK SC" w:eastAsia="Noto Sans CJK SC"/>
          <w:color w:val="1F2937"/>
          <w:sz w:val="21"/>
        </w:rPr>
        <w:t>统一时间格式和时区口径；</w:t>
      </w:r>
    </w:p>
    <w:p>
      <w:pPr>
        <w:pStyle w:val="ListBullet"/>
        <w:spacing w:before="0" w:after="60" w:line="324" w:lineRule="auto"/>
      </w:pPr>
      <w:r>
        <w:rPr>
          <w:rFonts w:ascii="Noto Sans CJK SC" w:hAnsi="Noto Sans CJK SC" w:eastAsia="Noto Sans CJK SC"/>
          <w:color w:val="1F2937"/>
          <w:sz w:val="21"/>
        </w:rPr>
        <w:t>完成数据排序、重复处理、缺失检查和异常值标记；</w:t>
      </w:r>
    </w:p>
    <w:p>
      <w:pPr>
        <w:pStyle w:val="ListBullet"/>
        <w:spacing w:before="0" w:after="60" w:line="324" w:lineRule="auto"/>
      </w:pPr>
      <w:r>
        <w:rPr>
          <w:rFonts w:ascii="Noto Sans CJK SC" w:hAnsi="Noto Sans CJK SC" w:eastAsia="Noto Sans CJK SC"/>
          <w:color w:val="1F2937"/>
          <w:sz w:val="21"/>
        </w:rPr>
        <w:t>生成主站分钟级模型输入；</w:t>
      </w:r>
    </w:p>
    <w:p>
      <w:pPr>
        <w:pStyle w:val="ListBullet"/>
        <w:spacing w:before="0" w:after="60" w:line="324" w:lineRule="auto"/>
      </w:pPr>
      <w:r>
        <w:rPr>
          <w:rFonts w:ascii="Noto Sans CJK SC" w:hAnsi="Noto Sans CJK SC" w:eastAsia="Noto Sans CJK SC"/>
          <w:color w:val="1F2937"/>
          <w:sz w:val="21"/>
        </w:rPr>
        <w:t>识别分站15分钟数据的功率或电量口径；</w:t>
      </w:r>
    </w:p>
    <w:p>
      <w:pPr>
        <w:pStyle w:val="ListBullet"/>
        <w:spacing w:before="0" w:after="60" w:line="324" w:lineRule="auto"/>
      </w:pPr>
      <w:r>
        <w:rPr>
          <w:rFonts w:ascii="Noto Sans CJK SC" w:hAnsi="Noto Sans CJK SC" w:eastAsia="Noto Sans CJK SC"/>
          <w:color w:val="1F2937"/>
          <w:sz w:val="21"/>
        </w:rPr>
        <w:t>将主站1分钟级光伏分离结果聚合至15分钟口径；</w:t>
      </w:r>
    </w:p>
    <w:p>
      <w:pPr>
        <w:pStyle w:val="ListBullet"/>
        <w:spacing w:before="0" w:after="60" w:line="324" w:lineRule="auto"/>
      </w:pPr>
      <w:r>
        <w:rPr>
          <w:rFonts w:ascii="Noto Sans CJK SC" w:hAnsi="Noto Sans CJK SC" w:eastAsia="Noto Sans CJK SC"/>
          <w:color w:val="1F2937"/>
          <w:sz w:val="21"/>
        </w:rPr>
        <w:t>将多个分站同期数据汇总为台区光伏参考值；</w:t>
      </w:r>
    </w:p>
    <w:p>
      <w:pPr>
        <w:pStyle w:val="ListBullet"/>
        <w:spacing w:before="0" w:after="60" w:line="324" w:lineRule="auto"/>
      </w:pPr>
      <w:r>
        <w:rPr>
          <w:rFonts w:ascii="Noto Sans CJK SC" w:hAnsi="Noto Sans CJK SC" w:eastAsia="Noto Sans CJK SC"/>
          <w:color w:val="1F2937"/>
          <w:sz w:val="21"/>
        </w:rPr>
        <w:t>计算数据完整率、节点覆盖率和容量覆盖率。</w:t>
      </w:r>
    </w:p>
    <w:p>
      <w:pPr>
        <w:pStyle w:val="Heading2"/>
        <w:keepNext/>
        <w:spacing w:before="120" w:after="120" w:line="288" w:lineRule="auto"/>
      </w:pPr>
    </w:p>
    <w:p>
      <w:pPr>
        <w:spacing w:before="0" w:after="120" w:line="348" w:lineRule="auto"/>
      </w:pPr>
      <w:r>
        <w:rPr>
          <w:rFonts w:ascii="Noto Sans CJK SC" w:hAnsi="Noto Sans CJK SC" w:eastAsia="Noto Sans CJK SC"/>
          <w:b w:val="0"/>
          <w:color w:val="1F2937"/>
          <w:sz w:val="21"/>
        </w:rPr>
        <w:t>辨识模型为一个多标签辨识模型，输出光伏、储能和充电桩三个独立结果。三类设备可以同时被判定为存在。</w:t>
      </w:r>
    </w:p>
    <w:tbl>
      <w:tblPr>
        <w:tblW w:type="auto" w:w="0"/>
        <w:jc w:val="center"/>
        <w:tblLayout w:type="fixed"/>
        <w:tblLook w:firstColumn="1" w:firstRow="1" w:lastColumn="0" w:lastRow="0" w:noHBand="0" w:noVBand="1" w:val="04A0"/>
      </w:tblPr>
      <w:tblGrid>
        <w:gridCol w:w="3061"/>
        <w:gridCol w:w="3061"/>
        <w:gridCol w:w="3061"/>
      </w:tblGrid>
      <w:tr>
        <w:trPr>
          <w:tblHeader w:val="true"/>
          <w:cantSplit/>
        </w:trPr>
        <w:tc>
          <w:tcPr>
            <w:tcW w:type="dxa" w:w="1814"/>
            <w:shd w:fill="1F4E7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center"/>
            </w:pPr>
            <w:r>
              <w:rPr>
                <w:rFonts w:ascii="Noto Sans CJK SC" w:hAnsi="Noto Sans CJK SC" w:eastAsia="Noto Sans CJK SC"/>
                <w:b/>
                <w:color w:val="FFFFFF"/>
                <w:sz w:val="19"/>
              </w:rPr>
              <w:t>输出对象</w:t>
            </w:r>
          </w:p>
        </w:tc>
        <w:tc>
          <w:tcPr>
            <w:tcW w:type="dxa" w:w="4365"/>
            <w:shd w:fill="1F4E7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center"/>
            </w:pPr>
            <w:r>
              <w:rPr>
                <w:rFonts w:ascii="Noto Sans CJK SC" w:hAnsi="Noto Sans CJK SC" w:eastAsia="Noto Sans CJK SC"/>
                <w:b/>
                <w:color w:val="FFFFFF"/>
                <w:sz w:val="19"/>
              </w:rPr>
              <w:t>输出内容</w:t>
            </w:r>
          </w:p>
        </w:tc>
        <w:tc>
          <w:tcPr>
            <w:tcW w:type="dxa" w:w="3175"/>
            <w:shd w:fill="1F4E7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center"/>
            </w:pPr>
            <w:r>
              <w:rPr>
                <w:rFonts w:ascii="Noto Sans CJK SC" w:hAnsi="Noto Sans CJK SC" w:eastAsia="Noto Sans CJK SC"/>
                <w:b/>
                <w:color w:val="FFFFFF"/>
                <w:sz w:val="19"/>
              </w:rPr>
              <w:t>推荐显示口径</w:t>
            </w:r>
          </w:p>
        </w:tc>
      </w:tr>
      <w:tr>
        <w:trPr>
          <w:cantSplit/>
        </w:trPr>
        <w:tc>
          <w:tcPr>
            <w:tcW w:type="dxa" w:w="1814"/>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分布式光伏</w:t>
            </w:r>
          </w:p>
        </w:tc>
        <w:tc>
          <w:tcPr>
            <w:tcW w:type="dxa" w:w="4365"/>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辨识分数、辨识结论、模型版本、运行时间</w:t>
            </w:r>
          </w:p>
        </w:tc>
        <w:tc>
          <w:tcPr>
            <w:tcW w:type="dxa" w:w="3175"/>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存在 / 疑似存在 / 未发现明显特征</w:t>
            </w:r>
          </w:p>
        </w:tc>
      </w:tr>
      <w:tr>
        <w:trPr>
          <w:cantSplit/>
        </w:trPr>
        <w:tc>
          <w:tcPr>
            <w:tcW w:type="dxa" w:w="1814"/>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用户侧储能</w:t>
            </w:r>
          </w:p>
        </w:tc>
        <w:tc>
          <w:tcPr>
            <w:tcW w:type="dxa" w:w="4365"/>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辨识分数、辨识结论、模型版本、运行时间</w:t>
            </w:r>
          </w:p>
        </w:tc>
        <w:tc>
          <w:tcPr>
            <w:tcW w:type="dxa" w:w="3175"/>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存在 / 疑似存在 / 未发现明显特征</w:t>
            </w:r>
          </w:p>
        </w:tc>
      </w:tr>
      <w:tr>
        <w:trPr>
          <w:cantSplit/>
        </w:trPr>
        <w:tc>
          <w:tcPr>
            <w:tcW w:type="dxa" w:w="1814"/>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充电桩</w:t>
            </w:r>
          </w:p>
        </w:tc>
        <w:tc>
          <w:tcPr>
            <w:tcW w:type="dxa" w:w="4365"/>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辨识分数、辨识结论、模型版本、运行时间</w:t>
            </w:r>
          </w:p>
        </w:tc>
        <w:tc>
          <w:tcPr>
            <w:tcW w:type="dxa" w:w="3175"/>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存在 / 疑似存在 / 未发现明显特征</w:t>
            </w:r>
          </w:p>
        </w:tc>
      </w:tr>
    </w:tbl>
    <w:p>
      <w:pPr>
        <w:spacing w:after="0"/>
      </w:pPr>
    </w:p>
    <w:tbl>
      <w:tblPr>
        <w:tblW w:type="auto" w:w="0"/>
        <w:jc w:val="center"/>
        <w:tblLook w:firstColumn="1" w:firstRow="1" w:lastColumn="0" w:lastRow="0" w:noHBand="0" w:noVBand="1" w:val="04A0"/>
      </w:tblPr>
      <w:tblGrid>
        <w:gridCol w:w="9184"/>
      </w:tblGrid>
      <w:tr>
        <w:trPr>
          <w:tblHeader w:val="true"/>
          <w:cantSplit/>
        </w:trPr>
        <w:tc>
          <w:tcPr>
            <w:tcW w:type="dxa" w:w="9184"/>
            <w:shd w:fill="FFF2CC"/>
            <w:tcMar>
              <w:top w:w="140" w:type="dxa"/>
              <w:start w:w="160" w:type="dxa"/>
              <w:bottom w:w="140" w:type="dxa"/>
              <w:end w:w="160" w:type="dxa"/>
            </w:tcMar>
            <w:tcBorders>
              <w:top w:val="single" w:sz="8" w:color="D6B656"/>
              <w:left w:val="single" w:sz="8" w:color="D6B656"/>
              <w:bottom w:val="single" w:sz="8" w:color="D6B656"/>
              <w:right w:val="single" w:sz="8" w:color="D6B656"/>
            </w:tcBorders>
          </w:tcPr>
          <w:p>
            <w:r>
              <w:rPr>
                <w:rFonts w:ascii="Noto Sans CJK SC" w:hAnsi="Noto Sans CJK SC" w:eastAsia="Noto Sans CJK SC"/>
                <w:b/>
                <w:color w:val="7F6000"/>
                <w:sz w:val="21"/>
              </w:rPr>
              <w:t>术语要求：</w:t>
            </w:r>
            <w:r>
              <w:rPr>
                <w:rFonts w:ascii="Noto Sans CJK SC" w:hAnsi="Noto Sans CJK SC" w:eastAsia="Noto Sans CJK SC"/>
                <w:color w:val="1F2937"/>
                <w:sz w:val="21"/>
              </w:rPr>
              <w:t>单次模型输出中的数值应称为“辨识分数”或“置信度”，不应称为“准确率”。</w:t>
            </w:r>
          </w:p>
        </w:tc>
      </w:tr>
    </w:tbl>
    <w:p>
      <w:pPr>
        <w:spacing w:after="0"/>
      </w:pPr>
    </w:p>
    <w:p>
      <w:pPr>
        <w:pStyle w:val="Heading2"/>
        <w:keepNext/>
        <w:spacing w:before="120" w:after="120" w:line="288" w:lineRule="auto"/>
      </w:pPr>
    </w:p>
    <w:p>
      <w:pPr>
        <w:spacing w:before="0" w:after="120" w:line="348" w:lineRule="auto"/>
      </w:pPr>
      <w:r>
        <w:rPr>
          <w:rFonts w:ascii="Noto Sans CJK SC" w:hAnsi="Noto Sans CJK SC" w:eastAsia="Noto Sans CJK SC"/>
          <w:b w:val="0"/>
          <w:color w:val="1F2937"/>
          <w:sz w:val="21"/>
        </w:rPr>
        <w:t>光伏分离模型基于截至当前时刻已经到达的主站1分钟级综合功率及辅助特征实时滚动运行。每接收到一个新的分钟数据点，模型更新一次并输出该分钟的初始光伏分离功率，不等待分站15分钟级数据回传。光伏辨识分数可作为分离结果可信度参考，但不宜因一次辨识结果偏低而直接停止分离模型运行。任何时刻生成分离结果时，只能使用该时刻及以前已经到达的数据，不得使用后续数据。</w:t>
      </w:r>
    </w:p>
    <w:tbl>
      <w:tblPr>
        <w:tblW w:type="auto" w:w="0"/>
        <w:jc w:val="center"/>
        <w:tblLayout w:type="fixed"/>
        <w:tblLook w:firstColumn="1" w:firstRow="1" w:lastColumn="0" w:lastRow="0" w:noHBand="0" w:noVBand="1" w:val="04A0"/>
      </w:tblPr>
      <w:tblGrid>
        <w:gridCol w:w="4592"/>
        <w:gridCol w:w="4592"/>
      </w:tblGrid>
      <w:tr>
        <w:trPr>
          <w:tblHeader w:val="true"/>
          <w:cantSplit/>
        </w:trPr>
        <w:tc>
          <w:tcPr>
            <w:tcW w:type="dxa" w:w="2381"/>
            <w:shd w:fill="1F4E7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center"/>
            </w:pPr>
            <w:r>
              <w:rPr>
                <w:rFonts w:ascii="Noto Sans CJK SC" w:hAnsi="Noto Sans CJK SC" w:eastAsia="Noto Sans CJK SC"/>
                <w:b/>
                <w:color w:val="FFFFFF"/>
                <w:sz w:val="19"/>
              </w:rPr>
              <w:t>字段</w:t>
            </w:r>
          </w:p>
        </w:tc>
        <w:tc>
          <w:tcPr>
            <w:tcW w:type="dxa" w:w="6973"/>
            <w:shd w:fill="1F4E7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center"/>
            </w:pPr>
            <w:r>
              <w:rPr>
                <w:rFonts w:ascii="Noto Sans CJK SC" w:hAnsi="Noto Sans CJK SC" w:eastAsia="Noto Sans CJK SC"/>
                <w:b/>
                <w:color w:val="FFFFFF"/>
                <w:sz w:val="19"/>
              </w:rPr>
              <w:t>说明</w:t>
            </w:r>
          </w:p>
        </w:tc>
      </w:tr>
      <w:tr>
        <w:trPr>
          <w:cantSplit/>
        </w:trPr>
        <w:tc>
          <w:tcPr>
            <w:tcW w:type="dxa" w:w="2381"/>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时间戳</w:t>
            </w:r>
          </w:p>
        </w:tc>
        <w:tc>
          <w:tcPr>
            <w:tcW w:type="dxa" w:w="6973"/>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1分钟级结果对应时间</w:t>
            </w:r>
          </w:p>
        </w:tc>
      </w:tr>
      <w:tr>
        <w:trPr>
          <w:cantSplit/>
        </w:trPr>
        <w:tc>
          <w:tcPr>
            <w:tcW w:type="dxa" w:w="2381"/>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分离结果生成时间</w:t>
            </w:r>
          </w:p>
        </w:tc>
        <w:tc>
          <w:tcPr>
            <w:tcW w:type="dxa" w:w="6973"/>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该分钟初始分离结果实际生成的时间</w:t>
            </w:r>
          </w:p>
        </w:tc>
      </w:tr>
      <w:tr>
        <w:trPr>
          <w:cantSplit/>
        </w:trPr>
        <w:tc>
          <w:tcPr>
            <w:tcW w:type="dxa" w:w="2381"/>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结果状态</w:t>
            </w:r>
          </w:p>
        </w:tc>
        <w:tc>
          <w:tcPr>
            <w:tcW w:type="dxa" w:w="6973"/>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实时初始结果 / 等待反馈 / 已反馈校正</w:t>
            </w:r>
          </w:p>
        </w:tc>
      </w:tr>
      <w:tr>
        <w:trPr>
          <w:cantSplit/>
        </w:trPr>
        <w:tc>
          <w:tcPr>
            <w:tcW w:type="dxa" w:w="2381"/>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台区综合功率</w:t>
            </w:r>
          </w:p>
        </w:tc>
        <w:tc>
          <w:tcPr>
            <w:tcW w:type="dxa" w:w="6973"/>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主站观测到的综合功率</w:t>
            </w:r>
          </w:p>
        </w:tc>
      </w:tr>
      <w:tr>
        <w:trPr>
          <w:cantSplit/>
        </w:trPr>
        <w:tc>
          <w:tcPr>
            <w:tcW w:type="dxa" w:w="2381"/>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初始光伏分离功率</w:t>
            </w:r>
          </w:p>
        </w:tc>
        <w:tc>
          <w:tcPr>
            <w:tcW w:type="dxa" w:w="6973"/>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分站反馈到达前由分离模型输出的分钟级光伏功率</w:t>
            </w:r>
          </w:p>
        </w:tc>
      </w:tr>
      <w:tr>
        <w:trPr>
          <w:cantSplit/>
        </w:trPr>
        <w:tc>
          <w:tcPr>
            <w:tcW w:type="dxa" w:w="2381"/>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分离置信度</w:t>
            </w:r>
          </w:p>
        </w:tc>
        <w:tc>
          <w:tcPr>
            <w:tcW w:type="dxa" w:w="6973"/>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当前分钟分离结果的可信程度</w:t>
            </w:r>
          </w:p>
        </w:tc>
      </w:tr>
      <w:tr>
        <w:trPr>
          <w:cantSplit/>
        </w:trPr>
        <w:tc>
          <w:tcPr>
            <w:tcW w:type="dxa" w:w="2381"/>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模型版本/推理时间</w:t>
            </w:r>
          </w:p>
        </w:tc>
        <w:tc>
          <w:tcPr>
            <w:tcW w:type="dxa" w:w="6973"/>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用于结果追溯</w:t>
            </w:r>
          </w:p>
        </w:tc>
      </w:tr>
    </w:tbl>
    <w:p>
      <w:pPr>
        <w:spacing w:after="0"/>
      </w:pPr>
    </w:p>
    <w:p>
      <w:pPr>
        <w:pStyle w:val="Heading2"/>
        <w:keepNext/>
        <w:spacing w:before="120" w:after="120" w:line="288" w:lineRule="auto"/>
      </w:pPr>
    </w:p>
    <w:tbl>
      <w:tblPr>
        <w:tblW w:type="auto" w:w="0"/>
        <w:jc w:val="center"/>
        <w:tblLayout w:type="fixed"/>
        <w:tblLook w:firstColumn="1" w:firstRow="1" w:lastColumn="0" w:lastRow="0" w:noHBand="0" w:noVBand="1" w:val="04A0"/>
      </w:tblPr>
      <w:tblGrid>
        <w:gridCol w:w="4592"/>
        <w:gridCol w:w="4592"/>
      </w:tblGrid>
      <w:tr>
        <w:trPr>
          <w:cantSplit/>
        </w:trPr>
        <w:tc>
          <w:tcPr>
            <w:tcW w:type="dxa" w:w="907"/>
            <w:shd w:fill="5B9BD5"/>
            <w:tcMar>
              <w:top w:w="120" w:type="dxa"/>
              <w:start w:w="120" w:type="dxa"/>
              <w:bottom w:w="120" w:type="dxa"/>
              <w:end w:w="120" w:type="dxa"/>
            </w:tcMar>
            <w:vAlign w:val="center"/>
            <w:tcBorders>
              <w:top w:val="single" w:sz="4" w:color="FFFFFF"/>
              <w:left w:val="single" w:sz="4" w:color="FFFFFF"/>
              <w:bottom w:val="single" w:sz="4" w:color="FFFFFF"/>
              <w:right w:val="single" w:sz="4" w:color="FFFFFF"/>
            </w:tcBorders>
          </w:tcPr>
          <w:p>
            <w:pPr>
              <w:jc w:val="center"/>
            </w:pPr>
            <w:r>
              <w:rPr>
                <w:rFonts w:ascii="Noto Sans CJK SC" w:hAnsi="Noto Sans CJK SC" w:eastAsia="Noto Sans CJK SC"/>
                <w:b/>
                <w:color w:val="FFFFFF"/>
                <w:sz w:val="24"/>
              </w:rPr>
              <w:t>1</w:t>
            </w:r>
          </w:p>
        </w:tc>
        <w:tc>
          <w:tcPr>
            <w:tcW w:type="dxa" w:w="8391"/>
            <w:shd w:fill="D9EAF7"/>
            <w:tcMar>
              <w:top w:w="120" w:type="dxa"/>
              <w:start w:w="120" w:type="dxa"/>
              <w:bottom w:w="120" w:type="dxa"/>
              <w:end w:w="120" w:type="dxa"/>
            </w:tcMar>
            <w:vAlign w:val="center"/>
            <w:tcBorders>
              <w:top w:val="single" w:sz="4" w:color="FFFFFF"/>
              <w:left w:val="single" w:sz="4" w:color="FFFFFF"/>
              <w:bottom w:val="single" w:sz="4" w:color="FFFFFF"/>
              <w:right w:val="single" w:sz="4" w:color="FFFFFF"/>
            </w:tcBorders>
          </w:tcPr>
          <w:p>
            <w:pPr>
              <w:spacing w:after="40"/>
            </w:pPr>
            <w:r>
              <w:rPr>
                <w:rFonts w:ascii="Noto Sans CJK SC" w:hAnsi="Noto Sans CJK SC" w:eastAsia="Noto Sans CJK SC"/>
                <w:b/>
                <w:color w:val="1F4E78"/>
                <w:sz w:val="21"/>
              </w:rPr>
              <w:t>识别本批覆盖时段</w:t>
            </w:r>
          </w:p>
          <w:p>
            <w:pPr>
              <w:spacing w:after="0"/>
            </w:pPr>
            <w:r>
              <w:rPr>
                <w:rFonts w:ascii="Noto Sans CJK SC" w:hAnsi="Noto Sans CJK SC" w:eastAsia="Noto Sans CJK SC"/>
                <w:color w:val="1F2937"/>
                <w:sz w:val="19"/>
              </w:rPr>
              <w:t>根据分站数据对应时间确定本批反馈覆盖的历史15分钟时段。</w:t>
            </w:r>
          </w:p>
        </w:tc>
      </w:tr>
      <w:tr>
        <w:trPr>
          <w:cantSplit/>
        </w:trPr>
        <w:tc>
          <w:tcPr>
            <w:tcW w:type="dxa" w:w="907"/>
            <w:shd w:fill="5B9BD5"/>
            <w:tcMar>
              <w:top w:w="120" w:type="dxa"/>
              <w:start w:w="120" w:type="dxa"/>
              <w:bottom w:w="120" w:type="dxa"/>
              <w:end w:w="120" w:type="dxa"/>
            </w:tcMar>
            <w:vAlign w:val="center"/>
            <w:tcBorders>
              <w:top w:val="single" w:sz="4" w:color="FFFFFF"/>
              <w:left w:val="single" w:sz="4" w:color="FFFFFF"/>
              <w:bottom w:val="single" w:sz="4" w:color="FFFFFF"/>
              <w:right w:val="single" w:sz="4" w:color="FFFFFF"/>
            </w:tcBorders>
          </w:tcPr>
          <w:p>
            <w:pPr>
              <w:jc w:val="center"/>
            </w:pPr>
            <w:r>
              <w:rPr>
                <w:rFonts w:ascii="Noto Sans CJK SC" w:hAnsi="Noto Sans CJK SC" w:eastAsia="Noto Sans CJK SC"/>
                <w:b/>
                <w:color w:val="FFFFFF"/>
                <w:sz w:val="24"/>
              </w:rPr>
              <w:t>2</w:t>
            </w:r>
          </w:p>
        </w:tc>
        <w:tc>
          <w:tcPr>
            <w:tcW w:type="dxa" w:w="8391"/>
            <w:shd w:fill="EDF4FA"/>
            <w:tcMar>
              <w:top w:w="120" w:type="dxa"/>
              <w:start w:w="120" w:type="dxa"/>
              <w:bottom w:w="120" w:type="dxa"/>
              <w:end w:w="120" w:type="dxa"/>
            </w:tcMar>
            <w:vAlign w:val="center"/>
            <w:tcBorders>
              <w:top w:val="single" w:sz="4" w:color="FFFFFF"/>
              <w:left w:val="single" w:sz="4" w:color="FFFFFF"/>
              <w:bottom w:val="single" w:sz="4" w:color="FFFFFF"/>
              <w:right w:val="single" w:sz="4" w:color="FFFFFF"/>
            </w:tcBorders>
          </w:tcPr>
          <w:p>
            <w:pPr>
              <w:spacing w:after="40"/>
            </w:pPr>
            <w:r>
              <w:rPr>
                <w:rFonts w:ascii="Noto Sans CJK SC" w:hAnsi="Noto Sans CJK SC" w:eastAsia="Noto Sans CJK SC"/>
                <w:b/>
                <w:color w:val="1F4E78"/>
                <w:sz w:val="21"/>
              </w:rPr>
              <w:t>汇总分站参考值</w:t>
            </w:r>
          </w:p>
          <w:p>
            <w:pPr>
              <w:spacing w:after="0"/>
            </w:pPr>
            <w:r>
              <w:rPr>
                <w:rFonts w:ascii="Noto Sans CJK SC" w:hAnsi="Noto Sans CJK SC" w:eastAsia="Noto Sans CJK SC"/>
                <w:color w:val="1F2937"/>
                <w:sz w:val="19"/>
              </w:rPr>
              <w:t>对同一时段多个分站的15分钟数据进行汇总，并计算覆盖率。</w:t>
            </w:r>
          </w:p>
        </w:tc>
      </w:tr>
      <w:tr>
        <w:trPr>
          <w:cantSplit/>
        </w:trPr>
        <w:tc>
          <w:tcPr>
            <w:tcW w:type="dxa" w:w="907"/>
            <w:shd w:fill="5B9BD5"/>
            <w:tcMar>
              <w:top w:w="120" w:type="dxa"/>
              <w:start w:w="120" w:type="dxa"/>
              <w:bottom w:w="120" w:type="dxa"/>
              <w:end w:w="120" w:type="dxa"/>
            </w:tcMar>
            <w:vAlign w:val="center"/>
            <w:tcBorders>
              <w:top w:val="single" w:sz="4" w:color="FFFFFF"/>
              <w:left w:val="single" w:sz="4" w:color="FFFFFF"/>
              <w:bottom w:val="single" w:sz="4" w:color="FFFFFF"/>
              <w:right w:val="single" w:sz="4" w:color="FFFFFF"/>
            </w:tcBorders>
          </w:tcPr>
          <w:p>
            <w:pPr>
              <w:jc w:val="center"/>
            </w:pPr>
            <w:r>
              <w:rPr>
                <w:rFonts w:ascii="Noto Sans CJK SC" w:hAnsi="Noto Sans CJK SC" w:eastAsia="Noto Sans CJK SC"/>
                <w:b/>
                <w:color w:val="FFFFFF"/>
                <w:sz w:val="24"/>
              </w:rPr>
              <w:t>3</w:t>
            </w:r>
          </w:p>
        </w:tc>
        <w:tc>
          <w:tcPr>
            <w:tcW w:type="dxa" w:w="8391"/>
            <w:shd w:fill="D9EAF7"/>
            <w:tcMar>
              <w:top w:w="120" w:type="dxa"/>
              <w:start w:w="120" w:type="dxa"/>
              <w:bottom w:w="120" w:type="dxa"/>
              <w:end w:w="120" w:type="dxa"/>
            </w:tcMar>
            <w:vAlign w:val="center"/>
            <w:tcBorders>
              <w:top w:val="single" w:sz="4" w:color="FFFFFF"/>
              <w:left w:val="single" w:sz="4" w:color="FFFFFF"/>
              <w:bottom w:val="single" w:sz="4" w:color="FFFFFF"/>
              <w:right w:val="single" w:sz="4" w:color="FFFFFF"/>
            </w:tcBorders>
          </w:tcPr>
          <w:p>
            <w:pPr>
              <w:spacing w:after="40"/>
            </w:pPr>
            <w:r>
              <w:rPr>
                <w:rFonts w:ascii="Noto Sans CJK SC" w:hAnsi="Noto Sans CJK SC" w:eastAsia="Noto Sans CJK SC"/>
                <w:b/>
                <w:color w:val="1F4E78"/>
                <w:sz w:val="21"/>
              </w:rPr>
              <w:t>聚合主站分离结果</w:t>
            </w:r>
          </w:p>
          <w:p>
            <w:pPr>
              <w:spacing w:after="0"/>
            </w:pPr>
            <w:r>
              <w:rPr>
                <w:rFonts w:ascii="Noto Sans CJK SC" w:hAnsi="Noto Sans CJK SC" w:eastAsia="Noto Sans CJK SC"/>
                <w:color w:val="1F2937"/>
                <w:sz w:val="19"/>
              </w:rPr>
              <w:t>将对应时段的1分钟级光伏分离结果聚合为15分钟平均功率或电量。</w:t>
            </w:r>
          </w:p>
        </w:tc>
      </w:tr>
      <w:tr>
        <w:trPr>
          <w:cantSplit/>
        </w:trPr>
        <w:tc>
          <w:tcPr>
            <w:tcW w:type="dxa" w:w="907"/>
            <w:shd w:fill="5B9BD5"/>
            <w:tcMar>
              <w:top w:w="120" w:type="dxa"/>
              <w:start w:w="120" w:type="dxa"/>
              <w:bottom w:w="120" w:type="dxa"/>
              <w:end w:w="120" w:type="dxa"/>
            </w:tcMar>
            <w:vAlign w:val="center"/>
            <w:tcBorders>
              <w:top w:val="single" w:sz="4" w:color="FFFFFF"/>
              <w:left w:val="single" w:sz="4" w:color="FFFFFF"/>
              <w:bottom w:val="single" w:sz="4" w:color="FFFFFF"/>
              <w:right w:val="single" w:sz="4" w:color="FFFFFF"/>
            </w:tcBorders>
          </w:tcPr>
          <w:p>
            <w:pPr>
              <w:jc w:val="center"/>
            </w:pPr>
            <w:r>
              <w:rPr>
                <w:rFonts w:ascii="Noto Sans CJK SC" w:hAnsi="Noto Sans CJK SC" w:eastAsia="Noto Sans CJK SC"/>
                <w:b/>
                <w:color w:val="FFFFFF"/>
                <w:sz w:val="24"/>
              </w:rPr>
              <w:t>4</w:t>
            </w:r>
          </w:p>
        </w:tc>
        <w:tc>
          <w:tcPr>
            <w:tcW w:type="dxa" w:w="8391"/>
            <w:shd w:fill="EDF4FA"/>
            <w:tcMar>
              <w:top w:w="120" w:type="dxa"/>
              <w:start w:w="120" w:type="dxa"/>
              <w:bottom w:w="120" w:type="dxa"/>
              <w:end w:w="120" w:type="dxa"/>
            </w:tcMar>
            <w:vAlign w:val="center"/>
            <w:tcBorders>
              <w:top w:val="single" w:sz="4" w:color="FFFFFF"/>
              <w:left w:val="single" w:sz="4" w:color="FFFFFF"/>
              <w:bottom w:val="single" w:sz="4" w:color="FFFFFF"/>
              <w:right w:val="single" w:sz="4" w:color="FFFFFF"/>
            </w:tcBorders>
          </w:tcPr>
          <w:p>
            <w:pPr>
              <w:spacing w:after="40"/>
            </w:pPr>
            <w:r>
              <w:rPr>
                <w:rFonts w:ascii="Noto Sans CJK SC" w:hAnsi="Noto Sans CJK SC" w:eastAsia="Noto Sans CJK SC"/>
                <w:b/>
                <w:color w:val="1F4E78"/>
                <w:sz w:val="21"/>
              </w:rPr>
              <w:t>计算同期偏差</w:t>
            </w:r>
          </w:p>
          <w:p>
            <w:pPr>
              <w:spacing w:after="0"/>
            </w:pPr>
            <w:r>
              <w:rPr>
                <w:rFonts w:ascii="Noto Sans CJK SC" w:hAnsi="Noto Sans CJK SC" w:eastAsia="Noto Sans CJK SC"/>
                <w:color w:val="1F2937"/>
                <w:sz w:val="19"/>
              </w:rPr>
              <w:t>逐时段比较主站聚合结果与分站汇总值，形成偏差序列。</w:t>
            </w:r>
          </w:p>
        </w:tc>
      </w:tr>
      <w:tr>
        <w:trPr>
          <w:cantSplit/>
        </w:trPr>
        <w:tc>
          <w:tcPr>
            <w:tcW w:type="dxa" w:w="907"/>
            <w:shd w:fill="5B9BD5"/>
            <w:tcMar>
              <w:top w:w="120" w:type="dxa"/>
              <w:start w:w="120" w:type="dxa"/>
              <w:bottom w:w="120" w:type="dxa"/>
              <w:end w:w="120" w:type="dxa"/>
            </w:tcMar>
            <w:vAlign w:val="center"/>
            <w:tcBorders>
              <w:top w:val="single" w:sz="4" w:color="FFFFFF"/>
              <w:left w:val="single" w:sz="4" w:color="FFFFFF"/>
              <w:bottom w:val="single" w:sz="4" w:color="FFFFFF"/>
              <w:right w:val="single" w:sz="4" w:color="FFFFFF"/>
            </w:tcBorders>
          </w:tcPr>
          <w:p>
            <w:pPr>
              <w:jc w:val="center"/>
            </w:pPr>
            <w:r>
              <w:rPr>
                <w:rFonts w:ascii="Noto Sans CJK SC" w:hAnsi="Noto Sans CJK SC" w:eastAsia="Noto Sans CJK SC"/>
                <w:b/>
                <w:color w:val="FFFFFF"/>
                <w:sz w:val="24"/>
              </w:rPr>
              <w:t>5</w:t>
            </w:r>
          </w:p>
        </w:tc>
        <w:tc>
          <w:tcPr>
            <w:tcW w:type="dxa" w:w="8391"/>
            <w:shd w:fill="D9EAF7"/>
            <w:tcMar>
              <w:top w:w="120" w:type="dxa"/>
              <w:start w:w="120" w:type="dxa"/>
              <w:bottom w:w="120" w:type="dxa"/>
              <w:end w:w="120" w:type="dxa"/>
            </w:tcMar>
            <w:vAlign w:val="center"/>
            <w:tcBorders>
              <w:top w:val="single" w:sz="4" w:color="FFFFFF"/>
              <w:left w:val="single" w:sz="4" w:color="FFFFFF"/>
              <w:bottom w:val="single" w:sz="4" w:color="FFFFFF"/>
              <w:right w:val="single" w:sz="4" w:color="FFFFFF"/>
            </w:tcBorders>
          </w:tcPr>
          <w:p>
            <w:pPr>
              <w:spacing w:after="40"/>
            </w:pPr>
            <w:r>
              <w:rPr>
                <w:rFonts w:ascii="Noto Sans CJK SC" w:hAnsi="Noto Sans CJK SC" w:eastAsia="Noto Sans CJK SC"/>
                <w:b/>
                <w:color w:val="1F4E78"/>
                <w:sz w:val="21"/>
              </w:rPr>
              <w:t>形成校正置信度</w:t>
            </w:r>
          </w:p>
          <w:p>
            <w:pPr>
              <w:spacing w:after="0"/>
            </w:pPr>
            <w:r>
              <w:rPr>
                <w:rFonts w:ascii="Noto Sans CJK SC" w:hAnsi="Noto Sans CJK SC" w:eastAsia="Noto Sans CJK SC"/>
                <w:color w:val="1F2937"/>
                <w:sz w:val="19"/>
              </w:rPr>
              <w:t>综合数据完整率、节点覆盖率、容量覆盖率和偏差稳定性形成置信度。</w:t>
            </w:r>
          </w:p>
        </w:tc>
      </w:tr>
      <w:tr>
        <w:trPr>
          <w:cantSplit/>
        </w:trPr>
        <w:tc>
          <w:tcPr>
            <w:tcW w:type="dxa" w:w="907"/>
            <w:shd w:fill="5B9BD5"/>
            <w:tcMar>
              <w:top w:w="120" w:type="dxa"/>
              <w:start w:w="120" w:type="dxa"/>
              <w:bottom w:w="120" w:type="dxa"/>
              <w:end w:w="120" w:type="dxa"/>
            </w:tcMar>
            <w:vAlign w:val="center"/>
            <w:tcBorders>
              <w:top w:val="single" w:sz="4" w:color="FFFFFF"/>
              <w:left w:val="single" w:sz="4" w:color="FFFFFF"/>
              <w:bottom w:val="single" w:sz="4" w:color="FFFFFF"/>
              <w:right w:val="single" w:sz="4" w:color="FFFFFF"/>
            </w:tcBorders>
          </w:tcPr>
          <w:p>
            <w:pPr>
              <w:jc w:val="center"/>
            </w:pPr>
            <w:r>
              <w:rPr>
                <w:rFonts w:ascii="Noto Sans CJK SC" w:hAnsi="Noto Sans CJK SC" w:eastAsia="Noto Sans CJK SC"/>
                <w:b/>
                <w:color w:val="FFFFFF"/>
                <w:sz w:val="24"/>
              </w:rPr>
              <w:t>6</w:t>
            </w:r>
          </w:p>
        </w:tc>
        <w:tc>
          <w:tcPr>
            <w:tcW w:type="dxa" w:w="8391"/>
            <w:shd w:fill="EDF4FA"/>
            <w:tcMar>
              <w:top w:w="120" w:type="dxa"/>
              <w:start w:w="120" w:type="dxa"/>
              <w:bottom w:w="120" w:type="dxa"/>
              <w:end w:w="120" w:type="dxa"/>
            </w:tcMar>
            <w:vAlign w:val="center"/>
            <w:tcBorders>
              <w:top w:val="single" w:sz="4" w:color="FFFFFF"/>
              <w:left w:val="single" w:sz="4" w:color="FFFFFF"/>
              <w:bottom w:val="single" w:sz="4" w:color="FFFFFF"/>
              <w:right w:val="single" w:sz="4" w:color="FFFFFF"/>
            </w:tcBorders>
          </w:tcPr>
          <w:p>
            <w:pPr>
              <w:spacing w:after="40"/>
            </w:pPr>
            <w:r>
              <w:rPr>
                <w:rFonts w:ascii="Noto Sans CJK SC" w:hAnsi="Noto Sans CJK SC" w:eastAsia="Noto Sans CJK SC"/>
                <w:b/>
                <w:color w:val="1F4E78"/>
                <w:sz w:val="21"/>
              </w:rPr>
              <w:t>历史分钟结果回补</w:t>
            </w:r>
          </w:p>
          <w:p>
            <w:pPr>
              <w:spacing w:after="0"/>
            </w:pPr>
            <w:r>
              <w:rPr>
                <w:rFonts w:ascii="Noto Sans CJK SC" w:hAnsi="Noto Sans CJK SC" w:eastAsia="Noto Sans CJK SC"/>
                <w:color w:val="1F2937"/>
                <w:sz w:val="19"/>
              </w:rPr>
              <w:t>保留分钟级曲线原有形状，对该15分钟时段整体幅值或总量进行校正。</w:t>
            </w:r>
          </w:p>
        </w:tc>
      </w:tr>
      <w:tr>
        <w:trPr>
          <w:cantSplit/>
        </w:trPr>
        <w:tc>
          <w:tcPr>
            <w:tcW w:type="dxa" w:w="907"/>
            <w:shd w:fill="5B9BD5"/>
            <w:tcMar>
              <w:top w:w="120" w:type="dxa"/>
              <w:start w:w="120" w:type="dxa"/>
              <w:bottom w:w="120" w:type="dxa"/>
              <w:end w:w="120" w:type="dxa"/>
            </w:tcMar>
            <w:vAlign w:val="center"/>
            <w:tcBorders>
              <w:top w:val="single" w:sz="4" w:color="FFFFFF"/>
              <w:left w:val="single" w:sz="4" w:color="FFFFFF"/>
              <w:bottom w:val="single" w:sz="4" w:color="FFFFFF"/>
              <w:right w:val="single" w:sz="4" w:color="FFFFFF"/>
            </w:tcBorders>
          </w:tcPr>
          <w:p>
            <w:pPr>
              <w:jc w:val="center"/>
            </w:pPr>
            <w:r>
              <w:rPr>
                <w:rFonts w:ascii="Noto Sans CJK SC" w:hAnsi="Noto Sans CJK SC" w:eastAsia="Noto Sans CJK SC"/>
                <w:b/>
                <w:color w:val="FFFFFF"/>
                <w:sz w:val="24"/>
              </w:rPr>
              <w:t>7</w:t>
            </w:r>
          </w:p>
        </w:tc>
        <w:tc>
          <w:tcPr>
            <w:tcW w:type="dxa" w:w="8391"/>
            <w:shd w:fill="D9EAF7"/>
            <w:tcMar>
              <w:top w:w="120" w:type="dxa"/>
              <w:start w:w="120" w:type="dxa"/>
              <w:bottom w:w="120" w:type="dxa"/>
              <w:end w:w="120" w:type="dxa"/>
            </w:tcMar>
            <w:vAlign w:val="center"/>
            <w:tcBorders>
              <w:top w:val="single" w:sz="4" w:color="FFFFFF"/>
              <w:left w:val="single" w:sz="4" w:color="FFFFFF"/>
              <w:bottom w:val="single" w:sz="4" w:color="FFFFFF"/>
              <w:right w:val="single" w:sz="4" w:color="FFFFFF"/>
            </w:tcBorders>
          </w:tcPr>
          <w:p>
            <w:pPr>
              <w:spacing w:after="40"/>
            </w:pPr>
            <w:r>
              <w:rPr>
                <w:rFonts w:ascii="Noto Sans CJK SC" w:hAnsi="Noto Sans CJK SC" w:eastAsia="Noto Sans CJK SC"/>
                <w:b/>
                <w:color w:val="1F4E78"/>
                <w:sz w:val="21"/>
              </w:rPr>
              <w:t>更新后续校正状态</w:t>
            </w:r>
          </w:p>
          <w:p>
            <w:pPr>
              <w:spacing w:after="0"/>
            </w:pPr>
            <w:r>
              <w:rPr>
                <w:rFonts w:ascii="Noto Sans CJK SC" w:hAnsi="Noto Sans CJK SC" w:eastAsia="Noto Sans CJK SC"/>
                <w:color w:val="1F2937"/>
                <w:sz w:val="19"/>
              </w:rPr>
              <w:t>依据近期多个反馈时段的偏差更新后续分钟级分离的校正系数或状态。</w:t>
            </w:r>
          </w:p>
        </w:tc>
      </w:tr>
      <w:tr>
        <w:trPr>
          <w:cantSplit/>
        </w:trPr>
        <w:tc>
          <w:tcPr>
            <w:tcW w:type="dxa" w:w="907"/>
            <w:shd w:fill="5B9BD5"/>
            <w:tcMar>
              <w:top w:w="120" w:type="dxa"/>
              <w:start w:w="120" w:type="dxa"/>
              <w:bottom w:w="120" w:type="dxa"/>
              <w:end w:w="120" w:type="dxa"/>
            </w:tcMar>
            <w:vAlign w:val="center"/>
            <w:tcBorders>
              <w:top w:val="single" w:sz="4" w:color="FFFFFF"/>
              <w:left w:val="single" w:sz="4" w:color="FFFFFF"/>
              <w:bottom w:val="single" w:sz="4" w:color="FFFFFF"/>
              <w:right w:val="single" w:sz="4" w:color="FFFFFF"/>
            </w:tcBorders>
          </w:tcPr>
          <w:p>
            <w:pPr>
              <w:jc w:val="center"/>
            </w:pPr>
            <w:r>
              <w:rPr>
                <w:rFonts w:ascii="Noto Sans CJK SC" w:hAnsi="Noto Sans CJK SC" w:eastAsia="Noto Sans CJK SC"/>
                <w:b/>
                <w:color w:val="FFFFFF"/>
                <w:sz w:val="24"/>
              </w:rPr>
              <w:t>8</w:t>
            </w:r>
          </w:p>
        </w:tc>
        <w:tc>
          <w:tcPr>
            <w:tcW w:type="dxa" w:w="8391"/>
            <w:shd w:fill="EDF4FA"/>
            <w:tcMar>
              <w:top w:w="120" w:type="dxa"/>
              <w:start w:w="120" w:type="dxa"/>
              <w:bottom w:w="120" w:type="dxa"/>
              <w:end w:w="120" w:type="dxa"/>
            </w:tcMar>
            <w:vAlign w:val="center"/>
            <w:tcBorders>
              <w:top w:val="single" w:sz="4" w:color="FFFFFF"/>
              <w:left w:val="single" w:sz="4" w:color="FFFFFF"/>
              <w:bottom w:val="single" w:sz="4" w:color="FFFFFF"/>
              <w:right w:val="single" w:sz="4" w:color="FFFFFF"/>
            </w:tcBorders>
          </w:tcPr>
          <w:p>
            <w:pPr>
              <w:spacing w:after="40"/>
            </w:pPr>
            <w:r>
              <w:rPr>
                <w:rFonts w:ascii="Noto Sans CJK SC" w:hAnsi="Noto Sans CJK SC" w:eastAsia="Noto Sans CJK SC"/>
                <w:b/>
                <w:color w:val="1F4E78"/>
                <w:sz w:val="21"/>
              </w:rPr>
              <w:t>保存校正记录</w:t>
            </w:r>
          </w:p>
          <w:p>
            <w:pPr>
              <w:spacing w:after="0"/>
            </w:pPr>
            <w:r>
              <w:rPr>
                <w:rFonts w:ascii="Noto Sans CJK SC" w:hAnsi="Noto Sans CJK SC" w:eastAsia="Noto Sans CJK SC"/>
                <w:color w:val="1F2937"/>
                <w:sz w:val="19"/>
              </w:rPr>
              <w:t>保存校正前结果、分站参考、校正量、参与节点和模型版本。</w:t>
            </w:r>
          </w:p>
        </w:tc>
      </w:tr>
    </w:tbl>
    <w:p>
      <w:pPr>
        <w:spacing w:after="0"/>
      </w:pPr>
    </w:p>
    <w:p>
      <w:pPr>
        <w:pStyle w:val="Heading2"/>
        <w:keepNext/>
        <w:spacing w:before="120" w:after="120" w:line="288" w:lineRule="auto"/>
      </w:pPr>
    </w:p>
    <w:p>
      <w:pPr>
        <w:pStyle w:val="ListBullet"/>
        <w:spacing w:before="0" w:after="60" w:line="324" w:lineRule="auto"/>
      </w:pPr>
      <w:r>
        <w:rPr>
          <w:rFonts w:ascii="Noto Sans CJK SC" w:hAnsi="Noto Sans CJK SC" w:eastAsia="Noto Sans CJK SC"/>
          <w:color w:val="1F2937"/>
          <w:sz w:val="21"/>
        </w:rPr>
        <w:t>输出光伏、储能和充电桩的辨识结果及辨识分数；</w:t>
      </w:r>
    </w:p>
    <w:p>
      <w:pPr>
        <w:pStyle w:val="ListBullet"/>
        <w:spacing w:before="0" w:after="60" w:line="324" w:lineRule="auto"/>
      </w:pPr>
      <w:r>
        <w:rPr>
          <w:rFonts w:ascii="Noto Sans CJK SC" w:hAnsi="Noto Sans CJK SC" w:eastAsia="Noto Sans CJK SC"/>
          <w:color w:val="1F2937"/>
          <w:sz w:val="21"/>
        </w:rPr>
        <w:t>随主站分钟数据持续输出1分钟级实时初始光伏分离功率；</w:t>
      </w:r>
    </w:p>
    <w:p>
      <w:pPr>
        <w:pStyle w:val="ListBullet"/>
        <w:spacing w:before="0" w:after="60" w:line="324" w:lineRule="auto"/>
      </w:pPr>
      <w:r>
        <w:rPr>
          <w:rFonts w:ascii="Noto Sans CJK SC" w:hAnsi="Noto Sans CJK SC" w:eastAsia="Noto Sans CJK SC"/>
          <w:color w:val="1F2937"/>
          <w:sz w:val="21"/>
        </w:rPr>
        <w:t>输出1分钟级校正后光伏分离功率；</w:t>
      </w:r>
    </w:p>
    <w:p>
      <w:pPr>
        <w:pStyle w:val="ListBullet"/>
        <w:spacing w:before="0" w:after="60" w:line="324" w:lineRule="auto"/>
      </w:pPr>
      <w:r>
        <w:rPr>
          <w:rFonts w:ascii="Noto Sans CJK SC" w:hAnsi="Noto Sans CJK SC" w:eastAsia="Noto Sans CJK SC"/>
          <w:color w:val="1F2937"/>
          <w:sz w:val="21"/>
        </w:rPr>
        <w:t>显示分站15分钟级参考值及“已反馈/等待回传”状态；</w:t>
      </w:r>
    </w:p>
    <w:p>
      <w:pPr>
        <w:pStyle w:val="ListBullet"/>
        <w:spacing w:before="0" w:after="60" w:line="324" w:lineRule="auto"/>
      </w:pPr>
      <w:r>
        <w:rPr>
          <w:rFonts w:ascii="Noto Sans CJK SC" w:hAnsi="Noto Sans CJK SC" w:eastAsia="Noto Sans CJK SC"/>
          <w:color w:val="1F2937"/>
          <w:sz w:val="21"/>
        </w:rPr>
        <w:t>支持导出主站原始数据、辨识结果、初始分离结果、校正后结果、分站汇总结果和校正记录；</w:t>
      </w:r>
    </w:p>
    <w:p>
      <w:pPr>
        <w:pStyle w:val="ListBullet"/>
        <w:spacing w:before="0" w:after="60" w:line="324" w:lineRule="auto"/>
      </w:pPr>
      <w:r>
        <w:rPr>
          <w:rFonts w:ascii="Noto Sans CJK SC" w:hAnsi="Noto Sans CJK SC" w:eastAsia="Noto Sans CJK SC"/>
          <w:color w:val="1F2937"/>
          <w:sz w:val="21"/>
        </w:rPr>
        <w:t>第一版导出格式支持CSV和Excel。</w:t>
      </w:r>
    </w:p>
    <w:p>
      <w:pPr>
        <w:pStyle w:val="Heading1"/>
        <w:keepNext/>
        <w:spacing w:before="200" w:after="120" w:line="288" w:lineRule="auto"/>
      </w:pPr>
    </w:p>
    <w:p>
      <w:pPr>
        <w:pStyle w:val="Heading2"/>
        <w:keepNext/>
        <w:spacing w:before="120" w:after="120" w:line="288" w:lineRule="auto"/>
      </w:pPr>
    </w:p>
    <w:p>
      <w:pPr>
        <w:spacing w:before="0" w:after="120" w:line="348" w:lineRule="auto"/>
      </w:pPr>
      <w:r>
        <w:rPr>
          <w:rFonts w:ascii="Noto Sans CJK SC" w:hAnsi="Noto Sans CJK SC" w:eastAsia="Noto Sans CJK SC"/>
          <w:b w:val="0"/>
          <w:color w:val="1F2937"/>
          <w:sz w:val="21"/>
        </w:rPr>
        <w:t>第一版前端以一个主页面为主，重点展示业务链路和结果，不展示模型训练过程。建议按以下区域组织：</w:t>
      </w:r>
    </w:p>
    <w:tbl>
      <w:tblPr>
        <w:tblW w:type="auto" w:w="0"/>
        <w:jc w:val="center"/>
        <w:tblLayout w:type="fixed"/>
        <w:tblLook w:firstColumn="1" w:firstRow="1" w:lastColumn="0" w:lastRow="0" w:noHBand="0" w:noVBand="1" w:val="04A0"/>
      </w:tblPr>
      <w:tblGrid>
        <w:gridCol w:w="4592"/>
        <w:gridCol w:w="4592"/>
      </w:tblGrid>
      <w:tr>
        <w:trPr>
          <w:tblHeader w:val="true"/>
          <w:cantSplit/>
        </w:trPr>
        <w:tc>
          <w:tcPr>
            <w:tcW w:type="dxa" w:w="2268"/>
            <w:shd w:fill="1F4E7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center"/>
            </w:pPr>
            <w:r>
              <w:rPr>
                <w:rFonts w:ascii="Noto Sans CJK SC" w:hAnsi="Noto Sans CJK SC" w:eastAsia="Noto Sans CJK SC"/>
                <w:b/>
                <w:color w:val="FFFFFF"/>
                <w:sz w:val="19"/>
              </w:rPr>
              <w:t>区域</w:t>
            </w:r>
          </w:p>
        </w:tc>
        <w:tc>
          <w:tcPr>
            <w:tcW w:type="dxa" w:w="7087"/>
            <w:shd w:fill="1F4E7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center"/>
            </w:pPr>
            <w:r>
              <w:rPr>
                <w:rFonts w:ascii="Noto Sans CJK SC" w:hAnsi="Noto Sans CJK SC" w:eastAsia="Noto Sans CJK SC"/>
                <w:b/>
                <w:color w:val="FFFFFF"/>
                <w:sz w:val="19"/>
              </w:rPr>
              <w:t>主要内容</w:t>
            </w:r>
          </w:p>
        </w:tc>
      </w:tr>
      <w:tr>
        <w:trPr>
          <w:cantSplit/>
        </w:trPr>
        <w:tc>
          <w:tcPr>
            <w:tcW w:type="dxa" w:w="226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① 系统运行状态</w:t>
            </w:r>
          </w:p>
        </w:tc>
        <w:tc>
          <w:tcPr>
            <w:tcW w:type="dxa" w:w="7087"/>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主站最新数据时间、最新分钟分离结果时间、当前分钟分离功率、分站最新到达批次、模型运行状态和数据完整率</w:t>
            </w:r>
          </w:p>
        </w:tc>
      </w:tr>
      <w:tr>
        <w:trPr>
          <w:cantSplit/>
        </w:trPr>
        <w:tc>
          <w:tcPr>
            <w:tcW w:type="dxa" w:w="2268"/>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② 台区场景图</w:t>
            </w:r>
          </w:p>
        </w:tc>
        <w:tc>
          <w:tcPr>
            <w:tcW w:type="dxa" w:w="7087"/>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台区总表、普通负荷、光伏、储能、充电桩、多个光伏分站及数据流向</w:t>
            </w:r>
          </w:p>
        </w:tc>
      </w:tr>
      <w:tr>
        <w:trPr>
          <w:cantSplit/>
        </w:trPr>
        <w:tc>
          <w:tcPr>
            <w:tcW w:type="dxa" w:w="226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③ 全流程展示</w:t>
            </w:r>
          </w:p>
        </w:tc>
        <w:tc>
          <w:tcPr>
            <w:tcW w:type="dxa" w:w="7087"/>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数据接入→质量检查→特征构建→辨识→分离→分站反馈→同期比较→校正→输出</w:t>
            </w:r>
          </w:p>
        </w:tc>
      </w:tr>
      <w:tr>
        <w:trPr>
          <w:cantSplit/>
        </w:trPr>
        <w:tc>
          <w:tcPr>
            <w:tcW w:type="dxa" w:w="2268"/>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④ 光储充辨识结果</w:t>
            </w:r>
          </w:p>
        </w:tc>
        <w:tc>
          <w:tcPr>
            <w:tcW w:type="dxa" w:w="7087"/>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三张独立结果卡，分别展示结论和辨识分数</w:t>
            </w:r>
          </w:p>
        </w:tc>
      </w:tr>
      <w:tr>
        <w:trPr>
          <w:cantSplit/>
        </w:trPr>
        <w:tc>
          <w:tcPr>
            <w:tcW w:type="dxa" w:w="226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⑤ 光伏分离核心曲线</w:t>
            </w:r>
          </w:p>
        </w:tc>
        <w:tc>
          <w:tcPr>
            <w:tcW w:type="dxa" w:w="7087"/>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台区总功率、初始光伏分离、分站15分钟参考点、校正后光伏分离</w:t>
            </w:r>
          </w:p>
        </w:tc>
      </w:tr>
      <w:tr>
        <w:trPr>
          <w:cantSplit/>
        </w:trPr>
        <w:tc>
          <w:tcPr>
            <w:tcW w:type="dxa" w:w="2268"/>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⑥ 分站反馈校正</w:t>
            </w:r>
          </w:p>
        </w:tc>
        <w:tc>
          <w:tcPr>
            <w:tcW w:type="dxa" w:w="7087"/>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批次覆盖时段、参与节点、同期比较、偏差、校正置信度和校正结果</w:t>
            </w:r>
          </w:p>
        </w:tc>
      </w:tr>
      <w:tr>
        <w:trPr>
          <w:cantSplit/>
        </w:trPr>
        <w:tc>
          <w:tcPr>
            <w:tcW w:type="dxa" w:w="226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⑦ 结果表与导出</w:t>
            </w:r>
          </w:p>
        </w:tc>
        <w:tc>
          <w:tcPr>
            <w:tcW w:type="dxa" w:w="7087"/>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分钟级结果明细、15分钟反馈记录及数据导出</w:t>
            </w:r>
          </w:p>
        </w:tc>
      </w:tr>
    </w:tbl>
    <w:p>
      <w:pPr>
        <w:spacing w:after="0"/>
      </w:pPr>
    </w:p>
    <w:p>
      <w:pPr>
        <w:pStyle w:val="Heading2"/>
        <w:keepNext/>
        <w:spacing w:before="120" w:after="120" w:line="288" w:lineRule="auto"/>
      </w:pPr>
    </w:p>
    <w:tbl>
      <w:tblPr>
        <w:tblW w:type="auto" w:w="0"/>
        <w:jc w:val="center"/>
        <w:tblLayout w:type="fixed"/>
        <w:tblLook w:firstColumn="1" w:firstRow="1" w:lastColumn="0" w:lastRow="0" w:noHBand="0" w:noVBand="1" w:val="04A0"/>
      </w:tblPr>
      <w:tblGrid>
        <w:gridCol w:w="4592"/>
        <w:gridCol w:w="4592"/>
      </w:tblGrid>
      <w:tr>
        <w:trPr>
          <w:tblHeader w:val="true"/>
          <w:cantSplit/>
        </w:trPr>
        <w:tc>
          <w:tcPr>
            <w:tcW w:type="dxa" w:w="2268"/>
            <w:shd w:fill="1F4E7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center"/>
            </w:pPr>
            <w:r>
              <w:rPr>
                <w:rFonts w:ascii="Noto Sans CJK SC" w:hAnsi="Noto Sans CJK SC" w:eastAsia="Noto Sans CJK SC"/>
                <w:b/>
                <w:color w:val="FFFFFF"/>
                <w:sz w:val="19"/>
              </w:rPr>
              <w:t>指标</w:t>
            </w:r>
          </w:p>
        </w:tc>
        <w:tc>
          <w:tcPr>
            <w:tcW w:type="dxa" w:w="7087"/>
            <w:shd w:fill="1F4E7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center"/>
            </w:pPr>
            <w:r>
              <w:rPr>
                <w:rFonts w:ascii="Noto Sans CJK SC" w:hAnsi="Noto Sans CJK SC" w:eastAsia="Noto Sans CJK SC"/>
                <w:b/>
                <w:color w:val="FFFFFF"/>
                <w:sz w:val="19"/>
              </w:rPr>
              <w:t>展示内容</w:t>
            </w:r>
          </w:p>
        </w:tc>
      </w:tr>
      <w:tr>
        <w:trPr>
          <w:cantSplit/>
        </w:trPr>
        <w:tc>
          <w:tcPr>
            <w:tcW w:type="dxa" w:w="226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主站数据</w:t>
            </w:r>
          </w:p>
        </w:tc>
        <w:tc>
          <w:tcPr>
            <w:tcW w:type="dxa" w:w="7087"/>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最新数据时间、数据频率1分钟、覆盖时段、完整率</w:t>
            </w:r>
          </w:p>
        </w:tc>
      </w:tr>
      <w:tr>
        <w:trPr>
          <w:cantSplit/>
        </w:trPr>
        <w:tc>
          <w:tcPr>
            <w:tcW w:type="dxa" w:w="2268"/>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实时分离</w:t>
            </w:r>
          </w:p>
        </w:tc>
        <w:tc>
          <w:tcPr>
            <w:tcW w:type="dxa" w:w="7087"/>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最新光伏分离结果时间、当前分钟初始分离功率、结果状态、最近处理耗时</w:t>
            </w:r>
          </w:p>
        </w:tc>
      </w:tr>
      <w:tr>
        <w:trPr>
          <w:cantSplit/>
        </w:trPr>
        <w:tc>
          <w:tcPr>
            <w:tcW w:type="dxa" w:w="226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分站反馈</w:t>
            </w:r>
          </w:p>
        </w:tc>
        <w:tc>
          <w:tcPr>
            <w:tcW w:type="dxa" w:w="7087"/>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最新数据对应时间、最新到达时间、本批覆盖时段、实际回传间隔</w:t>
            </w:r>
          </w:p>
        </w:tc>
      </w:tr>
      <w:tr>
        <w:trPr>
          <w:cantSplit/>
        </w:trPr>
        <w:tc>
          <w:tcPr>
            <w:tcW w:type="dxa" w:w="2268"/>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节点状态</w:t>
            </w:r>
          </w:p>
        </w:tc>
        <w:tc>
          <w:tcPr>
            <w:tcW w:type="dxa" w:w="7087"/>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接入节点数、参与本批回传节点数、缺失节点数、容量覆盖率</w:t>
            </w:r>
          </w:p>
        </w:tc>
      </w:tr>
      <w:tr>
        <w:trPr>
          <w:cantSplit/>
        </w:trPr>
        <w:tc>
          <w:tcPr>
            <w:tcW w:type="dxa" w:w="226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模型状态</w:t>
            </w:r>
          </w:p>
        </w:tc>
        <w:tc>
          <w:tcPr>
            <w:tcW w:type="dxa" w:w="7087"/>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辨识模型状态、分离模型状态、模型版本和最近推理时间</w:t>
            </w:r>
          </w:p>
        </w:tc>
      </w:tr>
    </w:tbl>
    <w:p>
      <w:pPr>
        <w:spacing w:after="0"/>
      </w:pPr>
    </w:p>
    <w:p>
      <w:pPr>
        <w:spacing w:before="0" w:after="120" w:line="348" w:lineRule="auto"/>
      </w:pPr>
      <w:r>
        <w:rPr>
          <w:rFonts w:ascii="Noto Sans CJK SC" w:hAnsi="Noto Sans CJK SC" w:eastAsia="Noto Sans CJK SC"/>
          <w:b w:val="0"/>
          <w:color w:val="1F2937"/>
          <w:sz w:val="21"/>
        </w:rPr>
        <w:t>前端应突出显示“主站最新数据时间”和“最新光伏分离结果时间”是否同步更新，并通过结果状态区分实时初始结果、等待反馈结果和已反馈校正结果。</w:t>
      </w:r>
    </w:p>
    <w:p>
      <w:pPr>
        <w:pStyle w:val="Heading2"/>
        <w:keepNext/>
        <w:spacing w:before="120" w:after="120" w:line="288" w:lineRule="auto"/>
      </w:pPr>
    </w:p>
    <w:p>
      <w:pPr>
        <w:spacing w:before="0" w:after="120" w:line="348" w:lineRule="auto"/>
      </w:pPr>
      <w:r>
        <w:rPr>
          <w:rFonts w:ascii="Noto Sans CJK SC" w:hAnsi="Noto Sans CJK SC" w:eastAsia="Noto Sans CJK SC"/>
          <w:b w:val="0"/>
          <w:color w:val="1F2937"/>
          <w:sz w:val="21"/>
        </w:rPr>
        <w:t>场景图需要直观体现：主站获得的是台区1分钟级综合功率，其中混合了普通负荷、光伏、储能和充电桩；下辖多个光伏分站提供15分钟级数据并不定期回传；主站通过两个模型完成辨识和光伏分离，并利用分站反馈进行校正。</w:t>
      </w:r>
    </w:p>
    <w:tbl>
      <w:tblPr>
        <w:tblW w:type="auto" w:w="0"/>
        <w:jc w:val="center"/>
        <w:tblLayout w:type="fixed"/>
        <w:tblLook w:firstColumn="1" w:firstRow="1" w:lastColumn="0" w:lastRow="0" w:noHBand="0" w:noVBand="1" w:val="04A0"/>
      </w:tblPr>
      <w:tblGrid>
        <w:gridCol w:w="4592"/>
        <w:gridCol w:w="4592"/>
      </w:tblGrid>
      <w:tr>
        <w:trPr>
          <w:tblHeader w:val="true"/>
          <w:cantSplit/>
        </w:trPr>
        <w:tc>
          <w:tcPr>
            <w:tcW w:type="dxa" w:w="2381"/>
            <w:shd w:fill="1F4E7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center"/>
            </w:pPr>
            <w:r>
              <w:rPr>
                <w:rFonts w:ascii="Noto Sans CJK SC" w:hAnsi="Noto Sans CJK SC" w:eastAsia="Noto Sans CJK SC"/>
                <w:b/>
                <w:color w:val="FFFFFF"/>
                <w:sz w:val="19"/>
              </w:rPr>
              <w:t>场景元素</w:t>
            </w:r>
          </w:p>
        </w:tc>
        <w:tc>
          <w:tcPr>
            <w:tcW w:type="dxa" w:w="6973"/>
            <w:shd w:fill="1F4E7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center"/>
            </w:pPr>
            <w:r>
              <w:rPr>
                <w:rFonts w:ascii="Noto Sans CJK SC" w:hAnsi="Noto Sans CJK SC" w:eastAsia="Noto Sans CJK SC"/>
                <w:b/>
                <w:color w:val="FFFFFF"/>
                <w:sz w:val="19"/>
              </w:rPr>
              <w:t>建议展示信息</w:t>
            </w:r>
          </w:p>
        </w:tc>
      </w:tr>
      <w:tr>
        <w:trPr>
          <w:cantSplit/>
        </w:trPr>
        <w:tc>
          <w:tcPr>
            <w:tcW w:type="dxa" w:w="2381"/>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台区主站/总表</w:t>
            </w:r>
          </w:p>
        </w:tc>
        <w:tc>
          <w:tcPr>
            <w:tcW w:type="dxa" w:w="6973"/>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1分钟级综合功率、最新数据时间、数据状态</w:t>
            </w:r>
          </w:p>
        </w:tc>
      </w:tr>
      <w:tr>
        <w:trPr>
          <w:cantSplit/>
        </w:trPr>
        <w:tc>
          <w:tcPr>
            <w:tcW w:type="dxa" w:w="2381"/>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普通负荷</w:t>
            </w:r>
          </w:p>
        </w:tc>
        <w:tc>
          <w:tcPr>
            <w:tcW w:type="dxa" w:w="6973"/>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作为综合功率组成之一展示</w:t>
            </w:r>
          </w:p>
        </w:tc>
      </w:tr>
      <w:tr>
        <w:trPr>
          <w:cantSplit/>
        </w:trPr>
        <w:tc>
          <w:tcPr>
            <w:tcW w:type="dxa" w:w="2381"/>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分布式光伏</w:t>
            </w:r>
          </w:p>
        </w:tc>
        <w:tc>
          <w:tcPr>
            <w:tcW w:type="dxa" w:w="6973"/>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作为辨识对象和分离对象展示</w:t>
            </w:r>
          </w:p>
        </w:tc>
      </w:tr>
      <w:tr>
        <w:trPr>
          <w:cantSplit/>
        </w:trPr>
        <w:tc>
          <w:tcPr>
            <w:tcW w:type="dxa" w:w="2381"/>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用户侧储能</w:t>
            </w:r>
          </w:p>
        </w:tc>
        <w:tc>
          <w:tcPr>
            <w:tcW w:type="dxa" w:w="6973"/>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作为辨识对象展示</w:t>
            </w:r>
          </w:p>
        </w:tc>
      </w:tr>
      <w:tr>
        <w:trPr>
          <w:cantSplit/>
        </w:trPr>
        <w:tc>
          <w:tcPr>
            <w:tcW w:type="dxa" w:w="2381"/>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充电桩</w:t>
            </w:r>
          </w:p>
        </w:tc>
        <w:tc>
          <w:tcPr>
            <w:tcW w:type="dxa" w:w="6973"/>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作为辨识对象展示</w:t>
            </w:r>
          </w:p>
        </w:tc>
      </w:tr>
      <w:tr>
        <w:trPr>
          <w:cantSplit/>
        </w:trPr>
        <w:tc>
          <w:tcPr>
            <w:tcW w:type="dxa" w:w="2381"/>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光伏分站节点</w:t>
            </w:r>
          </w:p>
        </w:tc>
        <w:tc>
          <w:tcPr>
            <w:tcW w:type="dxa" w:w="6973"/>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节点名称、装机容量、数据粒度15分钟、最新数据时间、到达时间、通信状态</w:t>
            </w:r>
          </w:p>
        </w:tc>
      </w:tr>
    </w:tbl>
    <w:p>
      <w:pPr>
        <w:spacing w:after="0"/>
      </w:pPr>
    </w:p>
    <w:p>
      <w:pPr>
        <w:pStyle w:val="Heading2"/>
        <w:keepNext/>
        <w:spacing w:before="120" w:after="120" w:line="288" w:lineRule="auto"/>
      </w:pPr>
    </w:p>
    <w:tbl>
      <w:tblPr>
        <w:tblW w:type="auto" w:w="0"/>
        <w:jc w:val="center"/>
        <w:tblLayout w:type="fixed"/>
        <w:tblLook w:firstColumn="1" w:firstRow="1" w:lastColumn="0" w:lastRow="0" w:noHBand="0" w:noVBand="1" w:val="04A0"/>
      </w:tblPr>
      <w:tblGrid>
        <w:gridCol w:w="4592"/>
        <w:gridCol w:w="4592"/>
      </w:tblGrid>
      <w:tr>
        <w:trPr>
          <w:cantSplit/>
        </w:trPr>
        <w:tc>
          <w:tcPr>
            <w:tcW w:type="dxa" w:w="907"/>
            <w:shd w:fill="5B9BD5"/>
            <w:tcMar>
              <w:top w:w="120" w:type="dxa"/>
              <w:start w:w="120" w:type="dxa"/>
              <w:bottom w:w="120" w:type="dxa"/>
              <w:end w:w="120" w:type="dxa"/>
            </w:tcMar>
            <w:vAlign w:val="center"/>
            <w:tcBorders>
              <w:top w:val="single" w:sz="4" w:color="FFFFFF"/>
              <w:left w:val="single" w:sz="4" w:color="FFFFFF"/>
              <w:bottom w:val="single" w:sz="4" w:color="FFFFFF"/>
              <w:right w:val="single" w:sz="4" w:color="FFFFFF"/>
            </w:tcBorders>
          </w:tcPr>
          <w:p>
            <w:pPr>
              <w:jc w:val="center"/>
            </w:pPr>
            <w:r>
              <w:rPr>
                <w:rFonts w:ascii="Noto Sans CJK SC" w:hAnsi="Noto Sans CJK SC" w:eastAsia="Noto Sans CJK SC"/>
                <w:b/>
                <w:color w:val="FFFFFF"/>
                <w:sz w:val="24"/>
              </w:rPr>
              <w:t>1</w:t>
            </w:r>
          </w:p>
        </w:tc>
        <w:tc>
          <w:tcPr>
            <w:tcW w:type="dxa" w:w="8391"/>
            <w:shd w:fill="D9EAF7"/>
            <w:tcMar>
              <w:top w:w="120" w:type="dxa"/>
              <w:start w:w="120" w:type="dxa"/>
              <w:bottom w:w="120" w:type="dxa"/>
              <w:end w:w="120" w:type="dxa"/>
            </w:tcMar>
            <w:vAlign w:val="center"/>
            <w:tcBorders>
              <w:top w:val="single" w:sz="4" w:color="FFFFFF"/>
              <w:left w:val="single" w:sz="4" w:color="FFFFFF"/>
              <w:bottom w:val="single" w:sz="4" w:color="FFFFFF"/>
              <w:right w:val="single" w:sz="4" w:color="FFFFFF"/>
            </w:tcBorders>
          </w:tcPr>
          <w:p>
            <w:pPr>
              <w:spacing w:after="40"/>
            </w:pPr>
            <w:r>
              <w:rPr>
                <w:rFonts w:ascii="Noto Sans CJK SC" w:hAnsi="Noto Sans CJK SC" w:eastAsia="Noto Sans CJK SC"/>
                <w:b/>
                <w:color w:val="1F4E78"/>
                <w:sz w:val="21"/>
              </w:rPr>
              <w:t>原始数据接入</w:t>
            </w:r>
          </w:p>
          <w:p>
            <w:pPr>
              <w:spacing w:after="0"/>
            </w:pPr>
            <w:r>
              <w:rPr>
                <w:rFonts w:ascii="Noto Sans CJK SC" w:hAnsi="Noto Sans CJK SC" w:eastAsia="Noto Sans CJK SC"/>
                <w:color w:val="1F2937"/>
                <w:sz w:val="19"/>
              </w:rPr>
              <w:t>显示主站分钟级数据量和分站反馈批次。</w:t>
            </w:r>
          </w:p>
        </w:tc>
      </w:tr>
      <w:tr>
        <w:trPr>
          <w:cantSplit/>
        </w:trPr>
        <w:tc>
          <w:tcPr>
            <w:tcW w:type="dxa" w:w="907"/>
            <w:shd w:fill="5B9BD5"/>
            <w:tcMar>
              <w:top w:w="120" w:type="dxa"/>
              <w:start w:w="120" w:type="dxa"/>
              <w:bottom w:w="120" w:type="dxa"/>
              <w:end w:w="120" w:type="dxa"/>
            </w:tcMar>
            <w:vAlign w:val="center"/>
            <w:tcBorders>
              <w:top w:val="single" w:sz="4" w:color="FFFFFF"/>
              <w:left w:val="single" w:sz="4" w:color="FFFFFF"/>
              <w:bottom w:val="single" w:sz="4" w:color="FFFFFF"/>
              <w:right w:val="single" w:sz="4" w:color="FFFFFF"/>
            </w:tcBorders>
          </w:tcPr>
          <w:p>
            <w:pPr>
              <w:jc w:val="center"/>
            </w:pPr>
            <w:r>
              <w:rPr>
                <w:rFonts w:ascii="Noto Sans CJK SC" w:hAnsi="Noto Sans CJK SC" w:eastAsia="Noto Sans CJK SC"/>
                <w:b/>
                <w:color w:val="FFFFFF"/>
                <w:sz w:val="24"/>
              </w:rPr>
              <w:t>2</w:t>
            </w:r>
          </w:p>
        </w:tc>
        <w:tc>
          <w:tcPr>
            <w:tcW w:type="dxa" w:w="8391"/>
            <w:shd w:fill="EDF4FA"/>
            <w:tcMar>
              <w:top w:w="120" w:type="dxa"/>
              <w:start w:w="120" w:type="dxa"/>
              <w:bottom w:w="120" w:type="dxa"/>
              <w:end w:w="120" w:type="dxa"/>
            </w:tcMar>
            <w:vAlign w:val="center"/>
            <w:tcBorders>
              <w:top w:val="single" w:sz="4" w:color="FFFFFF"/>
              <w:left w:val="single" w:sz="4" w:color="FFFFFF"/>
              <w:bottom w:val="single" w:sz="4" w:color="FFFFFF"/>
              <w:right w:val="single" w:sz="4" w:color="FFFFFF"/>
            </w:tcBorders>
          </w:tcPr>
          <w:p>
            <w:pPr>
              <w:spacing w:after="40"/>
            </w:pPr>
            <w:r>
              <w:rPr>
                <w:rFonts w:ascii="Noto Sans CJK SC" w:hAnsi="Noto Sans CJK SC" w:eastAsia="Noto Sans CJK SC"/>
                <w:b/>
                <w:color w:val="1F4E78"/>
                <w:sz w:val="21"/>
              </w:rPr>
              <w:t>数据质量检查</w:t>
            </w:r>
          </w:p>
          <w:p>
            <w:pPr>
              <w:spacing w:after="0"/>
            </w:pPr>
            <w:r>
              <w:rPr>
                <w:rFonts w:ascii="Noto Sans CJK SC" w:hAnsi="Noto Sans CJK SC" w:eastAsia="Noto Sans CJK SC"/>
                <w:color w:val="1F2937"/>
                <w:sz w:val="19"/>
              </w:rPr>
              <w:t>显示完整率、异常点和缺失情况。</w:t>
            </w:r>
          </w:p>
        </w:tc>
      </w:tr>
      <w:tr>
        <w:trPr>
          <w:cantSplit/>
        </w:trPr>
        <w:tc>
          <w:tcPr>
            <w:tcW w:type="dxa" w:w="907"/>
            <w:shd w:fill="5B9BD5"/>
            <w:tcMar>
              <w:top w:w="120" w:type="dxa"/>
              <w:start w:w="120" w:type="dxa"/>
              <w:bottom w:w="120" w:type="dxa"/>
              <w:end w:w="120" w:type="dxa"/>
            </w:tcMar>
            <w:vAlign w:val="center"/>
            <w:tcBorders>
              <w:top w:val="single" w:sz="4" w:color="FFFFFF"/>
              <w:left w:val="single" w:sz="4" w:color="FFFFFF"/>
              <w:bottom w:val="single" w:sz="4" w:color="FFFFFF"/>
              <w:right w:val="single" w:sz="4" w:color="FFFFFF"/>
            </w:tcBorders>
          </w:tcPr>
          <w:p>
            <w:pPr>
              <w:jc w:val="center"/>
            </w:pPr>
            <w:r>
              <w:rPr>
                <w:rFonts w:ascii="Noto Sans CJK SC" w:hAnsi="Noto Sans CJK SC" w:eastAsia="Noto Sans CJK SC"/>
                <w:b/>
                <w:color w:val="FFFFFF"/>
                <w:sz w:val="24"/>
              </w:rPr>
              <w:t>3</w:t>
            </w:r>
          </w:p>
        </w:tc>
        <w:tc>
          <w:tcPr>
            <w:tcW w:type="dxa" w:w="8391"/>
            <w:shd w:fill="D9EAF7"/>
            <w:tcMar>
              <w:top w:w="120" w:type="dxa"/>
              <w:start w:w="120" w:type="dxa"/>
              <w:bottom w:w="120" w:type="dxa"/>
              <w:end w:w="120" w:type="dxa"/>
            </w:tcMar>
            <w:vAlign w:val="center"/>
            <w:tcBorders>
              <w:top w:val="single" w:sz="4" w:color="FFFFFF"/>
              <w:left w:val="single" w:sz="4" w:color="FFFFFF"/>
              <w:bottom w:val="single" w:sz="4" w:color="FFFFFF"/>
              <w:right w:val="single" w:sz="4" w:color="FFFFFF"/>
            </w:tcBorders>
          </w:tcPr>
          <w:p>
            <w:pPr>
              <w:spacing w:after="40"/>
            </w:pPr>
            <w:r>
              <w:rPr>
                <w:rFonts w:ascii="Noto Sans CJK SC" w:hAnsi="Noto Sans CJK SC" w:eastAsia="Noto Sans CJK SC"/>
                <w:b/>
                <w:color w:val="1F4E78"/>
                <w:sz w:val="21"/>
              </w:rPr>
              <w:t>时间尺度对齐</w:t>
            </w:r>
          </w:p>
          <w:p>
            <w:pPr>
              <w:spacing w:after="0"/>
            </w:pPr>
            <w:r>
              <w:rPr>
                <w:rFonts w:ascii="Noto Sans CJK SC" w:hAnsi="Noto Sans CJK SC" w:eastAsia="Noto Sans CJK SC"/>
                <w:color w:val="1F2937"/>
                <w:sz w:val="19"/>
              </w:rPr>
              <w:t>显示主站1分钟与分站15分钟的口径统一状态。</w:t>
            </w:r>
          </w:p>
        </w:tc>
      </w:tr>
      <w:tr>
        <w:trPr>
          <w:cantSplit/>
        </w:trPr>
        <w:tc>
          <w:tcPr>
            <w:tcW w:type="dxa" w:w="907"/>
            <w:shd w:fill="5B9BD5"/>
            <w:tcMar>
              <w:top w:w="120" w:type="dxa"/>
              <w:start w:w="120" w:type="dxa"/>
              <w:bottom w:w="120" w:type="dxa"/>
              <w:end w:w="120" w:type="dxa"/>
            </w:tcMar>
            <w:vAlign w:val="center"/>
            <w:tcBorders>
              <w:top w:val="single" w:sz="4" w:color="FFFFFF"/>
              <w:left w:val="single" w:sz="4" w:color="FFFFFF"/>
              <w:bottom w:val="single" w:sz="4" w:color="FFFFFF"/>
              <w:right w:val="single" w:sz="4" w:color="FFFFFF"/>
            </w:tcBorders>
          </w:tcPr>
          <w:p>
            <w:pPr>
              <w:jc w:val="center"/>
            </w:pPr>
            <w:r>
              <w:rPr>
                <w:rFonts w:ascii="Noto Sans CJK SC" w:hAnsi="Noto Sans CJK SC" w:eastAsia="Noto Sans CJK SC"/>
                <w:b/>
                <w:color w:val="FFFFFF"/>
                <w:sz w:val="24"/>
              </w:rPr>
              <w:t>4</w:t>
            </w:r>
          </w:p>
        </w:tc>
        <w:tc>
          <w:tcPr>
            <w:tcW w:type="dxa" w:w="8391"/>
            <w:shd w:fill="EDF4FA"/>
            <w:tcMar>
              <w:top w:w="120" w:type="dxa"/>
              <w:start w:w="120" w:type="dxa"/>
              <w:bottom w:w="120" w:type="dxa"/>
              <w:end w:w="120" w:type="dxa"/>
            </w:tcMar>
            <w:vAlign w:val="center"/>
            <w:tcBorders>
              <w:top w:val="single" w:sz="4" w:color="FFFFFF"/>
              <w:left w:val="single" w:sz="4" w:color="FFFFFF"/>
              <w:bottom w:val="single" w:sz="4" w:color="FFFFFF"/>
              <w:right w:val="single" w:sz="4" w:color="FFFFFF"/>
            </w:tcBorders>
          </w:tcPr>
          <w:p>
            <w:pPr>
              <w:spacing w:after="40"/>
            </w:pPr>
            <w:r>
              <w:rPr>
                <w:rFonts w:ascii="Noto Sans CJK SC" w:hAnsi="Noto Sans CJK SC" w:eastAsia="Noto Sans CJK SC"/>
                <w:b/>
                <w:color w:val="1F4E78"/>
                <w:sz w:val="21"/>
              </w:rPr>
              <w:t>特征构建</w:t>
            </w:r>
          </w:p>
          <w:p>
            <w:pPr>
              <w:spacing w:after="0"/>
            </w:pPr>
            <w:r>
              <w:rPr>
                <w:rFonts w:ascii="Noto Sans CJK SC" w:hAnsi="Noto Sans CJK SC" w:eastAsia="Noto Sans CJK SC"/>
                <w:color w:val="1F2937"/>
                <w:sz w:val="19"/>
              </w:rPr>
              <w:t>显示模型输入已生成。</w:t>
            </w:r>
          </w:p>
        </w:tc>
      </w:tr>
      <w:tr>
        <w:trPr>
          <w:cantSplit/>
        </w:trPr>
        <w:tc>
          <w:tcPr>
            <w:tcW w:type="dxa" w:w="907"/>
            <w:shd w:fill="5B9BD5"/>
            <w:tcMar>
              <w:top w:w="120" w:type="dxa"/>
              <w:start w:w="120" w:type="dxa"/>
              <w:bottom w:w="120" w:type="dxa"/>
              <w:end w:w="120" w:type="dxa"/>
            </w:tcMar>
            <w:vAlign w:val="center"/>
            <w:tcBorders>
              <w:top w:val="single" w:sz="4" w:color="FFFFFF"/>
              <w:left w:val="single" w:sz="4" w:color="FFFFFF"/>
              <w:bottom w:val="single" w:sz="4" w:color="FFFFFF"/>
              <w:right w:val="single" w:sz="4" w:color="FFFFFF"/>
            </w:tcBorders>
          </w:tcPr>
          <w:p>
            <w:pPr>
              <w:jc w:val="center"/>
            </w:pPr>
            <w:r>
              <w:rPr>
                <w:rFonts w:ascii="Noto Sans CJK SC" w:hAnsi="Noto Sans CJK SC" w:eastAsia="Noto Sans CJK SC"/>
                <w:b/>
                <w:color w:val="FFFFFF"/>
                <w:sz w:val="24"/>
              </w:rPr>
              <w:t>5</w:t>
            </w:r>
          </w:p>
        </w:tc>
        <w:tc>
          <w:tcPr>
            <w:tcW w:type="dxa" w:w="8391"/>
            <w:shd w:fill="D9EAF7"/>
            <w:tcMar>
              <w:top w:w="120" w:type="dxa"/>
              <w:start w:w="120" w:type="dxa"/>
              <w:bottom w:w="120" w:type="dxa"/>
              <w:end w:w="120" w:type="dxa"/>
            </w:tcMar>
            <w:vAlign w:val="center"/>
            <w:tcBorders>
              <w:top w:val="single" w:sz="4" w:color="FFFFFF"/>
              <w:left w:val="single" w:sz="4" w:color="FFFFFF"/>
              <w:bottom w:val="single" w:sz="4" w:color="FFFFFF"/>
              <w:right w:val="single" w:sz="4" w:color="FFFFFF"/>
            </w:tcBorders>
          </w:tcPr>
          <w:p>
            <w:pPr>
              <w:spacing w:after="40"/>
            </w:pPr>
            <w:r>
              <w:rPr>
                <w:rFonts w:ascii="Noto Sans CJK SC" w:hAnsi="Noto Sans CJK SC" w:eastAsia="Noto Sans CJK SC"/>
                <w:b/>
                <w:color w:val="1F4E78"/>
                <w:sz w:val="21"/>
              </w:rPr>
              <w:t>光储充辨识</w:t>
            </w:r>
          </w:p>
          <w:p>
            <w:pPr>
              <w:spacing w:after="0"/>
            </w:pPr>
            <w:r>
              <w:rPr>
                <w:rFonts w:ascii="Noto Sans CJK SC" w:hAnsi="Noto Sans CJK SC" w:eastAsia="Noto Sans CJK SC"/>
                <w:color w:val="1F2937"/>
                <w:sz w:val="19"/>
              </w:rPr>
              <w:t>展示三个独立辨识结论和分数。</w:t>
            </w:r>
          </w:p>
        </w:tc>
      </w:tr>
      <w:tr>
        <w:trPr>
          <w:cantSplit/>
        </w:trPr>
        <w:tc>
          <w:tcPr>
            <w:tcW w:type="dxa" w:w="907"/>
            <w:shd w:fill="5B9BD5"/>
            <w:tcMar>
              <w:top w:w="120" w:type="dxa"/>
              <w:start w:w="120" w:type="dxa"/>
              <w:bottom w:w="120" w:type="dxa"/>
              <w:end w:w="120" w:type="dxa"/>
            </w:tcMar>
            <w:vAlign w:val="center"/>
            <w:tcBorders>
              <w:top w:val="single" w:sz="4" w:color="FFFFFF"/>
              <w:left w:val="single" w:sz="4" w:color="FFFFFF"/>
              <w:bottom w:val="single" w:sz="4" w:color="FFFFFF"/>
              <w:right w:val="single" w:sz="4" w:color="FFFFFF"/>
            </w:tcBorders>
          </w:tcPr>
          <w:p>
            <w:pPr>
              <w:jc w:val="center"/>
            </w:pPr>
            <w:r>
              <w:rPr>
                <w:rFonts w:ascii="Noto Sans CJK SC" w:hAnsi="Noto Sans CJK SC" w:eastAsia="Noto Sans CJK SC"/>
                <w:b/>
                <w:color w:val="FFFFFF"/>
                <w:sz w:val="24"/>
              </w:rPr>
              <w:t>6</w:t>
            </w:r>
          </w:p>
        </w:tc>
        <w:tc>
          <w:tcPr>
            <w:tcW w:type="dxa" w:w="8391"/>
            <w:shd w:fill="EDF4FA"/>
            <w:tcMar>
              <w:top w:w="120" w:type="dxa"/>
              <w:start w:w="120" w:type="dxa"/>
              <w:bottom w:w="120" w:type="dxa"/>
              <w:end w:w="120" w:type="dxa"/>
            </w:tcMar>
            <w:vAlign w:val="center"/>
            <w:tcBorders>
              <w:top w:val="single" w:sz="4" w:color="FFFFFF"/>
              <w:left w:val="single" w:sz="4" w:color="FFFFFF"/>
              <w:bottom w:val="single" w:sz="4" w:color="FFFFFF"/>
              <w:right w:val="single" w:sz="4" w:color="FFFFFF"/>
            </w:tcBorders>
          </w:tcPr>
          <w:p>
            <w:pPr>
              <w:spacing w:after="40"/>
            </w:pPr>
            <w:r>
              <w:rPr>
                <w:rFonts w:ascii="Noto Sans CJK SC" w:hAnsi="Noto Sans CJK SC" w:eastAsia="Noto Sans CJK SC"/>
                <w:b/>
                <w:color w:val="1F4E78"/>
                <w:sz w:val="21"/>
              </w:rPr>
              <w:t>光伏功率实时分离</w:t>
            </w:r>
          </w:p>
          <w:p>
            <w:pPr>
              <w:spacing w:after="0"/>
            </w:pPr>
            <w:r>
              <w:rPr>
                <w:rFonts w:ascii="Noto Sans CJK SC" w:hAnsi="Noto Sans CJK SC" w:eastAsia="Noto Sans CJK SC"/>
                <w:color w:val="1F2937"/>
                <w:sz w:val="19"/>
              </w:rPr>
              <w:t>展示主站每到达一个新分钟数据点后更新的实时初始光伏曲线。</w:t>
            </w:r>
          </w:p>
        </w:tc>
      </w:tr>
      <w:tr>
        <w:trPr>
          <w:cantSplit/>
        </w:trPr>
        <w:tc>
          <w:tcPr>
            <w:tcW w:type="dxa" w:w="907"/>
            <w:shd w:fill="5B9BD5"/>
            <w:tcMar>
              <w:top w:w="120" w:type="dxa"/>
              <w:start w:w="120" w:type="dxa"/>
              <w:bottom w:w="120" w:type="dxa"/>
              <w:end w:w="120" w:type="dxa"/>
            </w:tcMar>
            <w:vAlign w:val="center"/>
            <w:tcBorders>
              <w:top w:val="single" w:sz="4" w:color="FFFFFF"/>
              <w:left w:val="single" w:sz="4" w:color="FFFFFF"/>
              <w:bottom w:val="single" w:sz="4" w:color="FFFFFF"/>
              <w:right w:val="single" w:sz="4" w:color="FFFFFF"/>
            </w:tcBorders>
          </w:tcPr>
          <w:p>
            <w:pPr>
              <w:jc w:val="center"/>
            </w:pPr>
            <w:r>
              <w:rPr>
                <w:rFonts w:ascii="Noto Sans CJK SC" w:hAnsi="Noto Sans CJK SC" w:eastAsia="Noto Sans CJK SC"/>
                <w:b/>
                <w:color w:val="FFFFFF"/>
                <w:sz w:val="24"/>
              </w:rPr>
              <w:t>7</w:t>
            </w:r>
          </w:p>
        </w:tc>
        <w:tc>
          <w:tcPr>
            <w:tcW w:type="dxa" w:w="8391"/>
            <w:shd w:fill="D9EAF7"/>
            <w:tcMar>
              <w:top w:w="120" w:type="dxa"/>
              <w:start w:w="120" w:type="dxa"/>
              <w:bottom w:w="120" w:type="dxa"/>
              <w:end w:w="120" w:type="dxa"/>
            </w:tcMar>
            <w:vAlign w:val="center"/>
            <w:tcBorders>
              <w:top w:val="single" w:sz="4" w:color="FFFFFF"/>
              <w:left w:val="single" w:sz="4" w:color="FFFFFF"/>
              <w:bottom w:val="single" w:sz="4" w:color="FFFFFF"/>
              <w:right w:val="single" w:sz="4" w:color="FFFFFF"/>
            </w:tcBorders>
          </w:tcPr>
          <w:p>
            <w:pPr>
              <w:spacing w:after="40"/>
            </w:pPr>
            <w:r>
              <w:rPr>
                <w:rFonts w:ascii="Noto Sans CJK SC" w:hAnsi="Noto Sans CJK SC" w:eastAsia="Noto Sans CJK SC"/>
                <w:b/>
                <w:color w:val="1F4E78"/>
                <w:sz w:val="21"/>
              </w:rPr>
              <w:t>分站反馈接入</w:t>
            </w:r>
          </w:p>
          <w:p>
            <w:pPr>
              <w:spacing w:after="0"/>
            </w:pPr>
            <w:r>
              <w:rPr>
                <w:rFonts w:ascii="Noto Sans CJK SC" w:hAnsi="Noto Sans CJK SC" w:eastAsia="Noto Sans CJK SC"/>
                <w:color w:val="1F2937"/>
                <w:sz w:val="19"/>
              </w:rPr>
              <w:t>展示数据对应时间、到达时间和本批覆盖区间。</w:t>
            </w:r>
          </w:p>
        </w:tc>
      </w:tr>
      <w:tr>
        <w:trPr>
          <w:cantSplit/>
        </w:trPr>
        <w:tc>
          <w:tcPr>
            <w:tcW w:type="dxa" w:w="907"/>
            <w:shd w:fill="5B9BD5"/>
            <w:tcMar>
              <w:top w:w="120" w:type="dxa"/>
              <w:start w:w="120" w:type="dxa"/>
              <w:bottom w:w="120" w:type="dxa"/>
              <w:end w:w="120" w:type="dxa"/>
            </w:tcMar>
            <w:vAlign w:val="center"/>
            <w:tcBorders>
              <w:top w:val="single" w:sz="4" w:color="FFFFFF"/>
              <w:left w:val="single" w:sz="4" w:color="FFFFFF"/>
              <w:bottom w:val="single" w:sz="4" w:color="FFFFFF"/>
              <w:right w:val="single" w:sz="4" w:color="FFFFFF"/>
            </w:tcBorders>
          </w:tcPr>
          <w:p>
            <w:pPr>
              <w:jc w:val="center"/>
            </w:pPr>
            <w:r>
              <w:rPr>
                <w:rFonts w:ascii="Noto Sans CJK SC" w:hAnsi="Noto Sans CJK SC" w:eastAsia="Noto Sans CJK SC"/>
                <w:b/>
                <w:color w:val="FFFFFF"/>
                <w:sz w:val="24"/>
              </w:rPr>
              <w:t>8</w:t>
            </w:r>
          </w:p>
        </w:tc>
        <w:tc>
          <w:tcPr>
            <w:tcW w:type="dxa" w:w="8391"/>
            <w:shd w:fill="EDF4FA"/>
            <w:tcMar>
              <w:top w:w="120" w:type="dxa"/>
              <w:start w:w="120" w:type="dxa"/>
              <w:bottom w:w="120" w:type="dxa"/>
              <w:end w:w="120" w:type="dxa"/>
            </w:tcMar>
            <w:vAlign w:val="center"/>
            <w:tcBorders>
              <w:top w:val="single" w:sz="4" w:color="FFFFFF"/>
              <w:left w:val="single" w:sz="4" w:color="FFFFFF"/>
              <w:bottom w:val="single" w:sz="4" w:color="FFFFFF"/>
              <w:right w:val="single" w:sz="4" w:color="FFFFFF"/>
            </w:tcBorders>
          </w:tcPr>
          <w:p>
            <w:pPr>
              <w:spacing w:after="40"/>
            </w:pPr>
            <w:r>
              <w:rPr>
                <w:rFonts w:ascii="Noto Sans CJK SC" w:hAnsi="Noto Sans CJK SC" w:eastAsia="Noto Sans CJK SC"/>
                <w:b/>
                <w:color w:val="1F4E78"/>
                <w:sz w:val="21"/>
              </w:rPr>
              <w:t>同期结果比较</w:t>
            </w:r>
          </w:p>
          <w:p>
            <w:pPr>
              <w:spacing w:after="0"/>
            </w:pPr>
            <w:r>
              <w:rPr>
                <w:rFonts w:ascii="Noto Sans CJK SC" w:hAnsi="Noto Sans CJK SC" w:eastAsia="Noto Sans CJK SC"/>
                <w:color w:val="1F2937"/>
                <w:sz w:val="19"/>
              </w:rPr>
              <w:t>展示主站15分钟聚合结果与分站汇总结果。</w:t>
            </w:r>
          </w:p>
        </w:tc>
      </w:tr>
      <w:tr>
        <w:trPr>
          <w:cantSplit/>
        </w:trPr>
        <w:tc>
          <w:tcPr>
            <w:tcW w:type="dxa" w:w="907"/>
            <w:shd w:fill="5B9BD5"/>
            <w:tcMar>
              <w:top w:w="120" w:type="dxa"/>
              <w:start w:w="120" w:type="dxa"/>
              <w:bottom w:w="120" w:type="dxa"/>
              <w:end w:w="120" w:type="dxa"/>
            </w:tcMar>
            <w:vAlign w:val="center"/>
            <w:tcBorders>
              <w:top w:val="single" w:sz="4" w:color="FFFFFF"/>
              <w:left w:val="single" w:sz="4" w:color="FFFFFF"/>
              <w:bottom w:val="single" w:sz="4" w:color="FFFFFF"/>
              <w:right w:val="single" w:sz="4" w:color="FFFFFF"/>
            </w:tcBorders>
          </w:tcPr>
          <w:p>
            <w:pPr>
              <w:jc w:val="center"/>
            </w:pPr>
            <w:r>
              <w:rPr>
                <w:rFonts w:ascii="Noto Sans CJK SC" w:hAnsi="Noto Sans CJK SC" w:eastAsia="Noto Sans CJK SC"/>
                <w:b/>
                <w:color w:val="FFFFFF"/>
                <w:sz w:val="24"/>
              </w:rPr>
              <w:t>9</w:t>
            </w:r>
          </w:p>
        </w:tc>
        <w:tc>
          <w:tcPr>
            <w:tcW w:type="dxa" w:w="8391"/>
            <w:shd w:fill="D9EAF7"/>
            <w:tcMar>
              <w:top w:w="120" w:type="dxa"/>
              <w:start w:w="120" w:type="dxa"/>
              <w:bottom w:w="120" w:type="dxa"/>
              <w:end w:w="120" w:type="dxa"/>
            </w:tcMar>
            <w:vAlign w:val="center"/>
            <w:tcBorders>
              <w:top w:val="single" w:sz="4" w:color="FFFFFF"/>
              <w:left w:val="single" w:sz="4" w:color="FFFFFF"/>
              <w:bottom w:val="single" w:sz="4" w:color="FFFFFF"/>
              <w:right w:val="single" w:sz="4" w:color="FFFFFF"/>
            </w:tcBorders>
          </w:tcPr>
          <w:p>
            <w:pPr>
              <w:spacing w:after="40"/>
            </w:pPr>
            <w:r>
              <w:rPr>
                <w:rFonts w:ascii="Noto Sans CJK SC" w:hAnsi="Noto Sans CJK SC" w:eastAsia="Noto Sans CJK SC"/>
                <w:b/>
                <w:color w:val="1F4E78"/>
                <w:sz w:val="21"/>
              </w:rPr>
              <w:t>反馈校正</w:t>
            </w:r>
          </w:p>
          <w:p>
            <w:pPr>
              <w:spacing w:after="0"/>
            </w:pPr>
            <w:r>
              <w:rPr>
                <w:rFonts w:ascii="Noto Sans CJK SC" w:hAnsi="Noto Sans CJK SC" w:eastAsia="Noto Sans CJK SC"/>
                <w:color w:val="1F2937"/>
                <w:sz w:val="19"/>
              </w:rPr>
              <w:t>展示历史回补及后续校正状态更新。</w:t>
            </w:r>
          </w:p>
        </w:tc>
      </w:tr>
      <w:tr>
        <w:trPr>
          <w:cantSplit/>
        </w:trPr>
        <w:tc>
          <w:tcPr>
            <w:tcW w:type="dxa" w:w="907"/>
            <w:shd w:fill="5B9BD5"/>
            <w:tcMar>
              <w:top w:w="120" w:type="dxa"/>
              <w:start w:w="120" w:type="dxa"/>
              <w:bottom w:w="120" w:type="dxa"/>
              <w:end w:w="120" w:type="dxa"/>
            </w:tcMar>
            <w:vAlign w:val="center"/>
            <w:tcBorders>
              <w:top w:val="single" w:sz="4" w:color="FFFFFF"/>
              <w:left w:val="single" w:sz="4" w:color="FFFFFF"/>
              <w:bottom w:val="single" w:sz="4" w:color="FFFFFF"/>
              <w:right w:val="single" w:sz="4" w:color="FFFFFF"/>
            </w:tcBorders>
          </w:tcPr>
          <w:p>
            <w:pPr>
              <w:jc w:val="center"/>
            </w:pPr>
            <w:r>
              <w:rPr>
                <w:rFonts w:ascii="Noto Sans CJK SC" w:hAnsi="Noto Sans CJK SC" w:eastAsia="Noto Sans CJK SC"/>
                <w:b/>
                <w:color w:val="FFFFFF"/>
                <w:sz w:val="24"/>
              </w:rPr>
              <w:t>10</w:t>
            </w:r>
          </w:p>
        </w:tc>
        <w:tc>
          <w:tcPr>
            <w:tcW w:type="dxa" w:w="8391"/>
            <w:shd w:fill="EDF4FA"/>
            <w:tcMar>
              <w:top w:w="120" w:type="dxa"/>
              <w:start w:w="120" w:type="dxa"/>
              <w:bottom w:w="120" w:type="dxa"/>
              <w:end w:w="120" w:type="dxa"/>
            </w:tcMar>
            <w:vAlign w:val="center"/>
            <w:tcBorders>
              <w:top w:val="single" w:sz="4" w:color="FFFFFF"/>
              <w:left w:val="single" w:sz="4" w:color="FFFFFF"/>
              <w:bottom w:val="single" w:sz="4" w:color="FFFFFF"/>
              <w:right w:val="single" w:sz="4" w:color="FFFFFF"/>
            </w:tcBorders>
          </w:tcPr>
          <w:p>
            <w:pPr>
              <w:spacing w:after="40"/>
            </w:pPr>
            <w:r>
              <w:rPr>
                <w:rFonts w:ascii="Noto Sans CJK SC" w:hAnsi="Noto Sans CJK SC" w:eastAsia="Noto Sans CJK SC"/>
                <w:b/>
                <w:color w:val="1F4E78"/>
                <w:sz w:val="21"/>
              </w:rPr>
              <w:t>最终结果输出</w:t>
            </w:r>
          </w:p>
          <w:p>
            <w:pPr>
              <w:spacing w:after="0"/>
            </w:pPr>
            <w:r>
              <w:rPr>
                <w:rFonts w:ascii="Noto Sans CJK SC" w:hAnsi="Noto Sans CJK SC" w:eastAsia="Noto Sans CJK SC"/>
                <w:color w:val="1F2937"/>
                <w:sz w:val="19"/>
              </w:rPr>
              <w:t>展示校正后分钟级光伏曲线和结果表。</w:t>
            </w:r>
          </w:p>
        </w:tc>
      </w:tr>
    </w:tbl>
    <w:p>
      <w:pPr>
        <w:spacing w:after="0"/>
      </w:pPr>
    </w:p>
    <w:p>
      <w:pPr>
        <w:pStyle w:val="Heading2"/>
        <w:keepNext/>
        <w:spacing w:before="120" w:after="120" w:line="288" w:lineRule="auto"/>
      </w:pPr>
    </w:p>
    <w:p>
      <w:pPr>
        <w:spacing w:before="0" w:after="120" w:line="348" w:lineRule="auto"/>
      </w:pPr>
      <w:r>
        <w:rPr>
          <w:rFonts w:ascii="Noto Sans CJK SC" w:hAnsi="Noto Sans CJK SC" w:eastAsia="Noto Sans CJK SC"/>
          <w:b w:val="0"/>
          <w:color w:val="1F2937"/>
          <w:sz w:val="21"/>
        </w:rPr>
        <w:t>使用三张独立卡片分别展示分布式光伏、用户侧储能和充电桩。每张卡片至少包含：辨识结论、辨识分数、结果生成时间、模型版本以及可选的主要支撑特征。</w:t>
      </w:r>
    </w:p>
    <w:p>
      <w:pPr>
        <w:pStyle w:val="Heading2"/>
        <w:keepNext/>
        <w:spacing w:before="120" w:after="120" w:line="288" w:lineRule="auto"/>
      </w:pPr>
    </w:p>
    <w:p>
      <w:pPr>
        <w:spacing w:before="0" w:after="120" w:line="348" w:lineRule="auto"/>
      </w:pPr>
      <w:r>
        <w:rPr>
          <w:rFonts w:ascii="Noto Sans CJK SC" w:hAnsi="Noto Sans CJK SC" w:eastAsia="Noto Sans CJK SC"/>
          <w:b w:val="0"/>
          <w:color w:val="1F2937"/>
          <w:sz w:val="21"/>
        </w:rPr>
        <w:t>核心图至少包含以下曲线或数据点：</w:t>
      </w:r>
    </w:p>
    <w:p>
      <w:pPr>
        <w:pStyle w:val="ListBullet"/>
        <w:spacing w:before="0" w:after="60" w:line="324" w:lineRule="auto"/>
      </w:pPr>
      <w:r>
        <w:rPr>
          <w:rFonts w:ascii="Noto Sans CJK SC" w:hAnsi="Noto Sans CJK SC" w:eastAsia="Noto Sans CJK SC"/>
          <w:color w:val="1F2937"/>
          <w:sz w:val="21"/>
        </w:rPr>
        <w:t>台区1分钟级综合功率曲线；</w:t>
      </w:r>
    </w:p>
    <w:p>
      <w:pPr>
        <w:pStyle w:val="ListBullet"/>
        <w:spacing w:before="0" w:after="60" w:line="324" w:lineRule="auto"/>
      </w:pPr>
      <w:r>
        <w:rPr>
          <w:rFonts w:ascii="Noto Sans CJK SC" w:hAnsi="Noto Sans CJK SC" w:eastAsia="Noto Sans CJK SC"/>
          <w:color w:val="1F2937"/>
          <w:sz w:val="21"/>
        </w:rPr>
        <w:t>初始1分钟级光伏分离曲线；</w:t>
      </w:r>
    </w:p>
    <w:p>
      <w:pPr>
        <w:pStyle w:val="ListBullet"/>
        <w:spacing w:before="0" w:after="60" w:line="324" w:lineRule="auto"/>
      </w:pPr>
      <w:r>
        <w:rPr>
          <w:rFonts w:ascii="Noto Sans CJK SC" w:hAnsi="Noto Sans CJK SC" w:eastAsia="Noto Sans CJK SC"/>
          <w:color w:val="1F2937"/>
          <w:sz w:val="21"/>
        </w:rPr>
        <w:t>分站汇总的15分钟级光伏参考点或阶梯线；</w:t>
      </w:r>
    </w:p>
    <w:p>
      <w:pPr>
        <w:pStyle w:val="ListBullet"/>
        <w:spacing w:before="0" w:after="60" w:line="324" w:lineRule="auto"/>
      </w:pPr>
      <w:r>
        <w:rPr>
          <w:rFonts w:ascii="Noto Sans CJK SC" w:hAnsi="Noto Sans CJK SC" w:eastAsia="Noto Sans CJK SC"/>
          <w:color w:val="1F2937"/>
          <w:sz w:val="21"/>
        </w:rPr>
        <w:t>校正后1分钟级光伏分离曲线；</w:t>
      </w:r>
    </w:p>
    <w:p>
      <w:pPr>
        <w:pStyle w:val="ListBullet"/>
        <w:spacing w:before="0" w:after="60" w:line="324" w:lineRule="auto"/>
      </w:pPr>
      <w:r>
        <w:rPr>
          <w:rFonts w:ascii="Noto Sans CJK SC" w:hAnsi="Noto Sans CJK SC" w:eastAsia="Noto Sans CJK SC"/>
          <w:color w:val="1F2937"/>
          <w:sz w:val="21"/>
        </w:rPr>
        <w:t>可选显示分离后的剩余负荷曲线。</w:t>
      </w:r>
    </w:p>
    <w:p>
      <w:pPr>
        <w:spacing w:before="0" w:after="120" w:line="348" w:lineRule="auto"/>
      </w:pPr>
      <w:r>
        <w:rPr>
          <w:rFonts w:ascii="Noto Sans CJK SC" w:hAnsi="Noto Sans CJK SC" w:eastAsia="Noto Sans CJK SC"/>
          <w:b w:val="0"/>
          <w:color w:val="1F2937"/>
          <w:sz w:val="21"/>
        </w:rPr>
        <w:t>图中应明确区分三类结果状态：主站刚生成的实时初始分离结果、已获得分站反馈并完成校正的历史结果、已经完成初始分离但仍等待分站反馈的结果。对于尚未获得分站反馈的分钟点，分站参考值应显示“等待回传”，不得使用未来数据提前填充。</w:t>
      </w:r>
    </w:p>
    <w:p>
      <w:pPr>
        <w:pStyle w:val="Heading2"/>
        <w:keepNext/>
        <w:spacing w:before="120" w:after="120" w:line="288" w:lineRule="auto"/>
      </w:pPr>
    </w:p>
    <w:tbl>
      <w:tblPr>
        <w:tblW w:type="auto" w:w="0"/>
        <w:jc w:val="center"/>
        <w:tblLayout w:type="fixed"/>
        <w:tblLook w:firstColumn="1" w:firstRow="1" w:lastColumn="0" w:lastRow="0" w:noHBand="0" w:noVBand="1" w:val="04A0"/>
      </w:tblPr>
      <w:tblGrid>
        <w:gridCol w:w="4592"/>
        <w:gridCol w:w="4592"/>
      </w:tblGrid>
      <w:tr>
        <w:trPr>
          <w:tblHeader w:val="true"/>
          <w:cantSplit/>
        </w:trPr>
        <w:tc>
          <w:tcPr>
            <w:tcW w:type="dxa" w:w="2268"/>
            <w:shd w:fill="1F4E7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center"/>
            </w:pPr>
            <w:r>
              <w:rPr>
                <w:rFonts w:ascii="Noto Sans CJK SC" w:hAnsi="Noto Sans CJK SC" w:eastAsia="Noto Sans CJK SC"/>
                <w:b/>
                <w:color w:val="FFFFFF"/>
                <w:sz w:val="19"/>
              </w:rPr>
              <w:t>类别</w:t>
            </w:r>
          </w:p>
        </w:tc>
        <w:tc>
          <w:tcPr>
            <w:tcW w:type="dxa" w:w="7087"/>
            <w:shd w:fill="1F4E7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center"/>
            </w:pPr>
            <w:r>
              <w:rPr>
                <w:rFonts w:ascii="Noto Sans CJK SC" w:hAnsi="Noto Sans CJK SC" w:eastAsia="Noto Sans CJK SC"/>
                <w:b/>
                <w:color w:val="FFFFFF"/>
                <w:sz w:val="19"/>
              </w:rPr>
              <w:t>需要展示的内容</w:t>
            </w:r>
          </w:p>
        </w:tc>
      </w:tr>
      <w:tr>
        <w:trPr>
          <w:cantSplit/>
        </w:trPr>
        <w:tc>
          <w:tcPr>
            <w:tcW w:type="dxa" w:w="226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批次信息</w:t>
            </w:r>
          </w:p>
        </w:tc>
        <w:tc>
          <w:tcPr>
            <w:tcW w:type="dxa" w:w="7087"/>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到达时间、本批覆盖时段、实际回传间隔、15分钟数据点数</w:t>
            </w:r>
          </w:p>
        </w:tc>
      </w:tr>
      <w:tr>
        <w:trPr>
          <w:cantSplit/>
        </w:trPr>
        <w:tc>
          <w:tcPr>
            <w:tcW w:type="dxa" w:w="2268"/>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节点覆盖</w:t>
            </w:r>
          </w:p>
        </w:tc>
        <w:tc>
          <w:tcPr>
            <w:tcW w:type="dxa" w:w="7087"/>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参与节点、缺失节点、节点覆盖率、装机容量覆盖率</w:t>
            </w:r>
          </w:p>
        </w:tc>
      </w:tr>
      <w:tr>
        <w:trPr>
          <w:cantSplit/>
        </w:trPr>
        <w:tc>
          <w:tcPr>
            <w:tcW w:type="dxa" w:w="226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同期比较</w:t>
            </w:r>
          </w:p>
        </w:tc>
        <w:tc>
          <w:tcPr>
            <w:tcW w:type="dxa" w:w="7087"/>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主站15分钟聚合结果、分站15分钟汇总结果、平均偏差、最大偏差</w:t>
            </w:r>
          </w:p>
        </w:tc>
      </w:tr>
      <w:tr>
        <w:trPr>
          <w:cantSplit/>
        </w:trPr>
        <w:tc>
          <w:tcPr>
            <w:tcW w:type="dxa" w:w="2268"/>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校正动作</w:t>
            </w:r>
          </w:p>
        </w:tc>
        <w:tc>
          <w:tcPr>
            <w:tcW w:type="dxa" w:w="7087"/>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历史回补状态、平均校正量、校正置信度、后续校正状态是否更新</w:t>
            </w:r>
          </w:p>
        </w:tc>
      </w:tr>
      <w:tr>
        <w:trPr>
          <w:cantSplit/>
        </w:trPr>
        <w:tc>
          <w:tcPr>
            <w:tcW w:type="dxa" w:w="226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效果展示</w:t>
            </w:r>
          </w:p>
        </w:tc>
        <w:tc>
          <w:tcPr>
            <w:tcW w:type="dxa" w:w="7087"/>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校正前1分钟曲线、分站15分钟参考、校正后1分钟曲线及误差变化</w:t>
            </w:r>
          </w:p>
        </w:tc>
      </w:tr>
    </w:tbl>
    <w:p>
      <w:pPr>
        <w:spacing w:after="0"/>
      </w:pPr>
    </w:p>
    <w:p>
      <w:pPr>
        <w:pStyle w:val="Heading1"/>
        <w:keepNext/>
        <w:spacing w:before="200" w:after="120" w:line="288" w:lineRule="auto"/>
      </w:pPr>
    </w:p>
    <w:p>
      <w:pPr>
        <w:pStyle w:val="Heading2"/>
        <w:keepNext/>
        <w:spacing w:before="120" w:after="120" w:line="288" w:lineRule="auto"/>
      </w:pPr>
    </w:p>
    <w:tbl>
      <w:tblPr>
        <w:tblW w:type="auto" w:w="0"/>
        <w:jc w:val="center"/>
        <w:tblLayout w:type="fixed"/>
        <w:tblLook w:firstColumn="1" w:firstRow="1" w:lastColumn="0" w:lastRow="0" w:noHBand="0" w:noVBand="1" w:val="04A0"/>
      </w:tblPr>
      <w:tblGrid>
        <w:gridCol w:w="3061"/>
        <w:gridCol w:w="3061"/>
        <w:gridCol w:w="3061"/>
      </w:tblGrid>
      <w:tr>
        <w:trPr>
          <w:tblHeader w:val="true"/>
          <w:cantSplit/>
        </w:trPr>
        <w:tc>
          <w:tcPr>
            <w:tcW w:type="dxa" w:w="2381"/>
            <w:shd w:fill="1F4E7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center"/>
            </w:pPr>
            <w:r>
              <w:rPr>
                <w:rFonts w:ascii="Noto Sans CJK SC" w:hAnsi="Noto Sans CJK SC" w:eastAsia="Noto Sans CJK SC"/>
                <w:b/>
                <w:color w:val="FFFFFF"/>
                <w:sz w:val="19"/>
              </w:rPr>
              <w:t>字段</w:t>
            </w:r>
          </w:p>
        </w:tc>
        <w:tc>
          <w:tcPr>
            <w:tcW w:type="dxa" w:w="4876"/>
            <w:shd w:fill="1F4E7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center"/>
            </w:pPr>
            <w:r>
              <w:rPr>
                <w:rFonts w:ascii="Noto Sans CJK SC" w:hAnsi="Noto Sans CJK SC" w:eastAsia="Noto Sans CJK SC"/>
                <w:b/>
                <w:color w:val="FFFFFF"/>
                <w:sz w:val="19"/>
              </w:rPr>
              <w:t>说明</w:t>
            </w:r>
          </w:p>
        </w:tc>
        <w:tc>
          <w:tcPr>
            <w:tcW w:type="dxa" w:w="2098"/>
            <w:shd w:fill="1F4E7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center"/>
            </w:pPr>
            <w:r>
              <w:rPr>
                <w:rFonts w:ascii="Noto Sans CJK SC" w:hAnsi="Noto Sans CJK SC" w:eastAsia="Noto Sans CJK SC"/>
                <w:b/>
                <w:color w:val="FFFFFF"/>
                <w:sz w:val="19"/>
              </w:rPr>
              <w:t>是否必需</w:t>
            </w:r>
          </w:p>
        </w:tc>
      </w:tr>
      <w:tr>
        <w:trPr>
          <w:cantSplit/>
        </w:trPr>
        <w:tc>
          <w:tcPr>
            <w:tcW w:type="dxa" w:w="2381"/>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station_id</w:t>
            </w:r>
          </w:p>
        </w:tc>
        <w:tc>
          <w:tcPr>
            <w:tcW w:type="dxa" w:w="4876"/>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台区或主站标识</w:t>
            </w:r>
          </w:p>
        </w:tc>
        <w:tc>
          <w:tcPr>
            <w:tcW w:type="dxa" w:w="209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是</w:t>
            </w:r>
          </w:p>
        </w:tc>
      </w:tr>
      <w:tr>
        <w:trPr>
          <w:cantSplit/>
        </w:trPr>
        <w:tc>
          <w:tcPr>
            <w:tcW w:type="dxa" w:w="2381"/>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event_time</w:t>
            </w:r>
          </w:p>
        </w:tc>
        <w:tc>
          <w:tcPr>
            <w:tcW w:type="dxa" w:w="4876"/>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1分钟数据对应时间</w:t>
            </w:r>
          </w:p>
        </w:tc>
        <w:tc>
          <w:tcPr>
            <w:tcW w:type="dxa" w:w="2098"/>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是</w:t>
            </w:r>
          </w:p>
        </w:tc>
      </w:tr>
      <w:tr>
        <w:trPr>
          <w:cantSplit/>
        </w:trPr>
        <w:tc>
          <w:tcPr>
            <w:tcW w:type="dxa" w:w="2381"/>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active_power_kw</w:t>
            </w:r>
          </w:p>
        </w:tc>
        <w:tc>
          <w:tcPr>
            <w:tcW w:type="dxa" w:w="4876"/>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台区综合有功功率</w:t>
            </w:r>
          </w:p>
        </w:tc>
        <w:tc>
          <w:tcPr>
            <w:tcW w:type="dxa" w:w="209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是</w:t>
            </w:r>
          </w:p>
        </w:tc>
      </w:tr>
      <w:tr>
        <w:trPr>
          <w:cantSplit/>
        </w:trPr>
        <w:tc>
          <w:tcPr>
            <w:tcW w:type="dxa" w:w="2381"/>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reactive_power_kvar</w:t>
            </w:r>
          </w:p>
        </w:tc>
        <w:tc>
          <w:tcPr>
            <w:tcW w:type="dxa" w:w="4876"/>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无功功率</w:t>
            </w:r>
          </w:p>
        </w:tc>
        <w:tc>
          <w:tcPr>
            <w:tcW w:type="dxa" w:w="2098"/>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否</w:t>
            </w:r>
          </w:p>
        </w:tc>
      </w:tr>
      <w:tr>
        <w:trPr>
          <w:cantSplit/>
        </w:trPr>
        <w:tc>
          <w:tcPr>
            <w:tcW w:type="dxa" w:w="2381"/>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voltage/current/pf</w:t>
            </w:r>
          </w:p>
        </w:tc>
        <w:tc>
          <w:tcPr>
            <w:tcW w:type="dxa" w:w="4876"/>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电压、电流、功率因数等辅助量</w:t>
            </w:r>
          </w:p>
        </w:tc>
        <w:tc>
          <w:tcPr>
            <w:tcW w:type="dxa" w:w="209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否</w:t>
            </w:r>
          </w:p>
        </w:tc>
      </w:tr>
      <w:tr>
        <w:trPr>
          <w:cantSplit/>
        </w:trPr>
        <w:tc>
          <w:tcPr>
            <w:tcW w:type="dxa" w:w="2381"/>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quality_flag</w:t>
            </w:r>
          </w:p>
        </w:tc>
        <w:tc>
          <w:tcPr>
            <w:tcW w:type="dxa" w:w="4876"/>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数据质量标志</w:t>
            </w:r>
          </w:p>
        </w:tc>
        <w:tc>
          <w:tcPr>
            <w:tcW w:type="dxa" w:w="2098"/>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是</w:t>
            </w:r>
          </w:p>
        </w:tc>
      </w:tr>
    </w:tbl>
    <w:p>
      <w:pPr>
        <w:spacing w:after="0"/>
      </w:pPr>
    </w:p>
    <w:p>
      <w:pPr>
        <w:pStyle w:val="Heading2"/>
        <w:keepNext/>
        <w:spacing w:before="120" w:after="120" w:line="288" w:lineRule="auto"/>
      </w:pPr>
    </w:p>
    <w:tbl>
      <w:tblPr>
        <w:tblW w:type="auto" w:w="0"/>
        <w:jc w:val="center"/>
        <w:tblLayout w:type="fixed"/>
        <w:tblLook w:firstColumn="1" w:firstRow="1" w:lastColumn="0" w:lastRow="0" w:noHBand="0" w:noVBand="1" w:val="04A0"/>
      </w:tblPr>
      <w:tblGrid>
        <w:gridCol w:w="3061"/>
        <w:gridCol w:w="3061"/>
        <w:gridCol w:w="3061"/>
      </w:tblGrid>
      <w:tr>
        <w:trPr>
          <w:tblHeader w:val="true"/>
          <w:cantSplit/>
        </w:trPr>
        <w:tc>
          <w:tcPr>
            <w:tcW w:type="dxa" w:w="2381"/>
            <w:shd w:fill="1F4E7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center"/>
            </w:pPr>
            <w:r>
              <w:rPr>
                <w:rFonts w:ascii="Noto Sans CJK SC" w:hAnsi="Noto Sans CJK SC" w:eastAsia="Noto Sans CJK SC"/>
                <w:b/>
                <w:color w:val="FFFFFF"/>
                <w:sz w:val="19"/>
              </w:rPr>
              <w:t>字段</w:t>
            </w:r>
          </w:p>
        </w:tc>
        <w:tc>
          <w:tcPr>
            <w:tcW w:type="dxa" w:w="4876"/>
            <w:shd w:fill="1F4E7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center"/>
            </w:pPr>
            <w:r>
              <w:rPr>
                <w:rFonts w:ascii="Noto Sans CJK SC" w:hAnsi="Noto Sans CJK SC" w:eastAsia="Noto Sans CJK SC"/>
                <w:b/>
                <w:color w:val="FFFFFF"/>
                <w:sz w:val="19"/>
              </w:rPr>
              <w:t>说明</w:t>
            </w:r>
          </w:p>
        </w:tc>
        <w:tc>
          <w:tcPr>
            <w:tcW w:type="dxa" w:w="2098"/>
            <w:shd w:fill="1F4E7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center"/>
            </w:pPr>
            <w:r>
              <w:rPr>
                <w:rFonts w:ascii="Noto Sans CJK SC" w:hAnsi="Noto Sans CJK SC" w:eastAsia="Noto Sans CJK SC"/>
                <w:b/>
                <w:color w:val="FFFFFF"/>
                <w:sz w:val="19"/>
              </w:rPr>
              <w:t>是否必需</w:t>
            </w:r>
          </w:p>
        </w:tc>
      </w:tr>
      <w:tr>
        <w:trPr>
          <w:cantSplit/>
        </w:trPr>
        <w:tc>
          <w:tcPr>
            <w:tcW w:type="dxa" w:w="2381"/>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node_id</w:t>
            </w:r>
          </w:p>
        </w:tc>
        <w:tc>
          <w:tcPr>
            <w:tcW w:type="dxa" w:w="4876"/>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光伏分站节点标识</w:t>
            </w:r>
          </w:p>
        </w:tc>
        <w:tc>
          <w:tcPr>
            <w:tcW w:type="dxa" w:w="209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是</w:t>
            </w:r>
          </w:p>
        </w:tc>
      </w:tr>
      <w:tr>
        <w:trPr>
          <w:cantSplit/>
        </w:trPr>
        <w:tc>
          <w:tcPr>
            <w:tcW w:type="dxa" w:w="2381"/>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period_start</w:t>
            </w:r>
          </w:p>
        </w:tc>
        <w:tc>
          <w:tcPr>
            <w:tcW w:type="dxa" w:w="4876"/>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15分钟时段起始时间</w:t>
            </w:r>
          </w:p>
        </w:tc>
        <w:tc>
          <w:tcPr>
            <w:tcW w:type="dxa" w:w="2098"/>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是</w:t>
            </w:r>
          </w:p>
        </w:tc>
      </w:tr>
      <w:tr>
        <w:trPr>
          <w:cantSplit/>
        </w:trPr>
        <w:tc>
          <w:tcPr>
            <w:tcW w:type="dxa" w:w="2381"/>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period_end</w:t>
            </w:r>
          </w:p>
        </w:tc>
        <w:tc>
          <w:tcPr>
            <w:tcW w:type="dxa" w:w="4876"/>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15分钟时段结束时间</w:t>
            </w:r>
          </w:p>
        </w:tc>
        <w:tc>
          <w:tcPr>
            <w:tcW w:type="dxa" w:w="209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是</w:t>
            </w:r>
          </w:p>
        </w:tc>
      </w:tr>
      <w:tr>
        <w:trPr>
          <w:cantSplit/>
        </w:trPr>
        <w:tc>
          <w:tcPr>
            <w:tcW w:type="dxa" w:w="2381"/>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arrival_time</w:t>
            </w:r>
          </w:p>
        </w:tc>
        <w:tc>
          <w:tcPr>
            <w:tcW w:type="dxa" w:w="4876"/>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数据到达主站时间</w:t>
            </w:r>
          </w:p>
        </w:tc>
        <w:tc>
          <w:tcPr>
            <w:tcW w:type="dxa" w:w="2098"/>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是</w:t>
            </w:r>
          </w:p>
        </w:tc>
      </w:tr>
      <w:tr>
        <w:trPr>
          <w:cantSplit/>
        </w:trPr>
        <w:tc>
          <w:tcPr>
            <w:tcW w:type="dxa" w:w="2381"/>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batch_id</w:t>
            </w:r>
          </w:p>
        </w:tc>
        <w:tc>
          <w:tcPr>
            <w:tcW w:type="dxa" w:w="4876"/>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回传批次标识</w:t>
            </w:r>
          </w:p>
        </w:tc>
        <w:tc>
          <w:tcPr>
            <w:tcW w:type="dxa" w:w="209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是</w:t>
            </w:r>
          </w:p>
        </w:tc>
      </w:tr>
      <w:tr>
        <w:trPr>
          <w:cantSplit/>
        </w:trPr>
        <w:tc>
          <w:tcPr>
            <w:tcW w:type="dxa" w:w="2381"/>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pv_value</w:t>
            </w:r>
          </w:p>
        </w:tc>
        <w:tc>
          <w:tcPr>
            <w:tcW w:type="dxa" w:w="4876"/>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15分钟功率或电量值</w:t>
            </w:r>
          </w:p>
        </w:tc>
        <w:tc>
          <w:tcPr>
            <w:tcW w:type="dxa" w:w="2098"/>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是</w:t>
            </w:r>
          </w:p>
        </w:tc>
      </w:tr>
      <w:tr>
        <w:trPr>
          <w:cantSplit/>
        </w:trPr>
        <w:tc>
          <w:tcPr>
            <w:tcW w:type="dxa" w:w="2381"/>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value_type</w:t>
            </w:r>
          </w:p>
        </w:tc>
        <w:tc>
          <w:tcPr>
            <w:tcW w:type="dxa" w:w="4876"/>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average_power / energy，明确数据口径</w:t>
            </w:r>
          </w:p>
        </w:tc>
        <w:tc>
          <w:tcPr>
            <w:tcW w:type="dxa" w:w="209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是</w:t>
            </w:r>
          </w:p>
        </w:tc>
      </w:tr>
      <w:tr>
        <w:trPr>
          <w:cantSplit/>
        </w:trPr>
        <w:tc>
          <w:tcPr>
            <w:tcW w:type="dxa" w:w="2381"/>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capacity_kw</w:t>
            </w:r>
          </w:p>
        </w:tc>
        <w:tc>
          <w:tcPr>
            <w:tcW w:type="dxa" w:w="4876"/>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节点装机容量</w:t>
            </w:r>
          </w:p>
        </w:tc>
        <w:tc>
          <w:tcPr>
            <w:tcW w:type="dxa" w:w="2098"/>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建议</w:t>
            </w:r>
          </w:p>
        </w:tc>
      </w:tr>
      <w:tr>
        <w:trPr>
          <w:cantSplit/>
        </w:trPr>
        <w:tc>
          <w:tcPr>
            <w:tcW w:type="dxa" w:w="2381"/>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quality_flag</w:t>
            </w:r>
          </w:p>
        </w:tc>
        <w:tc>
          <w:tcPr>
            <w:tcW w:type="dxa" w:w="4876"/>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数据质量标志</w:t>
            </w:r>
          </w:p>
        </w:tc>
        <w:tc>
          <w:tcPr>
            <w:tcW w:type="dxa" w:w="209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是</w:t>
            </w:r>
          </w:p>
        </w:tc>
      </w:tr>
    </w:tbl>
    <w:p>
      <w:pPr>
        <w:spacing w:after="0"/>
      </w:pPr>
    </w:p>
    <w:p>
      <w:pPr>
        <w:pStyle w:val="Heading2"/>
        <w:keepNext/>
        <w:spacing w:before="120" w:after="120" w:line="288" w:lineRule="auto"/>
      </w:pPr>
    </w:p>
    <w:tbl>
      <w:tblPr>
        <w:tblW w:type="auto" w:w="0"/>
        <w:jc w:val="center"/>
        <w:tblLayout w:type="fixed"/>
        <w:tblLook w:firstColumn="1" w:firstRow="1" w:lastColumn="0" w:lastRow="0" w:noHBand="0" w:noVBand="1" w:val="04A0"/>
      </w:tblPr>
      <w:tblGrid>
        <w:gridCol w:w="4592"/>
        <w:gridCol w:w="4592"/>
      </w:tblGrid>
      <w:tr>
        <w:trPr>
          <w:tblHeader w:val="true"/>
          <w:cantSplit/>
        </w:trPr>
        <w:tc>
          <w:tcPr>
            <w:tcW w:type="dxa" w:w="3288"/>
            <w:shd w:fill="1F4E7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center"/>
            </w:pPr>
            <w:r>
              <w:rPr>
                <w:rFonts w:ascii="Noto Sans CJK SC" w:hAnsi="Noto Sans CJK SC" w:eastAsia="Noto Sans CJK SC"/>
                <w:b/>
                <w:color w:val="FFFFFF"/>
                <w:sz w:val="19"/>
              </w:rPr>
              <w:t>字段</w:t>
            </w:r>
          </w:p>
        </w:tc>
        <w:tc>
          <w:tcPr>
            <w:tcW w:type="dxa" w:w="6066"/>
            <w:shd w:fill="1F4E7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center"/>
            </w:pPr>
            <w:r>
              <w:rPr>
                <w:rFonts w:ascii="Noto Sans CJK SC" w:hAnsi="Noto Sans CJK SC" w:eastAsia="Noto Sans CJK SC"/>
                <w:b/>
                <w:color w:val="FFFFFF"/>
                <w:sz w:val="19"/>
              </w:rPr>
              <w:t>说明</w:t>
            </w:r>
          </w:p>
        </w:tc>
      </w:tr>
      <w:tr>
        <w:trPr>
          <w:cantSplit/>
        </w:trPr>
        <w:tc>
          <w:tcPr>
            <w:tcW w:type="dxa" w:w="328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result_time</w:t>
            </w:r>
          </w:p>
        </w:tc>
        <w:tc>
          <w:tcPr>
            <w:tcW w:type="dxa" w:w="6066"/>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结果生成时间</w:t>
            </w:r>
          </w:p>
        </w:tc>
      </w:tr>
      <w:tr>
        <w:trPr>
          <w:cantSplit/>
        </w:trPr>
        <w:tc>
          <w:tcPr>
            <w:tcW w:type="dxa" w:w="3288"/>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window_start/window_end</w:t>
            </w:r>
          </w:p>
        </w:tc>
        <w:tc>
          <w:tcPr>
            <w:tcW w:type="dxa" w:w="6066"/>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本次辨识使用的数据范围</w:t>
            </w:r>
          </w:p>
        </w:tc>
      </w:tr>
      <w:tr>
        <w:trPr>
          <w:cantSplit/>
        </w:trPr>
        <w:tc>
          <w:tcPr>
            <w:tcW w:type="dxa" w:w="328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pv_score / storage_score / charger_score</w:t>
            </w:r>
          </w:p>
        </w:tc>
        <w:tc>
          <w:tcPr>
            <w:tcW w:type="dxa" w:w="6066"/>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三类独立辨识分数</w:t>
            </w:r>
          </w:p>
        </w:tc>
      </w:tr>
      <w:tr>
        <w:trPr>
          <w:cantSplit/>
        </w:trPr>
        <w:tc>
          <w:tcPr>
            <w:tcW w:type="dxa" w:w="3288"/>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pv_label / storage_label / charger_label</w:t>
            </w:r>
          </w:p>
        </w:tc>
        <w:tc>
          <w:tcPr>
            <w:tcW w:type="dxa" w:w="6066"/>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三类工程化辨识结论</w:t>
            </w:r>
          </w:p>
        </w:tc>
      </w:tr>
      <w:tr>
        <w:trPr>
          <w:cantSplit/>
        </w:trPr>
        <w:tc>
          <w:tcPr>
            <w:tcW w:type="dxa" w:w="328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model_version</w:t>
            </w:r>
          </w:p>
        </w:tc>
        <w:tc>
          <w:tcPr>
            <w:tcW w:type="dxa" w:w="6066"/>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模型版本</w:t>
            </w:r>
          </w:p>
        </w:tc>
      </w:tr>
      <w:tr>
        <w:trPr>
          <w:cantSplit/>
        </w:trPr>
        <w:tc>
          <w:tcPr>
            <w:tcW w:type="dxa" w:w="3288"/>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explanation</w:t>
            </w:r>
          </w:p>
        </w:tc>
        <w:tc>
          <w:tcPr>
            <w:tcW w:type="dxa" w:w="6066"/>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可选的支撑特征摘要</w:t>
            </w:r>
          </w:p>
        </w:tc>
      </w:tr>
    </w:tbl>
    <w:p>
      <w:pPr>
        <w:spacing w:after="0"/>
      </w:pPr>
    </w:p>
    <w:p>
      <w:pPr>
        <w:pStyle w:val="Heading2"/>
        <w:keepNext/>
        <w:spacing w:before="120" w:after="120" w:line="288" w:lineRule="auto"/>
      </w:pPr>
    </w:p>
    <w:tbl>
      <w:tblPr>
        <w:tblW w:type="auto" w:w="0"/>
        <w:jc w:val="center"/>
        <w:tblLayout w:type="fixed"/>
        <w:tblLook w:firstColumn="1" w:firstRow="1" w:lastColumn="0" w:lastRow="0" w:noHBand="0" w:noVBand="1" w:val="04A0"/>
      </w:tblPr>
      <w:tblGrid>
        <w:gridCol w:w="4592"/>
        <w:gridCol w:w="4592"/>
      </w:tblGrid>
      <w:tr>
        <w:trPr>
          <w:tblHeader w:val="true"/>
          <w:cantSplit/>
        </w:trPr>
        <w:tc>
          <w:tcPr>
            <w:tcW w:type="dxa" w:w="3288"/>
            <w:shd w:fill="1F4E7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center"/>
            </w:pPr>
            <w:r>
              <w:rPr>
                <w:rFonts w:ascii="Noto Sans CJK SC" w:hAnsi="Noto Sans CJK SC" w:eastAsia="Noto Sans CJK SC"/>
                <w:b/>
                <w:color w:val="FFFFFF"/>
                <w:sz w:val="19"/>
              </w:rPr>
              <w:t>字段</w:t>
            </w:r>
          </w:p>
        </w:tc>
        <w:tc>
          <w:tcPr>
            <w:tcW w:type="dxa" w:w="6066"/>
            <w:shd w:fill="1F4E7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center"/>
            </w:pPr>
            <w:r>
              <w:rPr>
                <w:rFonts w:ascii="Noto Sans CJK SC" w:hAnsi="Noto Sans CJK SC" w:eastAsia="Noto Sans CJK SC"/>
                <w:b/>
                <w:color w:val="FFFFFF"/>
                <w:sz w:val="19"/>
              </w:rPr>
              <w:t>说明</w:t>
            </w:r>
          </w:p>
        </w:tc>
      </w:tr>
      <w:tr>
        <w:trPr>
          <w:cantSplit/>
        </w:trPr>
        <w:tc>
          <w:tcPr>
            <w:tcW w:type="dxa" w:w="328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event_time</w:t>
            </w:r>
          </w:p>
        </w:tc>
        <w:tc>
          <w:tcPr>
            <w:tcW w:type="dxa" w:w="6066"/>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1分钟结果对应时间</w:t>
            </w:r>
          </w:p>
        </w:tc>
      </w:tr>
      <w:tr>
        <w:trPr>
          <w:cantSplit/>
        </w:trPr>
        <w:tc>
          <w:tcPr>
            <w:tcW w:type="dxa" w:w="3288"/>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separation_time</w:t>
            </w:r>
          </w:p>
        </w:tc>
        <w:tc>
          <w:tcPr>
            <w:tcW w:type="dxa" w:w="6066"/>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该分钟初始分离结果的生成时间</w:t>
            </w:r>
          </w:p>
        </w:tc>
      </w:tr>
      <w:tr>
        <w:trPr>
          <w:cantSplit/>
        </w:trPr>
        <w:tc>
          <w:tcPr>
            <w:tcW w:type="dxa" w:w="328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result_status</w:t>
            </w:r>
          </w:p>
        </w:tc>
        <w:tc>
          <w:tcPr>
            <w:tcW w:type="dxa" w:w="6066"/>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实时初始结果 / 等待反馈 / 已反馈校正</w:t>
            </w:r>
          </w:p>
        </w:tc>
      </w:tr>
      <w:tr>
        <w:trPr>
          <w:cantSplit/>
        </w:trPr>
        <w:tc>
          <w:tcPr>
            <w:tcW w:type="dxa" w:w="3288"/>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total_power_kw</w:t>
            </w:r>
          </w:p>
        </w:tc>
        <w:tc>
          <w:tcPr>
            <w:tcW w:type="dxa" w:w="6066"/>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台区综合功率</w:t>
            </w:r>
          </w:p>
        </w:tc>
      </w:tr>
      <w:tr>
        <w:trPr>
          <w:cantSplit/>
        </w:trPr>
        <w:tc>
          <w:tcPr>
            <w:tcW w:type="dxa" w:w="328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initial_pv_kw</w:t>
            </w:r>
          </w:p>
        </w:tc>
        <w:tc>
          <w:tcPr>
            <w:tcW w:type="dxa" w:w="6066"/>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初始光伏分离功率</w:t>
            </w:r>
          </w:p>
        </w:tc>
      </w:tr>
      <w:tr>
        <w:trPr>
          <w:cantSplit/>
        </w:trPr>
        <w:tc>
          <w:tcPr>
            <w:tcW w:type="dxa" w:w="3288"/>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corrected_pv_kw</w:t>
            </w:r>
          </w:p>
        </w:tc>
        <w:tc>
          <w:tcPr>
            <w:tcW w:type="dxa" w:w="6066"/>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校正后光伏功率</w:t>
            </w:r>
          </w:p>
        </w:tc>
      </w:tr>
      <w:tr>
        <w:trPr>
          <w:cantSplit/>
        </w:trPr>
        <w:tc>
          <w:tcPr>
            <w:tcW w:type="dxa" w:w="328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station_feedback_value</w:t>
            </w:r>
          </w:p>
        </w:tc>
        <w:tc>
          <w:tcPr>
            <w:tcW w:type="dxa" w:w="6066"/>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对应15分钟分站参考值；未到达时为空</w:t>
            </w:r>
          </w:p>
        </w:tc>
      </w:tr>
      <w:tr>
        <w:trPr>
          <w:cantSplit/>
        </w:trPr>
        <w:tc>
          <w:tcPr>
            <w:tcW w:type="dxa" w:w="3288"/>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feedback_status</w:t>
            </w:r>
          </w:p>
        </w:tc>
        <w:tc>
          <w:tcPr>
            <w:tcW w:type="dxa" w:w="6066"/>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已反馈 / 等待回传</w:t>
            </w:r>
          </w:p>
        </w:tc>
      </w:tr>
      <w:tr>
        <w:trPr>
          <w:cantSplit/>
        </w:trPr>
        <w:tc>
          <w:tcPr>
            <w:tcW w:type="dxa" w:w="328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correction_kw / correction_ratio</w:t>
            </w:r>
          </w:p>
        </w:tc>
        <w:tc>
          <w:tcPr>
            <w:tcW w:type="dxa" w:w="6066"/>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校正量或校正系数</w:t>
            </w:r>
          </w:p>
        </w:tc>
      </w:tr>
      <w:tr>
        <w:trPr>
          <w:cantSplit/>
        </w:trPr>
        <w:tc>
          <w:tcPr>
            <w:tcW w:type="dxa" w:w="3288"/>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confidence</w:t>
            </w:r>
          </w:p>
        </w:tc>
        <w:tc>
          <w:tcPr>
            <w:tcW w:type="dxa" w:w="6066"/>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分离或校正置信度</w:t>
            </w:r>
          </w:p>
        </w:tc>
      </w:tr>
      <w:tr>
        <w:trPr>
          <w:cantSplit/>
        </w:trPr>
        <w:tc>
          <w:tcPr>
            <w:tcW w:type="dxa" w:w="328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model_version</w:t>
            </w:r>
          </w:p>
        </w:tc>
        <w:tc>
          <w:tcPr>
            <w:tcW w:type="dxa" w:w="6066"/>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分离模型版本</w:t>
            </w:r>
          </w:p>
        </w:tc>
      </w:tr>
    </w:tbl>
    <w:p>
      <w:pPr>
        <w:spacing w:after="0"/>
      </w:pPr>
    </w:p>
    <w:p>
      <w:pPr>
        <w:pStyle w:val="Heading1"/>
        <w:keepNext/>
        <w:spacing w:before="200" w:after="120" w:line="288" w:lineRule="auto"/>
      </w:pPr>
    </w:p>
    <w:p>
      <w:pPr>
        <w:pStyle w:val="Heading2"/>
        <w:keepNext/>
        <w:spacing w:before="120" w:after="120" w:line="288" w:lineRule="auto"/>
      </w:pPr>
    </w:p>
    <w:tbl>
      <w:tblPr>
        <w:tblW w:type="auto" w:w="0"/>
        <w:jc w:val="center"/>
        <w:tblLayout w:type="fixed"/>
        <w:tblLook w:firstColumn="1" w:firstRow="1" w:lastColumn="0" w:lastRow="0" w:noHBand="0" w:noVBand="1" w:val="04A0"/>
      </w:tblPr>
      <w:tblGrid>
        <w:gridCol w:w="4592"/>
        <w:gridCol w:w="4592"/>
      </w:tblGrid>
      <w:tr>
        <w:trPr>
          <w:tblHeader w:val="true"/>
          <w:cantSplit/>
        </w:trPr>
        <w:tc>
          <w:tcPr>
            <w:tcW w:type="dxa" w:w="2268"/>
            <w:shd w:fill="1F4E7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center"/>
            </w:pPr>
            <w:r>
              <w:rPr>
                <w:rFonts w:ascii="Noto Sans CJK SC" w:hAnsi="Noto Sans CJK SC" w:eastAsia="Noto Sans CJK SC"/>
                <w:b/>
                <w:color w:val="FFFFFF"/>
                <w:sz w:val="19"/>
              </w:rPr>
              <w:t>接口项</w:t>
            </w:r>
          </w:p>
        </w:tc>
        <w:tc>
          <w:tcPr>
            <w:tcW w:type="dxa" w:w="7087"/>
            <w:shd w:fill="1F4E7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center"/>
            </w:pPr>
            <w:r>
              <w:rPr>
                <w:rFonts w:ascii="Noto Sans CJK SC" w:hAnsi="Noto Sans CJK SC" w:eastAsia="Noto Sans CJK SC"/>
                <w:b/>
                <w:color w:val="FFFFFF"/>
                <w:sz w:val="19"/>
              </w:rPr>
              <w:t>要求</w:t>
            </w:r>
          </w:p>
        </w:tc>
      </w:tr>
      <w:tr>
        <w:trPr>
          <w:cantSplit/>
        </w:trPr>
        <w:tc>
          <w:tcPr>
            <w:tcW w:type="dxa" w:w="226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输入</w:t>
            </w:r>
          </w:p>
        </w:tc>
        <w:tc>
          <w:tcPr>
            <w:tcW w:type="dxa" w:w="7087"/>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台区1分钟级综合功率序列、数据时间范围、数据质量信息及模型需要的辅助特征</w:t>
            </w:r>
          </w:p>
        </w:tc>
      </w:tr>
      <w:tr>
        <w:trPr>
          <w:cantSplit/>
        </w:trPr>
        <w:tc>
          <w:tcPr>
            <w:tcW w:type="dxa" w:w="2268"/>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输出</w:t>
            </w:r>
          </w:p>
        </w:tc>
        <w:tc>
          <w:tcPr>
            <w:tcW w:type="dxa" w:w="7087"/>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光伏/储能/充电桩三类辨识分数、三类结论、模型版本、推理时间和可选解释信息</w:t>
            </w:r>
          </w:p>
        </w:tc>
      </w:tr>
      <w:tr>
        <w:trPr>
          <w:cantSplit/>
        </w:trPr>
        <w:tc>
          <w:tcPr>
            <w:tcW w:type="dxa" w:w="226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调用方式</w:t>
            </w:r>
          </w:p>
        </w:tc>
        <w:tc>
          <w:tcPr>
            <w:tcW w:type="dxa" w:w="7087"/>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前端或后端服务通过统一接口调用，模型训练不在前端执行</w:t>
            </w:r>
          </w:p>
        </w:tc>
      </w:tr>
    </w:tbl>
    <w:p>
      <w:pPr>
        <w:spacing w:after="0"/>
      </w:pPr>
    </w:p>
    <w:p>
      <w:pPr>
        <w:pStyle w:val="Heading2"/>
        <w:keepNext/>
        <w:spacing w:before="120" w:after="120" w:line="288" w:lineRule="auto"/>
      </w:pPr>
    </w:p>
    <w:tbl>
      <w:tblPr>
        <w:tblW w:type="auto" w:w="0"/>
        <w:jc w:val="center"/>
        <w:tblLayout w:type="fixed"/>
        <w:tblLook w:firstColumn="1" w:firstRow="1" w:lastColumn="0" w:lastRow="0" w:noHBand="0" w:noVBand="1" w:val="04A0"/>
      </w:tblPr>
      <w:tblGrid>
        <w:gridCol w:w="4592"/>
        <w:gridCol w:w="4592"/>
      </w:tblGrid>
      <w:tr>
        <w:trPr>
          <w:tblHeader w:val="true"/>
          <w:cantSplit/>
        </w:trPr>
        <w:tc>
          <w:tcPr>
            <w:tcW w:type="dxa" w:w="2268"/>
            <w:shd w:fill="1F4E7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center"/>
            </w:pPr>
            <w:r>
              <w:rPr>
                <w:rFonts w:ascii="Noto Sans CJK SC" w:hAnsi="Noto Sans CJK SC" w:eastAsia="Noto Sans CJK SC"/>
                <w:b/>
                <w:color w:val="FFFFFF"/>
                <w:sz w:val="19"/>
              </w:rPr>
              <w:t>接口项</w:t>
            </w:r>
          </w:p>
        </w:tc>
        <w:tc>
          <w:tcPr>
            <w:tcW w:type="dxa" w:w="7087"/>
            <w:shd w:fill="1F4E7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center"/>
            </w:pPr>
            <w:r>
              <w:rPr>
                <w:rFonts w:ascii="Noto Sans CJK SC" w:hAnsi="Noto Sans CJK SC" w:eastAsia="Noto Sans CJK SC"/>
                <w:b/>
                <w:color w:val="FFFFFF"/>
                <w:sz w:val="19"/>
              </w:rPr>
              <w:t>要求</w:t>
            </w:r>
          </w:p>
        </w:tc>
      </w:tr>
      <w:tr>
        <w:trPr>
          <w:cantSplit/>
        </w:trPr>
        <w:tc>
          <w:tcPr>
            <w:tcW w:type="dxa" w:w="226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输入</w:t>
            </w:r>
          </w:p>
        </w:tc>
        <w:tc>
          <w:tcPr>
            <w:tcW w:type="dxa" w:w="7087"/>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台区1分钟级综合功率序列、时间特征、数据质量信息、辅助变量及可选历史校正状态</w:t>
            </w:r>
          </w:p>
        </w:tc>
      </w:tr>
      <w:tr>
        <w:trPr>
          <w:cantSplit/>
        </w:trPr>
        <w:tc>
          <w:tcPr>
            <w:tcW w:type="dxa" w:w="2268"/>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运行方式</w:t>
            </w:r>
          </w:p>
        </w:tc>
        <w:tc>
          <w:tcPr>
            <w:tcW w:type="dxa" w:w="7087"/>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每到达一个新的主站1分钟数据点即触发或更新一次分离；不等待分站数据</w:t>
            </w:r>
          </w:p>
        </w:tc>
      </w:tr>
      <w:tr>
        <w:trPr>
          <w:cantSplit/>
        </w:trPr>
        <w:tc>
          <w:tcPr>
            <w:tcW w:type="dxa" w:w="226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输出</w:t>
            </w:r>
          </w:p>
        </w:tc>
        <w:tc>
          <w:tcPr>
            <w:tcW w:type="dxa" w:w="7087"/>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当前分钟的初始光伏分离功率、结果状态、分离置信度、模型版本和推理时间</w:t>
            </w:r>
          </w:p>
        </w:tc>
      </w:tr>
      <w:tr>
        <w:trPr>
          <w:cantSplit/>
        </w:trPr>
        <w:tc>
          <w:tcPr>
            <w:tcW w:type="dxa" w:w="2268"/>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约束</w:t>
            </w:r>
          </w:p>
        </w:tc>
        <w:tc>
          <w:tcPr>
            <w:tcW w:type="dxa" w:w="7087"/>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只能使用当前时刻及以前已经到达的数据；输出功率应满足非负及合理容量边界；不得输出未来光伏预测曲线</w:t>
            </w:r>
          </w:p>
        </w:tc>
      </w:tr>
    </w:tbl>
    <w:p>
      <w:pPr>
        <w:spacing w:after="0"/>
      </w:pPr>
    </w:p>
    <w:p>
      <w:pPr>
        <w:pStyle w:val="Heading2"/>
        <w:keepNext/>
        <w:spacing w:before="120" w:after="120" w:line="288" w:lineRule="auto"/>
      </w:pPr>
    </w:p>
    <w:tbl>
      <w:tblPr>
        <w:tblW w:type="auto" w:w="0"/>
        <w:jc w:val="center"/>
        <w:tblLayout w:type="fixed"/>
        <w:tblLook w:firstColumn="1" w:firstRow="1" w:lastColumn="0" w:lastRow="0" w:noHBand="0" w:noVBand="1" w:val="04A0"/>
      </w:tblPr>
      <w:tblGrid>
        <w:gridCol w:w="4592"/>
        <w:gridCol w:w="4592"/>
      </w:tblGrid>
      <w:tr>
        <w:trPr>
          <w:tblHeader w:val="true"/>
          <w:cantSplit/>
        </w:trPr>
        <w:tc>
          <w:tcPr>
            <w:tcW w:type="dxa" w:w="2268"/>
            <w:shd w:fill="1F4E7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center"/>
            </w:pPr>
            <w:r>
              <w:rPr>
                <w:rFonts w:ascii="Noto Sans CJK SC" w:hAnsi="Noto Sans CJK SC" w:eastAsia="Noto Sans CJK SC"/>
                <w:b/>
                <w:color w:val="FFFFFF"/>
                <w:sz w:val="19"/>
              </w:rPr>
              <w:t>接口项</w:t>
            </w:r>
          </w:p>
        </w:tc>
        <w:tc>
          <w:tcPr>
            <w:tcW w:type="dxa" w:w="7087"/>
            <w:shd w:fill="1F4E7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center"/>
            </w:pPr>
            <w:r>
              <w:rPr>
                <w:rFonts w:ascii="Noto Sans CJK SC" w:hAnsi="Noto Sans CJK SC" w:eastAsia="Noto Sans CJK SC"/>
                <w:b/>
                <w:color w:val="FFFFFF"/>
                <w:sz w:val="19"/>
              </w:rPr>
              <w:t>要求</w:t>
            </w:r>
          </w:p>
        </w:tc>
      </w:tr>
      <w:tr>
        <w:trPr>
          <w:cantSplit/>
        </w:trPr>
        <w:tc>
          <w:tcPr>
            <w:tcW w:type="dxa" w:w="226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输入</w:t>
            </w:r>
          </w:p>
        </w:tc>
        <w:tc>
          <w:tcPr>
            <w:tcW w:type="dxa" w:w="7087"/>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分站15分钟级汇总值、对应历史时段、主站1分钟级初始分离结果、节点/容量覆盖率及数据完整率</w:t>
            </w:r>
          </w:p>
        </w:tc>
      </w:tr>
      <w:tr>
        <w:trPr>
          <w:cantSplit/>
        </w:trPr>
        <w:tc>
          <w:tcPr>
            <w:tcW w:type="dxa" w:w="2268"/>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输出</w:t>
            </w:r>
          </w:p>
        </w:tc>
        <w:tc>
          <w:tcPr>
            <w:tcW w:type="dxa" w:w="7087"/>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校正后历史分钟结果、每分钟校正量、校正置信度、后续校正状态及校正记录编号</w:t>
            </w:r>
          </w:p>
        </w:tc>
      </w:tr>
      <w:tr>
        <w:trPr>
          <w:cantSplit/>
        </w:trPr>
        <w:tc>
          <w:tcPr>
            <w:tcW w:type="dxa" w:w="226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处理原则</w:t>
            </w:r>
          </w:p>
        </w:tc>
        <w:tc>
          <w:tcPr>
            <w:tcW w:type="dxa" w:w="7087"/>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同一时段对比；保留分钟曲线形状；按15分钟总量或平均功率约束进行幅值校正</w:t>
            </w:r>
          </w:p>
        </w:tc>
      </w:tr>
    </w:tbl>
    <w:p>
      <w:pPr>
        <w:spacing w:after="0"/>
      </w:pPr>
    </w:p>
    <w:p>
      <w:pPr>
        <w:pStyle w:val="Heading1"/>
        <w:keepNext/>
        <w:spacing w:before="200" w:after="120" w:line="288" w:lineRule="auto"/>
      </w:pPr>
    </w:p>
    <w:tbl>
      <w:tblPr>
        <w:tblW w:type="auto" w:w="0"/>
        <w:jc w:val="center"/>
        <w:tblLayout w:type="fixed"/>
        <w:tblLook w:firstColumn="1" w:firstRow="1" w:lastColumn="0" w:lastRow="0" w:noHBand="0" w:noVBand="1" w:val="04A0"/>
      </w:tblPr>
      <w:tblGrid>
        <w:gridCol w:w="4592"/>
        <w:gridCol w:w="4592"/>
      </w:tblGrid>
      <w:tr>
        <w:trPr>
          <w:tblHeader w:val="true"/>
          <w:cantSplit/>
        </w:trPr>
        <w:tc>
          <w:tcPr>
            <w:tcW w:type="dxa" w:w="2041"/>
            <w:shd w:fill="1F4E7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center"/>
            </w:pPr>
            <w:r>
              <w:rPr>
                <w:rFonts w:ascii="Noto Sans CJK SC" w:hAnsi="Noto Sans CJK SC" w:eastAsia="Noto Sans CJK SC"/>
                <w:b/>
                <w:color w:val="FFFFFF"/>
                <w:sz w:val="19"/>
              </w:rPr>
              <w:t>类别</w:t>
            </w:r>
          </w:p>
        </w:tc>
        <w:tc>
          <w:tcPr>
            <w:tcW w:type="dxa" w:w="7313"/>
            <w:shd w:fill="1F4E7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center"/>
            </w:pPr>
            <w:r>
              <w:rPr>
                <w:rFonts w:ascii="Noto Sans CJK SC" w:hAnsi="Noto Sans CJK SC" w:eastAsia="Noto Sans CJK SC"/>
                <w:b/>
                <w:color w:val="FFFFFF"/>
                <w:sz w:val="19"/>
              </w:rPr>
              <w:t>要求</w:t>
            </w:r>
          </w:p>
        </w:tc>
      </w:tr>
      <w:tr>
        <w:trPr>
          <w:cantSplit/>
        </w:trPr>
        <w:tc>
          <w:tcPr>
            <w:tcW w:type="dxa" w:w="2041"/>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易用性</w:t>
            </w:r>
          </w:p>
        </w:tc>
        <w:tc>
          <w:tcPr>
            <w:tcW w:type="dxa" w:w="7313"/>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界面使用中文；专业术语配合直白解释；核心流程在一个主页面内可看清。</w:t>
            </w:r>
          </w:p>
        </w:tc>
      </w:tr>
      <w:tr>
        <w:trPr>
          <w:cantSplit/>
        </w:trPr>
        <w:tc>
          <w:tcPr>
            <w:tcW w:type="dxa" w:w="2041"/>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可配置性</w:t>
            </w:r>
          </w:p>
        </w:tc>
        <w:tc>
          <w:tcPr>
            <w:tcW w:type="dxa" w:w="7313"/>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分站数量、实际回传间隔、模型接口、辨识阈值、质量阈值、校正阈值和显示时间范围不得写死。</w:t>
            </w:r>
          </w:p>
        </w:tc>
      </w:tr>
      <w:tr>
        <w:trPr>
          <w:cantSplit/>
        </w:trPr>
        <w:tc>
          <w:tcPr>
            <w:tcW w:type="dxa" w:w="2041"/>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可追溯性</w:t>
            </w:r>
          </w:p>
        </w:tc>
        <w:tc>
          <w:tcPr>
            <w:tcW w:type="dxa" w:w="7313"/>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保存每次模型输入范围、模型版本、原始结果、校正前后结果、参与节点、覆盖率和校正原因。</w:t>
            </w:r>
          </w:p>
        </w:tc>
      </w:tr>
      <w:tr>
        <w:trPr>
          <w:cantSplit/>
        </w:trPr>
        <w:tc>
          <w:tcPr>
            <w:tcW w:type="dxa" w:w="2041"/>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数据完整性</w:t>
            </w:r>
          </w:p>
        </w:tc>
        <w:tc>
          <w:tcPr>
            <w:tcW w:type="dxa" w:w="7313"/>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明确区分数据对应时间和到达时间；未到达的分站数据不得伪装成已知数据。</w:t>
            </w:r>
          </w:p>
        </w:tc>
      </w:tr>
      <w:tr>
        <w:trPr>
          <w:cantSplit/>
        </w:trPr>
        <w:tc>
          <w:tcPr>
            <w:tcW w:type="dxa" w:w="2041"/>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性能</w:t>
            </w:r>
          </w:p>
        </w:tc>
        <w:tc>
          <w:tcPr>
            <w:tcW w:type="dxa" w:w="7313"/>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常规单台区分钟级数据和多节点15分钟级数据应在页面中流畅展示。</w:t>
            </w:r>
          </w:p>
        </w:tc>
      </w:tr>
      <w:tr>
        <w:trPr>
          <w:cantSplit/>
        </w:trPr>
        <w:tc>
          <w:tcPr>
            <w:tcW w:type="dxa" w:w="2041"/>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可扩展性</w:t>
            </w:r>
          </w:p>
        </w:tc>
        <w:tc>
          <w:tcPr>
            <w:tcW w:type="dxa" w:w="7313"/>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后续可扩展多台区、更多辅助量、真实接口和更复杂的校正策略。</w:t>
            </w:r>
          </w:p>
        </w:tc>
      </w:tr>
      <w:tr>
        <w:trPr>
          <w:cantSplit/>
        </w:trPr>
        <w:tc>
          <w:tcPr>
            <w:tcW w:type="dxa" w:w="2041"/>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安全性</w:t>
            </w:r>
          </w:p>
        </w:tc>
        <w:tc>
          <w:tcPr>
            <w:tcW w:type="dxa" w:w="7313"/>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不在前端暴露模型文件路径、敏感连接信息和未经授权的台区数据。</w:t>
            </w:r>
          </w:p>
        </w:tc>
      </w:tr>
    </w:tbl>
    <w:p>
      <w:pPr>
        <w:spacing w:after="0"/>
      </w:pPr>
    </w:p>
    <w:p>
      <w:pPr>
        <w:pStyle w:val="Heading1"/>
        <w:keepNext/>
        <w:spacing w:before="200" w:after="120" w:line="288" w:lineRule="auto"/>
      </w:pPr>
    </w:p>
    <w:p>
      <w:pPr>
        <w:pStyle w:val="Heading2"/>
        <w:keepNext/>
        <w:spacing w:before="120" w:after="120" w:line="288" w:lineRule="auto"/>
      </w:pPr>
    </w:p>
    <w:tbl>
      <w:tblPr>
        <w:tblW w:type="auto" w:w="0"/>
        <w:jc w:val="center"/>
        <w:tblLayout w:type="fixed"/>
        <w:tblLook w:firstColumn="1" w:firstRow="1" w:lastColumn="0" w:lastRow="0" w:noHBand="0" w:noVBand="1" w:val="04A0"/>
      </w:tblPr>
      <w:tblGrid>
        <w:gridCol w:w="4592"/>
        <w:gridCol w:w="4592"/>
      </w:tblGrid>
      <w:tr>
        <w:trPr>
          <w:tblHeader w:val="true"/>
          <w:cantSplit/>
        </w:trPr>
        <w:tc>
          <w:tcPr>
            <w:tcW w:type="dxa" w:w="2268"/>
            <w:shd w:fill="1F4E7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center"/>
            </w:pPr>
            <w:r>
              <w:rPr>
                <w:rFonts w:ascii="Noto Sans CJK SC" w:hAnsi="Noto Sans CJK SC" w:eastAsia="Noto Sans CJK SC"/>
                <w:b/>
                <w:color w:val="FFFFFF"/>
                <w:sz w:val="19"/>
              </w:rPr>
              <w:t>项目</w:t>
            </w:r>
          </w:p>
        </w:tc>
        <w:tc>
          <w:tcPr>
            <w:tcW w:type="dxa" w:w="7087"/>
            <w:shd w:fill="1F4E7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center"/>
            </w:pPr>
            <w:r>
              <w:rPr>
                <w:rFonts w:ascii="Noto Sans CJK SC" w:hAnsi="Noto Sans CJK SC" w:eastAsia="Noto Sans CJK SC"/>
                <w:b/>
                <w:color w:val="FFFFFF"/>
                <w:sz w:val="19"/>
              </w:rPr>
              <w:t>默认设置</w:t>
            </w:r>
          </w:p>
        </w:tc>
      </w:tr>
      <w:tr>
        <w:trPr>
          <w:cantSplit/>
        </w:trPr>
        <w:tc>
          <w:tcPr>
            <w:tcW w:type="dxa" w:w="226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台区数量</w:t>
            </w:r>
          </w:p>
        </w:tc>
        <w:tc>
          <w:tcPr>
            <w:tcW w:type="dxa" w:w="7087"/>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1个</w:t>
            </w:r>
          </w:p>
        </w:tc>
      </w:tr>
      <w:tr>
        <w:trPr>
          <w:cantSplit/>
        </w:trPr>
        <w:tc>
          <w:tcPr>
            <w:tcW w:type="dxa" w:w="2268"/>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主站数据</w:t>
            </w:r>
          </w:p>
        </w:tc>
        <w:tc>
          <w:tcPr>
            <w:tcW w:type="dxa" w:w="7087"/>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1分钟级综合功率，逐分钟持续接入</w:t>
            </w:r>
          </w:p>
        </w:tc>
      </w:tr>
      <w:tr>
        <w:trPr>
          <w:cantSplit/>
        </w:trPr>
        <w:tc>
          <w:tcPr>
            <w:tcW w:type="dxa" w:w="226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主站分离方式</w:t>
            </w:r>
          </w:p>
        </w:tc>
        <w:tc>
          <w:tcPr>
            <w:tcW w:type="dxa" w:w="7087"/>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每到达一个新分钟数据点即实时滚动输出该分钟初始光伏功率</w:t>
            </w:r>
          </w:p>
        </w:tc>
      </w:tr>
      <w:tr>
        <w:trPr>
          <w:cantSplit/>
        </w:trPr>
        <w:tc>
          <w:tcPr>
            <w:tcW w:type="dxa" w:w="2268"/>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分站数量</w:t>
            </w:r>
          </w:p>
        </w:tc>
        <w:tc>
          <w:tcPr>
            <w:tcW w:type="dxa" w:w="7087"/>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6个光伏分站</w:t>
            </w:r>
          </w:p>
        </w:tc>
      </w:tr>
      <w:tr>
        <w:trPr>
          <w:cantSplit/>
        </w:trPr>
        <w:tc>
          <w:tcPr>
            <w:tcW w:type="dxa" w:w="226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分站数据</w:t>
            </w:r>
          </w:p>
        </w:tc>
        <w:tc>
          <w:tcPr>
            <w:tcW w:type="dxa" w:w="7087"/>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15分钟级光伏功率或电量数据</w:t>
            </w:r>
          </w:p>
        </w:tc>
      </w:tr>
      <w:tr>
        <w:trPr>
          <w:cantSplit/>
        </w:trPr>
        <w:tc>
          <w:tcPr>
            <w:tcW w:type="dxa" w:w="2268"/>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分站回传</w:t>
            </w:r>
          </w:p>
        </w:tc>
        <w:tc>
          <w:tcPr>
            <w:tcW w:type="dxa" w:w="7087"/>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时间不固定，默认模拟15分钟以上的多种间隔，并允许一次回传多个历史点</w:t>
            </w:r>
          </w:p>
        </w:tc>
      </w:tr>
      <w:tr>
        <w:trPr>
          <w:cantSplit/>
        </w:trPr>
        <w:tc>
          <w:tcPr>
            <w:tcW w:type="dxa" w:w="226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模型</w:t>
            </w:r>
          </w:p>
        </w:tc>
        <w:tc>
          <w:tcPr>
            <w:tcW w:type="dxa" w:w="7087"/>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1个光储充辨识模型接口 + 1个光伏功率分离模型接口</w:t>
            </w:r>
          </w:p>
        </w:tc>
      </w:tr>
      <w:tr>
        <w:trPr>
          <w:cantSplit/>
        </w:trPr>
        <w:tc>
          <w:tcPr>
            <w:tcW w:type="dxa" w:w="2268"/>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核心展示</w:t>
            </w:r>
          </w:p>
        </w:tc>
        <w:tc>
          <w:tcPr>
            <w:tcW w:type="dxa" w:w="7087"/>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9"/>
              </w:rPr>
              <w:t>全过程、三类辨识结果、初始分钟级光伏分离、分站同期反馈、校正前后结果</w:t>
            </w:r>
          </w:p>
        </w:tc>
      </w:tr>
    </w:tbl>
    <w:p>
      <w:pPr>
        <w:spacing w:after="0"/>
      </w:pPr>
    </w:p>
    <w:p>
      <w:pPr>
        <w:pStyle w:val="Heading2"/>
        <w:keepNext/>
        <w:spacing w:before="120" w:after="120" w:line="288" w:lineRule="auto"/>
      </w:pPr>
    </w:p>
    <w:p>
      <w:pPr>
        <w:spacing w:before="0" w:after="120" w:line="348" w:lineRule="auto"/>
      </w:pPr>
      <w:r>
        <w:rPr>
          <w:rFonts w:ascii="Noto Sans CJK SC" w:hAnsi="Noto Sans CJK SC" w:eastAsia="Noto Sans CJK SC"/>
          <w:b w:val="0"/>
          <w:color w:val="1F2937"/>
          <w:sz w:val="21"/>
        </w:rPr>
        <w:t>Demo可使用具有真实运行特征的数据样例。样例需体现普通负荷、光伏日间变化、储能充放电时段和充电桩阶跃持续负荷等特征，并保证主站1分钟级综合功率与分站15分钟级光伏数据在时间和数值上相互对应。前端和文档中不强调数据生成方式，统一按业务数据进行展示。</w:t>
      </w:r>
    </w:p>
    <w:p>
      <w:pPr>
        <w:pStyle w:val="Heading2"/>
        <w:keepNext/>
        <w:spacing w:before="120" w:after="120" w:line="288" w:lineRule="auto"/>
      </w:pPr>
    </w:p>
    <w:p>
      <w:pPr>
        <w:pStyle w:val="ListBullet"/>
        <w:spacing w:before="0" w:after="60" w:line="324" w:lineRule="auto"/>
      </w:pPr>
      <w:r>
        <w:rPr>
          <w:rFonts w:ascii="Noto Sans CJK SC" w:hAnsi="Noto Sans CJK SC" w:eastAsia="Noto Sans CJK SC"/>
          <w:color w:val="1F2937"/>
          <w:sz w:val="21"/>
        </w:rPr>
        <w:t>模型训练过程、损失曲线和训练参数；</w:t>
      </w:r>
    </w:p>
    <w:p>
      <w:pPr>
        <w:pStyle w:val="ListBullet"/>
        <w:spacing w:before="0" w:after="60" w:line="324" w:lineRule="auto"/>
      </w:pPr>
      <w:r>
        <w:rPr>
          <w:rFonts w:ascii="Noto Sans CJK SC" w:hAnsi="Noto Sans CJK SC" w:eastAsia="Noto Sans CJK SC"/>
          <w:color w:val="1F2937"/>
          <w:sz w:val="21"/>
        </w:rPr>
        <w:t>未来光伏功率预测；</w:t>
      </w:r>
    </w:p>
    <w:p>
      <w:pPr>
        <w:pStyle w:val="ListBullet"/>
        <w:spacing w:before="0" w:after="60" w:line="324" w:lineRule="auto"/>
      </w:pPr>
      <w:r>
        <w:rPr>
          <w:rFonts w:ascii="Noto Sans CJK SC" w:hAnsi="Noto Sans CJK SC" w:eastAsia="Noto Sans CJK SC"/>
          <w:color w:val="1F2937"/>
          <w:sz w:val="21"/>
        </w:rPr>
        <w:t>储能和充电桩具体功率分离；</w:t>
      </w:r>
    </w:p>
    <w:p>
      <w:pPr>
        <w:pStyle w:val="ListBullet"/>
        <w:spacing w:before="0" w:after="60" w:line="324" w:lineRule="auto"/>
      </w:pPr>
      <w:r>
        <w:rPr>
          <w:rFonts w:ascii="Noto Sans CJK SC" w:hAnsi="Noto Sans CJK SC" w:eastAsia="Noto Sans CJK SC"/>
          <w:color w:val="1F2937"/>
          <w:sz w:val="21"/>
        </w:rPr>
        <w:t>固定15分钟回传的强制逻辑；</w:t>
      </w:r>
    </w:p>
    <w:p>
      <w:pPr>
        <w:pStyle w:val="ListBullet"/>
        <w:spacing w:before="0" w:after="60" w:line="324" w:lineRule="auto"/>
      </w:pPr>
      <w:r>
        <w:rPr>
          <w:rFonts w:ascii="Noto Sans CJK SC" w:hAnsi="Noto Sans CJK SC" w:eastAsia="Noto Sans CJK SC"/>
          <w:color w:val="1F2937"/>
          <w:sz w:val="21"/>
        </w:rPr>
        <w:t>调度控制及设备指令下发。</w:t>
      </w:r>
    </w:p>
    <w:p>
      <w:pPr>
        <w:pStyle w:val="Heading1"/>
        <w:keepNext/>
        <w:spacing w:before="200" w:after="120" w:line="288" w:lineRule="auto"/>
      </w:pPr>
    </w:p>
    <w:tbl>
      <w:tblPr>
        <w:tblW w:type="auto" w:w="0"/>
        <w:jc w:val="center"/>
        <w:tblLayout w:type="fixed"/>
        <w:tblLook w:firstColumn="1" w:firstRow="1" w:lastColumn="0" w:lastRow="0" w:noHBand="0" w:noVBand="1" w:val="04A0"/>
      </w:tblPr>
      <w:tblGrid>
        <w:gridCol w:w="4592"/>
        <w:gridCol w:w="4592"/>
      </w:tblGrid>
      <w:tr>
        <w:trPr>
          <w:tblHeader w:val="true"/>
          <w:cantSplit/>
        </w:trPr>
        <w:tc>
          <w:tcPr>
            <w:tcW w:type="dxa" w:w="1361"/>
            <w:shd w:fill="1F4E7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center"/>
            </w:pPr>
            <w:r>
              <w:rPr>
                <w:rFonts w:ascii="Noto Sans CJK SC" w:hAnsi="Noto Sans CJK SC" w:eastAsia="Noto Sans CJK SC"/>
                <w:b/>
                <w:color w:val="FFFFFF"/>
                <w:sz w:val="18"/>
              </w:rPr>
              <w:t>编号</w:t>
            </w:r>
          </w:p>
        </w:tc>
        <w:tc>
          <w:tcPr>
            <w:tcW w:type="dxa" w:w="7994"/>
            <w:shd w:fill="1F4E78"/>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center"/>
            </w:pPr>
            <w:r>
              <w:rPr>
                <w:rFonts w:ascii="Noto Sans CJK SC" w:hAnsi="Noto Sans CJK SC" w:eastAsia="Noto Sans CJK SC"/>
                <w:b/>
                <w:color w:val="FFFFFF"/>
                <w:sz w:val="18"/>
              </w:rPr>
              <w:t>验收内容</w:t>
            </w:r>
          </w:p>
        </w:tc>
      </w:tr>
      <w:tr>
        <w:trPr>
          <w:cantSplit/>
        </w:trPr>
        <w:tc>
          <w:tcPr>
            <w:tcW w:type="dxa" w:w="1361"/>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8"/>
              </w:rPr>
              <w:t>AC-001</w:t>
            </w:r>
          </w:p>
        </w:tc>
        <w:tc>
          <w:tcPr>
            <w:tcW w:type="dxa" w:w="7994"/>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8"/>
              </w:rPr>
              <w:t>能够接入并展示1分钟级台区综合功率数据。</w:t>
            </w:r>
          </w:p>
        </w:tc>
      </w:tr>
      <w:tr>
        <w:trPr>
          <w:cantSplit/>
        </w:trPr>
        <w:tc>
          <w:tcPr>
            <w:tcW w:type="dxa" w:w="1361"/>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8"/>
              </w:rPr>
              <w:t>AC-002</w:t>
            </w:r>
          </w:p>
        </w:tc>
        <w:tc>
          <w:tcPr>
            <w:tcW w:type="dxa" w:w="7994"/>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8"/>
              </w:rPr>
              <w:t>能够接入多个分站的15分钟级光伏数据。</w:t>
            </w:r>
          </w:p>
        </w:tc>
      </w:tr>
      <w:tr>
        <w:trPr>
          <w:cantSplit/>
        </w:trPr>
        <w:tc>
          <w:tcPr>
            <w:tcW w:type="dxa" w:w="1361"/>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8"/>
              </w:rPr>
              <w:t>AC-003</w:t>
            </w:r>
          </w:p>
        </w:tc>
        <w:tc>
          <w:tcPr>
            <w:tcW w:type="dxa" w:w="7994"/>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8"/>
              </w:rPr>
              <w:t>能够正确区分分站数据对应时间、到达时间和批次覆盖时段。</w:t>
            </w:r>
          </w:p>
        </w:tc>
      </w:tr>
      <w:tr>
        <w:trPr>
          <w:cantSplit/>
        </w:trPr>
        <w:tc>
          <w:tcPr>
            <w:tcW w:type="dxa" w:w="1361"/>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8"/>
              </w:rPr>
              <w:t>AC-004</w:t>
            </w:r>
          </w:p>
        </w:tc>
        <w:tc>
          <w:tcPr>
            <w:tcW w:type="dxa" w:w="7994"/>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8"/>
              </w:rPr>
              <w:t>能够识别实际回传间隔，且回传逻辑不固定写死为15分钟。</w:t>
            </w:r>
          </w:p>
        </w:tc>
      </w:tr>
      <w:tr>
        <w:trPr>
          <w:cantSplit/>
        </w:trPr>
        <w:tc>
          <w:tcPr>
            <w:tcW w:type="dxa" w:w="1361"/>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8"/>
              </w:rPr>
              <w:t>AC-005</w:t>
            </w:r>
          </w:p>
        </w:tc>
        <w:tc>
          <w:tcPr>
            <w:tcW w:type="dxa" w:w="7994"/>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8"/>
              </w:rPr>
              <w:t>能够展示光伏、储能和充电桩三个独立辨识结果，且三类可同时存在。</w:t>
            </w:r>
          </w:p>
        </w:tc>
      </w:tr>
      <w:tr>
        <w:trPr>
          <w:cantSplit/>
        </w:trPr>
        <w:tc>
          <w:tcPr>
            <w:tcW w:type="dxa" w:w="1361"/>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8"/>
              </w:rPr>
              <w:t>AC-006</w:t>
            </w:r>
          </w:p>
        </w:tc>
        <w:tc>
          <w:tcPr>
            <w:tcW w:type="dxa" w:w="7994"/>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8"/>
              </w:rPr>
              <w:t>能够随主站新分钟数据持续输出1分钟级实时初始光伏分离曲线。</w:t>
            </w:r>
          </w:p>
        </w:tc>
      </w:tr>
      <w:tr>
        <w:trPr>
          <w:cantSplit/>
        </w:trPr>
        <w:tc>
          <w:tcPr>
            <w:tcW w:type="dxa" w:w="1361"/>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8"/>
              </w:rPr>
              <w:t>AC-007</w:t>
            </w:r>
          </w:p>
        </w:tc>
        <w:tc>
          <w:tcPr>
            <w:tcW w:type="dxa" w:w="7994"/>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8"/>
              </w:rPr>
              <w:t>能够将主站1分钟级分离结果聚合为15分钟口径。</w:t>
            </w:r>
          </w:p>
        </w:tc>
      </w:tr>
      <w:tr>
        <w:trPr>
          <w:cantSplit/>
        </w:trPr>
        <w:tc>
          <w:tcPr>
            <w:tcW w:type="dxa" w:w="1361"/>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8"/>
              </w:rPr>
              <w:t>AC-008</w:t>
            </w:r>
          </w:p>
        </w:tc>
        <w:tc>
          <w:tcPr>
            <w:tcW w:type="dxa" w:w="7994"/>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8"/>
              </w:rPr>
              <w:t>能够汇总多个分站同一15分钟时段的光伏数据。</w:t>
            </w:r>
          </w:p>
        </w:tc>
      </w:tr>
      <w:tr>
        <w:trPr>
          <w:cantSplit/>
        </w:trPr>
        <w:tc>
          <w:tcPr>
            <w:tcW w:type="dxa" w:w="1361"/>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8"/>
              </w:rPr>
              <w:t>AC-009</w:t>
            </w:r>
          </w:p>
        </w:tc>
        <w:tc>
          <w:tcPr>
            <w:tcW w:type="dxa" w:w="7994"/>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8"/>
              </w:rPr>
              <w:t>能够按同一历史时段进行比较，不得用到达时间直接匹配。</w:t>
            </w:r>
          </w:p>
        </w:tc>
      </w:tr>
      <w:tr>
        <w:trPr>
          <w:cantSplit/>
        </w:trPr>
        <w:tc>
          <w:tcPr>
            <w:tcW w:type="dxa" w:w="1361"/>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8"/>
              </w:rPr>
              <w:t>AC-010</w:t>
            </w:r>
          </w:p>
        </w:tc>
        <w:tc>
          <w:tcPr>
            <w:tcW w:type="dxa" w:w="7994"/>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8"/>
              </w:rPr>
              <w:t>能够展示主站15分钟聚合结果、分站参考值和偏差。</w:t>
            </w:r>
          </w:p>
        </w:tc>
      </w:tr>
      <w:tr>
        <w:trPr>
          <w:cantSplit/>
        </w:trPr>
        <w:tc>
          <w:tcPr>
            <w:tcW w:type="dxa" w:w="1361"/>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8"/>
              </w:rPr>
              <w:t>AC-011</w:t>
            </w:r>
          </w:p>
        </w:tc>
        <w:tc>
          <w:tcPr>
            <w:tcW w:type="dxa" w:w="7994"/>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8"/>
              </w:rPr>
              <w:t>能够对历史1分钟级结果进行回补，并保持原分钟曲线的基本形状。</w:t>
            </w:r>
          </w:p>
        </w:tc>
      </w:tr>
      <w:tr>
        <w:trPr>
          <w:cantSplit/>
        </w:trPr>
        <w:tc>
          <w:tcPr>
            <w:tcW w:type="dxa" w:w="1361"/>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8"/>
              </w:rPr>
              <w:t>AC-012</w:t>
            </w:r>
          </w:p>
        </w:tc>
        <w:tc>
          <w:tcPr>
            <w:tcW w:type="dxa" w:w="7994"/>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8"/>
              </w:rPr>
              <w:t>能够展示初始、分站参考和校正后光伏结果。</w:t>
            </w:r>
          </w:p>
        </w:tc>
      </w:tr>
      <w:tr>
        <w:trPr>
          <w:cantSplit/>
        </w:trPr>
        <w:tc>
          <w:tcPr>
            <w:tcW w:type="dxa" w:w="1361"/>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8"/>
              </w:rPr>
              <w:t>AC-013</w:t>
            </w:r>
          </w:p>
        </w:tc>
        <w:tc>
          <w:tcPr>
            <w:tcW w:type="dxa" w:w="7994"/>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8"/>
              </w:rPr>
              <w:t>尚未获得分站反馈的时段显示“等待回传”，不得提前使用未来数据。</w:t>
            </w:r>
          </w:p>
        </w:tc>
      </w:tr>
      <w:tr>
        <w:trPr>
          <w:cantSplit/>
        </w:trPr>
        <w:tc>
          <w:tcPr>
            <w:tcW w:type="dxa" w:w="1361"/>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8"/>
              </w:rPr>
              <w:t>AC-014</w:t>
            </w:r>
          </w:p>
        </w:tc>
        <w:tc>
          <w:tcPr>
            <w:tcW w:type="dxa" w:w="7994"/>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8"/>
              </w:rPr>
              <w:t>能够完整展示数据接入、辨识、分离、反馈和校正流程。</w:t>
            </w:r>
          </w:p>
        </w:tc>
      </w:tr>
      <w:tr>
        <w:trPr>
          <w:cantSplit/>
        </w:trPr>
        <w:tc>
          <w:tcPr>
            <w:tcW w:type="dxa" w:w="1361"/>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8"/>
              </w:rPr>
              <w:t>AC-015</w:t>
            </w:r>
          </w:p>
        </w:tc>
        <w:tc>
          <w:tcPr>
            <w:tcW w:type="dxa" w:w="7994"/>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8"/>
              </w:rPr>
              <w:t>能够导出辨识结果、分离结果和校正记录。</w:t>
            </w:r>
          </w:p>
        </w:tc>
      </w:tr>
      <w:tr>
        <w:trPr>
          <w:cantSplit/>
        </w:trPr>
        <w:tc>
          <w:tcPr>
            <w:tcW w:type="dxa" w:w="1361"/>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8"/>
              </w:rPr>
              <w:t>AC-016</w:t>
            </w:r>
          </w:p>
        </w:tc>
        <w:tc>
          <w:tcPr>
            <w:tcW w:type="dxa" w:w="7994"/>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8"/>
              </w:rPr>
              <w:t>页面不得出现光伏未来预测功能。</w:t>
            </w:r>
          </w:p>
        </w:tc>
      </w:tr>
      <w:tr>
        <w:trPr>
          <w:cantSplit/>
        </w:trPr>
        <w:tc>
          <w:tcPr>
            <w:tcW w:type="dxa" w:w="1361"/>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8"/>
              </w:rPr>
              <w:t>AC-017</w:t>
            </w:r>
          </w:p>
        </w:tc>
        <w:tc>
          <w:tcPr>
            <w:tcW w:type="dxa" w:w="7994"/>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8"/>
              </w:rPr>
              <w:t>储能和充电桩第一阶段仅做存在性辨识。</w:t>
            </w:r>
          </w:p>
        </w:tc>
      </w:tr>
      <w:tr>
        <w:trPr>
          <w:cantSplit/>
        </w:trPr>
        <w:tc>
          <w:tcPr>
            <w:tcW w:type="dxa" w:w="1361"/>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8"/>
              </w:rPr>
              <w:t>AC-018</w:t>
            </w:r>
          </w:p>
        </w:tc>
        <w:tc>
          <w:tcPr>
            <w:tcW w:type="dxa" w:w="7994"/>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8"/>
              </w:rPr>
              <w:t>连续输入多个主站1分钟级数据点时，系统能够逐分钟连续输出对应的光伏分离结果。</w:t>
            </w:r>
          </w:p>
        </w:tc>
      </w:tr>
      <w:tr>
        <w:trPr>
          <w:cantSplit/>
        </w:trPr>
        <w:tc>
          <w:tcPr>
            <w:tcW w:type="dxa" w:w="1361"/>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8"/>
              </w:rPr>
              <w:t>AC-019</w:t>
            </w:r>
          </w:p>
        </w:tc>
        <w:tc>
          <w:tcPr>
            <w:tcW w:type="dxa" w:w="7994"/>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8"/>
              </w:rPr>
              <w:t>分站数据停止回传或延迟回传时，主站分钟级光伏分离仍能正常运行。</w:t>
            </w:r>
          </w:p>
        </w:tc>
      </w:tr>
      <w:tr>
        <w:trPr>
          <w:cantSplit/>
        </w:trPr>
        <w:tc>
          <w:tcPr>
            <w:tcW w:type="dxa" w:w="1361"/>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8"/>
              </w:rPr>
              <w:t>AC-020</w:t>
            </w:r>
          </w:p>
        </w:tc>
        <w:tc>
          <w:tcPr>
            <w:tcW w:type="dxa" w:w="7994"/>
            <w:tcMar>
              <w:top w:w="90" w:type="dxa"/>
              <w:start w:w="100" w:type="dxa"/>
              <w:bottom w:w="90" w:type="dxa"/>
              <w:end w:w="100" w:type="dxa"/>
            </w:tcMar>
            <w:vAlign w:val="center"/>
            <w:shd w:fill="F8FAFC"/>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8"/>
              </w:rPr>
              <w:t>任一历史分钟结果均可追溯初始分离值、校正后值、分离生成时间及反馈状态。</w:t>
            </w:r>
          </w:p>
        </w:tc>
      </w:tr>
      <w:tr>
        <w:trPr>
          <w:cantSplit/>
        </w:trPr>
        <w:tc>
          <w:tcPr>
            <w:tcW w:type="dxa" w:w="1361"/>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8"/>
              </w:rPr>
              <w:t>AC-021</w:t>
            </w:r>
          </w:p>
        </w:tc>
        <w:tc>
          <w:tcPr>
            <w:tcW w:type="dxa" w:w="7994"/>
            <w:tcMar>
              <w:top w:w="90" w:type="dxa"/>
              <w:start w:w="100" w:type="dxa"/>
              <w:bottom w:w="90" w:type="dxa"/>
              <w:end w:w="100" w:type="dxa"/>
            </w:tcMar>
            <w:vAlign w:val="center"/>
            <w:tcBorders>
              <w:top w:val="single" w:sz="4" w:color="D1D5DB"/>
              <w:left w:val="single" w:sz="4" w:color="D1D5DB"/>
              <w:bottom w:val="single" w:sz="4" w:color="D1D5DB"/>
              <w:right w:val="single" w:sz="4" w:color="D1D5DB"/>
            </w:tcBorders>
          </w:tcPr>
          <w:p>
            <w:pPr>
              <w:jc w:val="left"/>
            </w:pPr>
            <w:r>
              <w:rPr>
                <w:rFonts w:ascii="Noto Sans CJK SC" w:hAnsi="Noto Sans CJK SC" w:eastAsia="Noto Sans CJK SC"/>
                <w:color w:val="1F2937"/>
                <w:sz w:val="18"/>
              </w:rPr>
              <w:t>任一时刻的实时分离不得使用该时刻之后的数据。</w:t>
            </w:r>
          </w:p>
        </w:tc>
      </w:tr>
    </w:tbl>
    <w:p>
      <w:pPr>
        <w:spacing w:after="0"/>
      </w:pPr>
    </w:p>
    <w:p>
      <w:pPr>
        <w:pStyle w:val="Heading1"/>
        <w:keepNext/>
        <w:spacing w:before="200" w:after="120" w:line="288" w:lineRule="auto"/>
      </w:pPr>
    </w:p>
    <w:p>
      <w:pPr>
        <w:pStyle w:val="ListNumber"/>
        <w:spacing w:before="0" w:after="60" w:line="324" w:lineRule="auto"/>
      </w:pPr>
      <w:r>
        <w:rPr>
          <w:rFonts w:ascii="Noto Sans CJK SC" w:hAnsi="Noto Sans CJK SC" w:eastAsia="Noto Sans CJK SC"/>
          <w:color w:val="1F2937"/>
          <w:sz w:val="21"/>
        </w:rPr>
        <w:t>“主站”的正式名称及其部署位置；</w:t>
      </w:r>
    </w:p>
    <w:p>
      <w:pPr>
        <w:pStyle w:val="ListNumber"/>
        <w:spacing w:before="0" w:after="60" w:line="324" w:lineRule="auto"/>
      </w:pPr>
      <w:r>
        <w:rPr>
          <w:rFonts w:ascii="Noto Sans CJK SC" w:hAnsi="Noto Sans CJK SC" w:eastAsia="Noto Sans CJK SC"/>
          <w:color w:val="1F2937"/>
          <w:sz w:val="21"/>
        </w:rPr>
        <w:t>主站除有功功率外是否提供无功、电压、电流、功率因数等辅助量；</w:t>
      </w:r>
    </w:p>
    <w:p>
      <w:pPr>
        <w:pStyle w:val="ListNumber"/>
        <w:spacing w:before="0" w:after="60" w:line="324" w:lineRule="auto"/>
      </w:pPr>
      <w:r>
        <w:rPr>
          <w:rFonts w:ascii="Noto Sans CJK SC" w:hAnsi="Noto Sans CJK SC" w:eastAsia="Noto Sans CJK SC"/>
          <w:color w:val="1F2937"/>
          <w:sz w:val="21"/>
        </w:rPr>
        <w:t>辨识模型每次使用的数据窗口长度和运行周期；</w:t>
      </w:r>
    </w:p>
    <w:p>
      <w:pPr>
        <w:pStyle w:val="ListNumber"/>
        <w:spacing w:before="0" w:after="60" w:line="324" w:lineRule="auto"/>
      </w:pPr>
      <w:r>
        <w:rPr>
          <w:rFonts w:ascii="Noto Sans CJK SC" w:hAnsi="Noto Sans CJK SC" w:eastAsia="Noto Sans CJK SC"/>
          <w:color w:val="1F2937"/>
          <w:sz w:val="21"/>
        </w:rPr>
        <w:t>光伏分离模型单次推理所需的历史滑动窗口长度；</w:t>
      </w:r>
    </w:p>
    <w:p>
      <w:pPr>
        <w:pStyle w:val="ListNumber"/>
        <w:spacing w:before="0" w:after="60" w:line="324" w:lineRule="auto"/>
      </w:pPr>
      <w:r>
        <w:rPr>
          <w:rFonts w:ascii="Noto Sans CJK SC" w:hAnsi="Noto Sans CJK SC" w:eastAsia="Noto Sans CJK SC"/>
          <w:color w:val="1F2937"/>
          <w:sz w:val="21"/>
        </w:rPr>
        <w:t>分站15分钟数据代表平均功率、时刻功率还是15分钟电量；</w:t>
      </w:r>
    </w:p>
    <w:p>
      <w:pPr>
        <w:pStyle w:val="ListNumber"/>
        <w:spacing w:before="0" w:after="60" w:line="324" w:lineRule="auto"/>
      </w:pPr>
      <w:r>
        <w:rPr>
          <w:rFonts w:ascii="Noto Sans CJK SC" w:hAnsi="Noto Sans CJK SC" w:eastAsia="Noto Sans CJK SC"/>
          <w:color w:val="1F2937"/>
          <w:sz w:val="21"/>
        </w:rPr>
        <w:t>分站是否提供节点装机容量、在线状态和质量标志；</w:t>
      </w:r>
    </w:p>
    <w:p>
      <w:pPr>
        <w:pStyle w:val="ListNumber"/>
        <w:spacing w:before="0" w:after="60" w:line="324" w:lineRule="auto"/>
      </w:pPr>
      <w:r>
        <w:rPr>
          <w:rFonts w:ascii="Noto Sans CJK SC" w:hAnsi="Noto Sans CJK SC" w:eastAsia="Noto Sans CJK SC"/>
          <w:color w:val="1F2937"/>
          <w:sz w:val="21"/>
        </w:rPr>
        <w:t>各分站是否统一回传，还是不同节点独立回传；</w:t>
      </w:r>
    </w:p>
    <w:p>
      <w:pPr>
        <w:pStyle w:val="ListNumber"/>
        <w:spacing w:before="0" w:after="60" w:line="324" w:lineRule="auto"/>
      </w:pPr>
      <w:r>
        <w:rPr>
          <w:rFonts w:ascii="Noto Sans CJK SC" w:hAnsi="Noto Sans CJK SC" w:eastAsia="Noto Sans CJK SC"/>
          <w:color w:val="1F2937"/>
          <w:sz w:val="21"/>
        </w:rPr>
        <w:t>历史回补是否需要覆盖全部已反馈时段，还是仅保留最新校正版本；</w:t>
      </w:r>
    </w:p>
    <w:p>
      <w:pPr>
        <w:pStyle w:val="ListNumber"/>
        <w:spacing w:before="0" w:after="60" w:line="324" w:lineRule="auto"/>
      </w:pPr>
      <w:r>
        <w:rPr>
          <w:rFonts w:ascii="Noto Sans CJK SC" w:hAnsi="Noto Sans CJK SC" w:eastAsia="Noto Sans CJK SC"/>
          <w:color w:val="1F2937"/>
          <w:sz w:val="21"/>
        </w:rPr>
        <w:t>反馈校正仅修正输出结果，还是同步更新模型内部参数；</w:t>
      </w:r>
    </w:p>
    <w:p>
      <w:pPr>
        <w:pStyle w:val="ListNumber"/>
        <w:spacing w:before="0" w:after="60" w:line="324" w:lineRule="auto"/>
      </w:pPr>
      <w:r>
        <w:rPr>
          <w:rFonts w:ascii="Noto Sans CJK SC" w:hAnsi="Noto Sans CJK SC" w:eastAsia="Noto Sans CJK SC"/>
          <w:color w:val="1F2937"/>
          <w:sz w:val="21"/>
        </w:rPr>
        <w:t>辨识结论的阈值划分及“疑似存在”区间；</w:t>
      </w:r>
    </w:p>
    <w:p>
      <w:pPr>
        <w:pStyle w:val="ListNumber"/>
        <w:spacing w:before="0" w:after="60" w:line="324" w:lineRule="auto"/>
      </w:pPr>
      <w:r>
        <w:rPr>
          <w:rFonts w:ascii="Noto Sans CJK SC" w:hAnsi="Noto Sans CJK SC" w:eastAsia="Noto Sans CJK SC"/>
          <w:color w:val="1F2937"/>
          <w:sz w:val="21"/>
        </w:rPr>
        <w:t>前端最终采用Web系统、桌面端还是轻量化Demo框架；</w:t>
      </w:r>
    </w:p>
    <w:p>
      <w:pPr>
        <w:pStyle w:val="ListNumber"/>
        <w:spacing w:before="0" w:after="60" w:line="324" w:lineRule="auto"/>
      </w:pPr>
      <w:r>
        <w:rPr>
          <w:rFonts w:ascii="Noto Sans CJK SC" w:hAnsi="Noto Sans CJK SC" w:eastAsia="Noto Sans CJK SC"/>
          <w:color w:val="1F2937"/>
          <w:sz w:val="21"/>
        </w:rPr>
        <w:t>是否需要多台区管理、用户权限和结果接口对外提供。</w:t>
      </w:r>
    </w:p>
    <w:tbl>
      <w:tblPr>
        <w:tblW w:type="auto" w:w="0"/>
        <w:jc w:val="center"/>
        <w:tblLook w:firstColumn="1" w:firstRow="1" w:lastColumn="0" w:lastRow="0" w:noHBand="0" w:noVBand="1" w:val="04A0"/>
      </w:tblPr>
      <w:tblGrid>
        <w:gridCol w:w="9184"/>
      </w:tblGrid>
      <w:tr>
        <w:trPr>
          <w:tblHeader w:val="true"/>
          <w:cantSplit/>
        </w:trPr>
        <w:tc>
          <w:tcPr>
            <w:tcW w:type="dxa" w:w="9184"/>
            <w:shd w:fill="E2F0D9"/>
            <w:tcMar>
              <w:top w:w="140" w:type="dxa"/>
              <w:start w:w="160" w:type="dxa"/>
              <w:bottom w:w="140" w:type="dxa"/>
              <w:end w:w="160" w:type="dxa"/>
            </w:tcMar>
            <w:tcBorders>
              <w:top w:val="single" w:sz="8" w:color="D6B656"/>
              <w:left w:val="single" w:sz="8" w:color="D6B656"/>
              <w:bottom w:val="single" w:sz="8" w:color="D6B656"/>
              <w:right w:val="single" w:sz="8" w:color="D6B656"/>
            </w:tcBorders>
          </w:tcPr>
          <w:p>
            <w:r>
              <w:rPr>
                <w:rFonts w:ascii="Noto Sans CJK SC" w:hAnsi="Noto Sans CJK SC" w:eastAsia="Noto Sans CJK SC"/>
                <w:b/>
                <w:color w:val="7F6000"/>
                <w:sz w:val="21"/>
              </w:rPr>
              <w:t>当前已确认的最终口径：</w:t>
            </w:r>
            <w:r>
              <w:rPr>
                <w:rFonts w:ascii="Noto Sans CJK SC" w:hAnsi="Noto Sans CJK SC" w:eastAsia="Noto Sans CJK SC"/>
                <w:color w:val="1F2937"/>
                <w:sz w:val="21"/>
              </w:rPr>
              <w:t>主站持续提供1分钟级综合功率；光伏分离模型每接收到一个新的分钟数据点即实时滚动输出该分钟的初始光伏功率，不等待分站反馈。光伏分站提供15分钟级数据，回传时间不固定且实际回传间隔均为15分钟以上；分站数据到达后，按同一15分钟历史时段对初始分离结果进行回补，并更新后续分钟级分离的校正状态。一个辨识模型负责光伏、储能和充电桩存在性辨识。</w:t>
            </w:r>
          </w:p>
        </w:tc>
      </w:tr>
    </w:tbl>
    <w:p>
      <w:pPr>
        <w:spacing w:after="0"/>
      </w:pPr>
    </w:p>
    <w:sectPr w:rsidR="00FC693F" w:rsidRPr="0006063C" w:rsidSect="00034616">
      <w:headerReference w:type="default" r:id="rId9"/>
      <w:footerReference w:type="default" r:id="rId10"/>
      <w:headerReference w:type="first" r:id="rId11"/>
      <w:footerReference w:type="first" r:id="rId12"/>
      <w:pgSz w:w="11906" w:h="16838"/>
      <w:pgMar w:top="1247" w:right="1361" w:bottom="1134" w:left="136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6B7280"/>
        <w:sz w:val="18"/>
      </w:rPr>
      <w:t xml:space="preserve">第 </w:t>
      <w:fldChar w:fldCharType="begin"/>
      <w:instrText xml:space="preserve">PAGE</w:instrText>
      <w:fldChar w:fldCharType="end"/>
    </w:r>
    <w:r>
      <w:rPr>
        <w:rFonts w:ascii="Noto Sans CJK SC" w:hAnsi="Noto Sans CJK SC" w:eastAsia="Noto Sans CJK SC"/>
        <w:color w:val="6B7280"/>
        <w:sz w:val="18"/>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6B7280"/>
        <w:sz w:val="17"/>
      </w:rPr>
      <w:t>台区光储充辨识与光伏功率分离系统需求手册</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20"/>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Noto Sans CJK SC" w:hAnsi="Noto Sans CJK SC" w:eastAsia="Noto Sans CJK SC"/>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Noto Sans CJK SC" w:hAnsi="Noto Sans CJK SC" w:eastAsia="Noto Sans CJK SC"/>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Noto Sans CJK SC" w:hAnsi="Noto Sans CJK SC" w:eastAsia="Noto Sans CJK SC"/>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Noto Sans CJK SC" w:hAnsi="Noto Sans CJK SC" w:eastAsia="Noto Sans CJK SC"/>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Noto Sans CJK SC" w:hAnsi="Noto Sans CJK SC" w:eastAsia="Noto Sans CJK SC"/>
      <w:b/>
      <w:i/>
      <w:iCs/>
      <w:color w:val="6B728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台区光储充辨识与光伏功率分离系统需求手册</dc:title>
  <dc:subject>需求手册 V0.3 讨论稿</dc:subject>
  <dc:creator>项目组</dc:creator>
  <cp:keywords>台区, 光伏, 储能, 充电桩, 辨识, 光伏分离, 需求手册</cp:keywords>
  <dc:description>generated by python-docx</dc:description>
  <cp:lastModifiedBy/>
  <cp:revision>1</cp:revision>
  <dcterms:created xsi:type="dcterms:W3CDTF">2013-12-23T23:15:00Z</dcterms:created>
  <dcterms:modified xsi:type="dcterms:W3CDTF">2013-12-23T23:15:00Z</dcterms:modified>
  <cp:category/>
</cp:coreProperties>
</file>