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128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技术参考手册</w:t>
      </w:r>
    </w:p>
    <w:p>
      <w:pPr>
        <w:pStyle w:val="Title"/>
        <w:spacing w:after="200"/>
        <w:jc w:val="center"/>
      </w:pPr>
      <w:r>
        <w:t>QuantFund 基金量化引擎说明书</w:t>
      </w:r>
    </w:p>
    <w:p>
      <w:pPr>
        <w:pStyle w:val="Subtitle"/>
        <w:spacing w:after="400"/>
        <w:jc w:val="center"/>
      </w:pPr>
      <w:r>
        <w:t>现行 rule-v1.39.0 的信号生成、现金口径、加仓减仓与风险控制逻辑</w:t>
      </w:r>
    </w:p>
    <w:p>
      <w:pPr>
        <w:keepLines w:val="0"/>
        <w:spacing w:before="0" w:after="880" w:line="300" w:lineRule="auto"/>
        <w:jc w:val="center"/>
      </w:pPr>
      <w:r>
        <w:rPr>
          <w:rFonts w:ascii="Calibri" w:hAnsi="Calibri" w:eastAsia="Microsoft YaHei"/>
          <w:b/>
          <w:i w:val="0"/>
          <w:color w:val="667085"/>
          <w:sz w:val="21"/>
        </w:rPr>
        <w:t>面向产品、开发、测试与策略复核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一句话定位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这是一个确定性的“建议生成引擎”：基于净值、趋势、回撤、仓位和风险状态输出 BUY / SELL / HOLD / WATCH；系统不接真实交易下单接口，任何买卖都需由用户或模拟交易流程另行确认。</w:t>
            </w:r>
          </w:p>
        </w:tc>
      </w:tr>
    </w:tbl>
    <w:p>
      <w:pPr>
        <w:spacing w:after="80" w:before="0"/>
      </w:pPr>
    </w:p>
    <w:p>
      <w:pPr>
        <w:keepLines w:val="0"/>
        <w:spacing w:before="600" w:after="4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文档版本：1.1</w:t>
      </w:r>
    </w:p>
    <w:p>
      <w:pPr>
        <w:keepLines w:val="0"/>
        <w:spacing w:before="0" w:after="4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代码基线：当前工作区（2026-07-30）</w:t>
      </w:r>
    </w:p>
    <w:p>
      <w:pPr>
        <w:keepLines w:val="0"/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模型版本：rule-v1.39.0</w:t>
      </w:r>
    </w:p>
    <w:p>
      <w:r>
        <w:br w:type="page"/>
      </w:r>
    </w:p>
    <w:p>
      <w:pPr>
        <w:pStyle w:val="Heading1"/>
        <w:keepNext/>
      </w:pPr>
      <w:r>
        <w:t>阅读导航</w:t>
      </w:r>
    </w:p>
    <w:p>
      <w:pPr>
        <w:keepLines w:val="0"/>
        <w:spacing w:before="0" w:after="16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若只想快速确认“现在为什么会加仓/减仓”，优先阅读第 3、5、6、7 节。</w:t>
      </w:r>
    </w:p>
    <w:p>
      <w:pPr>
        <w:pStyle w:val="ListBullet"/>
      </w:pPr>
      <w:r>
        <w:t>第 1-2 节：系统边界、触发时点与完整链路。</w:t>
      </w:r>
    </w:p>
    <w:p>
      <w:pPr>
        <w:pStyle w:val="ListBullet"/>
      </w:pPr>
      <w:r>
        <w:t>第 3-4 节：动作优先级、五维评分与 ML 辅助调分。</w:t>
      </w:r>
    </w:p>
    <w:p>
      <w:pPr>
        <w:pStyle w:val="ListBullet"/>
      </w:pPr>
      <w:r>
        <w:t>第 5 节：所有减仓/退出条件，以及比例如何计算。</w:t>
      </w:r>
    </w:p>
    <w:p>
      <w:pPr>
        <w:pStyle w:val="ListBullet"/>
      </w:pPr>
      <w:r>
        <w:t>第 6 节：九类加仓路径、精确门槛和建议金额。</w:t>
      </w:r>
    </w:p>
    <w:p>
      <w:pPr>
        <w:pStyle w:val="ListBullet"/>
      </w:pPr>
      <w:r>
        <w:t>第 7-8 节：HOLD/WATCH、冷却期、现金口径、状态确认和账户级 30% 减仓预算。</w:t>
      </w:r>
    </w:p>
    <w:p>
      <w:pPr>
        <w:pStyle w:val="ListBullet"/>
      </w:pPr>
      <w:r>
        <w:t>第 9-12 节：基金类型差异、回测、Java 降级与当前实现边界。</w:t>
      </w:r>
    </w:p>
    <w:p>
      <w:pPr>
        <w:pStyle w:val="ListBullet"/>
      </w:pPr>
      <w:r>
        <w:t>附录：默认参数、决策原因码与代码依据。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54708"/>
          <w:left w:val="single" w:sz="8" w:space="0" w:color="B54708"/>
          <w:bottom w:val="single" w:sz="8" w:space="0" w:color="B54708"/>
          <w:right w:val="single" w:sz="8" w:space="0" w:color="B54708"/>
          <w:insideH w:val="single" w:sz="8" w:space="0" w:color="B54708"/>
          <w:insideV w:val="single" w:sz="8" w:space="0" w:color="B5470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AE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54708"/>
                <w:sz w:val="21"/>
              </w:rPr>
              <w:t xml:space="preserve">重要口径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本文描述的是当前代码的真实行为，而不是历史设计文档中的计划。账户总资产 = 持仓市值 + 现金金额；所有“仓位上限”若无特别说明，均指 strategyParams.maxSinglePositionRate（默认 45%）。</w:t>
            </w:r>
          </w:p>
        </w:tc>
      </w:tr>
    </w:tbl>
    <w:p>
      <w:pPr>
        <w:spacing w:after="80" w:before="0"/>
      </w:pPr>
    </w:p>
    <w:p>
      <w:pPr>
        <w:pStyle w:val="Heading1"/>
        <w:keepNext/>
      </w:pPr>
      <w:r>
        <w:t>1. 引擎是什么，以及不是什么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QuantFund 的量化能力由 Java 业务服务和 Python FastAPI 计算服务协同完成。Java 负责认证、权限、持仓、账户与现金台账、外部基金数据、信号持久化和交易记录；Python 负责特征计算、评分、确定性规则、批量组合约束、回测和可选的 LightGBM 辅助判断。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64208"/>
            <wp:docPr id="1" name="Picture 1" title="QuantFund 量化引擎架构" descr="Java 服务准备账户、持仓与净值数据，Python 引擎计算特征、评分和规则动作，Java 保存信号并供人工确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 1  现行量化信号链路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4660"/>
        <w:gridCol w:w="300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当前行为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信号生成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输出 BUY、SELL、HOLD、WATCH，并带建议比例、金额、评分、原因和风险。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是建议，不是委托单。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数据获取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Java 获取历史净值和当日估值，并维护现金及账户汇总；Python 仅消费请求中的数据。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Python 不直接访问外部基金数据源，也未接收独立 cashAmount 字段。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自动执行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不执行真实买卖。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极端风险的下一阶段还要求已完成交易记录确认。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AI/ML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ML 可选且默认关闭；大模型可解释结果。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都不能绕过确定性动作和硬约束。</w:t>
            </w:r>
          </w:p>
        </w:tc>
      </w:tr>
    </w:tbl>
    <w:p>
      <w:pPr>
        <w:spacing w:after="80" w:before="0"/>
      </w:pPr>
    </w:p>
    <w:p>
      <w:pPr>
        <w:pStyle w:val="Heading1"/>
        <w:keepNext/>
      </w:pPr>
      <w:r>
        <w:t>2. 什么时候会触发分析</w:t>
      </w:r>
    </w:p>
    <w:p>
      <w:pPr>
        <w:pStyle w:val="Heading2"/>
        <w:keepNext/>
      </w:pPr>
      <w:r>
        <w:t>2.1 自动调度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调度器使用 Asia/Shanghai 时区，且生成量化信号的任务只在交易日执行。默认触发时点如下：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2500"/>
        <w:gridCol w:w="49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任务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默认时点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盘中估值刷新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09:30-11:30 每 2 分钟；13:00-15:00 每 2 分钟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刷新估值并触发 Java 策略分析；量化信号任务另有固定时点。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量化信号生成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09:45、10:30、11:20、13:30、14:30、14:50、14:55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遍历启用账户，按账户批量分析全部持仓。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重点持仓分析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14:50、14:55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只分析核心/重点关注持仓；不改变量化引擎的确定性动作。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官方净值同步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15:30 起每 15 分钟至 22:00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同步官方净值、更新持仓与快照，并触发 Java 策略分析。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>2.2 手工触发</w:t>
      </w:r>
    </w:p>
    <w:p>
      <w:pPr>
        <w:pStyle w:val="ListBullet"/>
      </w:pPr>
      <w:r>
        <w:t>单持仓：POST /api/quant/holdings/{holdingId}/analyze。</w:t>
      </w:r>
    </w:p>
    <w:p>
      <w:pPr>
        <w:pStyle w:val="ListBullet"/>
      </w:pPr>
      <w:r>
        <w:t>账户批量：POST /api/quant/accounts/{accountId}/analyze。</w:t>
      </w:r>
    </w:p>
    <w:p>
      <w:pPr>
        <w:pStyle w:val="ListBullet"/>
      </w:pPr>
      <w:r>
        <w:t>Python 内部接口：POST /api/v1/quant/analyze 与 /analyze-batch。</w:t>
      </w:r>
    </w:p>
    <w:p>
      <w:pPr>
        <w:pStyle w:val="ListBullet"/>
      </w:pPr>
      <w:r>
        <w:t>现金维护：PUT /api/portfolios/{accountId}/cash；更新后重算账户，但不会自动触发一次量化分析。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单持仓接口 5 秒内防重复，账户接口 10 秒内防重复；还分别受每分钟 30 次和 10 次的用户级限流。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54708"/>
          <w:left w:val="single" w:sz="8" w:space="0" w:color="B54708"/>
          <w:bottom w:val="single" w:sz="8" w:space="0" w:color="B54708"/>
          <w:right w:val="single" w:sz="8" w:space="0" w:color="B54708"/>
          <w:insideH w:val="single" w:sz="8" w:space="0" w:color="B54708"/>
          <w:insideV w:val="single" w:sz="8" w:space="0" w:color="B5470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AE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54708"/>
                <w:sz w:val="21"/>
              </w:rPr>
              <w:t xml:space="preserve">时间并非硬截止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decisionPhase 和 15:00 deadline 会写入信号，但当前 Python 规则不会因为 14:57 或 15:00 以后而自动禁止 BUY。非交易日会阻断 BUY；SELL 仍可能生成。常规自动调度的最后一次信号在 14:55。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>2.3 单次请求中的数据</w:t>
      </w:r>
    </w:p>
    <w:p>
      <w:pPr>
        <w:pStyle w:val="ListBullet"/>
      </w:pPr>
      <w:r>
        <w:t>账户：总资产（持仓市值 + 现金）、累计投入、当前收益、权益仓位和单基金最大仓位等；独立 cashAmount 暂不传入 Python。</w:t>
      </w:r>
    </w:p>
    <w:p>
      <w:pPr>
        <w:pStyle w:val="ListBullet"/>
      </w:pPr>
      <w:r>
        <w:t>风险配置：风险等级、权益上限、单基金上限、回撤/涨跌提醒阈值。</w:t>
      </w:r>
    </w:p>
    <w:p>
      <w:pPr>
        <w:pStyle w:val="ListBullet"/>
      </w:pPr>
      <w:r>
        <w:t>持仓：金额、份额、成本、收益率、单基金仓位、估值、持有天数、基金类型。</w:t>
      </w:r>
    </w:p>
    <w:p>
      <w:pPr>
        <w:pStyle w:val="ListBullet"/>
      </w:pPr>
      <w:r>
        <w:t>历史序列：净值、日涨跌、可选指数收益；盘中可追加一个临时估值净值点。</w:t>
      </w:r>
    </w:p>
    <w:p>
      <w:pPr>
        <w:pStyle w:val="ListBullet"/>
      </w:pPr>
      <w:r>
        <w:t>策略参数：买卖阈值、策略单基金上限、分批比例、止盈止损、趋势阈值。</w:t>
      </w:r>
    </w:p>
    <w:p>
      <w:pPr>
        <w:pStyle w:val="ListBullet"/>
      </w:pPr>
      <w:r>
        <w:t>执行状态：弱趋势候选天数、冷却期、恢复要求、极端风险阶段和最近动作日期。</w:t>
      </w:r>
    </w:p>
    <w:p>
      <w:pPr>
        <w:pStyle w:val="Heading1"/>
        <w:keepNext/>
      </w:pPr>
      <w:r>
        <w:t>3. 动作判定的总优先级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5408"/>
            <wp:docPr id="2" name="Picture 2" title="单基金动作优先级" descr="按极端风险、市场退出、极端恢复观察、仓位限制、冷却、买入路径、持有观察的顺序决定最终动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 2  单只基金动作判定顺序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为什么优先级重要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同一只基金可能同时满足多个条件。例如既超仓又触发极端风险时，先执行极端风险退出；处于弱趋势冷却时，即使总分满足买入，也会先返回 WATCH。</w:t>
            </w:r>
          </w:p>
        </w:tc>
      </w:tr>
    </w:tbl>
    <w:p>
      <w:pPr>
        <w:spacing w:after="80" w:before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300"/>
        <w:gridCol w:w="4110"/>
        <w:gridCol w:w="395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金额/比例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BUY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建议加仓。必须命中一条买入路径且没有硬阻断。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suggestRatio 是总资产口径的目标增量百分比；总资产含现金，但金额不按可用现金截断。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SELL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建议减仓或退出。退出规则优先于买入。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suggestRatio 是当前持仓金额的卖出百分比；suggestAmount = 持仓金额 × 比例。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HOLD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趋势与总分尚可，但没有形成新的加仓动作，或买入金额不足 100 元。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WATCH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存在风险、候选状态、冷却、阻断，或评分不足，继续观察。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0。</w:t>
            </w:r>
          </w:p>
        </w:tc>
      </w:tr>
    </w:tbl>
    <w:p>
      <w:pPr>
        <w:spacing w:after="80" w:before="0"/>
      </w:pPr>
    </w:p>
    <w:p>
      <w:pPr>
        <w:pStyle w:val="Heading1"/>
        <w:keepNext/>
      </w:pPr>
      <w:r>
        <w:t>4. 五维评分怎样形成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引擎先生成五个 0-100 分的子分，再按固定权重合成总分。评分用于筛选买入、低分退出和解释，但不是唯一决策条件。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900"/>
        <w:gridCol w:w="3760"/>
        <w:gridCol w:w="29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权重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主要输入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倾向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趋势分 trend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35%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5/20/60 日收益、MA20 偏离、20 日趋势斜率、连续下跌天数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上涨趋势更高，连续下跌惩罚。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机会分 opportunity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25%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MA20 偏离、短中期收益、20 日最大回撤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相对均线回落但中期仍强时更高；过深回撤扣分。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风险分 risk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 日年化波动、60 日最大回撤、20 日亏损日比例、投资者风险等级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波动/回撤越低越高；LOW 风险等级 -6，HIGH +4。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仓位分 position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当前仓位/策略上限、盈利缓冲、亏损压力、是否超过再平衡线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仓位越轻越高；现金增大总资产后会间接降低仓位；超过策略上限+5 再扣 25。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动量分 momentum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10%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主题涨跌、估值涨跌、连续上涨/下跌天数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上涨连续性加分，下跌连续性扣分。</w:t>
            </w:r>
          </w:p>
        </w:tc>
      </w:tr>
    </w:tbl>
    <w:p>
      <w:pPr>
        <w:spacing w:after="80" w:before="0"/>
      </w:pP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i w:val="0"/>
          <w:color w:val="1F4D78"/>
          <w:sz w:val="22"/>
        </w:rPr>
        <w:t>总分 = 0.35×趋势分 + 0.25×机会分 + 0.15×风险分 + 0.15×仓位分 + 0.10×动量分。</w:t>
      </w:r>
    </w:p>
    <w:p>
      <w:pPr>
        <w:pStyle w:val="Heading2"/>
        <w:keepNext/>
      </w:pPr>
      <w:r>
        <w:t>4.1 关键公式速查</w:t>
      </w:r>
    </w:p>
    <w:p>
      <w:pPr>
        <w:pStyle w:val="ListBullet"/>
      </w:pPr>
      <w:r>
        <w:t>趋势分 = clamp(50 + 1.2×R5 + 1.1×R20 + 0.35×R60 + 0.7×MA20偏离 + 6×趋势斜率 - 5×max(连续跌天数-2,0))。</w:t>
      </w:r>
    </w:p>
    <w:p>
      <w:pPr>
        <w:pStyle w:val="ListBullet"/>
      </w:pPr>
      <w:r>
        <w:t>机会分 = clamp(50 - MA20偏离 - 0.6×R5 + 0.4×max(R20,0) + 0.2×max(R60,0) - 1.2×max(|20日回撤|-10,0))。</w:t>
      </w:r>
    </w:p>
    <w:p>
      <w:pPr>
        <w:pStyle w:val="ListBullet"/>
      </w:pPr>
      <w:r>
        <w:t>风险分 = clamp(78 - 0.45×20日波动 - 1.2×|60日最大回撤| - 0.35×max(亏损日比例-50,0) + 风险等级修正)。</w:t>
      </w:r>
    </w:p>
    <w:p>
      <w:pPr>
        <w:pStyle w:val="ListBullet"/>
      </w:pPr>
      <w:r>
        <w:t>仓位分 = clamp(92 - 35×仓位/策略上限 + 0.4×min(盈利缓冲,20) - 1.2×亏损压力 - 超限惩罚)；仓位 = 单基金金额/(持仓市值+现金)。</w:t>
      </w:r>
    </w:p>
    <w:p>
      <w:pPr>
        <w:pStyle w:val="ListBullet"/>
      </w:pPr>
      <w:r>
        <w:t>动量分 = clamp(50 + 2.5×主题涨跌 + 2×估值涨跌 + 3×min(连涨天数,4) - 4×min(连跌天数,4))。</w:t>
      </w:r>
    </w:p>
    <w:p>
      <w:pPr>
        <w:pStyle w:val="Heading2"/>
        <w:keepNext/>
      </w:pPr>
      <w:r>
        <w:t>4.2 可选 ML 辅助调分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LightGBM 默认关闭（QUANT_ENGINE_ML_ENABLED=false）。开启且模型可用时，只调整 totalScore，不改变五个子分、不绕过仓位/交易日阻断，也不直接下单。</w:t>
      </w:r>
    </w:p>
    <w:p>
      <w:pPr>
        <w:pStyle w:val="ListBullet"/>
      </w:pPr>
      <w:r>
        <w:t>原始调分 = (偏强概率 - 0.5) × 2 × 5，理论范围 -5 到 +5。</w:t>
      </w:r>
    </w:p>
    <w:p>
      <w:pPr>
        <w:pStyle w:val="ListBullet"/>
      </w:pPr>
      <w:r>
        <w:t>实际调分 = 原始调分 × 模型质量权重 × 信号强度，通常绝对值小于 5。</w:t>
      </w:r>
    </w:p>
    <w:p>
      <w:pPr>
        <w:pStyle w:val="ListBullet"/>
      </w:pPr>
      <w:r>
        <w:t>概率 ≥ 0.62 且预测收益非负时标记“偏强”；概率 ≤ 0.42 或预测收益 ≤ -5% 时标记“偏弱”。</w:t>
      </w:r>
    </w:p>
    <w:p>
      <w:pPr>
        <w:pStyle w:val="ListBullet"/>
      </w:pPr>
      <w:r>
        <w:t>ML 影响总分后，可能让总分跨过某些阈值；但趋势、风险、仓位等子分门槛仍必须满足。</w:t>
      </w:r>
    </w:p>
    <w:p>
      <w:pPr>
        <w:pStyle w:val="Heading1"/>
        <w:keepNext/>
      </w:pPr>
      <w:r>
        <w:t>5. 什么时候减仓、退出或清仓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只要当前持仓金额大于 0，退出判断就按以下顺序执行。命中后立即返回 SELL，不再评估后续买入。</w:t>
      </w:r>
    </w:p>
    <w:p>
      <w:pPr>
        <w:pStyle w:val="Heading2"/>
        <w:keepNext/>
      </w:pPr>
      <w:r>
        <w:t>5.1 极端风险退出：最高优先级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2318"/>
          <w:left w:val="single" w:sz="8" w:space="0" w:color="B42318"/>
          <w:bottom w:val="single" w:sz="8" w:space="0" w:color="B42318"/>
          <w:right w:val="single" w:sz="8" w:space="0" w:color="B42318"/>
          <w:insideH w:val="single" w:sz="8" w:space="0" w:color="B42318"/>
          <w:insideV w:val="single" w:sz="8" w:space="0" w:color="B4231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F2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42318"/>
                <w:sz w:val="21"/>
              </w:rPr>
              <w:t xml:space="preserve">触发条件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持仓收益率 ≤ -18%，或当前净值相对最近 60 个样本滚动高点的回撤 ≥ 22%。这里使用 currentDrawdown60d，而不是窗口内曾经出现过的最差 maxDrawdown60d。</w:t>
            </w:r>
          </w:p>
        </w:tc>
      </w:tr>
    </w:tbl>
    <w:p>
      <w:pPr>
        <w:spacing w:after="80" w:before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4250"/>
        <w:gridCol w:w="33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第一次极端风险日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仓位 &gt; 5%，且未确认过第一阶段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SELL 50%（若 sellStepRatio 更大则取更大值）。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尾仓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当前单基金仓位 ≤ 5%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直接 SELL 100%。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后续不同决策日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仍处于极端风险，且回撤较上次改善不足 3 个百分点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SELL 100%，清掉剩余持仓。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后续不同决策日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仍处于极端风险，但回撤较上次改善至少 3 个百分点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WATCH，不执行第二阶段清仓。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同日重复分析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当天已生成过动作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不推进极端风险阶段。</w:t>
            </w:r>
          </w:p>
        </w:tc>
      </w:tr>
    </w:tbl>
    <w:p>
      <w:pPr>
        <w:spacing w:after="80" w:before="0"/>
      </w:pP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i w:val="0"/>
          <w:color w:val="B42318"/>
          <w:sz w:val="22"/>
        </w:rPr>
        <w:t>极端风险阶段不是“建议一生成就生效”。Java 只在找到信号之后完成的 SELL 或 CONVERT_OUT 交易记录时，才把该阶段视为已确认。PROCESSING 交易或仅有建议不会推进到下一阶段。</w:t>
      </w:r>
    </w:p>
    <w:p>
      <w:pPr>
        <w:pStyle w:val="Heading2"/>
        <w:keepNext/>
      </w:pPr>
      <w:r>
        <w:t>5.2 强趋势锁：保护趋势中的持仓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极端风险检查之后，若满足强趋势锁，系统会跳过普通止损、弱趋势、止盈和低分退出，继续保留持仓并允许后续评估加仓。强趋势锁不会屏蔽极端风险退出。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基金类型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强趋势锁条件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主动型（含 ACTIVE_QDII）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R20 ≥ 1.5%，R60 ≥ 5%，MA20偏离 ≥ -7%，60日最大回撤 &lt; 21%。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被动 QDII/海外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R20 ≥ 1.5%，R60 ≥ 5%，MA20偏离 ≥ -7%，60日最大回撤 &lt; 18%。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其他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R20 ≥ 1.5%，R60 ≥ 5%，MA20偏离 ≥ -7%，60日最大回撤 &lt; 20%。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>5.3 普通止损、弱趋势防守、止盈、低分退出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50"/>
        <w:gridCol w:w="3850"/>
        <w:gridCol w:w="1750"/>
        <w:gridCol w:w="1910"/>
      </w:tblGrid>
      <w:tr>
        <w:trPr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原因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默认减仓比例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附加状态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普通止损 risk_exit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持仓收益率 ≤ stopLossRate（默认 -18%），且未被强趋势锁保护。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max(8%, 35%) = 35%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进入 45 日防守冷却并要求趋势恢复。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弱趋势防守 weak_trend_defense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弱趋势条件连续 4 个不同决策日成立，且尚未处理。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max(8%, 15%) = 15%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进入 45 日冷却；不会每天重复卖。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止盈 profit_exit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持仓收益率 ≥ takeProfitRate（默认 300%），且未被强趋势锁保护。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max(8%, 20%) = 20%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不设置弱趋势冷却。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低分退出 score_exit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总分 ≤ sellThreshold（默认 6），且未被强趋势锁保护。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sellStepRatio = 8%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进入 45 日防守冷却并要求恢复。</w:t>
            </w:r>
          </w:p>
        </w:tc>
      </w:tr>
    </w:tbl>
    <w:p>
      <w:pPr>
        <w:spacing w:after="8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54708"/>
          <w:left w:val="single" w:sz="8" w:space="0" w:color="B54708"/>
          <w:bottom w:val="single" w:sz="8" w:space="0" w:color="B54708"/>
          <w:right w:val="single" w:sz="8" w:space="0" w:color="B54708"/>
          <w:insideH w:val="single" w:sz="8" w:space="0" w:color="B54708"/>
          <w:insideV w:val="single" w:sz="8" w:space="0" w:color="B5470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AE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54708"/>
                <w:sz w:val="21"/>
              </w:rPr>
              <w:t xml:space="preserve">默认参数下的实际含义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普通止损阈值与极端风险的收益率阈值同为 -18%，因此默认情况下，收益率触发的 -18% 会先走“极端风险退出”而不是普通止损。普通止损更有意义的场景是将 stopLossRate 配置为高于 -18%（例如 -12%）。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>5.4 弱趋势怎样确认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弱趋势必须先排除“中期强势回撤”和“可修复回撤”，再按基金类型判断。以下任一组成立即记为一个候选日：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000"/>
        <w:gridCol w:w="3880"/>
        <w:gridCol w:w="348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基金类型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组合 A：趋势全面转弱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组合 B：回撤 + 趋势分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主动型（含 ACTIVE_QDII）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R20 ≤ -7%，R60 ≤ -1%，MA20偏离 ≤ -5%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当前60样本回撤 ≥ 20%，且趋势分 &lt; 46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被动 QDII/海外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R20 ≤ -5%，R60 ≤ 0%，MA20偏离 ≤ -3.5%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当前60样本回撤 ≥ 16%，且趋势分 &lt; 50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其他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R20 ≤ -6%，R60 ≤ 0%，MA20偏离 ≤ -4%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当前60样本回撤 ≥ 18%，且趋势分 &lt; 48</w:t>
            </w:r>
          </w:p>
        </w:tc>
      </w:tr>
    </w:tbl>
    <w:p>
      <w:pPr>
        <w:spacing w:after="80" w:before="0"/>
      </w:pPr>
    </w:p>
    <w:p>
      <w:pPr>
        <w:pStyle w:val="ListBullet"/>
      </w:pPr>
      <w:r>
        <w:t>连续 4 个“不同决策日”满足后才 SELL 15%；同一天重复分析不会增加候选天数。</w:t>
      </w:r>
    </w:p>
    <w:p>
      <w:pPr>
        <w:pStyle w:val="ListBullet"/>
      </w:pPr>
      <w:r>
        <w:t>卖出后设置 45 个决策日冷却，并设置 weakRecoveryRequired=true。</w:t>
      </w:r>
    </w:p>
    <w:p>
      <w:pPr>
        <w:pStyle w:val="ListBullet"/>
      </w:pPr>
      <w:r>
        <w:t>即使趋势已恢复，剩余冷却天数未归零时仍返回 WATCH。</w:t>
      </w:r>
    </w:p>
    <w:p>
      <w:pPr>
        <w:pStyle w:val="Heading2"/>
        <w:keepNext/>
      </w:pPr>
      <w:r>
        <w:t>5.5 单基金仓位超限再平衡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2318"/>
          <w:left w:val="single" w:sz="8" w:space="0" w:color="B42318"/>
          <w:bottom w:val="single" w:sz="8" w:space="0" w:color="B42318"/>
          <w:right w:val="single" w:sz="8" w:space="0" w:color="B42318"/>
          <w:insideH w:val="single" w:sz="8" w:space="0" w:color="B42318"/>
          <w:insideV w:val="single" w:sz="8" w:space="0" w:color="B4231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F2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42318"/>
                <w:sz w:val="21"/>
              </w:rPr>
              <w:t xml:space="preserve">触发线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当 positionRate ≥ maxSinglePositionRate + 5 个百分点时，触发 position_limit。默认策略上限 45%，因此再平衡线是 50%。</w:t>
            </w:r>
          </w:p>
        </w:tc>
      </w:tr>
    </w:tbl>
    <w:p>
      <w:pPr>
        <w:spacing w:after="80" w:before="0"/>
      </w:pPr>
    </w:p>
    <w:p>
      <w:pPr>
        <w:pStyle w:val="ListBullet"/>
      </w:pPr>
      <w:r>
        <w:t>持仓收益率 &lt; 15%：卖出 sellStepRatio，默认 8%。</w:t>
      </w:r>
    </w:p>
    <w:p>
      <w:pPr>
        <w:pStyle w:val="ListBullet"/>
      </w:pPr>
      <w:r>
        <w:t>持仓收益率 ≥ 15%：卖出 max(sellStepRatio, 20%)，默认 20%。</w:t>
      </w:r>
    </w:p>
    <w:p>
      <w:pPr>
        <w:pStyle w:val="ListBullet"/>
      </w:pPr>
      <w:r>
        <w:t>动作后设置 20 个决策日的仓位再平衡冷却；冷却期内 WATCH。</w:t>
      </w:r>
    </w:p>
    <w:p>
      <w:pPr>
        <w:pStyle w:val="ListBullet"/>
      </w:pPr>
      <w:r>
        <w:t>达到策略上限 45% 会阻断继续 BUY；只有达到“上限+5”才主动 SELL。中间 45%-50% 是不买但也不强制减仓的缓冲带。</w:t>
      </w:r>
    </w:p>
    <w:p>
      <w:pPr>
        <w:pStyle w:val="ListBullet"/>
      </w:pPr>
      <w:r>
        <w:t>positionRate = 单基金持仓金额 /（全部持仓市值 + 现金）。增加现金会降低同一持仓的仓位率，减少触发超限再平衡的可能。</w:t>
      </w:r>
    </w:p>
    <w:p>
      <w:pPr>
        <w:pStyle w:val="Heading1"/>
        <w:keepNext/>
      </w:pPr>
      <w:r>
        <w:t>6. 什么时候加仓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加仓评估只会在没有任何优先级更高的 SELL、极端风险观察、仓位再平衡或冷却状态时执行。只要命中下列九条路径之一，并且没有硬阻断，系统就返回 BUY。</w:t>
      </w:r>
    </w:p>
    <w:p>
      <w:pPr>
        <w:pStyle w:val="Heading2"/>
        <w:keepNext/>
      </w:pPr>
      <w:r>
        <w:t>6.1 两个硬阻断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200"/>
        <w:gridCol w:w="4300"/>
        <w:gridCol w:w="28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阻断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单基金策略上限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positionRate ≥ strategyParams.maxSinglePositionRate（默认 45%）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即使买入路径成立，也返回 WATCH。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非交易日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market.tradingDay = false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不生成当日 BUY 建议，返回 WATCH。</w:t>
            </w:r>
          </w:p>
        </w:tc>
      </w:tr>
    </w:tbl>
    <w:p>
      <w:pPr>
        <w:spacing w:after="8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54708"/>
          <w:left w:val="single" w:sz="8" w:space="0" w:color="B54708"/>
          <w:bottom w:val="single" w:sz="8" w:space="0" w:color="B54708"/>
          <w:right w:val="single" w:sz="8" w:space="0" w:color="B54708"/>
          <w:insideH w:val="single" w:sz="8" w:space="0" w:color="B54708"/>
          <w:insideV w:val="single" w:sz="8" w:space="0" w:color="B5470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AE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54708"/>
                <w:sz w:val="21"/>
              </w:rPr>
              <w:t xml:space="preserve">当前实现边界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账户总权益仓位上限 maxEquityPositionRate 目前没有进入 Python 的 BUY blocker；用户风险配置中的 maxSingleFundPositionRate 也不是实际下单建议的硬上限。真正控制 BUY 的是策略参数上限（默认 45%）。现金会通过 totalAsset 和 positionRate 间接影响判断，但 cashAmount 本身不是第三个硬阻断。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>6.2 九类买入路径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50"/>
        <w:gridCol w:w="5750"/>
        <w:gridCol w:w="186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精确门槛（默认参数）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1. 强趋势加仓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强趋势锁成立；总分 ≥50、风险分 ≥25、仓位分 ≥35；当前仓位/上限 &lt;90%。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趋势很强时继续配置，不因普通低分/止盈退出。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2. 趋势启动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R20 ≥1.5%、R5 ≥0、MA20偏离 ≥-7%、60日最大回撤 &lt;20%；亏损日比例与风险分按基金类型达标；总分 ≥50、仓位分 ≥35、仓位比 &lt;90%。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确认新一轮趋势开始。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3. 中期趋势延续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R60 达基金类型门槛（主动 ≥8%、被动QDII ≥12%、其他 ≥10%）且最大回撤 &lt;22%；R5 ≥-1%、R20 ≥-5%、MA偏离 ≥-10%；风险/亏损日达标；总分 ≥48、仓位分 ≥35、仓位比 &lt;85%。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中期强势中的有序回撤。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4. 可修复回撤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R60 &gt;-8%、R20 &gt;-18%、当前回撤 &lt;18%、机会分 ≥65、风险分 ≥30；并要求 R5 ≥0、R20 &gt;-12%、MA偏离 ≥-12%、趋势分 ≥45、亏损日比例 ≤70%；总分 ≥48、仓位分 ≥35。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回撤后短期已止跌，再进行修复性加仓。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5. 基准仓位补齐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低于接近满仓线；总分 ≥max(买阈值-3,48)=49、趋势/机会 ≥45、风险达标；R20 ≥-1%、R60 ≥0、MA偏离 ≥-9%、回撤/亏损日达标，且没有短期破位。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有序趋势下补齐低配仓位，初始目标 40%。</w:t>
            </w:r>
          </w:p>
        </w:tc>
      </w:tr>
    </w:tbl>
    <w:p>
      <w:pPr>
        <w:spacing w:after="80" w:before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50"/>
        <w:gridCol w:w="5750"/>
        <w:gridCol w:w="186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精确门槛（默认参数）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6. 核心趋势配置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仓位低于约 98% 上限；R60 已确认（主动 ≥7%、被动QDII ≥9%、其他 ≥8%）或 R20 ≥1.5% 且 R60 ≥4%；总分 ≥max(买阈值-6,46)=46；趋势 ≥42、机会 ≥40、风险达标；R20 ≥-0.5%，MA/回撤/亏损日达标。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将确认趋势的核心仓位配置到目标，初始目标 45%。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7. 短历史启动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净值样本在 minNavSamples 至 150；R20 ≥0.9% 或（R20 ≥0.5% 且趋势斜率 ≥0.12）；总分 ≥47、趋势 ≥42、风险达标；R5 ≥-1%，MA、回撤、亏损日达标。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避免新基金因历史不足完全无法建立仓位。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8. 趋势修复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R20 ≥0.8%、R60 达基金类型门槛、R5 ≥-0.5%、MA偏离 ≥max(-7%,配置值)、回撤低于类型门槛；趋势/风险/亏损日达标。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防守后重新确认趋势；主动基金规则相对宽松，QDII 更谨慎。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9. 通用高分买入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总分 ≥52、趋势 ≥50、机会 ≥48、风险 ≥25、仓位 ≥40、仓位比 &lt;90%，且不是 R5 ≤-1% 且 R20 ≤0 的短期破位。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没有命中特殊路径时的标准入口。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>6.3 加仓比例怎样计算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500"/>
        <w:gridCol w:w="3430"/>
        <w:gridCol w:w="343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当前仓位 ≤ 1%（近似空仓）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已有仓位时的单次上限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强趋势 / 趋势启动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强趋势：最高 45%；趋势启动：最高 45%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强趋势最高 35%；趋势启动最高 30%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核心趋势配置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45%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35%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中期趋势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35%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25%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基准补齐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40%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25%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可修复回撤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30%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25%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短历史启动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35%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25%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趋势修复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35%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最高 30%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通用高分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总分 ≥86 且风险 ≥45：10%；总分 ≥80：7%；其他：5%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同左</w:t>
            </w:r>
          </w:p>
        </w:tc>
      </w:tr>
    </w:tbl>
    <w:p>
      <w:pPr>
        <w:spacing w:after="80" w:before="0"/>
      </w:pP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i w:val="0"/>
          <w:color w:val="1F4D78"/>
          <w:sz w:val="22"/>
        </w:rPr>
        <w:t>最终 suggestRatio = min(上述单次上限, 策略上限 - 当前仓位)，且不小于 0。账户总资产 = 持仓市值 + 现金；suggestAmount = 账户总资产 × suggestRatio / 100。当前代码不会取 min(建议金额, 现金金额)；金额 &lt; 100 元时改为 HOLD。</w:t>
      </w:r>
    </w:p>
    <w:p>
      <w:pPr>
        <w:pStyle w:val="Heading2"/>
        <w:keepNext/>
      </w:pPr>
      <w:r>
        <w:t>6.4 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4660"/>
        <w:gridCol w:w="280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空仓强趋势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总资产 100,000 元，仓位 0%，强趋势路径成立，策略上限 45%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ratio=45%，建议加仓 45,000 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已有仓位趋势启动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总资产 100,000 元，仓位 20%，趋势启动路径成立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单次上限 30%，剩余空间 25%，最终 ratio=25%，建议 25,000 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高分普通买入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仓位 10%，总分 88、风险分 50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普通路径单次 10%，建议金额为总资产的 10%。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接近上限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仓位 44%，强趋势路径成立，上限 45%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剩余空间仅 1%，最终 ratio=1%。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现金改变仓位口径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单基金 40,000 元、现金 60,000 元，强趋势成立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总资产 100,000 元、仓位 40%，最多再建议 5,000 元；若现金为 0，则仓位为 100% 并被阻断。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小账户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总资产 500 元，最终 ratio=10%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金额 50 元 &lt;100，返回 HOLD。</w:t>
            </w:r>
          </w:p>
        </w:tc>
      </w:tr>
    </w:tbl>
    <w:p>
      <w:pPr>
        <w:spacing w:after="80" w:before="0"/>
      </w:pPr>
    </w:p>
    <w:p>
      <w:pPr>
        <w:pStyle w:val="Heading1"/>
        <w:keepNext/>
      </w:pPr>
      <w:r>
        <w:t>7. 什么时候 HOLD，什么时候 WATCH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当前代码中的典型原因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HOLD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没有触发 SELL；不在冷却；没有成功生成 BUY；且总分 ≥ 买入阈值（默认52）并且趋势分 ≥40。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HOLD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买入路径成立，但建议金额 ≤0 或小于 100 元。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WATCH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弱趋势正在累计候选日，尚未到第4个确认日。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WATCH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弱趋势恢复要求未解除，或 45 日防守冷却 / 20 日仓位冷却尚未结束。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WATCH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买入路径成立，但当前已到策略单基金上限，或当天不是交易日。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WATCH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第二阶段极端风险前，回撤已改善至少 3 个百分点。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WATCH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账户 30% 减仓预算已被更高风险持仓占用，本基金减仓建议被延后。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WATCH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没有动作，且总分/趋势不足以进入 HOLD。</w:t>
            </w:r>
          </w:p>
        </w:tc>
      </w:tr>
    </w:tbl>
    <w:p>
      <w:pPr>
        <w:spacing w:after="8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54708"/>
          <w:left w:val="single" w:sz="8" w:space="0" w:color="B54708"/>
          <w:bottom w:val="single" w:sz="8" w:space="0" w:color="B54708"/>
          <w:right w:val="single" w:sz="8" w:space="0" w:color="B54708"/>
          <w:insideH w:val="single" w:sz="8" w:space="0" w:color="B54708"/>
          <w:insideV w:val="single" w:sz="8" w:space="0" w:color="B5470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AE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54708"/>
                <w:sz w:val="21"/>
              </w:rPr>
              <w:t xml:space="preserve">不要把 WATCH 理解为“无风险”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WATCH 可能意味着评分不足，也可能意味着极端风险恢复观察、弱趋势候选、交易日阻断或组合减仓额度不足。应结合 metrics.decisionReason、reasons 和 risks 一起判断。</w:t>
            </w:r>
          </w:p>
        </w:tc>
      </w:tr>
    </w:tbl>
    <w:p>
      <w:pPr>
        <w:spacing w:after="80" w:before="0"/>
      </w:pPr>
    </w:p>
    <w:p>
      <w:pPr>
        <w:pStyle w:val="Heading1"/>
        <w:keepNext/>
      </w:pPr>
      <w:r>
        <w:t>8. 状态机、冷却期、现金与账户级减仓预算</w:t>
      </w:r>
    </w:p>
    <w:p>
      <w:pPr>
        <w:pStyle w:val="Heading2"/>
        <w:keepNext/>
      </w:pPr>
      <w:r>
        <w:t>8.1 状态怎样跨天延续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Java 会读取最近 120 天的历史量化信号，按日期取每天最新一条，重建弱趋势候选、冷却、恢复要求和极端风险阶段。同一天内，lastActionDate 保证候选天数和极端阶段不重复推进。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00"/>
        <w:gridCol w:w="3700"/>
        <w:gridCol w:w="32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触发/更新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解除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weakTrendCandidateDays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每天弱趋势成立时 +1；同日重复不加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当天不再弱趋势时归零。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weakTrendCooldownDays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风险退出、弱趋势防守、低分退出后设为 45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每个不同决策日减 1。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weakRecoveryRequired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上述防守退出后设为 true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满足类型化恢复条件时转 false，但仍需等待冷却归零。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positionRebalanceCooldownDays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仓位超限减仓后设为 20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每个不同决策日减 1。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extremeRiskStage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已完成的 SELL/CONVERT_OUT 确认后推进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当前回撤 &lt;18% 且收益率 &gt; stopLossRate 时重置。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>8.2 现金怎样进入量化口径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核心公式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账户总资产 = 全部持仓市值 + cashAmount。现金仓位 = cashAmount / 总资产；权益、债券和单基金仓位也统一以该总资产为分母。</w:t>
            </w:r>
          </w:p>
        </w:tc>
      </w:tr>
    </w:tbl>
    <w:p>
      <w:pPr>
        <w:spacing w:after="80" w:before="0"/>
      </w:pPr>
    </w:p>
    <w:p>
      <w:pPr>
        <w:pStyle w:val="ListBullet"/>
      </w:pPr>
      <w:r>
        <w:t>新账户现金默认为 0；用户可通过 PUT /api/portfolios/{accountId}/cash 直接设置非负现金金额。</w:t>
      </w:r>
    </w:p>
    <w:p>
      <w:pPr>
        <w:pStyle w:val="ListBullet"/>
      </w:pPr>
      <w:r>
        <w:t>只有 COMPLETED 交易会自动调整现金：BUY、REGULAR_INVEST、CONVERT_IN 扣除“成交金额 + 费用”；SELL、CONVERT_OUT 回补“成交金额 - 费用”。</w:t>
      </w:r>
    </w:p>
    <w:p>
      <w:pPr>
        <w:pStyle w:val="ListBullet"/>
      </w:pPr>
      <w:r>
        <w:t>清仓会回补 max(清仓成交金额 - 费用, 0)；PROCESSING 交易在正式结算前不改变现金。</w:t>
      </w:r>
    </w:p>
    <w:p>
      <w:pPr>
        <w:pStyle w:val="ListBullet"/>
      </w:pPr>
      <w:r>
        <w:t>现金调整使用非负下限：若增加持仓类成交金额超过现有现金，余额会归零，而不是拒绝成交或形成负现金。</w:t>
      </w:r>
    </w:p>
    <w:p>
      <w:pPr>
        <w:pStyle w:val="ListBullet"/>
      </w:pPr>
      <w:r>
        <w:t>Java 传给 Python 的仍是 totalAsset、equityPositionRate 等汇总字段，没有独立 cashAmount；因此现金通过总资产和仓位率间接影响评分、仓位阻断与建议金额。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54708"/>
          <w:left w:val="single" w:sz="8" w:space="0" w:color="B54708"/>
          <w:bottom w:val="single" w:sz="8" w:space="0" w:color="B54708"/>
          <w:right w:val="single" w:sz="8" w:space="0" w:color="B54708"/>
          <w:insideH w:val="single" w:sz="8" w:space="0" w:color="B54708"/>
          <w:insideV w:val="single" w:sz="8" w:space="0" w:color="B5470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AE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54708"/>
                <w:sz w:val="21"/>
              </w:rPr>
              <w:t xml:space="preserve">对动作的实际影响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现金越多，同一基金的 positionRate 越低，仓位分通常越高，也更不容易触发 position_limit；但 BUY 建议金额按含现金的总资产放大，并未受现金余额硬性限制。账户批量 SELL 的 30% 预算也以含现金总资产计算。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>8.3 账户批量分析的 30% 减仓预算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组合约束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analyze-batch 会把当次账户的 SELL 建议总额限制在账户总资产的 30%。总资产包含现金，因此现金增加也会提高该建议预算；这是建议预算，不是实际成交额度。</w:t>
            </w:r>
          </w:p>
        </w:tc>
      </w:tr>
    </w:tbl>
    <w:p>
      <w:pPr>
        <w:spacing w:after="80" w:before="0"/>
      </w:pPr>
    </w:p>
    <w:p>
      <w:pPr>
        <w:pStyle w:val="ListNumber"/>
      </w:pPr>
      <w:r>
        <w:t>收集所有 SELL 且 suggestAmount &gt; 0 的候选。</w:t>
      </w:r>
    </w:p>
    <w:p>
      <w:pPr>
        <w:pStyle w:val="ListNumber"/>
      </w:pPr>
      <w:r>
        <w:t>按优先级排序：极端风险 &gt; 普通止损 &gt; 弱趋势防守 &gt; 低分退出 &gt; 仓位超限；同级再比较当前回撤和风险分。</w:t>
      </w:r>
    </w:p>
    <w:p>
      <w:pPr>
        <w:pStyle w:val="ListNumber"/>
      </w:pPr>
      <w:r>
        <w:t>预算足够时保留原建议；预算不足但剩余 ≥100 元时，下调该基金卖出比例。</w:t>
      </w:r>
    </w:p>
    <w:p>
      <w:pPr>
        <w:pStyle w:val="ListNumber"/>
      </w:pPr>
      <w:r>
        <w:t>预算不足且无法形成至少 100 元建议时，将该基金改为 WATCH，并恢复此前执行状态，避免延后动作误推进冷却或极端阶段。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/>
          <w:color w:val="667085"/>
          <w:sz w:val="22"/>
        </w:rPr>
        <w:t>profit_exit 未在显式优先级表中，按默认优先级 0 处理，与仓位超限同属最低层。</w:t>
      </w:r>
    </w:p>
    <w:p>
      <w:pPr>
        <w:pStyle w:val="Heading2"/>
        <w:keepNext/>
      </w:pPr>
      <w:r>
        <w:t>8.4 示例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账户总资产 100,000 元（无论由多少持仓市值和现金组成），当日减仓建议预算均为 30,000 元。若基金 A 极端风险建议卖 25,000 元，基金 B 弱趋势建议卖 10,000 元，则 A 先占用 25,000 元；B 最多被下调到 5,000 元。如果 B 的剩余可卖建议不足 100 元，则 B 改为 WATCH。</w:t>
      </w:r>
    </w:p>
    <w:p>
      <w:pPr>
        <w:pStyle w:val="Heading1"/>
        <w:keepNext/>
      </w:pPr>
      <w:r>
        <w:t>9. 基金类型为什么会改变门槛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引擎先按基金代码注册表、基金名称关键词和 fundType 推断有效类型。ACTIVE_QDII 虽然属于海外载体，在主动型趋势与恢复规则中按主动基金处理；被动 QDII/指数型则使用更谨慎的风险阈值。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300"/>
        <w:gridCol w:w="3260"/>
        <w:gridCol w:w="380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有效类型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识别示例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规则特点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ACTIVE_EQUITY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主动、混合、股票、成长、优选、精选等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弱趋势容忍更高回撤；修复入口更宽松。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ACTIVE_QDII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主动管理的 QDII，且不是 ETF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使用主动修复/弱趋势规则，同时保留海外风险特征。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ETF_QDII / INDEX_QDII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ETF+QDII、指数+海外关键词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强趋势和恢复门槛更严格，回撤上限更低。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INDEX / ETF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指数、中证、沪深、ETF 等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偏被动配置，基准补齐和核心配置路径更重要。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UNKNOWN/其他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无法明确分类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使用通用阈值。</w:t>
            </w:r>
          </w:p>
        </w:tc>
      </w:tr>
    </w:tbl>
    <w:p>
      <w:pPr>
        <w:spacing w:after="80" w:before="0"/>
      </w:pP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当前代码还为 021528、012922、016874、025833、013403 建立了显式基金画像，以覆盖仅靠名称/类型难以准确判断的情况。</w:t>
      </w:r>
    </w:p>
    <w:p>
      <w:pPr>
        <w:pStyle w:val="Heading1"/>
        <w:keepNext/>
      </w:pPr>
      <w:r>
        <w:t>10. 实盘分析与回测有什么不同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3770"/>
        <w:gridCol w:w="369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实盘/在线分析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回测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数据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可把最新盘中估值作为临时净值点参与收益、均线、波动和回撤计算。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只使用请求提供的官方历史净值；不合成盘中估值。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信号与执行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同一时点生成建议，不自动成交。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用前一个净值点生成信号，在下一个净值点执行，避免同日未来数据。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买入限制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账户维护现金余额，但建议金额仅检查是否 ≥100 元，不按 cashAmount 截断。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实际执行金额不超过现金，且金额至少 100 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现金更新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COMPLETED 交易及清仓会更新账户现金；PROCESSING 阶段不更新。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回测引擎内部在每次成交后直接更新模拟现金。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费用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建议金额本身不扣费。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默认费率 0.15%，买卖都计费。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组合 30% 卖出预算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账户批量接口启用。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单基金回测直接调用 map_action，不应用账户级 30% 预算。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状态确认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极端阶段需已完成交易记录确认。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回测执行成交后直接更新策略状态。</w:t>
            </w:r>
          </w:p>
        </w:tc>
      </w:tr>
    </w:tbl>
    <w:p>
      <w:pPr>
        <w:spacing w:after="8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解释回测结果时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应优先对比 positionBenchmarkReturnRate：它使用与策略单基金仓位上限相同的持仓比例，剩余现金闲置，比满仓买入并持有更接近本策略的风险预算。</w:t>
            </w:r>
          </w:p>
        </w:tc>
      </w:tr>
    </w:tbl>
    <w:p>
      <w:pPr>
        <w:spacing w:after="80" w:before="0"/>
      </w:pPr>
    </w:p>
    <w:p>
      <w:pPr>
        <w:pStyle w:val="Heading1"/>
        <w:keepNext/>
      </w:pPr>
      <w:r>
        <w:t>11. Python 引擎不可用时会怎样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默认配置 quant-engine.enabled=true，fallback-to-java-rules=false。因此 Python 引擎不可用时，默认会返回错误，不会静默换成另一套交易逻辑。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4800"/>
        <w:gridCol w:w="2200"/>
        <w:gridCol w:w="2360"/>
      </w:tblGrid>
      <w:tr>
        <w:trPr>
          <w:tblHeader w:val="true"/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Java fallback 条件（仅在显式开启时）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比例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单基金仓位 &gt; 策略上限 45%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SELL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5%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否则，持仓收益率 &gt; 25%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SELL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其他情况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HOLD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</w:tbl>
    <w:p>
      <w:pPr>
        <w:spacing w:after="80" w:before="0"/>
      </w:pPr>
    </w:p>
    <w:p>
      <w:pPr>
        <w:pStyle w:val="ListBullet"/>
      </w:pPr>
      <w:r>
        <w:t>Java fallback 不会生成 BUY。</w:t>
      </w:r>
    </w:p>
    <w:p>
      <w:pPr>
        <w:pStyle w:val="ListBullet"/>
      </w:pPr>
      <w:r>
        <w:t>它不使用 Python 的五维评分、趋势锁、弱趋势状态机或极端风险两阶段逻辑。</w:t>
      </w:r>
    </w:p>
    <w:p>
      <w:pPr>
        <w:pStyle w:val="ListBullet"/>
      </w:pPr>
      <w:r>
        <w:t>持久化信号会标记 fallbackUsed=true、modelName=JavaFallbackRule、modelVersion=fallback-v1.0.0。</w:t>
      </w:r>
    </w:p>
    <w:p>
      <w:pPr>
        <w:pStyle w:val="Heading1"/>
        <w:keepNext/>
      </w:pPr>
      <w:r>
        <w:t>12. 当前实现中需要特别注意的边界</w:t>
      </w:r>
    </w:p>
    <w:p>
      <w:pPr>
        <w:spacing w:before="0" w:after="140" w:line="300" w:lineRule="auto"/>
        <w:jc w:val="left"/>
      </w:pPr>
      <w:r>
        <w:rPr>
          <w:rFonts w:ascii="Calibri" w:hAnsi="Calibri" w:eastAsia="Microsoft YaHei"/>
          <w:b/>
          <w:color w:val="B54708"/>
          <w:sz w:val="22"/>
        </w:rPr>
        <w:t>策略上限与用户风险上限不是同一个值：</w:t>
      </w:r>
      <w:r>
        <w:rPr>
          <w:rFonts w:ascii="Calibri" w:hAnsi="Calibri" w:eastAsia="Microsoft YaHei"/>
          <w:b w:val="0"/>
          <w:color w:val="1F2937"/>
          <w:sz w:val="22"/>
        </w:rPr>
        <w:t>BUY blocker、仓位比和超限再平衡使用 strategyParams.maxSinglePositionRate（默认45%）。用户风险配置 maxSingleFundPositionRate（默认25%）目前主要用于风险提示，未作为硬阻断。</w:t>
      </w:r>
    </w:p>
    <w:p>
      <w:pPr>
        <w:spacing w:before="0" w:after="140" w:line="300" w:lineRule="auto"/>
        <w:jc w:val="left"/>
      </w:pPr>
      <w:r>
        <w:rPr>
          <w:rFonts w:ascii="Calibri" w:hAnsi="Calibri" w:eastAsia="Microsoft YaHei"/>
          <w:b/>
          <w:color w:val="B54708"/>
          <w:sz w:val="22"/>
        </w:rPr>
        <w:t>账户权益仓位上限尚未进入 Python 动作映射：</w:t>
      </w:r>
      <w:r>
        <w:rPr>
          <w:rFonts w:ascii="Calibri" w:hAnsi="Calibri" w:eastAsia="Microsoft YaHei"/>
          <w:b w:val="0"/>
          <w:color w:val="1F2937"/>
          <w:sz w:val="22"/>
        </w:rPr>
        <w:t>请求中虽有 maxEquityPositionRate 和 equityPositionRate，但 buy_blockers 当前只检查单基金策略上限与交易日。</w:t>
      </w:r>
    </w:p>
    <w:p>
      <w:pPr>
        <w:spacing w:before="0" w:after="140" w:line="300" w:lineRule="auto"/>
        <w:jc w:val="left"/>
      </w:pPr>
      <w:r>
        <w:rPr>
          <w:rFonts w:ascii="Calibri" w:hAnsi="Calibri" w:eastAsia="Microsoft YaHei"/>
          <w:b/>
          <w:color w:val="B54708"/>
          <w:sz w:val="22"/>
        </w:rPr>
        <w:t>15:00 是提示口径，不是代码硬截止：</w:t>
      </w:r>
      <w:r>
        <w:rPr>
          <w:rFonts w:ascii="Calibri" w:hAnsi="Calibri" w:eastAsia="Microsoft YaHei"/>
          <w:b w:val="0"/>
          <w:color w:val="1F2937"/>
          <w:sz w:val="22"/>
        </w:rPr>
        <w:t>晚于 14:57 的手工分析仍可能 BUY；自动调度最后一次在14:55。</w:t>
      </w:r>
    </w:p>
    <w:p>
      <w:pPr>
        <w:spacing w:before="0" w:after="140" w:line="300" w:lineRule="auto"/>
        <w:jc w:val="left"/>
      </w:pPr>
      <w:r>
        <w:rPr>
          <w:rFonts w:ascii="Calibri" w:hAnsi="Calibri" w:eastAsia="Microsoft YaHei"/>
          <w:b/>
          <w:color w:val="B54708"/>
          <w:sz w:val="22"/>
        </w:rPr>
        <w:t>非交易日只阻断 BUY：</w:t>
      </w:r>
      <w:r>
        <w:rPr>
          <w:rFonts w:ascii="Calibri" w:hAnsi="Calibri" w:eastAsia="Microsoft YaHei"/>
          <w:b w:val="0"/>
          <w:color w:val="1F2937"/>
          <w:sz w:val="22"/>
        </w:rPr>
        <w:t>当前约束不会因非交易日阻断 SELL，因此手工请求仍可能得到减仓建议。</w:t>
      </w:r>
    </w:p>
    <w:p>
      <w:pPr>
        <w:spacing w:before="0" w:after="140" w:line="300" w:lineRule="auto"/>
        <w:jc w:val="left"/>
      </w:pPr>
      <w:r>
        <w:rPr>
          <w:rFonts w:ascii="Calibri" w:hAnsi="Calibri" w:eastAsia="Microsoft YaHei"/>
          <w:b/>
          <w:color w:val="B54708"/>
          <w:sz w:val="22"/>
        </w:rPr>
        <w:t>建议金额不是可用现金校验：</w:t>
      </w:r>
      <w:r>
        <w:rPr>
          <w:rFonts w:ascii="Calibri" w:hAnsi="Calibri" w:eastAsia="Microsoft YaHei"/>
          <w:b w:val="0"/>
          <w:color w:val="1F2937"/>
          <w:sz w:val="22"/>
        </w:rPr>
        <w:t>Java 已维护 cashAmount，但 QuantAccountContextDTO 没有独立现金字段；在线 BUY 金额仍按“持仓市值+现金”的总资产计算，不会取建议金额与现金余额的较小值。成交处理只会把现金下限压到 0，不会因现金不足拒绝建议或成交。</w:t>
      </w:r>
    </w:p>
    <w:p>
      <w:pPr>
        <w:spacing w:before="0" w:after="140" w:line="300" w:lineRule="auto"/>
        <w:jc w:val="left"/>
      </w:pPr>
      <w:r>
        <w:rPr>
          <w:rFonts w:ascii="Calibri" w:hAnsi="Calibri" w:eastAsia="Microsoft YaHei"/>
          <w:b/>
          <w:color w:val="B54708"/>
          <w:sz w:val="22"/>
        </w:rPr>
        <w:t>现金会同时改变仓位和组合卖出预算：</w:t>
      </w:r>
      <w:r>
        <w:rPr>
          <w:rFonts w:ascii="Calibri" w:hAnsi="Calibri" w:eastAsia="Microsoft YaHei"/>
          <w:b w:val="0"/>
          <w:color w:val="1F2937"/>
          <w:sz w:val="22"/>
        </w:rPr>
        <w:t>增加现金会降低 positionRate、提高仓位分并减弱超限触发；同时也会放大 BUY 建议金额和账户级 30% SELL 建议预算。这属于当前代码口径，不应把 cashAmount 误解为仅用于界面展示。</w:t>
      </w:r>
    </w:p>
    <w:p>
      <w:pPr>
        <w:spacing w:before="0" w:after="140" w:line="300" w:lineRule="auto"/>
        <w:jc w:val="left"/>
      </w:pPr>
      <w:r>
        <w:rPr>
          <w:rFonts w:ascii="Calibri" w:hAnsi="Calibri" w:eastAsia="Microsoft YaHei"/>
          <w:b/>
          <w:color w:val="B54708"/>
          <w:sz w:val="22"/>
        </w:rPr>
        <w:t>止盈默认 300%：</w:t>
      </w:r>
      <w:r>
        <w:rPr>
          <w:rFonts w:ascii="Calibri" w:hAnsi="Calibri" w:eastAsia="Microsoft YaHei"/>
          <w:b w:val="0"/>
          <w:color w:val="1F2937"/>
          <w:sz w:val="22"/>
        </w:rPr>
        <w:t>默认 takeProfitRate 很高，常规收益下几乎不会单独触发 profit_exit；实际止盈更多依赖配置调整或其他策略模块。</w:t>
      </w:r>
    </w:p>
    <w:p>
      <w:pPr>
        <w:spacing w:before="0" w:after="140" w:line="300" w:lineRule="auto"/>
        <w:jc w:val="left"/>
      </w:pPr>
      <w:r>
        <w:rPr>
          <w:rFonts w:ascii="Calibri" w:hAnsi="Calibri" w:eastAsia="Microsoft YaHei"/>
          <w:b/>
          <w:color w:val="B54708"/>
          <w:sz w:val="22"/>
        </w:rPr>
        <w:t>信号是分阶段覆盖保存：</w:t>
      </w:r>
      <w:r>
        <w:rPr>
          <w:rFonts w:ascii="Calibri" w:hAnsi="Calibri" w:eastAsia="Microsoft YaHei"/>
          <w:b w:val="0"/>
          <w:color w:val="1F2937"/>
          <w:sz w:val="22"/>
        </w:rPr>
        <w:t>同一持仓、同一交易日、同一 decisionPhase、同一模型版本会更新同一条量化信号，而不是每次调度都新增。</w:t>
      </w:r>
    </w:p>
    <w:p>
      <w:pPr>
        <w:spacing w:before="0" w:after="140" w:line="300" w:lineRule="auto"/>
        <w:jc w:val="left"/>
      </w:pPr>
      <w:r>
        <w:rPr>
          <w:rFonts w:ascii="Calibri" w:hAnsi="Calibri" w:eastAsia="Microsoft YaHei"/>
          <w:b/>
          <w:color w:val="B54708"/>
          <w:sz w:val="22"/>
        </w:rPr>
        <w:t>置信度不是胜率：</w:t>
      </w:r>
      <w:r>
        <w:rPr>
          <w:rFonts w:ascii="Calibri" w:hAnsi="Calibri" w:eastAsia="Microsoft YaHei"/>
          <w:b w:val="0"/>
          <w:color w:val="1F2937"/>
          <w:sz w:val="22"/>
        </w:rPr>
        <w:t>规则置信度由样本量、总分离50的距离和 blocker 共同计算，范围0.10-0.95，不代表真实预测准确率。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54708"/>
          <w:left w:val="single" w:sz="8" w:space="0" w:color="B54708"/>
          <w:bottom w:val="single" w:sz="8" w:space="0" w:color="B54708"/>
          <w:right w:val="single" w:sz="8" w:space="0" w:color="B54708"/>
          <w:insideH w:val="single" w:sz="8" w:space="0" w:color="B54708"/>
          <w:insideV w:val="single" w:sz="8" w:space="0" w:color="B5470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AE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54708"/>
                <w:sz w:val="21"/>
              </w:rPr>
              <w:t xml:space="preserve">使用建议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面向用户展示时，应始终同时呈现 action、suggestRatio、decisionReason、reasons、risks、模型版本和 fallbackUsed。仅展示“建议加仓/减仓”会丢失状态机和组合预算带来的关键信息。</w:t>
            </w:r>
          </w:p>
        </w:tc>
      </w:tr>
    </w:tbl>
    <w:p>
      <w:pPr>
        <w:spacing w:after="80" w:before="0"/>
      </w:pPr>
    </w:p>
    <w:p>
      <w:pPr>
        <w:pStyle w:val="Heading1"/>
        <w:keepNext/>
      </w:pPr>
      <w:r>
        <w:t>附录 A：默认参数速查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400"/>
        <w:gridCol w:w="1900"/>
        <w:gridCol w:w="40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modelVersion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rule-v1.39.0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信号模型版本。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decisionDeadline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15:00:00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返回给前端的建议截止提示。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buyThreshold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通用买入总分阈值；HOLD 兜底也使用。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sellThreshold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低分退出阈值。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maxSinglePositionRate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45%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策略单基金硬上限；超限再平衡线为 50%。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buyStepRatio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特殊路径已有仓位时的基础买入步长上限之一。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sellStepRatio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低分/仓位等基础卖出步长。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takeProfitRate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300%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普通止盈阈值。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stopLossRate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-18%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普通止损阈值；默认与极端收益阈值相同。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minNavSamples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最少净值样本。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warmupDays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180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回测指标预热日历天数。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trendHoldReturn20d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1.5%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强趋势和恢复相关的20日收益阈值。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trendHoldMa20Deviation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-7%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强趋势和恢复相关的MA20偏离阈值。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弱趋势确认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4个不同决策日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确认后执行15%防守减仓。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弱趋势冷却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45个决策日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防守后禁止立即重新买入。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仓位再平衡冷却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20个决策日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超限减仓后的观察期。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极端回撤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22%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触发两阶段极端风险退出。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极端改善门槛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3个百分点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第二阶段前若改善达到该值则 WATCH。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尾仓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≤5%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极端风险时可直接清仓。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账户减仓预算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总资产30%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批量分析单次 SELL 建议总额上限；总资产包含现金。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最小买入建议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100元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低于该金额返回 HOLD。</w:t>
            </w:r>
          </w:p>
        </w:tc>
      </w:tr>
    </w:tbl>
    <w:p>
      <w:pPr>
        <w:spacing w:after="80" w:before="0"/>
      </w:pPr>
    </w:p>
    <w:p>
      <w:pPr>
        <w:pStyle w:val="Heading1"/>
        <w:keepNext/>
      </w:pPr>
      <w:r>
        <w:t>附录 B：decisionReason 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550"/>
        <w:gridCol w:w="1150"/>
        <w:gridCol w:w="4660"/>
      </w:tblGrid>
      <w:tr>
        <w:trPr>
          <w:tblHeader w:val="true"/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reason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extreme_risk_exit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SELL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收益≤-18%或当前60样本回撤≥22%的极端风险退出。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extreme_risk_recovery_watch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WATCH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后续极端风险日已改善至少3个百分点。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risk_exit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SELL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普通止损。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weak_trend_defense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SELL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弱趋势连续4个不同决策日确认。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profit_exit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SELL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达到止盈阈值。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score_exit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SELL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总分低于卖出阈值。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position_limit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SELL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单基金仓位达到策略上限+5个百分点。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weak_trend_pending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WATCH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弱趋势候选正在累计。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defense_cooldown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WATCH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防守或仓位再平衡冷却。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strong_trend_buy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强趋势加仓。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trend_start_buy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趋势启动。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midterm_trend_buy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中期趋势延续。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recoverable_pullback_buy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可修复回撤买入。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benchmark_alignment_buy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基准仓位补齐。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core_trend_allocation_buy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核心趋势配置。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early_trend_bootstrap_buy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短历史趋势启动。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trend_repair_buy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趋势修复。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score_above_buy_threshold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通用高分买入。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portfolio_sell_budget_deferred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WATCH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账户30%减仓建议预算不足而延后。</w:t>
            </w:r>
          </w:p>
        </w:tc>
      </w:tr>
    </w:tbl>
    <w:p>
      <w:pPr>
        <w:spacing w:after="80" w:before="0"/>
      </w:pPr>
    </w:p>
    <w:p>
      <w:pPr>
        <w:pStyle w:val="Heading1"/>
        <w:keepNext/>
      </w:pPr>
      <w:r>
        <w:t>附录 C：代码依据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本文以以下现行代码和配置为主要依据，便于后续版本更新时复核差异：</w:t>
      </w:r>
    </w:p>
    <w:p>
      <w:pPr>
        <w:pStyle w:val="ListBullet"/>
      </w:pPr>
      <w:r>
        <w:t>quant-engine/app/strategies/action_mapper.py：动作优先级、买卖触发、比例和状态机。</w:t>
      </w:r>
    </w:p>
    <w:p>
      <w:pPr>
        <w:pStyle w:val="ListBullet"/>
      </w:pPr>
      <w:r>
        <w:t>quant-engine/app/strategies/scoring.py：五维评分与总分权重。</w:t>
      </w:r>
    </w:p>
    <w:p>
      <w:pPr>
        <w:pStyle w:val="ListBullet"/>
      </w:pPr>
      <w:r>
        <w:t>quant-engine/app/strategies/constraints.py：BUY 硬阻断。</w:t>
      </w:r>
    </w:p>
    <w:p>
      <w:pPr>
        <w:pStyle w:val="ListBullet"/>
      </w:pPr>
      <w:r>
        <w:t>quant-engine/app/features/feature_builder.py：策略仓位上限与超限缓冲。</w:t>
      </w:r>
    </w:p>
    <w:p>
      <w:pPr>
        <w:pStyle w:val="ListBullet"/>
      </w:pPr>
      <w:r>
        <w:t>quant-engine/app/strategies/fund_profile.py：基金类型画像与推断。</w:t>
      </w:r>
    </w:p>
    <w:p>
      <w:pPr>
        <w:pStyle w:val="ListBullet"/>
      </w:pPr>
      <w:r>
        <w:t>quant-engine/app/api/inference.py：批量隔离与账户 30% 减仓建议预算。</w:t>
      </w:r>
    </w:p>
    <w:p>
      <w:pPr>
        <w:pStyle w:val="ListBullet"/>
      </w:pPr>
      <w:r>
        <w:t>quant-engine/app/ml/predict.py：可选 LightGBM 调分。</w:t>
      </w:r>
    </w:p>
    <w:p>
      <w:pPr>
        <w:pStyle w:val="ListBullet"/>
      </w:pPr>
      <w:r>
        <w:t>quant-engine/app/backtest/engine.py：回测执行、费用、现金和信号时序。</w:t>
      </w:r>
    </w:p>
    <w:p>
      <w:pPr>
        <w:pStyle w:val="ListBullet"/>
      </w:pPr>
      <w:r>
        <w:t>quant-fund-server/.../QuantAnalysisServiceImpl.java：请求组装、状态恢复、降级和持久化。</w:t>
      </w:r>
    </w:p>
    <w:p>
      <w:pPr>
        <w:pStyle w:val="ListBullet"/>
      </w:pPr>
      <w:r>
        <w:t>quant-fund-server/.../PortfolioAccountServiceImpl.java：现金台账、总资产与仓位率重算。</w:t>
      </w:r>
    </w:p>
    <w:p>
      <w:pPr>
        <w:pStyle w:val="ListBullet"/>
      </w:pPr>
      <w:r>
        <w:t>quant-fund-server/.../TradeRecordServiceImpl.java：完成交易后的现金扣减与回补。</w:t>
      </w:r>
    </w:p>
    <w:p>
      <w:pPr>
        <w:pStyle w:val="ListBullet"/>
      </w:pPr>
      <w:r>
        <w:t>quant-fund-server/.../FundHoldingServiceImpl.java：清仓回补现金及含现金的持仓仓位口径。</w:t>
      </w:r>
    </w:p>
    <w:p>
      <w:pPr>
        <w:pStyle w:val="ListBullet"/>
      </w:pPr>
      <w:r>
        <w:t>docs/sql/011_portfolio_cash_amount.sql：现金字段迁移与默认值。</w:t>
      </w:r>
    </w:p>
    <w:p>
      <w:pPr>
        <w:pStyle w:val="ListBullet"/>
      </w:pPr>
      <w:r>
        <w:t>quant-fund-server/.../QuantFundScheduler.java：自动触发时点。</w:t>
      </w:r>
    </w:p>
    <w:p>
      <w:pPr>
        <w:pStyle w:val="ListBullet"/>
      </w:pPr>
      <w:r>
        <w:t>quant-fund-server/src/main/resources/application.yml：当前默认参数。</w:t>
      </w:r>
    </w:p>
    <w:p>
      <w:pPr>
        <w:pStyle w:val="ListBullet"/>
      </w:pPr>
      <w:r>
        <w:t>quant-engine/app/tests/test_action_mapper.py 与 test_rule_model.py：关键动作行为回归用例。</w:t>
      </w:r>
    </w:p>
    <w:p>
      <w:pPr>
        <w:keepLines w:val="0"/>
        <w:spacing w:before="160" w:after="120" w:line="300" w:lineRule="auto"/>
        <w:jc w:val="left"/>
      </w:pPr>
      <w:r>
        <w:rPr>
          <w:rFonts w:ascii="Calibri" w:hAnsi="Calibri" w:eastAsia="Microsoft YaHei"/>
          <w:b/>
          <w:i w:val="0"/>
          <w:color w:val="1F4D78"/>
          <w:sz w:val="22"/>
        </w:rPr>
        <w:t>版本维护建议：每次调整 action_mapper.py、scoring.py、inference.py、现金/总资产口径、默认参数或调度时间后，同步更新本文中的优先级、阈值表、现金说明和附录 A/B。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667085"/>
        <w:sz w:val="18"/>
      </w:rPr>
      <w:t xml:space="preserve">QuantFund 基金量化引擎说明书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Calibri" w:hAnsi="Calibri" w:eastAsia="Microsoft YaHei"/>
              <w:b/>
              <w:color w:val="667085"/>
              <w:sz w:val="17"/>
            </w:rPr>
            <w:t>QUANTFUND / QUANT ENGINE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color w:val="667085"/>
              <w:sz w:val="17"/>
            </w:rPr>
            <w:t>rule-v1.39.0 · 现行实现说明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00" w:lineRule="auto"/>
      <w:ind w:left="900" w:hanging="271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QuantFund 基金量化引擎说明书</dc:title>
  <dc:subject>rule-v1.39.0 现金口径、加仓、减仓、状态机、组合约束与回测说明</dc:subject>
  <dc:creator>QuantFund</dc:creator>
  <cp:keywords>QuantFund, quant-engine, cashAmount, BUY, SELL, HOLD, WATCH, rule-v1.39.0</cp:keywords>
  <dc:description>基于 2026-07-30 当前工作区代码更新，文档版本 1.1。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