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0095" w14:textId="77777777" w:rsidR="008A6E3B" w:rsidRPr="00154B62" w:rsidRDefault="008A6E3B" w:rsidP="00154B62">
      <w:pPr>
        <w:spacing w:after="0" w:line="240" w:lineRule="auto"/>
        <w:jc w:val="center"/>
        <w:rPr>
          <w:rFonts w:ascii="Times New Roman" w:eastAsia="Times New Roman" w:hAnsi="Times New Roman" w:cs="Times New Roman"/>
          <w:sz w:val="24"/>
          <w:szCs w:val="24"/>
        </w:rPr>
      </w:pPr>
      <w:r w:rsidRPr="00154B62">
        <w:rPr>
          <w:rFonts w:ascii="Times New Roman" w:eastAsia="Times New Roman" w:hAnsi="Times New Roman" w:cs="Times New Roman"/>
          <w:sz w:val="24"/>
          <w:szCs w:val="24"/>
        </w:rPr>
        <w:t>Evaluating Twitter for Nature-Related Public Health Research</w:t>
      </w:r>
    </w:p>
    <w:p w14:paraId="7CB2B300" w14:textId="77777777" w:rsidR="00154B62" w:rsidRPr="00154B62" w:rsidRDefault="00154B62" w:rsidP="0003325B">
      <w:pPr>
        <w:spacing w:line="480" w:lineRule="auto"/>
        <w:jc w:val="center"/>
        <w:rPr>
          <w:rFonts w:ascii="Times New Roman" w:hAnsi="Times New Roman" w:cs="Times New Roman"/>
          <w:sz w:val="24"/>
          <w:szCs w:val="24"/>
        </w:rPr>
      </w:pPr>
    </w:p>
    <w:p w14:paraId="4A466FBC" w14:textId="3258333E" w:rsidR="0005465C" w:rsidRPr="00825383" w:rsidRDefault="001D09C2" w:rsidP="0003325B">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12, 2017</w:t>
      </w:r>
    </w:p>
    <w:p w14:paraId="26DD268A" w14:textId="6C9C16AB" w:rsidR="0003325B" w:rsidRDefault="0003325B" w:rsidP="0003325B">
      <w:pPr>
        <w:spacing w:line="480" w:lineRule="auto"/>
        <w:jc w:val="center"/>
        <w:rPr>
          <w:rFonts w:ascii="Times New Roman" w:hAnsi="Times New Roman" w:cs="Times New Roman"/>
          <w:sz w:val="24"/>
          <w:szCs w:val="24"/>
        </w:rPr>
      </w:pPr>
      <w:bookmarkStart w:id="0" w:name="_GoBack"/>
      <w:bookmarkEnd w:id="0"/>
      <w:r w:rsidRPr="00825383">
        <w:rPr>
          <w:rFonts w:ascii="Times New Roman" w:hAnsi="Times New Roman" w:cs="Times New Roman"/>
          <w:sz w:val="24"/>
          <w:szCs w:val="24"/>
        </w:rPr>
        <w:t>Andrew Larkin</w:t>
      </w:r>
    </w:p>
    <w:p w14:paraId="5317801E" w14:textId="77777777" w:rsidR="008A6E3B" w:rsidRDefault="008A6E3B" w:rsidP="0003325B">
      <w:pPr>
        <w:spacing w:line="480" w:lineRule="auto"/>
        <w:rPr>
          <w:rFonts w:ascii="Times New Roman" w:hAnsi="Times New Roman" w:cs="Times New Roman"/>
          <w:sz w:val="24"/>
          <w:szCs w:val="24"/>
        </w:rPr>
      </w:pPr>
    </w:p>
    <w:p w14:paraId="0F18E84E" w14:textId="25D0B75F" w:rsidR="0003325B" w:rsidRPr="00825383" w:rsidRDefault="0003325B" w:rsidP="0003325B">
      <w:pPr>
        <w:spacing w:line="480" w:lineRule="auto"/>
        <w:rPr>
          <w:rFonts w:ascii="Times New Roman" w:hAnsi="Times New Roman" w:cs="Times New Roman"/>
          <w:b/>
          <w:sz w:val="24"/>
          <w:szCs w:val="24"/>
        </w:rPr>
      </w:pPr>
      <w:r w:rsidRPr="00825383">
        <w:rPr>
          <w:rFonts w:ascii="Times New Roman" w:hAnsi="Times New Roman" w:cs="Times New Roman"/>
          <w:b/>
          <w:sz w:val="24"/>
          <w:szCs w:val="24"/>
        </w:rPr>
        <w:t>Abstract</w:t>
      </w:r>
    </w:p>
    <w:p w14:paraId="4994AFB5" w14:textId="6EBDD432" w:rsidR="0003325B" w:rsidRPr="00825383" w:rsidRDefault="0003325B" w:rsidP="00D74A01">
      <w:pPr>
        <w:spacing w:line="480" w:lineRule="auto"/>
        <w:rPr>
          <w:rFonts w:ascii="Times New Roman" w:hAnsi="Times New Roman" w:cs="Times New Roman"/>
          <w:sz w:val="24"/>
          <w:szCs w:val="24"/>
        </w:rPr>
      </w:pPr>
      <w:r w:rsidRPr="00825383">
        <w:rPr>
          <w:rFonts w:ascii="Times New Roman" w:hAnsi="Times New Roman" w:cs="Times New Roman"/>
          <w:sz w:val="24"/>
          <w:szCs w:val="24"/>
        </w:rPr>
        <w:t xml:space="preserve">Purpose: </w:t>
      </w:r>
      <w:r w:rsidR="009213B3">
        <w:rPr>
          <w:rFonts w:ascii="Times New Roman" w:hAnsi="Times New Roman" w:cs="Times New Roman"/>
          <w:sz w:val="24"/>
          <w:szCs w:val="24"/>
        </w:rPr>
        <w:t>Green space is associated with myriad health outcomes, including</w:t>
      </w:r>
      <w:r w:rsidR="00B75E49">
        <w:rPr>
          <w:rFonts w:ascii="Times New Roman" w:hAnsi="Times New Roman" w:cs="Times New Roman"/>
          <w:sz w:val="24"/>
          <w:szCs w:val="24"/>
        </w:rPr>
        <w:t xml:space="preserve"> increased longevity, cognitive function, and </w:t>
      </w:r>
      <w:r w:rsidR="00A063C8">
        <w:rPr>
          <w:rFonts w:ascii="Times New Roman" w:hAnsi="Times New Roman" w:cs="Times New Roman"/>
          <w:sz w:val="24"/>
          <w:szCs w:val="24"/>
        </w:rPr>
        <w:t xml:space="preserve">social cohesion.  </w:t>
      </w:r>
      <w:r w:rsidR="00B75E49">
        <w:rPr>
          <w:rFonts w:ascii="Times New Roman" w:hAnsi="Times New Roman" w:cs="Times New Roman"/>
          <w:sz w:val="24"/>
          <w:szCs w:val="24"/>
        </w:rPr>
        <w:t>Social media</w:t>
      </w:r>
      <w:r w:rsidR="00BC7051">
        <w:rPr>
          <w:rFonts w:ascii="Times New Roman" w:hAnsi="Times New Roman" w:cs="Times New Roman"/>
          <w:sz w:val="24"/>
          <w:szCs w:val="24"/>
        </w:rPr>
        <w:t>, including Twitter,</w:t>
      </w:r>
      <w:r w:rsidR="00A063C8">
        <w:rPr>
          <w:rFonts w:ascii="Times New Roman" w:hAnsi="Times New Roman" w:cs="Times New Roman"/>
          <w:sz w:val="24"/>
          <w:szCs w:val="24"/>
        </w:rPr>
        <w:t xml:space="preserve"> is</w:t>
      </w:r>
      <w:r w:rsidR="00B75E49">
        <w:rPr>
          <w:rFonts w:ascii="Times New Roman" w:hAnsi="Times New Roman" w:cs="Times New Roman"/>
          <w:sz w:val="24"/>
          <w:szCs w:val="24"/>
        </w:rPr>
        <w:t xml:space="preserve"> </w:t>
      </w:r>
      <w:r w:rsidR="00A063C8">
        <w:rPr>
          <w:rFonts w:ascii="Times New Roman" w:hAnsi="Times New Roman" w:cs="Times New Roman"/>
          <w:sz w:val="24"/>
          <w:szCs w:val="24"/>
        </w:rPr>
        <w:t xml:space="preserve">used by </w:t>
      </w:r>
      <w:r w:rsidR="00510EC6">
        <w:rPr>
          <w:rFonts w:ascii="Times New Roman" w:hAnsi="Times New Roman" w:cs="Times New Roman"/>
          <w:sz w:val="24"/>
          <w:szCs w:val="24"/>
        </w:rPr>
        <w:t>85-</w:t>
      </w:r>
      <w:r w:rsidR="00A063C8">
        <w:rPr>
          <w:rFonts w:ascii="Times New Roman" w:hAnsi="Times New Roman" w:cs="Times New Roman"/>
          <w:sz w:val="24"/>
          <w:szCs w:val="24"/>
        </w:rPr>
        <w:t xml:space="preserve">90% of </w:t>
      </w:r>
      <w:r w:rsidR="00510EC6">
        <w:rPr>
          <w:rFonts w:ascii="Times New Roman" w:hAnsi="Times New Roman" w:cs="Times New Roman"/>
          <w:sz w:val="24"/>
          <w:szCs w:val="24"/>
        </w:rPr>
        <w:t xml:space="preserve">young </w:t>
      </w:r>
      <w:r w:rsidR="00A063C8">
        <w:rPr>
          <w:rFonts w:ascii="Times New Roman" w:hAnsi="Times New Roman" w:cs="Times New Roman"/>
          <w:sz w:val="24"/>
          <w:szCs w:val="24"/>
        </w:rPr>
        <w:t xml:space="preserve">adults in the </w:t>
      </w:r>
      <w:r w:rsidR="0054583F">
        <w:rPr>
          <w:rFonts w:ascii="Times New Roman" w:hAnsi="Times New Roman" w:cs="Times New Roman"/>
          <w:sz w:val="24"/>
          <w:szCs w:val="24"/>
        </w:rPr>
        <w:t>US</w:t>
      </w:r>
      <w:r w:rsidR="00A063C8">
        <w:rPr>
          <w:rFonts w:ascii="Times New Roman" w:hAnsi="Times New Roman" w:cs="Times New Roman"/>
          <w:sz w:val="24"/>
          <w:szCs w:val="24"/>
        </w:rPr>
        <w:t xml:space="preserve">, and can </w:t>
      </w:r>
      <w:r w:rsidR="00855950">
        <w:rPr>
          <w:rFonts w:ascii="Times New Roman" w:hAnsi="Times New Roman" w:cs="Times New Roman"/>
          <w:sz w:val="24"/>
          <w:szCs w:val="24"/>
        </w:rPr>
        <w:t xml:space="preserve">potentially </w:t>
      </w:r>
      <w:r w:rsidR="00CB015C">
        <w:rPr>
          <w:rFonts w:ascii="Times New Roman" w:hAnsi="Times New Roman" w:cs="Times New Roman"/>
          <w:sz w:val="24"/>
          <w:szCs w:val="24"/>
        </w:rPr>
        <w:t>facilitate</w:t>
      </w:r>
      <w:r w:rsidR="00855950">
        <w:rPr>
          <w:rFonts w:ascii="Times New Roman" w:hAnsi="Times New Roman" w:cs="Times New Roman"/>
          <w:sz w:val="24"/>
          <w:szCs w:val="24"/>
        </w:rPr>
        <w:t xml:space="preserve"> public health efforts to research and </w:t>
      </w:r>
      <w:r w:rsidR="00CB015C">
        <w:rPr>
          <w:rFonts w:ascii="Times New Roman" w:hAnsi="Times New Roman" w:cs="Times New Roman"/>
          <w:sz w:val="24"/>
          <w:szCs w:val="24"/>
        </w:rPr>
        <w:t>promote</w:t>
      </w:r>
      <w:r w:rsidR="00855950">
        <w:rPr>
          <w:rFonts w:ascii="Times New Roman" w:hAnsi="Times New Roman" w:cs="Times New Roman"/>
          <w:sz w:val="24"/>
          <w:szCs w:val="24"/>
        </w:rPr>
        <w:t xml:space="preserve"> young adult green space </w:t>
      </w:r>
      <w:r w:rsidR="00B75E49">
        <w:rPr>
          <w:rFonts w:ascii="Times New Roman" w:hAnsi="Times New Roman" w:cs="Times New Roman"/>
          <w:sz w:val="24"/>
          <w:szCs w:val="24"/>
        </w:rPr>
        <w:t>attitudes, perceptions, and us</w:t>
      </w:r>
      <w:r w:rsidR="00855950">
        <w:rPr>
          <w:rFonts w:ascii="Times New Roman" w:hAnsi="Times New Roman" w:cs="Times New Roman"/>
          <w:sz w:val="24"/>
          <w:szCs w:val="24"/>
        </w:rPr>
        <w:t>e.</w:t>
      </w:r>
      <w:r w:rsidR="00BC7051">
        <w:rPr>
          <w:rFonts w:ascii="Times New Roman" w:hAnsi="Times New Roman" w:cs="Times New Roman"/>
          <w:sz w:val="24"/>
          <w:szCs w:val="24"/>
        </w:rPr>
        <w:t xml:space="preserve"> </w:t>
      </w:r>
    </w:p>
    <w:p w14:paraId="68259582" w14:textId="33934A00" w:rsidR="0003325B" w:rsidRPr="00825383" w:rsidRDefault="0003325B" w:rsidP="00D74A01">
      <w:pPr>
        <w:spacing w:line="480" w:lineRule="auto"/>
        <w:rPr>
          <w:rFonts w:ascii="Times New Roman" w:hAnsi="Times New Roman" w:cs="Times New Roman"/>
          <w:sz w:val="24"/>
          <w:szCs w:val="24"/>
        </w:rPr>
      </w:pPr>
      <w:r w:rsidRPr="00825383">
        <w:rPr>
          <w:rFonts w:ascii="Times New Roman" w:hAnsi="Times New Roman" w:cs="Times New Roman"/>
          <w:sz w:val="24"/>
          <w:szCs w:val="24"/>
        </w:rPr>
        <w:t>Methods:</w:t>
      </w:r>
      <w:r w:rsidR="004174B1">
        <w:rPr>
          <w:rFonts w:ascii="Times New Roman" w:hAnsi="Times New Roman" w:cs="Times New Roman"/>
          <w:sz w:val="24"/>
          <w:szCs w:val="24"/>
        </w:rPr>
        <w:t xml:space="preserve"> </w:t>
      </w:r>
      <w:r w:rsidR="0099475C">
        <w:rPr>
          <w:rFonts w:ascii="Times New Roman" w:hAnsi="Times New Roman" w:cs="Times New Roman"/>
          <w:sz w:val="24"/>
          <w:szCs w:val="24"/>
        </w:rPr>
        <w:t xml:space="preserve"> Tweet</w:t>
      </w:r>
      <w:r w:rsidR="009000CB">
        <w:rPr>
          <w:rFonts w:ascii="Times New Roman" w:hAnsi="Times New Roman" w:cs="Times New Roman"/>
          <w:sz w:val="24"/>
          <w:szCs w:val="24"/>
        </w:rPr>
        <w:t>s</w:t>
      </w:r>
      <w:r w:rsidR="0099475C">
        <w:rPr>
          <w:rFonts w:ascii="Times New Roman" w:hAnsi="Times New Roman" w:cs="Times New Roman"/>
          <w:sz w:val="24"/>
          <w:szCs w:val="24"/>
        </w:rPr>
        <w:t xml:space="preserve"> with keywords related to green space from the Portland, OR metropolitan region were collected from January 1</w:t>
      </w:r>
      <w:r w:rsidR="0099475C" w:rsidRPr="0099475C">
        <w:rPr>
          <w:rFonts w:ascii="Times New Roman" w:hAnsi="Times New Roman" w:cs="Times New Roman"/>
          <w:sz w:val="24"/>
          <w:szCs w:val="24"/>
          <w:vertAlign w:val="superscript"/>
        </w:rPr>
        <w:t>st</w:t>
      </w:r>
      <w:r w:rsidR="0099475C">
        <w:rPr>
          <w:rFonts w:ascii="Times New Roman" w:hAnsi="Times New Roman" w:cs="Times New Roman"/>
          <w:sz w:val="24"/>
          <w:szCs w:val="24"/>
        </w:rPr>
        <w:t xml:space="preserve"> </w:t>
      </w:r>
      <w:r w:rsidR="00536699">
        <w:rPr>
          <w:rFonts w:ascii="Times New Roman" w:hAnsi="Times New Roman" w:cs="Times New Roman"/>
          <w:sz w:val="24"/>
          <w:szCs w:val="24"/>
        </w:rPr>
        <w:t xml:space="preserve">to </w:t>
      </w:r>
      <w:r w:rsidR="0099475C">
        <w:rPr>
          <w:rFonts w:ascii="Times New Roman" w:hAnsi="Times New Roman" w:cs="Times New Roman"/>
          <w:sz w:val="24"/>
          <w:szCs w:val="24"/>
        </w:rPr>
        <w:t>December 1</w:t>
      </w:r>
      <w:r w:rsidR="0099475C" w:rsidRPr="0099475C">
        <w:rPr>
          <w:rFonts w:ascii="Times New Roman" w:hAnsi="Times New Roman" w:cs="Times New Roman"/>
          <w:sz w:val="24"/>
          <w:szCs w:val="24"/>
          <w:vertAlign w:val="superscript"/>
        </w:rPr>
        <w:t>st</w:t>
      </w:r>
      <w:r w:rsidR="0099475C">
        <w:rPr>
          <w:rFonts w:ascii="Times New Roman" w:hAnsi="Times New Roman" w:cs="Times New Roman"/>
          <w:sz w:val="24"/>
          <w:szCs w:val="24"/>
        </w:rPr>
        <w:t>, 2017</w:t>
      </w:r>
      <w:r w:rsidR="009000CB">
        <w:rPr>
          <w:rFonts w:ascii="Times New Roman" w:hAnsi="Times New Roman" w:cs="Times New Roman"/>
          <w:sz w:val="24"/>
          <w:szCs w:val="24"/>
        </w:rPr>
        <w:t xml:space="preserve"> using the Twitter stream API</w:t>
      </w:r>
      <w:r w:rsidR="0033003A">
        <w:rPr>
          <w:rFonts w:ascii="Times New Roman" w:hAnsi="Times New Roman" w:cs="Times New Roman"/>
          <w:sz w:val="24"/>
          <w:szCs w:val="24"/>
        </w:rPr>
        <w:t xml:space="preserve">.  </w:t>
      </w:r>
      <w:r w:rsidR="00DE005C">
        <w:rPr>
          <w:rFonts w:ascii="Times New Roman" w:hAnsi="Times New Roman" w:cs="Times New Roman"/>
          <w:sz w:val="24"/>
          <w:szCs w:val="24"/>
        </w:rPr>
        <w:t>Ancillary</w:t>
      </w:r>
      <w:r w:rsidR="0033003A">
        <w:rPr>
          <w:rFonts w:ascii="Times New Roman" w:hAnsi="Times New Roman" w:cs="Times New Roman"/>
          <w:sz w:val="24"/>
          <w:szCs w:val="24"/>
        </w:rPr>
        <w:t xml:space="preserve"> tweets and major social events related to greenspace were identified using term-frequency-inverse document frequency</w:t>
      </w:r>
      <w:r w:rsidR="00135DA8">
        <w:rPr>
          <w:rFonts w:ascii="Times New Roman" w:hAnsi="Times New Roman" w:cs="Times New Roman"/>
          <w:sz w:val="24"/>
          <w:szCs w:val="24"/>
        </w:rPr>
        <w:t xml:space="preserve"> analysis</w:t>
      </w:r>
      <w:r w:rsidR="00C75761">
        <w:rPr>
          <w:rFonts w:ascii="Times New Roman" w:hAnsi="Times New Roman" w:cs="Times New Roman"/>
          <w:sz w:val="24"/>
          <w:szCs w:val="24"/>
        </w:rPr>
        <w:t xml:space="preserve">.  </w:t>
      </w:r>
      <w:r w:rsidR="009000CB">
        <w:rPr>
          <w:rFonts w:ascii="Times New Roman" w:hAnsi="Times New Roman" w:cs="Times New Roman"/>
          <w:sz w:val="24"/>
          <w:szCs w:val="24"/>
        </w:rPr>
        <w:t xml:space="preserve">Latent constructs for </w:t>
      </w:r>
      <w:r w:rsidR="00C75761">
        <w:rPr>
          <w:rFonts w:ascii="Times New Roman" w:hAnsi="Times New Roman" w:cs="Times New Roman"/>
          <w:sz w:val="24"/>
          <w:szCs w:val="24"/>
        </w:rPr>
        <w:t>physical and emotional interactions with green space were derived using part of speech tagging</w:t>
      </w:r>
      <w:r w:rsidR="009000CB">
        <w:rPr>
          <w:rFonts w:ascii="Times New Roman" w:hAnsi="Times New Roman" w:cs="Times New Roman"/>
          <w:sz w:val="24"/>
          <w:szCs w:val="24"/>
        </w:rPr>
        <w:t xml:space="preserve"> coupled with topic-related word frequencies</w:t>
      </w:r>
      <w:r w:rsidR="00C75761">
        <w:rPr>
          <w:rFonts w:ascii="Times New Roman" w:hAnsi="Times New Roman" w:cs="Times New Roman"/>
          <w:sz w:val="24"/>
          <w:szCs w:val="24"/>
        </w:rPr>
        <w:t xml:space="preserve">.  Associations between physical, emotional, and social interactions with greenspace </w:t>
      </w:r>
      <w:r w:rsidR="00135DA8">
        <w:rPr>
          <w:rFonts w:ascii="Times New Roman" w:hAnsi="Times New Roman" w:cs="Times New Roman"/>
          <w:sz w:val="24"/>
          <w:szCs w:val="24"/>
        </w:rPr>
        <w:t xml:space="preserve">were evaluated using sentiment </w:t>
      </w:r>
      <w:r w:rsidR="00C75761">
        <w:rPr>
          <w:rFonts w:ascii="Times New Roman" w:hAnsi="Times New Roman" w:cs="Times New Roman"/>
          <w:sz w:val="24"/>
          <w:szCs w:val="24"/>
        </w:rPr>
        <w:t>and time series analyses.</w:t>
      </w:r>
    </w:p>
    <w:p w14:paraId="04E58581" w14:textId="0D08ECA7" w:rsidR="0003325B" w:rsidRPr="00825383" w:rsidRDefault="0003325B" w:rsidP="007C2D7A">
      <w:pPr>
        <w:spacing w:line="480" w:lineRule="auto"/>
        <w:rPr>
          <w:rFonts w:ascii="Times New Roman" w:hAnsi="Times New Roman" w:cs="Times New Roman"/>
          <w:sz w:val="24"/>
          <w:szCs w:val="24"/>
        </w:rPr>
      </w:pPr>
      <w:r w:rsidRPr="00825383">
        <w:rPr>
          <w:rFonts w:ascii="Times New Roman" w:hAnsi="Times New Roman" w:cs="Times New Roman"/>
          <w:sz w:val="24"/>
          <w:szCs w:val="24"/>
        </w:rPr>
        <w:t>Results:</w:t>
      </w:r>
      <w:r w:rsidR="0099438B">
        <w:rPr>
          <w:rFonts w:ascii="Times New Roman" w:hAnsi="Times New Roman" w:cs="Times New Roman"/>
          <w:sz w:val="24"/>
          <w:szCs w:val="24"/>
        </w:rPr>
        <w:t xml:space="preserve"> Sentiment, social, </w:t>
      </w:r>
      <w:r w:rsidR="00A66321">
        <w:rPr>
          <w:rFonts w:ascii="Times New Roman" w:hAnsi="Times New Roman" w:cs="Times New Roman"/>
          <w:sz w:val="24"/>
          <w:szCs w:val="24"/>
        </w:rPr>
        <w:t xml:space="preserve">visual, and physical </w:t>
      </w:r>
      <w:r w:rsidR="00135DA8">
        <w:rPr>
          <w:rFonts w:ascii="Times New Roman" w:hAnsi="Times New Roman" w:cs="Times New Roman"/>
          <w:sz w:val="24"/>
          <w:szCs w:val="24"/>
        </w:rPr>
        <w:t>latent construct scores</w:t>
      </w:r>
      <w:r w:rsidR="00181E35">
        <w:rPr>
          <w:rFonts w:ascii="Times New Roman" w:hAnsi="Times New Roman" w:cs="Times New Roman"/>
          <w:sz w:val="24"/>
          <w:szCs w:val="24"/>
        </w:rPr>
        <w:t xml:space="preserve"> were all temporally variant and</w:t>
      </w:r>
      <w:r w:rsidR="0099438B">
        <w:rPr>
          <w:rFonts w:ascii="Times New Roman" w:hAnsi="Times New Roman" w:cs="Times New Roman"/>
          <w:sz w:val="24"/>
          <w:szCs w:val="24"/>
        </w:rPr>
        <w:t xml:space="preserve"> positively associated.  Significant soc</w:t>
      </w:r>
      <w:r w:rsidR="00181E35">
        <w:rPr>
          <w:rFonts w:ascii="Times New Roman" w:hAnsi="Times New Roman" w:cs="Times New Roman"/>
          <w:sz w:val="24"/>
          <w:szCs w:val="24"/>
        </w:rPr>
        <w:t xml:space="preserve">ial events </w:t>
      </w:r>
      <w:r w:rsidR="0099438B">
        <w:rPr>
          <w:rFonts w:ascii="Times New Roman" w:hAnsi="Times New Roman" w:cs="Times New Roman"/>
          <w:sz w:val="24"/>
          <w:szCs w:val="24"/>
        </w:rPr>
        <w:t>include</w:t>
      </w:r>
      <w:r w:rsidR="00181E35">
        <w:rPr>
          <w:rFonts w:ascii="Times New Roman" w:hAnsi="Times New Roman" w:cs="Times New Roman"/>
          <w:sz w:val="24"/>
          <w:szCs w:val="24"/>
        </w:rPr>
        <w:t>d</w:t>
      </w:r>
      <w:r w:rsidR="0099438B">
        <w:rPr>
          <w:rFonts w:ascii="Times New Roman" w:hAnsi="Times New Roman" w:cs="Times New Roman"/>
          <w:sz w:val="24"/>
          <w:szCs w:val="24"/>
        </w:rPr>
        <w:t xml:space="preserve"> </w:t>
      </w:r>
      <w:r w:rsidR="00181E35">
        <w:rPr>
          <w:rFonts w:ascii="Times New Roman" w:hAnsi="Times New Roman" w:cs="Times New Roman"/>
          <w:sz w:val="24"/>
          <w:szCs w:val="24"/>
        </w:rPr>
        <w:t xml:space="preserve">women’s right marches in public </w:t>
      </w:r>
      <w:r w:rsidR="0099438B">
        <w:rPr>
          <w:rFonts w:ascii="Times New Roman" w:hAnsi="Times New Roman" w:cs="Times New Roman"/>
          <w:sz w:val="24"/>
          <w:szCs w:val="24"/>
        </w:rPr>
        <w:t>parks, bodies found in popular forests, selling of public forest land, and large forest fires.</w:t>
      </w:r>
      <w:r w:rsidR="00181E35">
        <w:rPr>
          <w:rFonts w:ascii="Times New Roman" w:hAnsi="Times New Roman" w:cs="Times New Roman"/>
          <w:sz w:val="24"/>
          <w:szCs w:val="24"/>
        </w:rPr>
        <w:t xml:space="preserve">  Scores for visual and exercise-related constructs both peaked in early summer, with several </w:t>
      </w:r>
      <w:r w:rsidR="00135DA8">
        <w:rPr>
          <w:rFonts w:ascii="Times New Roman" w:hAnsi="Times New Roman" w:cs="Times New Roman"/>
          <w:sz w:val="24"/>
          <w:szCs w:val="24"/>
        </w:rPr>
        <w:t xml:space="preserve">additional </w:t>
      </w:r>
      <w:r w:rsidR="00181E35">
        <w:rPr>
          <w:rFonts w:ascii="Times New Roman" w:hAnsi="Times New Roman" w:cs="Times New Roman"/>
          <w:sz w:val="24"/>
          <w:szCs w:val="24"/>
        </w:rPr>
        <w:lastRenderedPageBreak/>
        <w:t>local maxima, suggesting both seasonal and short-term variation in greenspace use and perceptions.</w:t>
      </w:r>
    </w:p>
    <w:p w14:paraId="7D738437" w14:textId="6A540C63" w:rsidR="00BA22AC" w:rsidRDefault="0003325B" w:rsidP="007C2D7A">
      <w:pPr>
        <w:spacing w:line="480" w:lineRule="auto"/>
        <w:rPr>
          <w:rFonts w:ascii="Times New Roman" w:hAnsi="Times New Roman" w:cs="Times New Roman"/>
          <w:sz w:val="24"/>
          <w:szCs w:val="24"/>
        </w:rPr>
      </w:pPr>
      <w:r w:rsidRPr="00825383">
        <w:rPr>
          <w:rFonts w:ascii="Times New Roman" w:hAnsi="Times New Roman" w:cs="Times New Roman"/>
          <w:sz w:val="24"/>
          <w:szCs w:val="24"/>
        </w:rPr>
        <w:t>Conclusions:</w:t>
      </w:r>
      <w:r w:rsidR="00DD6113">
        <w:rPr>
          <w:rFonts w:ascii="Times New Roman" w:hAnsi="Times New Roman" w:cs="Times New Roman"/>
          <w:sz w:val="24"/>
          <w:szCs w:val="24"/>
        </w:rPr>
        <w:t xml:space="preserve"> </w:t>
      </w:r>
      <w:r w:rsidR="006258A7">
        <w:rPr>
          <w:rFonts w:ascii="Times New Roman" w:hAnsi="Times New Roman" w:cs="Times New Roman"/>
          <w:sz w:val="24"/>
          <w:szCs w:val="24"/>
        </w:rPr>
        <w:t xml:space="preserve">Social, emotional, </w:t>
      </w:r>
      <w:r w:rsidR="00135DA8">
        <w:rPr>
          <w:rFonts w:ascii="Times New Roman" w:hAnsi="Times New Roman" w:cs="Times New Roman"/>
          <w:sz w:val="24"/>
          <w:szCs w:val="24"/>
        </w:rPr>
        <w:t xml:space="preserve">and </w:t>
      </w:r>
      <w:r w:rsidR="006258A7">
        <w:rPr>
          <w:rFonts w:ascii="Times New Roman" w:hAnsi="Times New Roman" w:cs="Times New Roman"/>
          <w:sz w:val="24"/>
          <w:szCs w:val="24"/>
        </w:rPr>
        <w:t>physical interactions with greenspace are correlated, and all need to be considered when evaluating the impacts of greenspace o</w:t>
      </w:r>
      <w:r w:rsidR="00B247CC">
        <w:rPr>
          <w:rFonts w:ascii="Times New Roman" w:hAnsi="Times New Roman" w:cs="Times New Roman"/>
          <w:sz w:val="24"/>
          <w:szCs w:val="24"/>
        </w:rPr>
        <w:t xml:space="preserve">n public health.  </w:t>
      </w:r>
      <w:r w:rsidR="00291538">
        <w:rPr>
          <w:rFonts w:ascii="Times New Roman" w:hAnsi="Times New Roman" w:cs="Times New Roman"/>
          <w:sz w:val="24"/>
          <w:szCs w:val="24"/>
        </w:rPr>
        <w:t>Twitter is a viable data source for identifying s</w:t>
      </w:r>
      <w:r w:rsidR="006258A7">
        <w:rPr>
          <w:rFonts w:ascii="Times New Roman" w:hAnsi="Times New Roman" w:cs="Times New Roman"/>
          <w:sz w:val="24"/>
          <w:szCs w:val="24"/>
        </w:rPr>
        <w:t xml:space="preserve">elf-reported trends in </w:t>
      </w:r>
      <w:r w:rsidR="00291538">
        <w:rPr>
          <w:rFonts w:ascii="Times New Roman" w:hAnsi="Times New Roman" w:cs="Times New Roman"/>
          <w:sz w:val="24"/>
          <w:szCs w:val="24"/>
        </w:rPr>
        <w:t xml:space="preserve">greenspace use and estimating the influence of greenspace on </w:t>
      </w:r>
      <w:r w:rsidR="006258A7">
        <w:rPr>
          <w:rFonts w:ascii="Times New Roman" w:hAnsi="Times New Roman" w:cs="Times New Roman"/>
          <w:sz w:val="24"/>
          <w:szCs w:val="24"/>
        </w:rPr>
        <w:t xml:space="preserve">major social events.  </w:t>
      </w:r>
    </w:p>
    <w:p w14:paraId="76515BC6" w14:textId="137DC16D" w:rsidR="0003325B" w:rsidRPr="00BA22AC" w:rsidRDefault="00E858D7" w:rsidP="00BA22AC">
      <w:pPr>
        <w:spacing w:line="480" w:lineRule="auto"/>
        <w:rPr>
          <w:rFonts w:ascii="Times New Roman" w:hAnsi="Times New Roman" w:cs="Times New Roman"/>
          <w:sz w:val="24"/>
          <w:szCs w:val="24"/>
        </w:rPr>
      </w:pPr>
      <w:r w:rsidRPr="00825383">
        <w:rPr>
          <w:rFonts w:ascii="Times New Roman" w:hAnsi="Times New Roman" w:cs="Times New Roman"/>
          <w:b/>
          <w:sz w:val="24"/>
          <w:szCs w:val="24"/>
        </w:rPr>
        <w:t>Background</w:t>
      </w:r>
    </w:p>
    <w:p w14:paraId="2A3AB776" w14:textId="7A7AADD1" w:rsidR="00C32288" w:rsidRPr="00825383" w:rsidRDefault="00C32288" w:rsidP="00C32288">
      <w:pPr>
        <w:spacing w:line="480" w:lineRule="auto"/>
        <w:ind w:firstLine="720"/>
        <w:rPr>
          <w:rFonts w:ascii="Times New Roman" w:eastAsia="Times New Roman" w:hAnsi="Times New Roman" w:cs="Times New Roman"/>
          <w:sz w:val="24"/>
          <w:szCs w:val="24"/>
        </w:rPr>
      </w:pPr>
      <w:r w:rsidRPr="00825383">
        <w:rPr>
          <w:rFonts w:ascii="Times New Roman" w:eastAsia="Times New Roman" w:hAnsi="Times New Roman" w:cs="Times New Roman"/>
          <w:sz w:val="24"/>
          <w:szCs w:val="24"/>
        </w:rPr>
        <w:t>Natural components of urban environments, also called green spaces, are associated with multiple positive health outcomes.  These outcomes span across multi</w:t>
      </w:r>
      <w:r w:rsidR="000A23E4" w:rsidRPr="00825383">
        <w:rPr>
          <w:rFonts w:ascii="Times New Roman" w:eastAsia="Times New Roman" w:hAnsi="Times New Roman" w:cs="Times New Roman"/>
          <w:sz w:val="24"/>
          <w:szCs w:val="24"/>
        </w:rPr>
        <w:t>ple dimensions of human health</w:t>
      </w:r>
      <w:r w:rsidR="003A00E1">
        <w:rPr>
          <w:rFonts w:ascii="Times New Roman" w:eastAsia="Times New Roman" w:hAnsi="Times New Roman" w:cs="Times New Roman"/>
          <w:sz w:val="24"/>
          <w:szCs w:val="24"/>
        </w:rPr>
        <w:t>.  Physical health outcomes include i</w:t>
      </w:r>
      <w:r w:rsidRPr="00825383">
        <w:rPr>
          <w:rFonts w:ascii="Times New Roman" w:eastAsia="Times New Roman" w:hAnsi="Times New Roman" w:cs="Times New Roman"/>
          <w:sz w:val="24"/>
          <w:szCs w:val="24"/>
        </w:rPr>
        <w:t xml:space="preserve">ncreased birth weight </w:t>
      </w:r>
      <w:r w:rsidR="00D46E1B" w:rsidRPr="00825383">
        <w:rPr>
          <w:rFonts w:ascii="Times New Roman" w:hAnsi="Times New Roman" w:cs="Times New Roman"/>
          <w:sz w:val="24"/>
          <w:szCs w:val="24"/>
        </w:rPr>
        <w:t>(Ebisu, Holford, &amp; Bell, 2016)</w:t>
      </w:r>
      <w:r w:rsidR="000A23E4" w:rsidRPr="00825383">
        <w:rPr>
          <w:rFonts w:ascii="Times New Roman" w:eastAsia="Times New Roman" w:hAnsi="Times New Roman" w:cs="Times New Roman"/>
          <w:sz w:val="24"/>
          <w:szCs w:val="24"/>
        </w:rPr>
        <w:t xml:space="preserve">, </w:t>
      </w:r>
      <w:r w:rsidRPr="00825383">
        <w:rPr>
          <w:rFonts w:ascii="Times New Roman" w:eastAsia="Times New Roman" w:hAnsi="Times New Roman" w:cs="Times New Roman"/>
          <w:sz w:val="24"/>
          <w:szCs w:val="24"/>
        </w:rPr>
        <w:t xml:space="preserve">decreased blood pressure </w:t>
      </w:r>
      <w:r w:rsidR="00D46E1B" w:rsidRPr="00825383">
        <w:rPr>
          <w:rFonts w:ascii="Times New Roman" w:hAnsi="Times New Roman" w:cs="Times New Roman"/>
          <w:sz w:val="24"/>
          <w:szCs w:val="24"/>
        </w:rPr>
        <w:t>(Shanahan et al., 2016)</w:t>
      </w:r>
      <w:r w:rsidR="00D46E1B" w:rsidRPr="00825383">
        <w:rPr>
          <w:rFonts w:ascii="Times New Roman" w:eastAsia="Times New Roman" w:hAnsi="Times New Roman" w:cs="Times New Roman"/>
          <w:sz w:val="24"/>
          <w:szCs w:val="24"/>
        </w:rPr>
        <w:t>,</w:t>
      </w:r>
      <w:r w:rsidR="000A23E4" w:rsidRPr="00825383">
        <w:rPr>
          <w:rFonts w:ascii="Times New Roman" w:eastAsia="Times New Roman" w:hAnsi="Times New Roman" w:cs="Times New Roman"/>
          <w:sz w:val="24"/>
          <w:szCs w:val="24"/>
        </w:rPr>
        <w:t xml:space="preserve"> decreased risk of type 2 diabetes </w:t>
      </w:r>
      <w:r w:rsidR="00114E00" w:rsidRPr="00825383">
        <w:rPr>
          <w:rFonts w:ascii="Times New Roman" w:eastAsia="Times New Roman" w:hAnsi="Times New Roman" w:cs="Times New Roman"/>
          <w:sz w:val="24"/>
          <w:szCs w:val="24"/>
        </w:rPr>
        <w:t>(</w:t>
      </w:r>
      <w:proofErr w:type="spellStart"/>
      <w:r w:rsidR="00114E00" w:rsidRPr="00825383">
        <w:rPr>
          <w:rFonts w:ascii="Times New Roman" w:eastAsia="Times New Roman" w:hAnsi="Times New Roman" w:cs="Times New Roman"/>
          <w:sz w:val="24"/>
          <w:szCs w:val="24"/>
        </w:rPr>
        <w:t>Astell</w:t>
      </w:r>
      <w:proofErr w:type="spellEnd"/>
      <w:r w:rsidR="00114E00" w:rsidRPr="00825383">
        <w:rPr>
          <w:rFonts w:ascii="Times New Roman" w:eastAsia="Times New Roman" w:hAnsi="Times New Roman" w:cs="Times New Roman"/>
          <w:sz w:val="24"/>
          <w:szCs w:val="24"/>
        </w:rPr>
        <w:t xml:space="preserve">-Burt, Feng, &amp; </w:t>
      </w:r>
      <w:proofErr w:type="spellStart"/>
      <w:r w:rsidR="00114E00" w:rsidRPr="00825383">
        <w:rPr>
          <w:rFonts w:ascii="Times New Roman" w:eastAsia="Times New Roman" w:hAnsi="Times New Roman" w:cs="Times New Roman"/>
          <w:sz w:val="24"/>
          <w:szCs w:val="24"/>
        </w:rPr>
        <w:t>Kolt</w:t>
      </w:r>
      <w:proofErr w:type="spellEnd"/>
      <w:r w:rsidR="00114E00" w:rsidRPr="00825383">
        <w:rPr>
          <w:rFonts w:ascii="Times New Roman" w:eastAsia="Times New Roman" w:hAnsi="Times New Roman" w:cs="Times New Roman"/>
          <w:sz w:val="24"/>
          <w:szCs w:val="24"/>
        </w:rPr>
        <w:t>, 2014)</w:t>
      </w:r>
      <w:r w:rsidR="00D46E1B" w:rsidRPr="00825383">
        <w:rPr>
          <w:rFonts w:ascii="Times New Roman" w:eastAsia="Times New Roman" w:hAnsi="Times New Roman" w:cs="Times New Roman"/>
          <w:sz w:val="24"/>
          <w:szCs w:val="24"/>
        </w:rPr>
        <w:t xml:space="preserve">, </w:t>
      </w:r>
      <w:r w:rsidR="00604BFA" w:rsidRPr="00825383">
        <w:rPr>
          <w:rFonts w:ascii="Times New Roman" w:eastAsia="Times New Roman" w:hAnsi="Times New Roman" w:cs="Times New Roman"/>
          <w:sz w:val="24"/>
          <w:szCs w:val="24"/>
        </w:rPr>
        <w:t xml:space="preserve">rates of preschool childhood obesity </w:t>
      </w:r>
      <w:r w:rsidR="00604BFA" w:rsidRPr="00825383">
        <w:rPr>
          <w:rFonts w:ascii="Times New Roman" w:hAnsi="Times New Roman" w:cs="Times New Roman"/>
          <w:sz w:val="24"/>
          <w:szCs w:val="24"/>
        </w:rPr>
        <w:t>(</w:t>
      </w:r>
      <w:proofErr w:type="spellStart"/>
      <w:r w:rsidR="00604BFA" w:rsidRPr="00825383">
        <w:rPr>
          <w:rFonts w:ascii="Times New Roman" w:hAnsi="Times New Roman" w:cs="Times New Roman"/>
          <w:sz w:val="24"/>
          <w:szCs w:val="24"/>
        </w:rPr>
        <w:t>Lovasi</w:t>
      </w:r>
      <w:proofErr w:type="spellEnd"/>
      <w:r w:rsidR="00604BFA" w:rsidRPr="00825383">
        <w:rPr>
          <w:rFonts w:ascii="Times New Roman" w:hAnsi="Times New Roman" w:cs="Times New Roman"/>
          <w:sz w:val="24"/>
          <w:szCs w:val="24"/>
        </w:rPr>
        <w:t xml:space="preserve"> et al., 2013)</w:t>
      </w:r>
      <w:r w:rsidR="00604BFA" w:rsidRPr="00825383">
        <w:rPr>
          <w:rFonts w:ascii="Times New Roman" w:eastAsia="Times New Roman" w:hAnsi="Times New Roman" w:cs="Times New Roman"/>
          <w:sz w:val="24"/>
          <w:szCs w:val="24"/>
        </w:rPr>
        <w:t xml:space="preserve">, </w:t>
      </w:r>
      <w:r w:rsidR="003A00E1">
        <w:rPr>
          <w:rFonts w:ascii="Times New Roman" w:eastAsia="Times New Roman" w:hAnsi="Times New Roman" w:cs="Times New Roman"/>
          <w:sz w:val="24"/>
          <w:szCs w:val="24"/>
        </w:rPr>
        <w:t xml:space="preserve">and mortality </w:t>
      </w:r>
      <w:r w:rsidR="00D46E1B" w:rsidRPr="00825383">
        <w:rPr>
          <w:rFonts w:ascii="Times New Roman" w:hAnsi="Times New Roman" w:cs="Times New Roman"/>
          <w:sz w:val="24"/>
          <w:szCs w:val="24"/>
        </w:rPr>
        <w:t>(Takano, Nakamura, &amp; Watanabe, 2002)</w:t>
      </w:r>
      <w:r w:rsidR="00D46E1B" w:rsidRPr="00825383">
        <w:rPr>
          <w:rFonts w:ascii="Times New Roman" w:eastAsia="Times New Roman" w:hAnsi="Times New Roman" w:cs="Times New Roman"/>
          <w:sz w:val="24"/>
          <w:szCs w:val="24"/>
        </w:rPr>
        <w:t xml:space="preserve">.  Mental health outcomes include </w:t>
      </w:r>
      <w:r w:rsidRPr="00825383">
        <w:rPr>
          <w:rFonts w:ascii="Times New Roman" w:eastAsia="Times New Roman" w:hAnsi="Times New Roman" w:cs="Times New Roman"/>
          <w:sz w:val="24"/>
          <w:szCs w:val="24"/>
        </w:rPr>
        <w:t xml:space="preserve">increased cognitive function </w:t>
      </w:r>
      <w:r w:rsidR="00D46E1B" w:rsidRPr="00825383">
        <w:rPr>
          <w:rFonts w:ascii="Times New Roman" w:hAnsi="Times New Roman" w:cs="Times New Roman"/>
          <w:sz w:val="24"/>
          <w:szCs w:val="24"/>
        </w:rPr>
        <w:t>(Bratman, Hamilton, &amp; Daily, 2012)</w:t>
      </w:r>
      <w:r w:rsidR="00D46E1B" w:rsidRPr="00825383">
        <w:rPr>
          <w:rFonts w:ascii="Times New Roman" w:eastAsia="Times New Roman" w:hAnsi="Times New Roman" w:cs="Times New Roman"/>
          <w:sz w:val="24"/>
          <w:szCs w:val="24"/>
        </w:rPr>
        <w:t xml:space="preserve">, </w:t>
      </w:r>
      <w:r w:rsidRPr="00825383">
        <w:rPr>
          <w:rFonts w:ascii="Times New Roman" w:eastAsia="Times New Roman" w:hAnsi="Times New Roman" w:cs="Times New Roman"/>
          <w:sz w:val="24"/>
          <w:szCs w:val="24"/>
        </w:rPr>
        <w:t xml:space="preserve">ability to cope with stress </w:t>
      </w:r>
      <w:r w:rsidR="00D46E1B" w:rsidRPr="00825383">
        <w:rPr>
          <w:rFonts w:ascii="Times New Roman" w:hAnsi="Times New Roman" w:cs="Times New Roman"/>
          <w:sz w:val="24"/>
          <w:szCs w:val="24"/>
        </w:rPr>
        <w:t xml:space="preserve">(van den Berg, Maas, </w:t>
      </w:r>
      <w:proofErr w:type="spellStart"/>
      <w:r w:rsidR="00D46E1B" w:rsidRPr="00825383">
        <w:rPr>
          <w:rFonts w:ascii="Times New Roman" w:hAnsi="Times New Roman" w:cs="Times New Roman"/>
          <w:sz w:val="24"/>
          <w:szCs w:val="24"/>
        </w:rPr>
        <w:t>Verheij</w:t>
      </w:r>
      <w:proofErr w:type="spellEnd"/>
      <w:r w:rsidR="00D46E1B" w:rsidRPr="00825383">
        <w:rPr>
          <w:rFonts w:ascii="Times New Roman" w:hAnsi="Times New Roman" w:cs="Times New Roman"/>
          <w:sz w:val="24"/>
          <w:szCs w:val="24"/>
        </w:rPr>
        <w:t xml:space="preserve">, &amp; </w:t>
      </w:r>
      <w:proofErr w:type="spellStart"/>
      <w:r w:rsidR="00D46E1B" w:rsidRPr="00825383">
        <w:rPr>
          <w:rFonts w:ascii="Times New Roman" w:hAnsi="Times New Roman" w:cs="Times New Roman"/>
          <w:sz w:val="24"/>
          <w:szCs w:val="24"/>
        </w:rPr>
        <w:t>Groenewegen</w:t>
      </w:r>
      <w:proofErr w:type="spellEnd"/>
      <w:r w:rsidR="00D46E1B" w:rsidRPr="00825383">
        <w:rPr>
          <w:rFonts w:ascii="Times New Roman" w:hAnsi="Times New Roman" w:cs="Times New Roman"/>
          <w:sz w:val="24"/>
          <w:szCs w:val="24"/>
        </w:rPr>
        <w:t>, 2010)</w:t>
      </w:r>
      <w:r w:rsidR="00604BFA" w:rsidRPr="00825383">
        <w:rPr>
          <w:rFonts w:ascii="Times New Roman" w:eastAsia="Times New Roman" w:hAnsi="Times New Roman" w:cs="Times New Roman"/>
          <w:sz w:val="24"/>
          <w:szCs w:val="24"/>
        </w:rPr>
        <w:t xml:space="preserve">, </w:t>
      </w:r>
      <w:r w:rsidR="00D46E1B" w:rsidRPr="00825383">
        <w:rPr>
          <w:rFonts w:ascii="Times New Roman" w:eastAsia="Times New Roman" w:hAnsi="Times New Roman" w:cs="Times New Roman"/>
          <w:sz w:val="24"/>
          <w:szCs w:val="24"/>
        </w:rPr>
        <w:t xml:space="preserve">increased positive attitude </w:t>
      </w:r>
      <w:r w:rsidR="00D46E1B" w:rsidRPr="00825383">
        <w:rPr>
          <w:rFonts w:ascii="Times New Roman" w:hAnsi="Times New Roman" w:cs="Times New Roman"/>
          <w:sz w:val="24"/>
          <w:szCs w:val="24"/>
        </w:rPr>
        <w:t>(Takano et al., 2002)</w:t>
      </w:r>
      <w:r w:rsidR="00604BFA" w:rsidRPr="00825383">
        <w:rPr>
          <w:rFonts w:ascii="Times New Roman" w:eastAsia="Times New Roman" w:hAnsi="Times New Roman" w:cs="Times New Roman"/>
          <w:sz w:val="24"/>
          <w:szCs w:val="24"/>
        </w:rPr>
        <w:t xml:space="preserve">, and lower levels of symptoms associated with depression and anxiety </w:t>
      </w:r>
      <w:r w:rsidR="00604BFA" w:rsidRPr="00825383">
        <w:rPr>
          <w:rFonts w:ascii="Times New Roman" w:hAnsi="Times New Roman" w:cs="Times New Roman"/>
          <w:sz w:val="24"/>
          <w:szCs w:val="24"/>
        </w:rPr>
        <w:t>(Beyer et al., 2014)</w:t>
      </w:r>
      <w:r w:rsidR="00D46E1B" w:rsidRPr="00825383">
        <w:rPr>
          <w:rFonts w:ascii="Times New Roman" w:eastAsia="Times New Roman" w:hAnsi="Times New Roman" w:cs="Times New Roman"/>
          <w:sz w:val="24"/>
          <w:szCs w:val="24"/>
        </w:rPr>
        <w:t>.  C</w:t>
      </w:r>
      <w:r w:rsidRPr="00825383">
        <w:rPr>
          <w:rFonts w:ascii="Times New Roman" w:eastAsia="Times New Roman" w:hAnsi="Times New Roman" w:cs="Times New Roman"/>
          <w:sz w:val="24"/>
          <w:szCs w:val="24"/>
        </w:rPr>
        <w:t xml:space="preserve">ommunity health </w:t>
      </w:r>
      <w:r w:rsidR="00D46E1B" w:rsidRPr="00825383">
        <w:rPr>
          <w:rFonts w:ascii="Times New Roman" w:eastAsia="Times New Roman" w:hAnsi="Times New Roman" w:cs="Times New Roman"/>
          <w:sz w:val="24"/>
          <w:szCs w:val="24"/>
        </w:rPr>
        <w:t xml:space="preserve">outcomes include </w:t>
      </w:r>
      <w:r w:rsidRPr="00825383">
        <w:rPr>
          <w:rFonts w:ascii="Times New Roman" w:eastAsia="Times New Roman" w:hAnsi="Times New Roman" w:cs="Times New Roman"/>
          <w:sz w:val="24"/>
          <w:szCs w:val="24"/>
        </w:rPr>
        <w:t xml:space="preserve">increased social cohesion </w:t>
      </w:r>
      <w:r w:rsidR="00D46E1B" w:rsidRPr="00825383">
        <w:rPr>
          <w:rFonts w:ascii="Times New Roman" w:hAnsi="Times New Roman" w:cs="Times New Roman"/>
          <w:sz w:val="24"/>
          <w:szCs w:val="24"/>
        </w:rPr>
        <w:t>(Shanahan et al., 2016)</w:t>
      </w:r>
      <w:r w:rsidR="00D46E1B" w:rsidRPr="00825383">
        <w:rPr>
          <w:rFonts w:ascii="Times New Roman" w:eastAsia="Times New Roman" w:hAnsi="Times New Roman" w:cs="Times New Roman"/>
          <w:sz w:val="24"/>
          <w:szCs w:val="24"/>
        </w:rPr>
        <w:t xml:space="preserve">, </w:t>
      </w:r>
      <w:r w:rsidRPr="00825383">
        <w:rPr>
          <w:rFonts w:ascii="Times New Roman" w:eastAsia="Times New Roman" w:hAnsi="Times New Roman" w:cs="Times New Roman"/>
          <w:sz w:val="24"/>
          <w:szCs w:val="24"/>
        </w:rPr>
        <w:t xml:space="preserve">sense of community </w:t>
      </w:r>
      <w:r w:rsidR="00D46E1B" w:rsidRPr="00825383">
        <w:rPr>
          <w:rFonts w:ascii="Times New Roman" w:hAnsi="Times New Roman" w:cs="Times New Roman"/>
          <w:sz w:val="24"/>
          <w:szCs w:val="24"/>
        </w:rPr>
        <w:t xml:space="preserve">(Maas, Van </w:t>
      </w:r>
      <w:proofErr w:type="spellStart"/>
      <w:r w:rsidR="00D46E1B" w:rsidRPr="00825383">
        <w:rPr>
          <w:rFonts w:ascii="Times New Roman" w:hAnsi="Times New Roman" w:cs="Times New Roman"/>
          <w:sz w:val="24"/>
          <w:szCs w:val="24"/>
        </w:rPr>
        <w:t>Dillen</w:t>
      </w:r>
      <w:proofErr w:type="spellEnd"/>
      <w:r w:rsidR="00D46E1B" w:rsidRPr="00825383">
        <w:rPr>
          <w:rFonts w:ascii="Times New Roman" w:hAnsi="Times New Roman" w:cs="Times New Roman"/>
          <w:sz w:val="24"/>
          <w:szCs w:val="24"/>
        </w:rPr>
        <w:t xml:space="preserve">, </w:t>
      </w:r>
      <w:proofErr w:type="spellStart"/>
      <w:r w:rsidR="00D46E1B" w:rsidRPr="00825383">
        <w:rPr>
          <w:rFonts w:ascii="Times New Roman" w:hAnsi="Times New Roman" w:cs="Times New Roman"/>
          <w:sz w:val="24"/>
          <w:szCs w:val="24"/>
        </w:rPr>
        <w:t>Verheij</w:t>
      </w:r>
      <w:proofErr w:type="spellEnd"/>
      <w:r w:rsidR="00D46E1B" w:rsidRPr="00825383">
        <w:rPr>
          <w:rFonts w:ascii="Times New Roman" w:hAnsi="Times New Roman" w:cs="Times New Roman"/>
          <w:sz w:val="24"/>
          <w:szCs w:val="24"/>
        </w:rPr>
        <w:t xml:space="preserve">, &amp; </w:t>
      </w:r>
      <w:proofErr w:type="spellStart"/>
      <w:r w:rsidR="00D46E1B" w:rsidRPr="00825383">
        <w:rPr>
          <w:rFonts w:ascii="Times New Roman" w:hAnsi="Times New Roman" w:cs="Times New Roman"/>
          <w:sz w:val="24"/>
          <w:szCs w:val="24"/>
        </w:rPr>
        <w:t>Groenewegen</w:t>
      </w:r>
      <w:proofErr w:type="spellEnd"/>
      <w:r w:rsidR="00D46E1B" w:rsidRPr="00825383">
        <w:rPr>
          <w:rFonts w:ascii="Times New Roman" w:hAnsi="Times New Roman" w:cs="Times New Roman"/>
          <w:sz w:val="24"/>
          <w:szCs w:val="24"/>
        </w:rPr>
        <w:t>, 2009)</w:t>
      </w:r>
      <w:r w:rsidR="007869FB" w:rsidRPr="00825383">
        <w:rPr>
          <w:rFonts w:ascii="Times New Roman" w:eastAsia="Times New Roman" w:hAnsi="Times New Roman" w:cs="Times New Roman"/>
          <w:sz w:val="24"/>
          <w:szCs w:val="24"/>
        </w:rPr>
        <w:t>, and</w:t>
      </w:r>
      <w:r w:rsidR="003D69E2" w:rsidRPr="00825383">
        <w:rPr>
          <w:rFonts w:ascii="Times New Roman" w:eastAsia="Times New Roman" w:hAnsi="Times New Roman" w:cs="Times New Roman"/>
          <w:sz w:val="24"/>
          <w:szCs w:val="24"/>
        </w:rPr>
        <w:t>,</w:t>
      </w:r>
      <w:r w:rsidR="007869FB" w:rsidRPr="00825383">
        <w:rPr>
          <w:rFonts w:ascii="Times New Roman" w:eastAsia="Times New Roman" w:hAnsi="Times New Roman" w:cs="Times New Roman"/>
          <w:sz w:val="24"/>
          <w:szCs w:val="24"/>
        </w:rPr>
        <w:t xml:space="preserve"> although dependent on neighborhood context, </w:t>
      </w:r>
      <w:r w:rsidR="00D46E1B" w:rsidRPr="00825383">
        <w:rPr>
          <w:rFonts w:ascii="Times New Roman" w:eastAsia="Times New Roman" w:hAnsi="Times New Roman" w:cs="Times New Roman"/>
          <w:sz w:val="24"/>
          <w:szCs w:val="24"/>
        </w:rPr>
        <w:t>increased s</w:t>
      </w:r>
      <w:r w:rsidR="00604BFA" w:rsidRPr="00825383">
        <w:rPr>
          <w:rFonts w:ascii="Times New Roman" w:eastAsia="Times New Roman" w:hAnsi="Times New Roman" w:cs="Times New Roman"/>
          <w:sz w:val="24"/>
          <w:szCs w:val="24"/>
        </w:rPr>
        <w:t xml:space="preserve">ense </w:t>
      </w:r>
      <w:r w:rsidR="007869FB" w:rsidRPr="00825383">
        <w:rPr>
          <w:rFonts w:ascii="Times New Roman" w:eastAsia="Times New Roman" w:hAnsi="Times New Roman" w:cs="Times New Roman"/>
          <w:sz w:val="24"/>
          <w:szCs w:val="24"/>
        </w:rPr>
        <w:t xml:space="preserve">of safety </w:t>
      </w:r>
      <w:r w:rsidR="007869FB" w:rsidRPr="00825383">
        <w:rPr>
          <w:rFonts w:ascii="Times New Roman" w:hAnsi="Times New Roman" w:cs="Times New Roman"/>
          <w:sz w:val="24"/>
          <w:szCs w:val="24"/>
        </w:rPr>
        <w:t xml:space="preserve">(Maas, </w:t>
      </w:r>
      <w:proofErr w:type="spellStart"/>
      <w:r w:rsidR="007869FB" w:rsidRPr="00825383">
        <w:rPr>
          <w:rFonts w:ascii="Times New Roman" w:hAnsi="Times New Roman" w:cs="Times New Roman"/>
          <w:sz w:val="24"/>
          <w:szCs w:val="24"/>
        </w:rPr>
        <w:t>Spreeuwenberg</w:t>
      </w:r>
      <w:proofErr w:type="spellEnd"/>
      <w:r w:rsidR="007869FB" w:rsidRPr="00825383">
        <w:rPr>
          <w:rFonts w:ascii="Times New Roman" w:hAnsi="Times New Roman" w:cs="Times New Roman"/>
          <w:sz w:val="24"/>
          <w:szCs w:val="24"/>
        </w:rPr>
        <w:t>, et al., 2009)</w:t>
      </w:r>
      <w:r w:rsidR="007869FB" w:rsidRPr="00825383">
        <w:rPr>
          <w:rFonts w:ascii="Times New Roman" w:eastAsia="Times New Roman" w:hAnsi="Times New Roman" w:cs="Times New Roman"/>
          <w:sz w:val="24"/>
          <w:szCs w:val="24"/>
        </w:rPr>
        <w:t xml:space="preserve"> and accessibility </w:t>
      </w:r>
      <w:r w:rsidR="007869FB" w:rsidRPr="00825383">
        <w:rPr>
          <w:rFonts w:ascii="Times New Roman" w:hAnsi="Times New Roman" w:cs="Times New Roman"/>
          <w:sz w:val="24"/>
          <w:szCs w:val="24"/>
        </w:rPr>
        <w:t>(Makris, 2015)</w:t>
      </w:r>
      <w:r w:rsidRPr="00825383">
        <w:rPr>
          <w:rFonts w:ascii="Times New Roman" w:eastAsia="Times New Roman" w:hAnsi="Times New Roman" w:cs="Times New Roman"/>
          <w:sz w:val="24"/>
          <w:szCs w:val="24"/>
        </w:rPr>
        <w:t xml:space="preserve">.  </w:t>
      </w:r>
    </w:p>
    <w:p w14:paraId="1B7CED1D" w14:textId="72DE41F9" w:rsidR="00E858D7" w:rsidRDefault="00C32288" w:rsidP="003A00E1">
      <w:pPr>
        <w:spacing w:line="480" w:lineRule="auto"/>
        <w:rPr>
          <w:rFonts w:ascii="Times New Roman" w:eastAsia="Times New Roman" w:hAnsi="Times New Roman" w:cs="Times New Roman"/>
          <w:sz w:val="24"/>
          <w:szCs w:val="24"/>
        </w:rPr>
      </w:pPr>
      <w:r w:rsidRPr="00825383">
        <w:rPr>
          <w:rFonts w:ascii="Times New Roman" w:eastAsia="Times New Roman" w:hAnsi="Times New Roman" w:cs="Times New Roman"/>
          <w:sz w:val="24"/>
          <w:szCs w:val="24"/>
        </w:rPr>
        <w:tab/>
        <w:t xml:space="preserve">To leverage green space environments for improving </w:t>
      </w:r>
      <w:r w:rsidR="003A00E1">
        <w:rPr>
          <w:rFonts w:ascii="Times New Roman" w:eastAsia="Times New Roman" w:hAnsi="Times New Roman" w:cs="Times New Roman"/>
          <w:sz w:val="24"/>
          <w:szCs w:val="24"/>
        </w:rPr>
        <w:t xml:space="preserve">health </w:t>
      </w:r>
      <w:r w:rsidRPr="00825383">
        <w:rPr>
          <w:rFonts w:ascii="Times New Roman" w:eastAsia="Times New Roman" w:hAnsi="Times New Roman" w:cs="Times New Roman"/>
          <w:sz w:val="24"/>
          <w:szCs w:val="24"/>
        </w:rPr>
        <w:t xml:space="preserve">we must first </w:t>
      </w:r>
      <w:r w:rsidR="005A348D">
        <w:rPr>
          <w:rFonts w:ascii="Times New Roman" w:eastAsia="Times New Roman" w:hAnsi="Times New Roman" w:cs="Times New Roman"/>
          <w:sz w:val="24"/>
          <w:szCs w:val="24"/>
        </w:rPr>
        <w:t xml:space="preserve">understand how people </w:t>
      </w:r>
      <w:r w:rsidRPr="00825383">
        <w:rPr>
          <w:rFonts w:ascii="Times New Roman" w:eastAsia="Times New Roman" w:hAnsi="Times New Roman" w:cs="Times New Roman"/>
          <w:sz w:val="24"/>
          <w:szCs w:val="24"/>
        </w:rPr>
        <w:t>value, perceive, and use green space</w:t>
      </w:r>
      <w:r w:rsidR="00030ADF" w:rsidRPr="00825383">
        <w:rPr>
          <w:rFonts w:ascii="Times New Roman" w:eastAsia="Times New Roman" w:hAnsi="Times New Roman" w:cs="Times New Roman"/>
          <w:sz w:val="24"/>
          <w:szCs w:val="24"/>
        </w:rPr>
        <w:t>, using methods that are conducive an</w:t>
      </w:r>
      <w:r w:rsidR="008B2291" w:rsidRPr="00825383">
        <w:rPr>
          <w:rFonts w:ascii="Times New Roman" w:eastAsia="Times New Roman" w:hAnsi="Times New Roman" w:cs="Times New Roman"/>
          <w:sz w:val="24"/>
          <w:szCs w:val="24"/>
        </w:rPr>
        <w:t xml:space="preserve">d likely to </w:t>
      </w:r>
      <w:r w:rsidR="008B2291" w:rsidRPr="00825383">
        <w:rPr>
          <w:rFonts w:ascii="Times New Roman" w:eastAsia="Times New Roman" w:hAnsi="Times New Roman" w:cs="Times New Roman"/>
          <w:sz w:val="24"/>
          <w:szCs w:val="24"/>
        </w:rPr>
        <w:lastRenderedPageBreak/>
        <w:t>capture</w:t>
      </w:r>
      <w:r w:rsidR="00030ADF" w:rsidRPr="00825383">
        <w:rPr>
          <w:rFonts w:ascii="Times New Roman" w:eastAsia="Times New Roman" w:hAnsi="Times New Roman" w:cs="Times New Roman"/>
          <w:sz w:val="24"/>
          <w:szCs w:val="24"/>
        </w:rPr>
        <w:t xml:space="preserve"> contextual ch</w:t>
      </w:r>
      <w:r w:rsidR="005A348D">
        <w:rPr>
          <w:rFonts w:ascii="Times New Roman" w:eastAsia="Times New Roman" w:hAnsi="Times New Roman" w:cs="Times New Roman"/>
          <w:sz w:val="24"/>
          <w:szCs w:val="24"/>
        </w:rPr>
        <w:t>aracteristics of hard to reach groups including young adults.</w:t>
      </w:r>
      <w:r w:rsidR="003A00E1">
        <w:rPr>
          <w:rFonts w:ascii="Times New Roman" w:eastAsia="Times New Roman" w:hAnsi="Times New Roman" w:cs="Times New Roman"/>
          <w:sz w:val="24"/>
          <w:szCs w:val="24"/>
        </w:rPr>
        <w:t xml:space="preserve">  </w:t>
      </w:r>
      <w:r w:rsidR="00A0699A" w:rsidRPr="00825383">
        <w:rPr>
          <w:rFonts w:ascii="Times New Roman" w:eastAsia="Times New Roman" w:hAnsi="Times New Roman" w:cs="Times New Roman"/>
          <w:sz w:val="24"/>
          <w:szCs w:val="24"/>
        </w:rPr>
        <w:t>Social media is a data source that has potential to capture chara</w:t>
      </w:r>
      <w:r w:rsidR="005A348D">
        <w:rPr>
          <w:rFonts w:ascii="Times New Roman" w:eastAsia="Times New Roman" w:hAnsi="Times New Roman" w:cs="Times New Roman"/>
          <w:sz w:val="24"/>
          <w:szCs w:val="24"/>
        </w:rPr>
        <w:t>cteristics and activity patterns.</w:t>
      </w:r>
      <w:r w:rsidR="00E07842" w:rsidRPr="00825383">
        <w:rPr>
          <w:rFonts w:ascii="Times New Roman" w:eastAsia="Times New Roman" w:hAnsi="Times New Roman" w:cs="Times New Roman"/>
          <w:sz w:val="24"/>
          <w:szCs w:val="24"/>
        </w:rPr>
        <w:t xml:space="preserve">  In the </w:t>
      </w:r>
      <w:r w:rsidR="0054583F">
        <w:rPr>
          <w:rFonts w:ascii="Times New Roman" w:eastAsia="Times New Roman" w:hAnsi="Times New Roman" w:cs="Times New Roman"/>
          <w:sz w:val="24"/>
          <w:szCs w:val="24"/>
        </w:rPr>
        <w:t>US</w:t>
      </w:r>
      <w:r w:rsidR="00E07842" w:rsidRPr="00825383">
        <w:rPr>
          <w:rFonts w:ascii="Times New Roman" w:eastAsia="Times New Roman" w:hAnsi="Times New Roman" w:cs="Times New Roman"/>
          <w:sz w:val="24"/>
          <w:szCs w:val="24"/>
        </w:rPr>
        <w:t xml:space="preserve">, </w:t>
      </w:r>
      <w:r w:rsidR="00A0699A" w:rsidRPr="00825383">
        <w:rPr>
          <w:rFonts w:ascii="Times New Roman" w:eastAsia="Times New Roman" w:hAnsi="Times New Roman" w:cs="Times New Roman"/>
          <w:sz w:val="24"/>
          <w:szCs w:val="24"/>
        </w:rPr>
        <w:t xml:space="preserve">between 85% </w:t>
      </w:r>
      <w:r w:rsidR="00D46E1B" w:rsidRPr="00825383">
        <w:rPr>
          <w:rFonts w:ascii="Times New Roman" w:hAnsi="Times New Roman" w:cs="Times New Roman"/>
          <w:sz w:val="24"/>
          <w:szCs w:val="24"/>
        </w:rPr>
        <w:t>(Rainie, Fox, &amp; Duggan, 2014</w:t>
      </w:r>
      <w:proofErr w:type="gramStart"/>
      <w:r w:rsidR="00D46E1B" w:rsidRPr="00825383">
        <w:rPr>
          <w:rFonts w:ascii="Times New Roman" w:hAnsi="Times New Roman" w:cs="Times New Roman"/>
          <w:sz w:val="24"/>
          <w:szCs w:val="24"/>
        </w:rPr>
        <w:t>)</w:t>
      </w:r>
      <w:r w:rsidR="00A0699A" w:rsidRPr="00825383">
        <w:rPr>
          <w:rFonts w:ascii="Times New Roman" w:eastAsia="Times New Roman" w:hAnsi="Times New Roman" w:cs="Times New Roman"/>
          <w:sz w:val="24"/>
          <w:szCs w:val="24"/>
        </w:rPr>
        <w:t xml:space="preserve"> </w:t>
      </w:r>
      <w:r w:rsidRPr="00825383">
        <w:rPr>
          <w:rFonts w:ascii="Times New Roman" w:eastAsia="Times New Roman" w:hAnsi="Times New Roman" w:cs="Times New Roman"/>
          <w:sz w:val="24"/>
          <w:szCs w:val="24"/>
        </w:rPr>
        <w:t xml:space="preserve"> </w:t>
      </w:r>
      <w:r w:rsidR="00A0699A" w:rsidRPr="00825383">
        <w:rPr>
          <w:rFonts w:ascii="Times New Roman" w:eastAsia="Times New Roman" w:hAnsi="Times New Roman" w:cs="Times New Roman"/>
          <w:sz w:val="24"/>
          <w:szCs w:val="24"/>
        </w:rPr>
        <w:t>to</w:t>
      </w:r>
      <w:proofErr w:type="gramEnd"/>
      <w:r w:rsidR="00A0699A" w:rsidRPr="00825383">
        <w:rPr>
          <w:rFonts w:ascii="Times New Roman" w:eastAsia="Times New Roman" w:hAnsi="Times New Roman" w:cs="Times New Roman"/>
          <w:sz w:val="24"/>
          <w:szCs w:val="24"/>
        </w:rPr>
        <w:t xml:space="preserve"> 90% </w:t>
      </w:r>
      <w:r w:rsidR="0018457A" w:rsidRPr="00825383">
        <w:rPr>
          <w:rFonts w:ascii="Times New Roman" w:hAnsi="Times New Roman" w:cs="Times New Roman"/>
          <w:sz w:val="24"/>
          <w:szCs w:val="24"/>
        </w:rPr>
        <w:t>(Perrin, 2015)</w:t>
      </w:r>
      <w:r w:rsidR="0018457A" w:rsidRPr="00825383">
        <w:rPr>
          <w:rFonts w:ascii="Times New Roman" w:eastAsia="Times New Roman" w:hAnsi="Times New Roman" w:cs="Times New Roman"/>
          <w:sz w:val="24"/>
          <w:szCs w:val="24"/>
        </w:rPr>
        <w:t xml:space="preserve"> </w:t>
      </w:r>
      <w:r w:rsidR="00A0699A" w:rsidRPr="00825383">
        <w:rPr>
          <w:rFonts w:ascii="Times New Roman" w:eastAsia="Times New Roman" w:hAnsi="Times New Roman" w:cs="Times New Roman"/>
          <w:sz w:val="24"/>
          <w:szCs w:val="24"/>
        </w:rPr>
        <w:t xml:space="preserve">of young adults actively participate in social media </w:t>
      </w:r>
      <w:r w:rsidRPr="00825383">
        <w:rPr>
          <w:rFonts w:ascii="Times New Roman" w:eastAsia="Times New Roman" w:hAnsi="Times New Roman" w:cs="Times New Roman"/>
          <w:sz w:val="24"/>
          <w:szCs w:val="24"/>
        </w:rPr>
        <w:t xml:space="preserve">and approximately 1/3 of young adults </w:t>
      </w:r>
      <w:r w:rsidR="00D46E1B" w:rsidRPr="00825383">
        <w:rPr>
          <w:rFonts w:ascii="Times New Roman" w:hAnsi="Times New Roman" w:cs="Times New Roman"/>
          <w:sz w:val="24"/>
          <w:szCs w:val="24"/>
        </w:rPr>
        <w:t>(Mitchell &amp; Page, 2014)</w:t>
      </w:r>
      <w:r w:rsidR="00A0699A" w:rsidRPr="00825383">
        <w:rPr>
          <w:rFonts w:ascii="Times New Roman" w:eastAsia="Times New Roman" w:hAnsi="Times New Roman" w:cs="Times New Roman"/>
          <w:sz w:val="24"/>
          <w:szCs w:val="24"/>
        </w:rPr>
        <w:t xml:space="preserve"> completely rely on social media as their source for news</w:t>
      </w:r>
      <w:r w:rsidRPr="00825383">
        <w:rPr>
          <w:rFonts w:ascii="Times New Roman" w:eastAsia="Times New Roman" w:hAnsi="Times New Roman" w:cs="Times New Roman"/>
          <w:sz w:val="24"/>
          <w:szCs w:val="24"/>
        </w:rPr>
        <w:t>.  One of the most active social media sites is Twitter, with 330 million active monthly users (</w:t>
      </w:r>
      <w:hyperlink r:id="rId6" w:history="1">
        <w:r w:rsidRPr="00825383">
          <w:rPr>
            <w:rStyle w:val="Hyperlink"/>
            <w:rFonts w:ascii="Times New Roman" w:eastAsia="Times New Roman" w:hAnsi="Times New Roman" w:cs="Times New Roman"/>
            <w:sz w:val="24"/>
            <w:szCs w:val="24"/>
          </w:rPr>
          <w:t>https://about.twitter.com/company</w:t>
        </w:r>
      </w:hyperlink>
      <w:r w:rsidRPr="00825383">
        <w:rPr>
          <w:rFonts w:ascii="Times New Roman" w:eastAsia="Times New Roman" w:hAnsi="Times New Roman" w:cs="Times New Roman"/>
          <w:sz w:val="24"/>
          <w:szCs w:val="24"/>
        </w:rPr>
        <w:t xml:space="preserve">).  </w:t>
      </w:r>
    </w:p>
    <w:p w14:paraId="472284F0" w14:textId="0A872F5F" w:rsidR="00536699" w:rsidRDefault="00536699" w:rsidP="00536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t>
      </w:r>
      <w:r w:rsidR="003A00E1">
        <w:rPr>
          <w:rFonts w:ascii="Times New Roman" w:eastAsia="Times New Roman" w:hAnsi="Times New Roman" w:cs="Times New Roman"/>
          <w:sz w:val="24"/>
          <w:szCs w:val="24"/>
        </w:rPr>
        <w:t xml:space="preserve">we collected 11 months of Tweets related to green space from the Portland, OR metropolitan region and analyzed tweets for social, emotional, and physical events related to health.  </w:t>
      </w:r>
    </w:p>
    <w:p w14:paraId="1BF30BCE" w14:textId="21FD556C" w:rsidR="00E858D7" w:rsidRDefault="00E858D7" w:rsidP="0003325B">
      <w:pPr>
        <w:spacing w:line="480" w:lineRule="auto"/>
        <w:rPr>
          <w:rFonts w:ascii="Times New Roman" w:hAnsi="Times New Roman" w:cs="Times New Roman"/>
          <w:b/>
          <w:sz w:val="24"/>
          <w:szCs w:val="24"/>
        </w:rPr>
      </w:pPr>
      <w:r w:rsidRPr="00825383">
        <w:rPr>
          <w:rFonts w:ascii="Times New Roman" w:hAnsi="Times New Roman" w:cs="Times New Roman"/>
          <w:b/>
          <w:sz w:val="24"/>
          <w:szCs w:val="24"/>
        </w:rPr>
        <w:t>Methods</w:t>
      </w:r>
    </w:p>
    <w:p w14:paraId="6700ABF8" w14:textId="77777777" w:rsidR="00CC4EA3" w:rsidRPr="00825383" w:rsidRDefault="00CC4EA3" w:rsidP="00CC4EA3">
      <w:pPr>
        <w:spacing w:line="480" w:lineRule="auto"/>
        <w:rPr>
          <w:rFonts w:ascii="Times New Roman" w:hAnsi="Times New Roman" w:cs="Times New Roman"/>
          <w:i/>
          <w:sz w:val="24"/>
          <w:szCs w:val="24"/>
        </w:rPr>
      </w:pPr>
      <w:r w:rsidRPr="00825383">
        <w:rPr>
          <w:rFonts w:ascii="Times New Roman" w:hAnsi="Times New Roman" w:cs="Times New Roman"/>
          <w:i/>
          <w:sz w:val="24"/>
          <w:szCs w:val="24"/>
        </w:rPr>
        <w:t>Twitter Search</w:t>
      </w:r>
    </w:p>
    <w:p w14:paraId="1FD244F4" w14:textId="583BB855" w:rsidR="00CC4EA3" w:rsidRPr="00825383" w:rsidRDefault="00CC4EA3" w:rsidP="00CC4EA3">
      <w:pPr>
        <w:spacing w:line="480" w:lineRule="auto"/>
        <w:rPr>
          <w:rFonts w:ascii="Times New Roman" w:hAnsi="Times New Roman" w:cs="Times New Roman"/>
          <w:sz w:val="24"/>
          <w:szCs w:val="24"/>
        </w:rPr>
      </w:pPr>
      <w:r>
        <w:rPr>
          <w:rFonts w:ascii="Times New Roman" w:hAnsi="Times New Roman" w:cs="Times New Roman"/>
          <w:sz w:val="24"/>
          <w:szCs w:val="24"/>
        </w:rPr>
        <w:t>G</w:t>
      </w:r>
      <w:r w:rsidRPr="00825383">
        <w:rPr>
          <w:rFonts w:ascii="Times New Roman" w:hAnsi="Times New Roman" w:cs="Times New Roman"/>
          <w:sz w:val="24"/>
          <w:szCs w:val="24"/>
        </w:rPr>
        <w:t xml:space="preserve">reen-space related Tweets were collected from </w:t>
      </w:r>
      <w:r>
        <w:rPr>
          <w:rFonts w:ascii="Times New Roman" w:hAnsi="Times New Roman" w:cs="Times New Roman"/>
          <w:sz w:val="24"/>
          <w:szCs w:val="24"/>
        </w:rPr>
        <w:t>January 1</w:t>
      </w:r>
      <w:r w:rsidRPr="00CC4EA3">
        <w:rPr>
          <w:rFonts w:ascii="Times New Roman" w:hAnsi="Times New Roman" w:cs="Times New Roman"/>
          <w:sz w:val="24"/>
          <w:szCs w:val="24"/>
          <w:vertAlign w:val="superscript"/>
        </w:rPr>
        <w:t>st</w:t>
      </w:r>
      <w:r>
        <w:rPr>
          <w:rFonts w:ascii="Times New Roman" w:hAnsi="Times New Roman" w:cs="Times New Roman"/>
          <w:sz w:val="24"/>
          <w:szCs w:val="24"/>
        </w:rPr>
        <w:t xml:space="preserve"> to December 1</w:t>
      </w:r>
      <w:r w:rsidRPr="00CC4EA3">
        <w:rPr>
          <w:rFonts w:ascii="Times New Roman" w:hAnsi="Times New Roman" w:cs="Times New Roman"/>
          <w:sz w:val="24"/>
          <w:szCs w:val="24"/>
          <w:vertAlign w:val="superscript"/>
        </w:rPr>
        <w:t>st</w:t>
      </w:r>
      <w:r>
        <w:rPr>
          <w:rFonts w:ascii="Times New Roman" w:hAnsi="Times New Roman" w:cs="Times New Roman"/>
          <w:sz w:val="24"/>
          <w:szCs w:val="24"/>
        </w:rPr>
        <w:t xml:space="preserve">, 2017 using </w:t>
      </w:r>
      <w:r w:rsidRPr="00825383">
        <w:rPr>
          <w:rFonts w:ascii="Times New Roman" w:hAnsi="Times New Roman" w:cs="Times New Roman"/>
          <w:sz w:val="24"/>
          <w:szCs w:val="24"/>
        </w:rPr>
        <w:t xml:space="preserve">Python v. 2.7 (van Rossum &amp; Drake Jr, 2010) and the Python module </w:t>
      </w:r>
      <w:proofErr w:type="spellStart"/>
      <w:r w:rsidRPr="00825383">
        <w:rPr>
          <w:rFonts w:ascii="Times New Roman" w:hAnsi="Times New Roman" w:cs="Times New Roman"/>
          <w:sz w:val="24"/>
          <w:szCs w:val="24"/>
        </w:rPr>
        <w:t>Tweepy</w:t>
      </w:r>
      <w:proofErr w:type="spellEnd"/>
      <w:r w:rsidRPr="00825383">
        <w:rPr>
          <w:rFonts w:ascii="Times New Roman" w:hAnsi="Times New Roman" w:cs="Times New Roman"/>
          <w:sz w:val="24"/>
          <w:szCs w:val="24"/>
        </w:rPr>
        <w:t xml:space="preserve"> (</w:t>
      </w:r>
      <w:proofErr w:type="spellStart"/>
      <w:r w:rsidRPr="00825383">
        <w:rPr>
          <w:rFonts w:ascii="Times New Roman" w:hAnsi="Times New Roman" w:cs="Times New Roman"/>
          <w:sz w:val="24"/>
          <w:szCs w:val="24"/>
        </w:rPr>
        <w:t>Roesslein</w:t>
      </w:r>
      <w:proofErr w:type="spellEnd"/>
      <w:r w:rsidRPr="00825383">
        <w:rPr>
          <w:rFonts w:ascii="Times New Roman" w:hAnsi="Times New Roman" w:cs="Times New Roman"/>
          <w:sz w:val="24"/>
          <w:szCs w:val="24"/>
        </w:rPr>
        <w:t xml:space="preserve">, 2015).  Tweets were downloaded if they contained one or more keywords shown below </w:t>
      </w:r>
      <w:r>
        <w:rPr>
          <w:rFonts w:ascii="Times New Roman" w:hAnsi="Times New Roman" w:cs="Times New Roman"/>
          <w:sz w:val="24"/>
          <w:szCs w:val="24"/>
        </w:rPr>
        <w:t>in</w:t>
      </w:r>
      <w:r w:rsidRPr="00825383">
        <w:rPr>
          <w:rFonts w:ascii="Times New Roman" w:hAnsi="Times New Roman" w:cs="Times New Roman"/>
          <w:sz w:val="24"/>
          <w:szCs w:val="24"/>
        </w:rPr>
        <w:t xml:space="preserve"> Table 2.  In addition to Tweet content, the time of tweet and self-identified user location were downloaded.  Tweets were then screened for self-identified locatio</w:t>
      </w:r>
      <w:r>
        <w:rPr>
          <w:rFonts w:ascii="Times New Roman" w:hAnsi="Times New Roman" w:cs="Times New Roman"/>
          <w:sz w:val="24"/>
          <w:szCs w:val="24"/>
        </w:rPr>
        <w:t>ns within the Portland, OR area and English language.  Tweets were further screened by generating and applying a list of exclusion unigram, bigram, and trigram phrases</w:t>
      </w:r>
      <w:r w:rsidR="00957713">
        <w:rPr>
          <w:rFonts w:ascii="Times New Roman" w:hAnsi="Times New Roman" w:cs="Times New Roman"/>
          <w:sz w:val="24"/>
          <w:szCs w:val="24"/>
        </w:rPr>
        <w:t xml:space="preserve"> commonplace in Tweets unrelated to greenspace but not present in greenspace related Tweets (e.g. </w:t>
      </w:r>
      <w:proofErr w:type="gramStart"/>
      <w:r w:rsidR="00957713">
        <w:rPr>
          <w:rFonts w:ascii="Times New Roman" w:hAnsi="Times New Roman" w:cs="Times New Roman"/>
          <w:sz w:val="24"/>
          <w:szCs w:val="24"/>
        </w:rPr>
        <w:t>“ I</w:t>
      </w:r>
      <w:proofErr w:type="gramEnd"/>
      <w:r w:rsidR="00957713">
        <w:rPr>
          <w:rFonts w:ascii="Times New Roman" w:hAnsi="Times New Roman" w:cs="Times New Roman"/>
          <w:sz w:val="24"/>
          <w:szCs w:val="24"/>
        </w:rPr>
        <w:t xml:space="preserve"> </w:t>
      </w:r>
      <w:r w:rsidR="00957713" w:rsidRPr="00957713">
        <w:rPr>
          <w:rFonts w:ascii="Times New Roman" w:hAnsi="Times New Roman" w:cs="Times New Roman"/>
          <w:b/>
          <w:sz w:val="24"/>
          <w:szCs w:val="24"/>
        </w:rPr>
        <w:t>parked my car</w:t>
      </w:r>
      <w:r w:rsidR="00957713">
        <w:rPr>
          <w:rFonts w:ascii="Times New Roman" w:hAnsi="Times New Roman" w:cs="Times New Roman"/>
          <w:sz w:val="24"/>
          <w:szCs w:val="24"/>
        </w:rPr>
        <w:t xml:space="preserve"> next to yours”)</w:t>
      </w:r>
      <w:r w:rsidR="004E64DA">
        <w:rPr>
          <w:rFonts w:ascii="Times New Roman" w:hAnsi="Times New Roman" w:cs="Times New Roman"/>
          <w:sz w:val="24"/>
          <w:szCs w:val="24"/>
        </w:rPr>
        <w:t xml:space="preserve">.  </w:t>
      </w:r>
    </w:p>
    <w:tbl>
      <w:tblPr>
        <w:tblW w:w="6660" w:type="dxa"/>
        <w:tblInd w:w="-5" w:type="dxa"/>
        <w:tblLook w:val="04A0" w:firstRow="1" w:lastRow="0" w:firstColumn="1" w:lastColumn="0" w:noHBand="0" w:noVBand="1"/>
      </w:tblPr>
      <w:tblGrid>
        <w:gridCol w:w="1437"/>
        <w:gridCol w:w="1262"/>
        <w:gridCol w:w="1441"/>
        <w:gridCol w:w="1350"/>
        <w:gridCol w:w="1170"/>
      </w:tblGrid>
      <w:tr w:rsidR="00CC4EA3" w:rsidRPr="00825383" w14:paraId="41CD37E3" w14:textId="77777777" w:rsidTr="00EA1E14">
        <w:trPr>
          <w:trHeight w:val="312"/>
        </w:trPr>
        <w:tc>
          <w:tcPr>
            <w:tcW w:w="666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AC01C8" w14:textId="77777777" w:rsidR="00CC4EA3" w:rsidRPr="00825383" w:rsidRDefault="00CC4EA3" w:rsidP="00EA1E14">
            <w:pPr>
              <w:spacing w:after="0" w:line="240" w:lineRule="auto"/>
              <w:jc w:val="center"/>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Twitter search keywords</w:t>
            </w:r>
          </w:p>
        </w:tc>
      </w:tr>
      <w:tr w:rsidR="00CC4EA3" w:rsidRPr="00825383" w14:paraId="0CCF3D27" w14:textId="77777777" w:rsidTr="00EA1E14">
        <w:trPr>
          <w:trHeight w:val="312"/>
        </w:trPr>
        <w:tc>
          <w:tcPr>
            <w:tcW w:w="1437" w:type="dxa"/>
            <w:tcBorders>
              <w:top w:val="nil"/>
              <w:left w:val="single" w:sz="4" w:space="0" w:color="auto"/>
              <w:bottom w:val="nil"/>
              <w:right w:val="nil"/>
            </w:tcBorders>
            <w:shd w:val="clear" w:color="auto" w:fill="auto"/>
            <w:noWrap/>
            <w:vAlign w:val="center"/>
            <w:hideMark/>
          </w:tcPr>
          <w:p w14:paraId="78E5DE52"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backyard(s)</w:t>
            </w:r>
          </w:p>
        </w:tc>
        <w:tc>
          <w:tcPr>
            <w:tcW w:w="1262" w:type="dxa"/>
            <w:tcBorders>
              <w:top w:val="nil"/>
              <w:left w:val="nil"/>
              <w:bottom w:val="nil"/>
              <w:right w:val="nil"/>
            </w:tcBorders>
            <w:shd w:val="clear" w:color="auto" w:fill="auto"/>
            <w:noWrap/>
            <w:vAlign w:val="center"/>
            <w:hideMark/>
          </w:tcPr>
          <w:p w14:paraId="258EEE58"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forest(s)</w:t>
            </w:r>
          </w:p>
        </w:tc>
        <w:tc>
          <w:tcPr>
            <w:tcW w:w="1441" w:type="dxa"/>
            <w:tcBorders>
              <w:top w:val="nil"/>
              <w:left w:val="nil"/>
              <w:bottom w:val="nil"/>
              <w:right w:val="nil"/>
            </w:tcBorders>
            <w:shd w:val="clear" w:color="auto" w:fill="auto"/>
            <w:noWrap/>
            <w:vAlign w:val="center"/>
            <w:hideMark/>
          </w:tcPr>
          <w:p w14:paraId="775A77DD"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lawn(s)</w:t>
            </w:r>
          </w:p>
        </w:tc>
        <w:tc>
          <w:tcPr>
            <w:tcW w:w="1350" w:type="dxa"/>
            <w:tcBorders>
              <w:top w:val="nil"/>
              <w:left w:val="nil"/>
              <w:bottom w:val="nil"/>
              <w:right w:val="nil"/>
            </w:tcBorders>
            <w:shd w:val="clear" w:color="auto" w:fill="auto"/>
            <w:noWrap/>
            <w:vAlign w:val="center"/>
            <w:hideMark/>
          </w:tcPr>
          <w:p w14:paraId="64B54794"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pasture(s)</w:t>
            </w:r>
          </w:p>
        </w:tc>
        <w:tc>
          <w:tcPr>
            <w:tcW w:w="1170" w:type="dxa"/>
            <w:tcBorders>
              <w:top w:val="nil"/>
              <w:left w:val="nil"/>
              <w:bottom w:val="nil"/>
              <w:right w:val="single" w:sz="4" w:space="0" w:color="auto"/>
            </w:tcBorders>
            <w:shd w:val="clear" w:color="auto" w:fill="auto"/>
            <w:noWrap/>
            <w:vAlign w:val="center"/>
            <w:hideMark/>
          </w:tcPr>
          <w:p w14:paraId="1987E0FE"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stream(s)</w:t>
            </w:r>
          </w:p>
        </w:tc>
      </w:tr>
      <w:tr w:rsidR="00CC4EA3" w:rsidRPr="00825383" w14:paraId="4853FA5B" w14:textId="77777777" w:rsidTr="00EA1E14">
        <w:trPr>
          <w:trHeight w:val="312"/>
        </w:trPr>
        <w:tc>
          <w:tcPr>
            <w:tcW w:w="1437" w:type="dxa"/>
            <w:tcBorders>
              <w:top w:val="nil"/>
              <w:left w:val="single" w:sz="4" w:space="0" w:color="auto"/>
              <w:bottom w:val="nil"/>
              <w:right w:val="nil"/>
            </w:tcBorders>
            <w:shd w:val="clear" w:color="auto" w:fill="auto"/>
            <w:noWrap/>
            <w:vAlign w:val="center"/>
            <w:hideMark/>
          </w:tcPr>
          <w:p w14:paraId="0569C296"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bush(</w:t>
            </w:r>
            <w:proofErr w:type="spellStart"/>
            <w:r w:rsidRPr="00825383">
              <w:rPr>
                <w:rFonts w:ascii="Times New Roman" w:eastAsia="Times New Roman" w:hAnsi="Times New Roman" w:cs="Times New Roman"/>
                <w:color w:val="000000"/>
                <w:sz w:val="24"/>
                <w:szCs w:val="24"/>
              </w:rPr>
              <w:t>es</w:t>
            </w:r>
            <w:proofErr w:type="spellEnd"/>
            <w:r w:rsidRPr="00825383">
              <w:rPr>
                <w:rFonts w:ascii="Times New Roman" w:eastAsia="Times New Roman" w:hAnsi="Times New Roman" w:cs="Times New Roman"/>
                <w:color w:val="000000"/>
                <w:sz w:val="24"/>
                <w:szCs w:val="24"/>
              </w:rPr>
              <w:t>)</w:t>
            </w:r>
          </w:p>
        </w:tc>
        <w:tc>
          <w:tcPr>
            <w:tcW w:w="1262" w:type="dxa"/>
            <w:tcBorders>
              <w:top w:val="nil"/>
              <w:left w:val="nil"/>
              <w:bottom w:val="nil"/>
              <w:right w:val="nil"/>
            </w:tcBorders>
            <w:shd w:val="clear" w:color="auto" w:fill="auto"/>
            <w:noWrap/>
            <w:vAlign w:val="center"/>
            <w:hideMark/>
          </w:tcPr>
          <w:p w14:paraId="455A978F"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garden(s)</w:t>
            </w:r>
          </w:p>
        </w:tc>
        <w:tc>
          <w:tcPr>
            <w:tcW w:w="1441" w:type="dxa"/>
            <w:tcBorders>
              <w:top w:val="nil"/>
              <w:left w:val="nil"/>
              <w:bottom w:val="nil"/>
              <w:right w:val="nil"/>
            </w:tcBorders>
            <w:shd w:val="clear" w:color="auto" w:fill="auto"/>
            <w:noWrap/>
            <w:vAlign w:val="center"/>
            <w:hideMark/>
          </w:tcPr>
          <w:p w14:paraId="3F752317"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leaves</w:t>
            </w:r>
          </w:p>
        </w:tc>
        <w:tc>
          <w:tcPr>
            <w:tcW w:w="1350" w:type="dxa"/>
            <w:tcBorders>
              <w:top w:val="nil"/>
              <w:left w:val="nil"/>
              <w:bottom w:val="nil"/>
              <w:right w:val="nil"/>
            </w:tcBorders>
            <w:shd w:val="clear" w:color="auto" w:fill="auto"/>
            <w:noWrap/>
            <w:vAlign w:val="center"/>
            <w:hideMark/>
          </w:tcPr>
          <w:p w14:paraId="0BCFF08A"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plant(s)</w:t>
            </w:r>
          </w:p>
        </w:tc>
        <w:tc>
          <w:tcPr>
            <w:tcW w:w="1170" w:type="dxa"/>
            <w:tcBorders>
              <w:top w:val="nil"/>
              <w:left w:val="nil"/>
              <w:bottom w:val="nil"/>
              <w:right w:val="single" w:sz="4" w:space="0" w:color="auto"/>
            </w:tcBorders>
            <w:shd w:val="clear" w:color="auto" w:fill="auto"/>
            <w:noWrap/>
            <w:vAlign w:val="center"/>
            <w:hideMark/>
          </w:tcPr>
          <w:p w14:paraId="434BA70A"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trail(s)</w:t>
            </w:r>
          </w:p>
        </w:tc>
      </w:tr>
      <w:tr w:rsidR="00CC4EA3" w:rsidRPr="00825383" w14:paraId="56958A36" w14:textId="77777777" w:rsidTr="00EA1E14">
        <w:trPr>
          <w:trHeight w:val="312"/>
        </w:trPr>
        <w:tc>
          <w:tcPr>
            <w:tcW w:w="1437" w:type="dxa"/>
            <w:tcBorders>
              <w:top w:val="nil"/>
              <w:left w:val="single" w:sz="4" w:space="0" w:color="auto"/>
              <w:bottom w:val="nil"/>
              <w:right w:val="nil"/>
            </w:tcBorders>
            <w:shd w:val="clear" w:color="auto" w:fill="auto"/>
            <w:noWrap/>
            <w:vAlign w:val="center"/>
            <w:hideMark/>
          </w:tcPr>
          <w:p w14:paraId="58B85916"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crop(s)</w:t>
            </w:r>
          </w:p>
        </w:tc>
        <w:tc>
          <w:tcPr>
            <w:tcW w:w="1262" w:type="dxa"/>
            <w:tcBorders>
              <w:top w:val="nil"/>
              <w:left w:val="nil"/>
              <w:bottom w:val="nil"/>
              <w:right w:val="nil"/>
            </w:tcBorders>
            <w:shd w:val="clear" w:color="auto" w:fill="auto"/>
            <w:noWrap/>
            <w:vAlign w:val="center"/>
            <w:hideMark/>
          </w:tcPr>
          <w:p w14:paraId="333E8DA4"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grass</w:t>
            </w:r>
          </w:p>
        </w:tc>
        <w:tc>
          <w:tcPr>
            <w:tcW w:w="1441" w:type="dxa"/>
            <w:tcBorders>
              <w:top w:val="nil"/>
              <w:left w:val="nil"/>
              <w:bottom w:val="nil"/>
              <w:right w:val="nil"/>
            </w:tcBorders>
            <w:shd w:val="clear" w:color="auto" w:fill="auto"/>
            <w:noWrap/>
            <w:vAlign w:val="center"/>
            <w:hideMark/>
          </w:tcPr>
          <w:p w14:paraId="01CC8E98"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mountain(s)</w:t>
            </w:r>
          </w:p>
        </w:tc>
        <w:tc>
          <w:tcPr>
            <w:tcW w:w="1350" w:type="dxa"/>
            <w:tcBorders>
              <w:top w:val="nil"/>
              <w:left w:val="nil"/>
              <w:bottom w:val="nil"/>
              <w:right w:val="nil"/>
            </w:tcBorders>
            <w:shd w:val="clear" w:color="auto" w:fill="auto"/>
            <w:noWrap/>
            <w:vAlign w:val="center"/>
            <w:hideMark/>
          </w:tcPr>
          <w:p w14:paraId="1F8711AC"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prairie(s)</w:t>
            </w:r>
          </w:p>
        </w:tc>
        <w:tc>
          <w:tcPr>
            <w:tcW w:w="1170" w:type="dxa"/>
            <w:tcBorders>
              <w:top w:val="nil"/>
              <w:left w:val="nil"/>
              <w:bottom w:val="nil"/>
              <w:right w:val="single" w:sz="4" w:space="0" w:color="auto"/>
            </w:tcBorders>
            <w:shd w:val="clear" w:color="auto" w:fill="auto"/>
            <w:noWrap/>
            <w:vAlign w:val="center"/>
            <w:hideMark/>
          </w:tcPr>
          <w:p w14:paraId="1BBDACA9"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tree(s)</w:t>
            </w:r>
          </w:p>
        </w:tc>
      </w:tr>
      <w:tr w:rsidR="00CC4EA3" w:rsidRPr="00825383" w14:paraId="6A8E8F28" w14:textId="77777777" w:rsidTr="00EA1E14">
        <w:trPr>
          <w:trHeight w:val="312"/>
        </w:trPr>
        <w:tc>
          <w:tcPr>
            <w:tcW w:w="1437" w:type="dxa"/>
            <w:tcBorders>
              <w:top w:val="nil"/>
              <w:left w:val="single" w:sz="4" w:space="0" w:color="auto"/>
              <w:bottom w:val="nil"/>
              <w:right w:val="nil"/>
            </w:tcBorders>
            <w:shd w:val="clear" w:color="auto" w:fill="auto"/>
            <w:noWrap/>
            <w:vAlign w:val="center"/>
            <w:hideMark/>
          </w:tcPr>
          <w:p w14:paraId="41E42A03"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field(s)</w:t>
            </w:r>
          </w:p>
        </w:tc>
        <w:tc>
          <w:tcPr>
            <w:tcW w:w="1262" w:type="dxa"/>
            <w:tcBorders>
              <w:top w:val="nil"/>
              <w:left w:val="nil"/>
              <w:bottom w:val="nil"/>
              <w:right w:val="nil"/>
            </w:tcBorders>
            <w:shd w:val="clear" w:color="auto" w:fill="auto"/>
            <w:noWrap/>
            <w:vAlign w:val="center"/>
            <w:hideMark/>
          </w:tcPr>
          <w:p w14:paraId="692C7A3F"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hay</w:t>
            </w:r>
          </w:p>
        </w:tc>
        <w:tc>
          <w:tcPr>
            <w:tcW w:w="1441" w:type="dxa"/>
            <w:tcBorders>
              <w:top w:val="nil"/>
              <w:left w:val="nil"/>
              <w:bottom w:val="nil"/>
              <w:right w:val="nil"/>
            </w:tcBorders>
            <w:shd w:val="clear" w:color="auto" w:fill="auto"/>
            <w:noWrap/>
            <w:vAlign w:val="center"/>
            <w:hideMark/>
          </w:tcPr>
          <w:p w14:paraId="6A5AB5D3"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nature</w:t>
            </w:r>
          </w:p>
        </w:tc>
        <w:tc>
          <w:tcPr>
            <w:tcW w:w="1350" w:type="dxa"/>
            <w:tcBorders>
              <w:top w:val="nil"/>
              <w:left w:val="nil"/>
              <w:bottom w:val="nil"/>
              <w:right w:val="nil"/>
            </w:tcBorders>
            <w:shd w:val="clear" w:color="auto" w:fill="auto"/>
            <w:noWrap/>
            <w:vAlign w:val="center"/>
            <w:hideMark/>
          </w:tcPr>
          <w:p w14:paraId="34FE51EB"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river(s)</w:t>
            </w:r>
          </w:p>
        </w:tc>
        <w:tc>
          <w:tcPr>
            <w:tcW w:w="1170" w:type="dxa"/>
            <w:tcBorders>
              <w:top w:val="nil"/>
              <w:left w:val="nil"/>
              <w:bottom w:val="nil"/>
              <w:right w:val="single" w:sz="4" w:space="0" w:color="auto"/>
            </w:tcBorders>
            <w:shd w:val="clear" w:color="auto" w:fill="auto"/>
            <w:noWrap/>
            <w:vAlign w:val="center"/>
            <w:hideMark/>
          </w:tcPr>
          <w:p w14:paraId="1B997E4A"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woods</w:t>
            </w:r>
          </w:p>
        </w:tc>
      </w:tr>
      <w:tr w:rsidR="00CC4EA3" w:rsidRPr="00825383" w14:paraId="0AD62EF7" w14:textId="77777777" w:rsidTr="00EA1E14">
        <w:trPr>
          <w:trHeight w:val="312"/>
        </w:trPr>
        <w:tc>
          <w:tcPr>
            <w:tcW w:w="1437" w:type="dxa"/>
            <w:tcBorders>
              <w:top w:val="nil"/>
              <w:left w:val="single" w:sz="4" w:space="0" w:color="auto"/>
              <w:bottom w:val="single" w:sz="4" w:space="0" w:color="auto"/>
              <w:right w:val="nil"/>
            </w:tcBorders>
            <w:shd w:val="clear" w:color="auto" w:fill="auto"/>
            <w:noWrap/>
            <w:vAlign w:val="center"/>
            <w:hideMark/>
          </w:tcPr>
          <w:p w14:paraId="7A16ED29"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lastRenderedPageBreak/>
              <w:t>flower(s)</w:t>
            </w:r>
          </w:p>
        </w:tc>
        <w:tc>
          <w:tcPr>
            <w:tcW w:w="1262" w:type="dxa"/>
            <w:tcBorders>
              <w:top w:val="nil"/>
              <w:left w:val="nil"/>
              <w:bottom w:val="single" w:sz="4" w:space="0" w:color="auto"/>
              <w:right w:val="nil"/>
            </w:tcBorders>
            <w:shd w:val="clear" w:color="auto" w:fill="auto"/>
            <w:noWrap/>
            <w:vAlign w:val="center"/>
            <w:hideMark/>
          </w:tcPr>
          <w:p w14:paraId="5C9532DB"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lake(s)</w:t>
            </w:r>
          </w:p>
        </w:tc>
        <w:tc>
          <w:tcPr>
            <w:tcW w:w="1441" w:type="dxa"/>
            <w:tcBorders>
              <w:top w:val="nil"/>
              <w:left w:val="nil"/>
              <w:bottom w:val="single" w:sz="4" w:space="0" w:color="auto"/>
              <w:right w:val="nil"/>
            </w:tcBorders>
            <w:shd w:val="clear" w:color="auto" w:fill="auto"/>
            <w:noWrap/>
            <w:vAlign w:val="center"/>
            <w:hideMark/>
          </w:tcPr>
          <w:p w14:paraId="62CCEA3A"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park(s)</w:t>
            </w:r>
          </w:p>
        </w:tc>
        <w:tc>
          <w:tcPr>
            <w:tcW w:w="1350" w:type="dxa"/>
            <w:tcBorders>
              <w:top w:val="nil"/>
              <w:left w:val="nil"/>
              <w:bottom w:val="single" w:sz="4" w:space="0" w:color="auto"/>
              <w:right w:val="nil"/>
            </w:tcBorders>
            <w:shd w:val="clear" w:color="auto" w:fill="auto"/>
            <w:noWrap/>
            <w:vAlign w:val="center"/>
            <w:hideMark/>
          </w:tcPr>
          <w:p w14:paraId="6A4297C6"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riverside</w:t>
            </w:r>
          </w:p>
        </w:tc>
        <w:tc>
          <w:tcPr>
            <w:tcW w:w="1170" w:type="dxa"/>
            <w:tcBorders>
              <w:top w:val="nil"/>
              <w:left w:val="nil"/>
              <w:bottom w:val="single" w:sz="4" w:space="0" w:color="auto"/>
              <w:right w:val="single" w:sz="4" w:space="0" w:color="auto"/>
            </w:tcBorders>
            <w:shd w:val="clear" w:color="auto" w:fill="auto"/>
            <w:noWrap/>
            <w:vAlign w:val="center"/>
            <w:hideMark/>
          </w:tcPr>
          <w:p w14:paraId="17C56591" w14:textId="77777777" w:rsidR="00CC4EA3" w:rsidRPr="00825383" w:rsidRDefault="00CC4EA3" w:rsidP="00EA1E14">
            <w:pPr>
              <w:spacing w:after="0" w:line="240" w:lineRule="auto"/>
              <w:rPr>
                <w:rFonts w:ascii="Times New Roman" w:eastAsia="Times New Roman" w:hAnsi="Times New Roman" w:cs="Times New Roman"/>
                <w:color w:val="000000"/>
                <w:sz w:val="24"/>
                <w:szCs w:val="24"/>
              </w:rPr>
            </w:pPr>
            <w:r w:rsidRPr="00825383">
              <w:rPr>
                <w:rFonts w:ascii="Times New Roman" w:eastAsia="Times New Roman" w:hAnsi="Times New Roman" w:cs="Times New Roman"/>
                <w:color w:val="000000"/>
                <w:sz w:val="24"/>
                <w:szCs w:val="24"/>
              </w:rPr>
              <w:t>yard(s)</w:t>
            </w:r>
          </w:p>
        </w:tc>
      </w:tr>
    </w:tbl>
    <w:p w14:paraId="3FF5FAA9" w14:textId="66182CEF" w:rsidR="004E64DA" w:rsidRDefault="00CC4EA3" w:rsidP="0003325B">
      <w:pPr>
        <w:spacing w:line="480" w:lineRule="auto"/>
        <w:rPr>
          <w:rFonts w:ascii="Times New Roman" w:hAnsi="Times New Roman" w:cs="Times New Roman"/>
          <w:sz w:val="24"/>
          <w:szCs w:val="24"/>
        </w:rPr>
      </w:pPr>
      <w:r w:rsidRPr="00825383">
        <w:rPr>
          <w:rFonts w:ascii="Times New Roman" w:hAnsi="Times New Roman" w:cs="Times New Roman"/>
          <w:sz w:val="24"/>
          <w:szCs w:val="24"/>
        </w:rPr>
        <w:t xml:space="preserve">Table 2.  Twitter search keywords.  </w:t>
      </w:r>
    </w:p>
    <w:p w14:paraId="4880BE44" w14:textId="2DB1C44A" w:rsidR="004E64DA" w:rsidRPr="004E64DA" w:rsidRDefault="004E64DA" w:rsidP="0003325B">
      <w:pPr>
        <w:spacing w:line="480" w:lineRule="auto"/>
        <w:rPr>
          <w:rFonts w:ascii="Times New Roman" w:hAnsi="Times New Roman" w:cs="Times New Roman"/>
          <w:sz w:val="24"/>
          <w:szCs w:val="24"/>
        </w:rPr>
      </w:pPr>
    </w:p>
    <w:p w14:paraId="04360C46" w14:textId="7AF7B942" w:rsidR="00E943F1" w:rsidRPr="00E943F1" w:rsidRDefault="00E943F1" w:rsidP="003B201D">
      <w:pPr>
        <w:spacing w:line="480" w:lineRule="auto"/>
        <w:rPr>
          <w:rFonts w:ascii="Times New Roman" w:hAnsi="Times New Roman" w:cs="Times New Roman"/>
          <w:i/>
          <w:sz w:val="24"/>
          <w:szCs w:val="24"/>
        </w:rPr>
      </w:pPr>
      <w:r>
        <w:rPr>
          <w:rFonts w:ascii="Times New Roman" w:hAnsi="Times New Roman" w:cs="Times New Roman"/>
          <w:i/>
          <w:sz w:val="24"/>
          <w:szCs w:val="24"/>
        </w:rPr>
        <w:t>Identifying Social Themes</w:t>
      </w:r>
    </w:p>
    <w:p w14:paraId="623F5EC0" w14:textId="6F0A7A99" w:rsidR="004E64DA" w:rsidRDefault="004E64DA" w:rsidP="003B201D">
      <w:pPr>
        <w:spacing w:line="480" w:lineRule="auto"/>
        <w:rPr>
          <w:rFonts w:ascii="Times New Roman" w:hAnsi="Times New Roman" w:cs="Times New Roman"/>
          <w:sz w:val="24"/>
          <w:szCs w:val="24"/>
        </w:rPr>
      </w:pPr>
      <w:r>
        <w:rPr>
          <w:rFonts w:ascii="Times New Roman" w:hAnsi="Times New Roman" w:cs="Times New Roman"/>
          <w:sz w:val="24"/>
          <w:szCs w:val="24"/>
        </w:rPr>
        <w:t>Tweets were then partitioned into eight day intervals referred to this paper as eight day weeks and major themes within the tweet content for each week were identified using term-frequency-inverse document frequency (TF-IDF)</w:t>
      </w:r>
      <w:r w:rsidR="00A86466">
        <w:rPr>
          <w:rFonts w:ascii="Times New Roman" w:hAnsi="Times New Roman" w:cs="Times New Roman"/>
          <w:sz w:val="24"/>
          <w:szCs w:val="24"/>
        </w:rPr>
        <w:t xml:space="preserve"> with the NLTK Python module</w:t>
      </w:r>
      <w:r w:rsidR="0087466C">
        <w:rPr>
          <w:rFonts w:ascii="Times New Roman" w:hAnsi="Times New Roman" w:cs="Times New Roman"/>
          <w:sz w:val="24"/>
          <w:szCs w:val="24"/>
        </w:rPr>
        <w:t xml:space="preserve"> (insert reference)</w:t>
      </w:r>
      <w:r>
        <w:rPr>
          <w:rFonts w:ascii="Times New Roman" w:hAnsi="Times New Roman" w:cs="Times New Roman"/>
          <w:sz w:val="24"/>
          <w:szCs w:val="24"/>
        </w:rPr>
        <w:t xml:space="preserve">.  The author intended to partition Tweets into seven day weeks, but made a coding error that was caught in time to update the paper but not reanalyze study results. TF-IDF analysis identified several themes unrelated to greenspace.  </w:t>
      </w:r>
      <w:r w:rsidR="00181E35">
        <w:rPr>
          <w:rFonts w:ascii="Times New Roman" w:hAnsi="Times New Roman" w:cs="Times New Roman"/>
          <w:sz w:val="24"/>
          <w:szCs w:val="24"/>
        </w:rPr>
        <w:t xml:space="preserve">The responsible ancillary tweets </w:t>
      </w:r>
      <w:r>
        <w:rPr>
          <w:rFonts w:ascii="Times New Roman" w:hAnsi="Times New Roman" w:cs="Times New Roman"/>
          <w:sz w:val="24"/>
          <w:szCs w:val="24"/>
        </w:rPr>
        <w:t>were removed from the dataset before further analysis.</w:t>
      </w:r>
    </w:p>
    <w:p w14:paraId="7982E5AA" w14:textId="650BED21" w:rsidR="0054496F" w:rsidRPr="007C4018" w:rsidRDefault="00155F51" w:rsidP="003B201D">
      <w:pPr>
        <w:spacing w:line="480" w:lineRule="auto"/>
        <w:rPr>
          <w:rFonts w:ascii="Times New Roman" w:hAnsi="Times New Roman" w:cs="Times New Roman"/>
          <w:i/>
          <w:color w:val="222222"/>
          <w:sz w:val="24"/>
          <w:szCs w:val="24"/>
          <w:shd w:val="clear" w:color="auto" w:fill="FFFFFF"/>
        </w:rPr>
      </w:pPr>
      <w:r w:rsidRPr="007C4018">
        <w:rPr>
          <w:rFonts w:ascii="Times New Roman" w:hAnsi="Times New Roman" w:cs="Times New Roman"/>
          <w:i/>
          <w:color w:val="222222"/>
          <w:sz w:val="24"/>
          <w:szCs w:val="24"/>
          <w:shd w:val="clear" w:color="auto" w:fill="FFFFFF"/>
        </w:rPr>
        <w:t xml:space="preserve">Developing </w:t>
      </w:r>
      <w:r w:rsidR="007C4018">
        <w:rPr>
          <w:rFonts w:ascii="Times New Roman" w:hAnsi="Times New Roman" w:cs="Times New Roman"/>
          <w:i/>
          <w:color w:val="222222"/>
          <w:sz w:val="24"/>
          <w:szCs w:val="24"/>
          <w:shd w:val="clear" w:color="auto" w:fill="FFFFFF"/>
        </w:rPr>
        <w:t xml:space="preserve">Latent Constructs for </w:t>
      </w:r>
      <w:r w:rsidR="00DD3A7F" w:rsidRPr="007C4018">
        <w:rPr>
          <w:rFonts w:ascii="Times New Roman" w:hAnsi="Times New Roman" w:cs="Times New Roman"/>
          <w:i/>
          <w:color w:val="222222"/>
          <w:sz w:val="24"/>
          <w:szCs w:val="24"/>
          <w:shd w:val="clear" w:color="auto" w:fill="FFFFFF"/>
        </w:rPr>
        <w:t>Exercise and Ae</w:t>
      </w:r>
      <w:r w:rsidR="009A4224" w:rsidRPr="007C4018">
        <w:rPr>
          <w:rFonts w:ascii="Times New Roman" w:hAnsi="Times New Roman" w:cs="Times New Roman"/>
          <w:i/>
          <w:color w:val="222222"/>
          <w:sz w:val="24"/>
          <w:szCs w:val="24"/>
          <w:shd w:val="clear" w:color="auto" w:fill="FFFFFF"/>
        </w:rPr>
        <w:t>s</w:t>
      </w:r>
      <w:r w:rsidR="00DD3A7F" w:rsidRPr="007C4018">
        <w:rPr>
          <w:rFonts w:ascii="Times New Roman" w:hAnsi="Times New Roman" w:cs="Times New Roman"/>
          <w:i/>
          <w:color w:val="222222"/>
          <w:sz w:val="24"/>
          <w:szCs w:val="24"/>
          <w:shd w:val="clear" w:color="auto" w:fill="FFFFFF"/>
        </w:rPr>
        <w:t>thetic</w:t>
      </w:r>
      <w:r w:rsidRPr="007C4018">
        <w:rPr>
          <w:rFonts w:ascii="Times New Roman" w:hAnsi="Times New Roman" w:cs="Times New Roman"/>
          <w:i/>
          <w:color w:val="222222"/>
          <w:sz w:val="24"/>
          <w:szCs w:val="24"/>
          <w:shd w:val="clear" w:color="auto" w:fill="FFFFFF"/>
        </w:rPr>
        <w:t xml:space="preserve"> </w:t>
      </w:r>
      <w:r w:rsidR="007C4018">
        <w:rPr>
          <w:rFonts w:ascii="Times New Roman" w:hAnsi="Times New Roman" w:cs="Times New Roman"/>
          <w:i/>
          <w:color w:val="222222"/>
          <w:sz w:val="24"/>
          <w:szCs w:val="24"/>
          <w:shd w:val="clear" w:color="auto" w:fill="FFFFFF"/>
        </w:rPr>
        <w:t>Stimulation</w:t>
      </w:r>
    </w:p>
    <w:p w14:paraId="7B75B101" w14:textId="7831CA74" w:rsidR="008A4E7A" w:rsidRDefault="00204BC7" w:rsidP="003B201D">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Visual </w:t>
      </w:r>
      <w:r w:rsidR="007C4018">
        <w:rPr>
          <w:rFonts w:ascii="Times New Roman" w:hAnsi="Times New Roman" w:cs="Times New Roman"/>
          <w:color w:val="222222"/>
          <w:sz w:val="24"/>
          <w:szCs w:val="24"/>
          <w:shd w:val="clear" w:color="auto" w:fill="FFFFFF"/>
        </w:rPr>
        <w:t xml:space="preserve">stimulation and physical exercise are two hypothesized pathways of action for greenspace effects on mental and physical health.  Latent constructs </w:t>
      </w:r>
      <w:r w:rsidR="006645D3">
        <w:rPr>
          <w:rFonts w:ascii="Times New Roman" w:hAnsi="Times New Roman" w:cs="Times New Roman"/>
          <w:color w:val="222222"/>
          <w:sz w:val="24"/>
          <w:szCs w:val="24"/>
          <w:shd w:val="clear" w:color="auto" w:fill="FFFFFF"/>
        </w:rPr>
        <w:t>for these pathways were derived by</w:t>
      </w:r>
      <w:r w:rsidR="005102AC">
        <w:rPr>
          <w:rFonts w:ascii="Times New Roman" w:hAnsi="Times New Roman" w:cs="Times New Roman"/>
          <w:color w:val="222222"/>
          <w:sz w:val="24"/>
          <w:szCs w:val="24"/>
          <w:shd w:val="clear" w:color="auto" w:fill="FFFFFF"/>
        </w:rPr>
        <w:t xml:space="preserve"> developing</w:t>
      </w:r>
      <w:r w:rsidR="006645D3">
        <w:rPr>
          <w:rFonts w:ascii="Times New Roman" w:hAnsi="Times New Roman" w:cs="Times New Roman"/>
          <w:color w:val="222222"/>
          <w:sz w:val="24"/>
          <w:szCs w:val="24"/>
          <w:shd w:val="clear" w:color="auto" w:fill="FFFFFF"/>
        </w:rPr>
        <w:t xml:space="preserve"> topic word lists for each construct (Table 3) and counting the weekly frequency of topic words</w:t>
      </w:r>
      <w:r w:rsidR="006F21EB">
        <w:rPr>
          <w:rFonts w:ascii="Times New Roman" w:hAnsi="Times New Roman" w:cs="Times New Roman"/>
          <w:color w:val="222222"/>
          <w:sz w:val="24"/>
          <w:szCs w:val="24"/>
          <w:shd w:val="clear" w:color="auto" w:fill="FFFFFF"/>
        </w:rPr>
        <w:t xml:space="preserve"> in collected Tweets.</w:t>
      </w:r>
      <w:r w:rsidR="006645D3">
        <w:rPr>
          <w:rFonts w:ascii="Times New Roman" w:hAnsi="Times New Roman" w:cs="Times New Roman"/>
          <w:color w:val="222222"/>
          <w:sz w:val="24"/>
          <w:szCs w:val="24"/>
          <w:shd w:val="clear" w:color="auto" w:fill="FFFFFF"/>
        </w:rPr>
        <w:t xml:space="preserve">  </w:t>
      </w:r>
      <w:r w:rsidR="006F21EB">
        <w:rPr>
          <w:rFonts w:ascii="Times New Roman" w:hAnsi="Times New Roman" w:cs="Times New Roman"/>
          <w:color w:val="222222"/>
          <w:sz w:val="24"/>
          <w:szCs w:val="24"/>
          <w:shd w:val="clear" w:color="auto" w:fill="FFFFFF"/>
        </w:rPr>
        <w:t>T</w:t>
      </w:r>
      <w:r w:rsidR="006645D3">
        <w:rPr>
          <w:rFonts w:ascii="Times New Roman" w:hAnsi="Times New Roman" w:cs="Times New Roman"/>
          <w:color w:val="222222"/>
          <w:sz w:val="24"/>
          <w:szCs w:val="24"/>
          <w:shd w:val="clear" w:color="auto" w:fill="FFFFFF"/>
        </w:rPr>
        <w:t xml:space="preserve">o ensure </w:t>
      </w:r>
      <w:r w:rsidR="005102AC">
        <w:rPr>
          <w:rFonts w:ascii="Times New Roman" w:hAnsi="Times New Roman" w:cs="Times New Roman"/>
          <w:color w:val="222222"/>
          <w:sz w:val="24"/>
          <w:szCs w:val="24"/>
          <w:shd w:val="clear" w:color="auto" w:fill="FFFFFF"/>
        </w:rPr>
        <w:t xml:space="preserve">topic words were directly </w:t>
      </w:r>
      <w:r w:rsidR="00E2578E">
        <w:rPr>
          <w:rFonts w:ascii="Times New Roman" w:hAnsi="Times New Roman" w:cs="Times New Roman"/>
          <w:color w:val="222222"/>
          <w:sz w:val="24"/>
          <w:szCs w:val="24"/>
          <w:shd w:val="clear" w:color="auto" w:fill="FFFFFF"/>
        </w:rPr>
        <w:t>related to</w:t>
      </w:r>
      <w:r w:rsidR="005102AC">
        <w:rPr>
          <w:rFonts w:ascii="Times New Roman" w:hAnsi="Times New Roman" w:cs="Times New Roman"/>
          <w:color w:val="222222"/>
          <w:sz w:val="24"/>
          <w:szCs w:val="24"/>
          <w:shd w:val="clear" w:color="auto" w:fill="FFFFFF"/>
        </w:rPr>
        <w:t xml:space="preserve"> greenspace</w:t>
      </w:r>
      <w:r w:rsidR="00E2578E">
        <w:rPr>
          <w:rFonts w:ascii="Times New Roman" w:hAnsi="Times New Roman" w:cs="Times New Roman"/>
          <w:color w:val="222222"/>
          <w:sz w:val="24"/>
          <w:szCs w:val="24"/>
          <w:shd w:val="clear" w:color="auto" w:fill="FFFFFF"/>
        </w:rPr>
        <w:t xml:space="preserve"> rather than </w:t>
      </w:r>
      <w:r w:rsidR="00A334D9">
        <w:rPr>
          <w:rFonts w:ascii="Times New Roman" w:hAnsi="Times New Roman" w:cs="Times New Roman"/>
          <w:color w:val="222222"/>
          <w:sz w:val="24"/>
          <w:szCs w:val="24"/>
          <w:shd w:val="clear" w:color="auto" w:fill="FFFFFF"/>
        </w:rPr>
        <w:t>other sentence</w:t>
      </w:r>
      <w:r w:rsidR="006270CA">
        <w:rPr>
          <w:rFonts w:ascii="Times New Roman" w:hAnsi="Times New Roman" w:cs="Times New Roman"/>
          <w:color w:val="222222"/>
          <w:sz w:val="24"/>
          <w:szCs w:val="24"/>
          <w:shd w:val="clear" w:color="auto" w:fill="FFFFFF"/>
        </w:rPr>
        <w:t xml:space="preserve"> nouns</w:t>
      </w:r>
      <w:r w:rsidR="005102AC">
        <w:rPr>
          <w:rFonts w:ascii="Times New Roman" w:hAnsi="Times New Roman" w:cs="Times New Roman"/>
          <w:color w:val="222222"/>
          <w:sz w:val="24"/>
          <w:szCs w:val="24"/>
          <w:shd w:val="clear" w:color="auto" w:fill="FFFFFF"/>
        </w:rPr>
        <w:t xml:space="preserve">, Tweets were </w:t>
      </w:r>
      <w:r w:rsidR="00C561C5">
        <w:rPr>
          <w:rFonts w:ascii="Times New Roman" w:hAnsi="Times New Roman" w:cs="Times New Roman"/>
          <w:color w:val="222222"/>
          <w:sz w:val="24"/>
          <w:szCs w:val="24"/>
          <w:shd w:val="clear" w:color="auto" w:fill="FFFFFF"/>
        </w:rPr>
        <w:t>lemm</w:t>
      </w:r>
      <w:r w:rsidR="005102AC">
        <w:rPr>
          <w:rFonts w:ascii="Times New Roman" w:hAnsi="Times New Roman" w:cs="Times New Roman"/>
          <w:color w:val="222222"/>
          <w:sz w:val="24"/>
          <w:szCs w:val="24"/>
          <w:shd w:val="clear" w:color="auto" w:fill="FFFFFF"/>
        </w:rPr>
        <w:t xml:space="preserve">atized and tagged using the </w:t>
      </w:r>
      <w:r w:rsidR="00E2578E">
        <w:rPr>
          <w:rFonts w:ascii="Times New Roman" w:hAnsi="Times New Roman" w:cs="Times New Roman"/>
          <w:color w:val="222222"/>
          <w:sz w:val="24"/>
          <w:szCs w:val="24"/>
          <w:shd w:val="clear" w:color="auto" w:fill="FFFFFF"/>
        </w:rPr>
        <w:t xml:space="preserve">Stanford NLP </w:t>
      </w:r>
      <w:r w:rsidR="006645D3">
        <w:rPr>
          <w:rFonts w:ascii="Times New Roman" w:hAnsi="Times New Roman" w:cs="Times New Roman"/>
          <w:color w:val="222222"/>
          <w:sz w:val="24"/>
          <w:szCs w:val="24"/>
          <w:shd w:val="clear" w:color="auto" w:fill="FFFFFF"/>
        </w:rPr>
        <w:t>Part of</w:t>
      </w:r>
      <w:r w:rsidR="000B19D5">
        <w:rPr>
          <w:rFonts w:ascii="Times New Roman" w:hAnsi="Times New Roman" w:cs="Times New Roman"/>
          <w:color w:val="222222"/>
          <w:sz w:val="24"/>
          <w:szCs w:val="24"/>
          <w:shd w:val="clear" w:color="auto" w:fill="FFFFFF"/>
        </w:rPr>
        <w:t xml:space="preserve"> Speech Tagger (</w:t>
      </w:r>
      <w:r w:rsidR="000B19D5" w:rsidRPr="00603BAF">
        <w:rPr>
          <w:rFonts w:ascii="Times New Roman" w:hAnsi="Times New Roman" w:cs="Times New Roman"/>
          <w:sz w:val="24"/>
        </w:rPr>
        <w:t>Manning</w:t>
      </w:r>
      <w:r w:rsidR="000B19D5">
        <w:rPr>
          <w:rFonts w:ascii="Times New Roman" w:hAnsi="Times New Roman" w:cs="Times New Roman"/>
          <w:sz w:val="24"/>
        </w:rPr>
        <w:t xml:space="preserve"> et al., 2014</w:t>
      </w:r>
      <w:r w:rsidR="006645D3">
        <w:rPr>
          <w:rFonts w:ascii="Times New Roman" w:hAnsi="Times New Roman" w:cs="Times New Roman"/>
          <w:color w:val="222222"/>
          <w:sz w:val="24"/>
          <w:szCs w:val="24"/>
          <w:shd w:val="clear" w:color="auto" w:fill="FFFFFF"/>
        </w:rPr>
        <w:t>)</w:t>
      </w:r>
      <w:r w:rsidR="005102AC">
        <w:rPr>
          <w:rFonts w:ascii="Times New Roman" w:hAnsi="Times New Roman" w:cs="Times New Roman"/>
          <w:color w:val="222222"/>
          <w:sz w:val="24"/>
          <w:szCs w:val="24"/>
          <w:shd w:val="clear" w:color="auto" w:fill="FFFFFF"/>
        </w:rPr>
        <w:t xml:space="preserve">.  Only topic words with a </w:t>
      </w:r>
      <w:r w:rsidR="00DF298D">
        <w:rPr>
          <w:rFonts w:ascii="Times New Roman" w:hAnsi="Times New Roman" w:cs="Times New Roman"/>
          <w:color w:val="222222"/>
          <w:sz w:val="24"/>
          <w:szCs w:val="24"/>
          <w:shd w:val="clear" w:color="auto" w:fill="FFFFFF"/>
        </w:rPr>
        <w:t>syntactic relationship</w:t>
      </w:r>
      <w:r w:rsidR="005102AC">
        <w:rPr>
          <w:rFonts w:ascii="Times New Roman" w:hAnsi="Times New Roman" w:cs="Times New Roman"/>
          <w:color w:val="222222"/>
          <w:sz w:val="24"/>
          <w:szCs w:val="24"/>
          <w:shd w:val="clear" w:color="auto" w:fill="FFFFFF"/>
        </w:rPr>
        <w:t xml:space="preserve"> to one of the Twitter search keywords listed in Table 2 were included in frequency counts. </w:t>
      </w:r>
    </w:p>
    <w:tbl>
      <w:tblPr>
        <w:tblW w:w="1920" w:type="dxa"/>
        <w:tblLook w:val="04A0" w:firstRow="1" w:lastRow="0" w:firstColumn="1" w:lastColumn="0" w:noHBand="0" w:noVBand="1"/>
      </w:tblPr>
      <w:tblGrid>
        <w:gridCol w:w="960"/>
        <w:gridCol w:w="1055"/>
      </w:tblGrid>
      <w:tr w:rsidR="00D65058" w:rsidRPr="00D65058" w14:paraId="50FDC816" w14:textId="77777777" w:rsidTr="00D65058">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163DD3B" w14:textId="77777777"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Exercise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2B08D0" w14:textId="1EB6A169"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Aesthetic</w:t>
            </w:r>
          </w:p>
        </w:tc>
      </w:tr>
      <w:tr w:rsidR="00D65058" w:rsidRPr="00D65058" w14:paraId="620C51A2" w14:textId="77777777" w:rsidTr="00D65058">
        <w:trPr>
          <w:trHeight w:val="300"/>
        </w:trPr>
        <w:tc>
          <w:tcPr>
            <w:tcW w:w="960" w:type="dxa"/>
            <w:tcBorders>
              <w:top w:val="nil"/>
              <w:left w:val="single" w:sz="4" w:space="0" w:color="auto"/>
              <w:bottom w:val="nil"/>
              <w:right w:val="nil"/>
            </w:tcBorders>
            <w:shd w:val="clear" w:color="auto" w:fill="auto"/>
            <w:noWrap/>
            <w:vAlign w:val="bottom"/>
            <w:hideMark/>
          </w:tcPr>
          <w:p w14:paraId="32F1DA7F" w14:textId="77777777"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Hike</w:t>
            </w:r>
          </w:p>
        </w:tc>
        <w:tc>
          <w:tcPr>
            <w:tcW w:w="960" w:type="dxa"/>
            <w:tcBorders>
              <w:top w:val="nil"/>
              <w:left w:val="nil"/>
              <w:bottom w:val="nil"/>
              <w:right w:val="single" w:sz="4" w:space="0" w:color="auto"/>
            </w:tcBorders>
            <w:shd w:val="clear" w:color="auto" w:fill="auto"/>
            <w:noWrap/>
            <w:vAlign w:val="bottom"/>
            <w:hideMark/>
          </w:tcPr>
          <w:p w14:paraId="03580033" w14:textId="77777777"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View</w:t>
            </w:r>
          </w:p>
        </w:tc>
      </w:tr>
      <w:tr w:rsidR="00D65058" w:rsidRPr="00D65058" w14:paraId="61A81A62" w14:textId="77777777" w:rsidTr="00D65058">
        <w:trPr>
          <w:trHeight w:val="300"/>
        </w:trPr>
        <w:tc>
          <w:tcPr>
            <w:tcW w:w="960" w:type="dxa"/>
            <w:tcBorders>
              <w:top w:val="nil"/>
              <w:left w:val="single" w:sz="4" w:space="0" w:color="auto"/>
              <w:bottom w:val="nil"/>
              <w:right w:val="nil"/>
            </w:tcBorders>
            <w:shd w:val="clear" w:color="auto" w:fill="auto"/>
            <w:noWrap/>
            <w:vAlign w:val="bottom"/>
            <w:hideMark/>
          </w:tcPr>
          <w:p w14:paraId="0DA49B08" w14:textId="77777777"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Walk</w:t>
            </w:r>
          </w:p>
        </w:tc>
        <w:tc>
          <w:tcPr>
            <w:tcW w:w="960" w:type="dxa"/>
            <w:tcBorders>
              <w:top w:val="nil"/>
              <w:left w:val="nil"/>
              <w:bottom w:val="nil"/>
              <w:right w:val="single" w:sz="4" w:space="0" w:color="auto"/>
            </w:tcBorders>
            <w:shd w:val="clear" w:color="auto" w:fill="auto"/>
            <w:noWrap/>
            <w:vAlign w:val="bottom"/>
            <w:hideMark/>
          </w:tcPr>
          <w:p w14:paraId="7EDC39F3" w14:textId="77777777"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Beautiful</w:t>
            </w:r>
          </w:p>
        </w:tc>
      </w:tr>
      <w:tr w:rsidR="00D65058" w:rsidRPr="00D65058" w14:paraId="5B700D1B" w14:textId="77777777" w:rsidTr="00D65058">
        <w:trPr>
          <w:trHeight w:val="300"/>
        </w:trPr>
        <w:tc>
          <w:tcPr>
            <w:tcW w:w="960" w:type="dxa"/>
            <w:tcBorders>
              <w:top w:val="nil"/>
              <w:left w:val="single" w:sz="4" w:space="0" w:color="auto"/>
              <w:bottom w:val="nil"/>
              <w:right w:val="nil"/>
            </w:tcBorders>
            <w:shd w:val="clear" w:color="auto" w:fill="auto"/>
            <w:noWrap/>
            <w:vAlign w:val="bottom"/>
            <w:hideMark/>
          </w:tcPr>
          <w:p w14:paraId="09090C3A" w14:textId="77777777"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play</w:t>
            </w:r>
          </w:p>
        </w:tc>
        <w:tc>
          <w:tcPr>
            <w:tcW w:w="960" w:type="dxa"/>
            <w:tcBorders>
              <w:top w:val="nil"/>
              <w:left w:val="nil"/>
              <w:bottom w:val="nil"/>
              <w:right w:val="single" w:sz="4" w:space="0" w:color="auto"/>
            </w:tcBorders>
            <w:shd w:val="clear" w:color="auto" w:fill="auto"/>
            <w:noWrap/>
            <w:vAlign w:val="bottom"/>
            <w:hideMark/>
          </w:tcPr>
          <w:p w14:paraId="3B26D2C1" w14:textId="77777777"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Sunset</w:t>
            </w:r>
          </w:p>
        </w:tc>
      </w:tr>
      <w:tr w:rsidR="00D65058" w:rsidRPr="00D65058" w14:paraId="449C43BC" w14:textId="77777777" w:rsidTr="00D6505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B39A39" w14:textId="77777777"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run</w:t>
            </w:r>
          </w:p>
        </w:tc>
        <w:tc>
          <w:tcPr>
            <w:tcW w:w="960" w:type="dxa"/>
            <w:tcBorders>
              <w:top w:val="nil"/>
              <w:left w:val="nil"/>
              <w:bottom w:val="single" w:sz="4" w:space="0" w:color="auto"/>
              <w:right w:val="single" w:sz="4" w:space="0" w:color="auto"/>
            </w:tcBorders>
            <w:shd w:val="clear" w:color="auto" w:fill="auto"/>
            <w:noWrap/>
            <w:vAlign w:val="bottom"/>
            <w:hideMark/>
          </w:tcPr>
          <w:p w14:paraId="29307F9C" w14:textId="77777777" w:rsidR="00D65058" w:rsidRPr="00D65058" w:rsidRDefault="00D65058" w:rsidP="00D65058">
            <w:pPr>
              <w:spacing w:after="0" w:line="240" w:lineRule="auto"/>
              <w:rPr>
                <w:rFonts w:ascii="Calibri" w:eastAsia="Times New Roman" w:hAnsi="Calibri" w:cs="Calibri"/>
                <w:color w:val="000000"/>
              </w:rPr>
            </w:pPr>
            <w:r w:rsidRPr="00D65058">
              <w:rPr>
                <w:rFonts w:ascii="Calibri" w:eastAsia="Times New Roman" w:hAnsi="Calibri" w:cs="Calibri"/>
                <w:color w:val="000000"/>
              </w:rPr>
              <w:t>green</w:t>
            </w:r>
          </w:p>
        </w:tc>
      </w:tr>
    </w:tbl>
    <w:p w14:paraId="67FC8C91" w14:textId="14BFB6A8" w:rsidR="00C4447C" w:rsidRDefault="00D65058" w:rsidP="003B201D">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Table 2.  Topic words for Exercise and Aesthetic latent constructs.  </w:t>
      </w:r>
    </w:p>
    <w:p w14:paraId="3D4A1529" w14:textId="77777777" w:rsidR="00DF298D" w:rsidRPr="00825383" w:rsidRDefault="00DF298D" w:rsidP="00DF298D">
      <w:pPr>
        <w:spacing w:line="480" w:lineRule="auto"/>
        <w:rPr>
          <w:rFonts w:ascii="Times New Roman" w:hAnsi="Times New Roman" w:cs="Times New Roman"/>
          <w:sz w:val="24"/>
          <w:szCs w:val="24"/>
        </w:rPr>
      </w:pPr>
      <w:r w:rsidRPr="00825383">
        <w:rPr>
          <w:rFonts w:ascii="Times New Roman" w:hAnsi="Times New Roman" w:cs="Times New Roman"/>
          <w:noProof/>
          <w:sz w:val="24"/>
          <w:szCs w:val="24"/>
        </w:rPr>
        <w:drawing>
          <wp:inline distT="0" distB="0" distL="0" distR="0" wp14:anchorId="3F3DB7A8" wp14:editId="3DBB8B9D">
            <wp:extent cx="3457575" cy="24880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LP_exam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7575" cy="2488028"/>
                    </a:xfrm>
                    <a:prstGeom prst="rect">
                      <a:avLst/>
                    </a:prstGeom>
                  </pic:spPr>
                </pic:pic>
              </a:graphicData>
            </a:graphic>
          </wp:inline>
        </w:drawing>
      </w:r>
    </w:p>
    <w:p w14:paraId="1A1FA5D3" w14:textId="5C60A372" w:rsidR="00447E1A" w:rsidRDefault="00DF298D" w:rsidP="00E2578E">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1.  Example t</w:t>
      </w:r>
      <w:r w:rsidRPr="00825383">
        <w:rPr>
          <w:rFonts w:ascii="Times New Roman" w:hAnsi="Times New Roman" w:cs="Times New Roman"/>
          <w:sz w:val="24"/>
          <w:szCs w:val="24"/>
        </w:rPr>
        <w:t>weet and output produced by the Stanford NLP.  Keyword syntactic relationships are highlighted in red.</w:t>
      </w:r>
      <w:r w:rsidR="00E2578E">
        <w:rPr>
          <w:rFonts w:ascii="Times New Roman" w:hAnsi="Times New Roman" w:cs="Times New Roman"/>
          <w:sz w:val="24"/>
          <w:szCs w:val="24"/>
        </w:rPr>
        <w:t xml:space="preserve">  In this example sentence, only the words ‘the’ and ‘beautiful’</w:t>
      </w:r>
      <w:r w:rsidR="00436E26">
        <w:rPr>
          <w:rFonts w:ascii="Times New Roman" w:hAnsi="Times New Roman" w:cs="Times New Roman"/>
          <w:sz w:val="24"/>
          <w:szCs w:val="24"/>
        </w:rPr>
        <w:t xml:space="preserve"> </w:t>
      </w:r>
      <w:r w:rsidR="007268ED">
        <w:rPr>
          <w:rFonts w:ascii="Times New Roman" w:hAnsi="Times New Roman" w:cs="Times New Roman"/>
          <w:sz w:val="24"/>
          <w:szCs w:val="24"/>
        </w:rPr>
        <w:t xml:space="preserve">have a syntactic relationship between the word ‘trees’ and </w:t>
      </w:r>
      <w:r w:rsidR="00436E26">
        <w:rPr>
          <w:rFonts w:ascii="Times New Roman" w:hAnsi="Times New Roman" w:cs="Times New Roman"/>
          <w:sz w:val="24"/>
          <w:szCs w:val="24"/>
        </w:rPr>
        <w:t>would be co</w:t>
      </w:r>
      <w:r w:rsidR="00556930">
        <w:rPr>
          <w:rFonts w:ascii="Times New Roman" w:hAnsi="Times New Roman" w:cs="Times New Roman"/>
          <w:sz w:val="24"/>
          <w:szCs w:val="24"/>
        </w:rPr>
        <w:t>nsidered when deriving word frequencies.</w:t>
      </w:r>
    </w:p>
    <w:p w14:paraId="5DE4A71D" w14:textId="0AC13455" w:rsidR="00501599" w:rsidRDefault="00436E26" w:rsidP="00E2578E">
      <w:pPr>
        <w:spacing w:line="480" w:lineRule="auto"/>
        <w:rPr>
          <w:rFonts w:ascii="Times New Roman" w:hAnsi="Times New Roman" w:cs="Times New Roman"/>
          <w:i/>
          <w:sz w:val="24"/>
          <w:szCs w:val="24"/>
        </w:rPr>
      </w:pPr>
      <w:r>
        <w:rPr>
          <w:rFonts w:ascii="Times New Roman" w:hAnsi="Times New Roman" w:cs="Times New Roman"/>
          <w:i/>
          <w:sz w:val="24"/>
          <w:szCs w:val="24"/>
        </w:rPr>
        <w:t>Sentiment</w:t>
      </w:r>
      <w:r w:rsidR="007F4FAE">
        <w:rPr>
          <w:rFonts w:ascii="Times New Roman" w:hAnsi="Times New Roman" w:cs="Times New Roman"/>
          <w:i/>
          <w:sz w:val="24"/>
          <w:szCs w:val="24"/>
        </w:rPr>
        <w:t xml:space="preserve"> Analysis</w:t>
      </w:r>
    </w:p>
    <w:p w14:paraId="56B0C4B2" w14:textId="093FD4FF" w:rsidR="00E2578E" w:rsidRDefault="00501599" w:rsidP="00E2578E">
      <w:pPr>
        <w:spacing w:line="480" w:lineRule="auto"/>
        <w:rPr>
          <w:rFonts w:ascii="Times New Roman" w:hAnsi="Times New Roman" w:cs="Times New Roman"/>
          <w:sz w:val="24"/>
          <w:szCs w:val="24"/>
        </w:rPr>
      </w:pPr>
      <w:r>
        <w:rPr>
          <w:rFonts w:ascii="Times New Roman" w:hAnsi="Times New Roman" w:cs="Times New Roman"/>
          <w:sz w:val="24"/>
          <w:szCs w:val="24"/>
        </w:rPr>
        <w:t xml:space="preserve">Estimated sentiment for each </w:t>
      </w:r>
      <w:r w:rsidR="007074D3">
        <w:rPr>
          <w:rFonts w:ascii="Times New Roman" w:hAnsi="Times New Roman" w:cs="Times New Roman"/>
          <w:sz w:val="24"/>
          <w:szCs w:val="24"/>
        </w:rPr>
        <w:t>tweet was derived using the VADER</w:t>
      </w:r>
      <w:r>
        <w:rPr>
          <w:rFonts w:ascii="Times New Roman" w:hAnsi="Times New Roman" w:cs="Times New Roman"/>
          <w:sz w:val="24"/>
          <w:szCs w:val="24"/>
        </w:rPr>
        <w:t xml:space="preserve"> sentiment intensity analyzer within the Pytho</w:t>
      </w:r>
      <w:r w:rsidR="00320F8C">
        <w:rPr>
          <w:rFonts w:ascii="Times New Roman" w:hAnsi="Times New Roman" w:cs="Times New Roman"/>
          <w:sz w:val="24"/>
          <w:szCs w:val="24"/>
        </w:rPr>
        <w:t>n NLTK library (Hutto and Gilbert, 2014</w:t>
      </w:r>
      <w:r>
        <w:rPr>
          <w:rFonts w:ascii="Times New Roman" w:hAnsi="Times New Roman" w:cs="Times New Roman"/>
          <w:sz w:val="24"/>
          <w:szCs w:val="24"/>
        </w:rPr>
        <w:t xml:space="preserve">).  Sentiments were averaged for each week, excluding sentiments with positive and negative partial likelihood scores of 0 (i.e. no positive or negative content in tweet).  </w:t>
      </w:r>
    </w:p>
    <w:p w14:paraId="27CBCAC4" w14:textId="60BC6028" w:rsidR="008E29AE" w:rsidRDefault="00B92AD7" w:rsidP="00E2578E">
      <w:pPr>
        <w:spacing w:line="480" w:lineRule="auto"/>
        <w:rPr>
          <w:rFonts w:ascii="Times New Roman" w:hAnsi="Times New Roman" w:cs="Times New Roman"/>
          <w:sz w:val="24"/>
          <w:szCs w:val="24"/>
        </w:rPr>
      </w:pPr>
      <w:r>
        <w:rPr>
          <w:rFonts w:ascii="Times New Roman" w:hAnsi="Times New Roman" w:cs="Times New Roman"/>
          <w:i/>
          <w:sz w:val="24"/>
          <w:szCs w:val="24"/>
        </w:rPr>
        <w:t>Time series analysis</w:t>
      </w:r>
      <w:r>
        <w:rPr>
          <w:rFonts w:ascii="Times New Roman" w:hAnsi="Times New Roman" w:cs="Times New Roman"/>
          <w:sz w:val="24"/>
          <w:szCs w:val="24"/>
        </w:rPr>
        <w:t xml:space="preserve"> </w:t>
      </w:r>
    </w:p>
    <w:p w14:paraId="35C1DAD7" w14:textId="264C2DE2" w:rsidR="008E29AE" w:rsidRDefault="008E29AE" w:rsidP="00E2578E">
      <w:pPr>
        <w:spacing w:line="480" w:lineRule="auto"/>
        <w:rPr>
          <w:rFonts w:ascii="Times New Roman" w:hAnsi="Times New Roman" w:cs="Times New Roman"/>
          <w:i/>
          <w:sz w:val="24"/>
          <w:szCs w:val="24"/>
        </w:rPr>
      </w:pPr>
      <w:r>
        <w:rPr>
          <w:rFonts w:ascii="Times New Roman" w:hAnsi="Times New Roman" w:cs="Times New Roman"/>
          <w:sz w:val="24"/>
          <w:szCs w:val="24"/>
        </w:rPr>
        <w:t>Weekly word frequency, latent construct scores, and sentiment scores were plotted as a function of time. C</w:t>
      </w:r>
      <w:r w:rsidR="000F583E">
        <w:rPr>
          <w:rFonts w:ascii="Times New Roman" w:hAnsi="Times New Roman" w:cs="Times New Roman"/>
          <w:sz w:val="24"/>
          <w:szCs w:val="24"/>
        </w:rPr>
        <w:t xml:space="preserve">orrelations </w:t>
      </w:r>
      <w:r>
        <w:rPr>
          <w:rFonts w:ascii="Times New Roman" w:hAnsi="Times New Roman" w:cs="Times New Roman"/>
          <w:sz w:val="24"/>
          <w:szCs w:val="24"/>
        </w:rPr>
        <w:t xml:space="preserve">scores </w:t>
      </w:r>
      <w:r w:rsidR="000F583E">
        <w:rPr>
          <w:rFonts w:ascii="Times New Roman" w:hAnsi="Times New Roman" w:cs="Times New Roman"/>
          <w:sz w:val="24"/>
          <w:szCs w:val="24"/>
        </w:rPr>
        <w:t xml:space="preserve">and sentiment were derived and compared to identify interactions between hypothesized social, psychological, and physical pathways of action.  </w:t>
      </w:r>
    </w:p>
    <w:p w14:paraId="45751647" w14:textId="77777777" w:rsidR="0015721E" w:rsidRDefault="00EA1174" w:rsidP="00E2578E">
      <w:pPr>
        <w:spacing w:line="480" w:lineRule="auto"/>
        <w:rPr>
          <w:rFonts w:ascii="Times New Roman" w:hAnsi="Times New Roman" w:cs="Times New Roman"/>
          <w:sz w:val="24"/>
          <w:szCs w:val="24"/>
        </w:rPr>
      </w:pPr>
      <w:r>
        <w:rPr>
          <w:rFonts w:ascii="Times New Roman" w:hAnsi="Times New Roman" w:cs="Times New Roman"/>
          <w:i/>
          <w:sz w:val="24"/>
          <w:szCs w:val="24"/>
        </w:rPr>
        <w:lastRenderedPageBreak/>
        <w:t>Results</w:t>
      </w:r>
    </w:p>
    <w:p w14:paraId="042CD7CA" w14:textId="77777777" w:rsidR="00C915B8" w:rsidRDefault="0015721E" w:rsidP="00E2578E">
      <w:pPr>
        <w:spacing w:line="480" w:lineRule="auto"/>
        <w:rPr>
          <w:rFonts w:ascii="Times New Roman" w:hAnsi="Times New Roman" w:cs="Times New Roman"/>
          <w:sz w:val="24"/>
          <w:szCs w:val="24"/>
        </w:rPr>
      </w:pPr>
      <w:r>
        <w:rPr>
          <w:rFonts w:ascii="Times New Roman" w:hAnsi="Times New Roman" w:cs="Times New Roman"/>
          <w:sz w:val="24"/>
          <w:szCs w:val="24"/>
        </w:rPr>
        <w:t>We collected 72,007 Tweets that met inclusion criteria.  Among 100 tweets randomly sampled from included tweets, 84 were directly relevant to greenspace, 81 of which direc</w:t>
      </w:r>
      <w:r w:rsidR="00325816">
        <w:rPr>
          <w:rFonts w:ascii="Times New Roman" w:hAnsi="Times New Roman" w:cs="Times New Roman"/>
          <w:sz w:val="24"/>
          <w:szCs w:val="24"/>
        </w:rPr>
        <w:t>tly relevant to</w:t>
      </w:r>
      <w:r>
        <w:rPr>
          <w:rFonts w:ascii="Times New Roman" w:hAnsi="Times New Roman" w:cs="Times New Roman"/>
          <w:sz w:val="24"/>
          <w:szCs w:val="24"/>
        </w:rPr>
        <w:t xml:space="preserve"> </w:t>
      </w:r>
      <w:r w:rsidR="00325816">
        <w:rPr>
          <w:rFonts w:ascii="Times New Roman" w:hAnsi="Times New Roman" w:cs="Times New Roman"/>
          <w:sz w:val="24"/>
          <w:szCs w:val="24"/>
        </w:rPr>
        <w:t>greenspace conditions in the Portland, OR region</w:t>
      </w:r>
      <w:r w:rsidR="00A4700B">
        <w:rPr>
          <w:rFonts w:ascii="Times New Roman" w:hAnsi="Times New Roman" w:cs="Times New Roman"/>
          <w:sz w:val="24"/>
          <w:szCs w:val="24"/>
        </w:rPr>
        <w:t xml:space="preserve">.  </w:t>
      </w:r>
      <w:r w:rsidR="00A027AD">
        <w:rPr>
          <w:rFonts w:ascii="Times New Roman" w:hAnsi="Times New Roman" w:cs="Times New Roman"/>
          <w:sz w:val="24"/>
          <w:szCs w:val="24"/>
        </w:rPr>
        <w:t xml:space="preserve">Out of </w:t>
      </w:r>
      <w:r w:rsidR="00325816">
        <w:rPr>
          <w:rFonts w:ascii="Times New Roman" w:hAnsi="Times New Roman" w:cs="Times New Roman"/>
          <w:sz w:val="24"/>
          <w:szCs w:val="24"/>
        </w:rPr>
        <w:t>300 days of coverage, 12</w:t>
      </w:r>
      <w:r w:rsidR="00A027AD">
        <w:rPr>
          <w:rFonts w:ascii="Times New Roman" w:hAnsi="Times New Roman" w:cs="Times New Roman"/>
          <w:sz w:val="24"/>
          <w:szCs w:val="24"/>
        </w:rPr>
        <w:t xml:space="preserve"> days (</w:t>
      </w:r>
      <w:r w:rsidR="00325816">
        <w:rPr>
          <w:rFonts w:ascii="Times New Roman" w:hAnsi="Times New Roman" w:cs="Times New Roman"/>
          <w:sz w:val="24"/>
          <w:szCs w:val="24"/>
        </w:rPr>
        <w:t xml:space="preserve">4%) have partial temporal coverage due to logistical difficulties.  Inspection of partial tweet content and historical records suggest no major events occurred on the days of partial coverage.   </w:t>
      </w:r>
    </w:p>
    <w:p w14:paraId="6FE3B626" w14:textId="57FA7606" w:rsidR="007F4FAE" w:rsidRDefault="00D74434" w:rsidP="00E2578E">
      <w:pPr>
        <w:spacing w:line="480" w:lineRule="auto"/>
        <w:rPr>
          <w:rFonts w:ascii="Times New Roman" w:hAnsi="Times New Roman" w:cs="Times New Roman"/>
          <w:sz w:val="24"/>
          <w:szCs w:val="24"/>
        </w:rPr>
      </w:pPr>
      <w:r>
        <w:rPr>
          <w:rFonts w:ascii="Times New Roman" w:hAnsi="Times New Roman" w:cs="Times New Roman"/>
          <w:sz w:val="24"/>
          <w:szCs w:val="24"/>
        </w:rPr>
        <w:t>Trigrams with TF-IDF scores greater than 0.1 are shown below in Table 3.</w:t>
      </w:r>
      <w:r w:rsidR="00367DB9">
        <w:rPr>
          <w:rFonts w:ascii="Times New Roman" w:hAnsi="Times New Roman" w:cs="Times New Roman"/>
          <w:sz w:val="24"/>
          <w:szCs w:val="24"/>
        </w:rPr>
        <w:t xml:space="preserve">  Each trigram corresponds to a significant local or national event related to greenspace.  </w:t>
      </w:r>
      <w:r w:rsidR="000F583E">
        <w:rPr>
          <w:rFonts w:ascii="Times New Roman" w:hAnsi="Times New Roman" w:cs="Times New Roman"/>
          <w:sz w:val="24"/>
          <w:szCs w:val="24"/>
        </w:rPr>
        <w:t>For example, d</w:t>
      </w:r>
      <w:r w:rsidR="00367DB9">
        <w:rPr>
          <w:rFonts w:ascii="Times New Roman" w:hAnsi="Times New Roman" w:cs="Times New Roman"/>
          <w:sz w:val="24"/>
          <w:szCs w:val="24"/>
        </w:rPr>
        <w:t>uring week 2, the Tom McCall Wate</w:t>
      </w:r>
      <w:r w:rsidR="00855993">
        <w:rPr>
          <w:rFonts w:ascii="Times New Roman" w:hAnsi="Times New Roman" w:cs="Times New Roman"/>
          <w:sz w:val="24"/>
          <w:szCs w:val="24"/>
        </w:rPr>
        <w:t>r</w:t>
      </w:r>
      <w:r w:rsidR="00367DB9">
        <w:rPr>
          <w:rFonts w:ascii="Times New Roman" w:hAnsi="Times New Roman" w:cs="Times New Roman"/>
          <w:sz w:val="24"/>
          <w:szCs w:val="24"/>
        </w:rPr>
        <w:t xml:space="preserve">front Park served as the site for a large women’s march.  </w:t>
      </w:r>
      <w:r w:rsidR="00855993">
        <w:rPr>
          <w:rFonts w:ascii="Times New Roman" w:hAnsi="Times New Roman" w:cs="Times New Roman"/>
          <w:sz w:val="24"/>
          <w:szCs w:val="24"/>
        </w:rPr>
        <w:t>Collected tweets during the event describe greenspace as a public area for gathering, a source of visual stimulation, and a safe place for physical exercise (walking and marching) (Table 3).</w:t>
      </w:r>
    </w:p>
    <w:tbl>
      <w:tblPr>
        <w:tblW w:w="9812" w:type="dxa"/>
        <w:tblInd w:w="-185" w:type="dxa"/>
        <w:tblLook w:val="04A0" w:firstRow="1" w:lastRow="0" w:firstColumn="1" w:lastColumn="0" w:noHBand="0" w:noVBand="1"/>
      </w:tblPr>
      <w:tblGrid>
        <w:gridCol w:w="683"/>
        <w:gridCol w:w="1522"/>
        <w:gridCol w:w="672"/>
        <w:gridCol w:w="7078"/>
      </w:tblGrid>
      <w:tr w:rsidR="007607D4" w:rsidRPr="007607D4" w14:paraId="4ACB335E" w14:textId="77777777" w:rsidTr="007607D4">
        <w:trPr>
          <w:trHeight w:val="300"/>
        </w:trPr>
        <w:tc>
          <w:tcPr>
            <w:tcW w:w="540" w:type="dxa"/>
            <w:tcBorders>
              <w:top w:val="single" w:sz="4" w:space="0" w:color="auto"/>
              <w:left w:val="single" w:sz="4" w:space="0" w:color="auto"/>
              <w:bottom w:val="single" w:sz="4" w:space="0" w:color="auto"/>
              <w:right w:val="nil"/>
            </w:tcBorders>
            <w:shd w:val="clear" w:color="auto" w:fill="auto"/>
            <w:noWrap/>
            <w:vAlign w:val="bottom"/>
            <w:hideMark/>
          </w:tcPr>
          <w:p w14:paraId="0607BDB1"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Week</w:t>
            </w:r>
          </w:p>
        </w:tc>
        <w:tc>
          <w:tcPr>
            <w:tcW w:w="1522" w:type="dxa"/>
            <w:tcBorders>
              <w:top w:val="single" w:sz="4" w:space="0" w:color="auto"/>
              <w:left w:val="nil"/>
              <w:bottom w:val="single" w:sz="4" w:space="0" w:color="auto"/>
              <w:right w:val="nil"/>
            </w:tcBorders>
            <w:shd w:val="clear" w:color="auto" w:fill="auto"/>
            <w:noWrap/>
            <w:vAlign w:val="bottom"/>
            <w:hideMark/>
          </w:tcPr>
          <w:p w14:paraId="7204F535"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Keywords</w:t>
            </w:r>
          </w:p>
        </w:tc>
        <w:tc>
          <w:tcPr>
            <w:tcW w:w="672" w:type="dxa"/>
            <w:tcBorders>
              <w:top w:val="single" w:sz="4" w:space="0" w:color="auto"/>
              <w:left w:val="nil"/>
              <w:bottom w:val="single" w:sz="4" w:space="0" w:color="auto"/>
              <w:right w:val="nil"/>
            </w:tcBorders>
            <w:shd w:val="clear" w:color="auto" w:fill="auto"/>
            <w:noWrap/>
            <w:vAlign w:val="bottom"/>
            <w:hideMark/>
          </w:tcPr>
          <w:p w14:paraId="433FDE27"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Score</w:t>
            </w:r>
          </w:p>
        </w:tc>
        <w:tc>
          <w:tcPr>
            <w:tcW w:w="7078" w:type="dxa"/>
            <w:tcBorders>
              <w:top w:val="single" w:sz="4" w:space="0" w:color="auto"/>
              <w:left w:val="nil"/>
              <w:bottom w:val="single" w:sz="4" w:space="0" w:color="auto"/>
              <w:right w:val="single" w:sz="4" w:space="0" w:color="auto"/>
            </w:tcBorders>
            <w:shd w:val="clear" w:color="auto" w:fill="auto"/>
            <w:noWrap/>
            <w:vAlign w:val="bottom"/>
            <w:hideMark/>
          </w:tcPr>
          <w:p w14:paraId="043A473A"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Example Tweet</w:t>
            </w:r>
          </w:p>
        </w:tc>
      </w:tr>
      <w:tr w:rsidR="007607D4" w:rsidRPr="007607D4" w14:paraId="1BE91DFF" w14:textId="77777777" w:rsidTr="007607D4">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707E78EF"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2</w:t>
            </w:r>
          </w:p>
        </w:tc>
        <w:tc>
          <w:tcPr>
            <w:tcW w:w="1522" w:type="dxa"/>
            <w:tcBorders>
              <w:top w:val="nil"/>
              <w:left w:val="nil"/>
              <w:bottom w:val="single" w:sz="4" w:space="0" w:color="auto"/>
              <w:right w:val="nil"/>
            </w:tcBorders>
            <w:shd w:val="clear" w:color="auto" w:fill="auto"/>
            <w:noWrap/>
            <w:vAlign w:val="bottom"/>
            <w:hideMark/>
          </w:tcPr>
          <w:p w14:paraId="3EF25638"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proofErr w:type="spellStart"/>
            <w:r w:rsidRPr="007607D4">
              <w:rPr>
                <w:rFonts w:ascii="Times New Roman" w:eastAsia="Times New Roman" w:hAnsi="Times New Roman" w:cs="Times New Roman"/>
                <w:color w:val="000000"/>
                <w:sz w:val="20"/>
                <w:szCs w:val="20"/>
              </w:rPr>
              <w:t>mccall</w:t>
            </w:r>
            <w:proofErr w:type="spellEnd"/>
            <w:r w:rsidRPr="007607D4">
              <w:rPr>
                <w:rFonts w:ascii="Times New Roman" w:eastAsia="Times New Roman" w:hAnsi="Times New Roman" w:cs="Times New Roman"/>
                <w:color w:val="000000"/>
                <w:sz w:val="20"/>
                <w:szCs w:val="20"/>
              </w:rPr>
              <w:t xml:space="preserve"> waterfront park</w:t>
            </w:r>
          </w:p>
        </w:tc>
        <w:tc>
          <w:tcPr>
            <w:tcW w:w="672" w:type="dxa"/>
            <w:tcBorders>
              <w:top w:val="nil"/>
              <w:left w:val="nil"/>
              <w:bottom w:val="single" w:sz="4" w:space="0" w:color="auto"/>
              <w:right w:val="nil"/>
            </w:tcBorders>
            <w:shd w:val="clear" w:color="auto" w:fill="auto"/>
            <w:noWrap/>
            <w:vAlign w:val="bottom"/>
            <w:hideMark/>
          </w:tcPr>
          <w:p w14:paraId="71E283AC"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0.112</w:t>
            </w:r>
          </w:p>
        </w:tc>
        <w:tc>
          <w:tcPr>
            <w:tcW w:w="7078" w:type="dxa"/>
            <w:tcBorders>
              <w:top w:val="nil"/>
              <w:left w:val="nil"/>
              <w:bottom w:val="single" w:sz="4" w:space="0" w:color="auto"/>
              <w:right w:val="single" w:sz="4" w:space="0" w:color="auto"/>
            </w:tcBorders>
            <w:shd w:val="clear" w:color="auto" w:fill="auto"/>
            <w:noWrap/>
            <w:vAlign w:val="bottom"/>
            <w:hideMark/>
          </w:tcPr>
          <w:p w14:paraId="19E25BD1"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A picture I took earlier of the snow at waterfront :) @ Tom McCall Waterfront Park https://t.co/EALSy8SUpB</w:t>
            </w:r>
          </w:p>
        </w:tc>
      </w:tr>
      <w:tr w:rsidR="007607D4" w:rsidRPr="007607D4" w14:paraId="1742F063" w14:textId="77777777" w:rsidTr="007607D4">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59307489"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3</w:t>
            </w:r>
          </w:p>
        </w:tc>
        <w:tc>
          <w:tcPr>
            <w:tcW w:w="1522" w:type="dxa"/>
            <w:tcBorders>
              <w:top w:val="nil"/>
              <w:left w:val="nil"/>
              <w:bottom w:val="single" w:sz="4" w:space="0" w:color="auto"/>
              <w:right w:val="nil"/>
            </w:tcBorders>
            <w:shd w:val="clear" w:color="auto" w:fill="auto"/>
            <w:noWrap/>
            <w:vAlign w:val="center"/>
            <w:hideMark/>
          </w:tcPr>
          <w:p w14:paraId="32F38EC0"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national park service</w:t>
            </w:r>
          </w:p>
        </w:tc>
        <w:tc>
          <w:tcPr>
            <w:tcW w:w="672" w:type="dxa"/>
            <w:tcBorders>
              <w:top w:val="nil"/>
              <w:left w:val="nil"/>
              <w:bottom w:val="single" w:sz="4" w:space="0" w:color="auto"/>
              <w:right w:val="nil"/>
            </w:tcBorders>
            <w:shd w:val="clear" w:color="auto" w:fill="auto"/>
            <w:noWrap/>
            <w:vAlign w:val="bottom"/>
            <w:hideMark/>
          </w:tcPr>
          <w:p w14:paraId="44B83391"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0.156</w:t>
            </w:r>
          </w:p>
        </w:tc>
        <w:tc>
          <w:tcPr>
            <w:tcW w:w="7078" w:type="dxa"/>
            <w:tcBorders>
              <w:top w:val="nil"/>
              <w:left w:val="nil"/>
              <w:bottom w:val="single" w:sz="4" w:space="0" w:color="auto"/>
              <w:right w:val="single" w:sz="4" w:space="0" w:color="auto"/>
            </w:tcBorders>
            <w:shd w:val="clear" w:color="auto" w:fill="auto"/>
            <w:noWrap/>
            <w:vAlign w:val="bottom"/>
            <w:hideMark/>
          </w:tcPr>
          <w:p w14:paraId="699F1704"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Rogue National Park Tweets Climate Change Facts in Defiance of Trump! How dare they smear our beloved oil barons!? https://t.co/QnxLalgMp9</w:t>
            </w:r>
          </w:p>
        </w:tc>
      </w:tr>
      <w:tr w:rsidR="007607D4" w:rsidRPr="007607D4" w14:paraId="656EEEDE" w14:textId="77777777" w:rsidTr="007607D4">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7E0CCA12"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6</w:t>
            </w:r>
          </w:p>
        </w:tc>
        <w:tc>
          <w:tcPr>
            <w:tcW w:w="1522" w:type="dxa"/>
            <w:tcBorders>
              <w:top w:val="nil"/>
              <w:left w:val="nil"/>
              <w:bottom w:val="single" w:sz="4" w:space="0" w:color="auto"/>
              <w:right w:val="nil"/>
            </w:tcBorders>
            <w:shd w:val="clear" w:color="auto" w:fill="auto"/>
            <w:noWrap/>
            <w:vAlign w:val="center"/>
            <w:hideMark/>
          </w:tcPr>
          <w:p w14:paraId="4BB11903"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proofErr w:type="spellStart"/>
            <w:r w:rsidRPr="007607D4">
              <w:rPr>
                <w:rFonts w:ascii="Times New Roman" w:eastAsia="Times New Roman" w:hAnsi="Times New Roman" w:cs="Times New Roman"/>
                <w:color w:val="000000"/>
                <w:sz w:val="20"/>
                <w:szCs w:val="20"/>
              </w:rPr>
              <w:t>elliott</w:t>
            </w:r>
            <w:proofErr w:type="spellEnd"/>
            <w:r w:rsidRPr="007607D4">
              <w:rPr>
                <w:rFonts w:ascii="Times New Roman" w:eastAsia="Times New Roman" w:hAnsi="Times New Roman" w:cs="Times New Roman"/>
                <w:color w:val="000000"/>
                <w:sz w:val="20"/>
                <w:szCs w:val="20"/>
              </w:rPr>
              <w:t xml:space="preserve"> state forest </w:t>
            </w:r>
          </w:p>
        </w:tc>
        <w:tc>
          <w:tcPr>
            <w:tcW w:w="672" w:type="dxa"/>
            <w:tcBorders>
              <w:top w:val="nil"/>
              <w:left w:val="nil"/>
              <w:bottom w:val="single" w:sz="4" w:space="0" w:color="auto"/>
              <w:right w:val="nil"/>
            </w:tcBorders>
            <w:shd w:val="clear" w:color="auto" w:fill="auto"/>
            <w:noWrap/>
            <w:vAlign w:val="bottom"/>
            <w:hideMark/>
          </w:tcPr>
          <w:p w14:paraId="64196752"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0.118</w:t>
            </w:r>
          </w:p>
        </w:tc>
        <w:tc>
          <w:tcPr>
            <w:tcW w:w="7078" w:type="dxa"/>
            <w:tcBorders>
              <w:top w:val="nil"/>
              <w:left w:val="nil"/>
              <w:bottom w:val="single" w:sz="4" w:space="0" w:color="auto"/>
              <w:right w:val="single" w:sz="4" w:space="0" w:color="auto"/>
            </w:tcBorders>
            <w:shd w:val="clear" w:color="auto" w:fill="auto"/>
            <w:noWrap/>
            <w:vAlign w:val="bottom"/>
            <w:hideMark/>
          </w:tcPr>
          <w:p w14:paraId="3D9DAFD2"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 xml:space="preserve">Stop Sale of Elliot State Forest CALL Treasurer Read &amp;amp; DEMAND that he switch his </w:t>
            </w:r>
            <w:proofErr w:type="spellStart"/>
            <w:proofErr w:type="gramStart"/>
            <w:r w:rsidRPr="007607D4">
              <w:rPr>
                <w:rFonts w:ascii="Times New Roman" w:eastAsia="Times New Roman" w:hAnsi="Times New Roman" w:cs="Times New Roman"/>
                <w:color w:val="000000"/>
                <w:sz w:val="20"/>
                <w:szCs w:val="20"/>
              </w:rPr>
              <w:t>vote:PHONE</w:t>
            </w:r>
            <w:proofErr w:type="spellEnd"/>
            <w:proofErr w:type="gramEnd"/>
            <w:r w:rsidRPr="007607D4">
              <w:rPr>
                <w:rFonts w:ascii="Times New Roman" w:eastAsia="Times New Roman" w:hAnsi="Times New Roman" w:cs="Times New Roman"/>
                <w:color w:val="000000"/>
                <w:sz w:val="20"/>
                <w:szCs w:val="20"/>
              </w:rPr>
              <w:t xml:space="preserve"> 503-378-4329EMAIL : CONTACT@TOBIASREAD.COM</w:t>
            </w:r>
          </w:p>
        </w:tc>
      </w:tr>
      <w:tr w:rsidR="007607D4" w:rsidRPr="007607D4" w14:paraId="04EF9428" w14:textId="77777777" w:rsidTr="007607D4">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6BCEA3D8"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11</w:t>
            </w:r>
          </w:p>
        </w:tc>
        <w:tc>
          <w:tcPr>
            <w:tcW w:w="1522" w:type="dxa"/>
            <w:tcBorders>
              <w:top w:val="nil"/>
              <w:left w:val="nil"/>
              <w:bottom w:val="single" w:sz="4" w:space="0" w:color="auto"/>
              <w:right w:val="nil"/>
            </w:tcBorders>
            <w:shd w:val="clear" w:color="auto" w:fill="auto"/>
            <w:noWrap/>
            <w:vAlign w:val="center"/>
            <w:hideMark/>
          </w:tcPr>
          <w:p w14:paraId="71709691"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happy earth day</w:t>
            </w:r>
          </w:p>
        </w:tc>
        <w:tc>
          <w:tcPr>
            <w:tcW w:w="672" w:type="dxa"/>
            <w:tcBorders>
              <w:top w:val="nil"/>
              <w:left w:val="nil"/>
              <w:bottom w:val="single" w:sz="4" w:space="0" w:color="auto"/>
              <w:right w:val="nil"/>
            </w:tcBorders>
            <w:shd w:val="clear" w:color="auto" w:fill="auto"/>
            <w:noWrap/>
            <w:vAlign w:val="bottom"/>
            <w:hideMark/>
          </w:tcPr>
          <w:p w14:paraId="074D37AF"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0.143</w:t>
            </w:r>
          </w:p>
        </w:tc>
        <w:tc>
          <w:tcPr>
            <w:tcW w:w="7078" w:type="dxa"/>
            <w:tcBorders>
              <w:top w:val="nil"/>
              <w:left w:val="nil"/>
              <w:bottom w:val="single" w:sz="4" w:space="0" w:color="auto"/>
              <w:right w:val="single" w:sz="4" w:space="0" w:color="auto"/>
            </w:tcBorders>
            <w:shd w:val="clear" w:color="auto" w:fill="auto"/>
            <w:noWrap/>
            <w:vAlign w:val="bottom"/>
            <w:hideMark/>
          </w:tcPr>
          <w:p w14:paraId="385DE38E"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Happy Earth Day! We started our day on the trails, so grateful for Forest Park and these runners? https://t.co/IXWghJXmr0</w:t>
            </w:r>
          </w:p>
        </w:tc>
      </w:tr>
      <w:tr w:rsidR="007607D4" w:rsidRPr="007607D4" w14:paraId="0B6D3840" w14:textId="77777777" w:rsidTr="007607D4">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761386A3" w14:textId="1943CDC8" w:rsidR="007607D4" w:rsidRPr="007607D4" w:rsidRDefault="0099701E" w:rsidP="007607D4">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1522" w:type="dxa"/>
            <w:tcBorders>
              <w:top w:val="nil"/>
              <w:left w:val="nil"/>
              <w:bottom w:val="single" w:sz="4" w:space="0" w:color="auto"/>
              <w:right w:val="nil"/>
            </w:tcBorders>
            <w:shd w:val="clear" w:color="auto" w:fill="auto"/>
            <w:noWrap/>
            <w:vAlign w:val="bottom"/>
            <w:hideMark/>
          </w:tcPr>
          <w:p w14:paraId="66211FB0"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 xml:space="preserve">eagle creek trail </w:t>
            </w:r>
          </w:p>
        </w:tc>
        <w:tc>
          <w:tcPr>
            <w:tcW w:w="672" w:type="dxa"/>
            <w:tcBorders>
              <w:top w:val="nil"/>
              <w:left w:val="nil"/>
              <w:bottom w:val="single" w:sz="4" w:space="0" w:color="auto"/>
              <w:right w:val="nil"/>
            </w:tcBorders>
            <w:shd w:val="clear" w:color="auto" w:fill="auto"/>
            <w:noWrap/>
            <w:vAlign w:val="bottom"/>
            <w:hideMark/>
          </w:tcPr>
          <w:p w14:paraId="1FC9822C"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0.140</w:t>
            </w:r>
          </w:p>
        </w:tc>
        <w:tc>
          <w:tcPr>
            <w:tcW w:w="7078" w:type="dxa"/>
            <w:tcBorders>
              <w:top w:val="nil"/>
              <w:left w:val="nil"/>
              <w:bottom w:val="single" w:sz="4" w:space="0" w:color="auto"/>
              <w:right w:val="single" w:sz="4" w:space="0" w:color="auto"/>
            </w:tcBorders>
            <w:shd w:val="clear" w:color="auto" w:fill="auto"/>
            <w:noWrap/>
            <w:vAlign w:val="bottom"/>
            <w:hideMark/>
          </w:tcPr>
          <w:p w14:paraId="1093A6A8"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Still-burning Indian Creek Fire extends trail closures to much of Eagle Creek trail https://t.co/YKFWdeuPi6</w:t>
            </w:r>
          </w:p>
        </w:tc>
      </w:tr>
      <w:tr w:rsidR="007607D4" w:rsidRPr="007607D4" w14:paraId="7027DF3B" w14:textId="77777777" w:rsidTr="007607D4">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7813B215" w14:textId="3E8D2768" w:rsidR="007607D4" w:rsidRPr="007607D4" w:rsidRDefault="00EA4FFA" w:rsidP="007607D4">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w:t>
            </w:r>
          </w:p>
        </w:tc>
        <w:tc>
          <w:tcPr>
            <w:tcW w:w="1522" w:type="dxa"/>
            <w:tcBorders>
              <w:top w:val="nil"/>
              <w:left w:val="nil"/>
              <w:bottom w:val="single" w:sz="4" w:space="0" w:color="auto"/>
              <w:right w:val="nil"/>
            </w:tcBorders>
            <w:shd w:val="clear" w:color="auto" w:fill="auto"/>
            <w:noWrap/>
            <w:vAlign w:val="bottom"/>
            <w:hideMark/>
          </w:tcPr>
          <w:p w14:paraId="26A3D0BB"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 xml:space="preserve">near hideaway lake </w:t>
            </w:r>
          </w:p>
        </w:tc>
        <w:tc>
          <w:tcPr>
            <w:tcW w:w="672" w:type="dxa"/>
            <w:tcBorders>
              <w:top w:val="nil"/>
              <w:left w:val="nil"/>
              <w:bottom w:val="single" w:sz="4" w:space="0" w:color="auto"/>
              <w:right w:val="nil"/>
            </w:tcBorders>
            <w:shd w:val="clear" w:color="auto" w:fill="auto"/>
            <w:noWrap/>
            <w:vAlign w:val="bottom"/>
            <w:hideMark/>
          </w:tcPr>
          <w:p w14:paraId="758B6E92" w14:textId="77777777" w:rsidR="007607D4" w:rsidRPr="007607D4" w:rsidRDefault="007607D4" w:rsidP="007607D4">
            <w:pPr>
              <w:spacing w:after="0" w:line="240" w:lineRule="auto"/>
              <w:jc w:val="right"/>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0.114</w:t>
            </w:r>
          </w:p>
        </w:tc>
        <w:tc>
          <w:tcPr>
            <w:tcW w:w="7078" w:type="dxa"/>
            <w:tcBorders>
              <w:top w:val="nil"/>
              <w:left w:val="nil"/>
              <w:bottom w:val="single" w:sz="4" w:space="0" w:color="auto"/>
              <w:right w:val="single" w:sz="4" w:space="0" w:color="auto"/>
            </w:tcBorders>
            <w:shd w:val="clear" w:color="auto" w:fill="auto"/>
            <w:noWrap/>
            <w:vAlign w:val="bottom"/>
            <w:hideMark/>
          </w:tcPr>
          <w:p w14:paraId="011DD2AD" w14:textId="77777777" w:rsidR="007607D4" w:rsidRPr="007607D4" w:rsidRDefault="007607D4" w:rsidP="007607D4">
            <w:pPr>
              <w:spacing w:after="0" w:line="240" w:lineRule="auto"/>
              <w:rPr>
                <w:rFonts w:ascii="Times New Roman" w:eastAsia="Times New Roman" w:hAnsi="Times New Roman" w:cs="Times New Roman"/>
                <w:color w:val="000000"/>
                <w:sz w:val="20"/>
                <w:szCs w:val="20"/>
              </w:rPr>
            </w:pPr>
            <w:r w:rsidRPr="007607D4">
              <w:rPr>
                <w:rFonts w:ascii="Times New Roman" w:eastAsia="Times New Roman" w:hAnsi="Times New Roman" w:cs="Times New Roman"/>
                <w:color w:val="000000"/>
                <w:sz w:val="20"/>
                <w:szCs w:val="20"/>
              </w:rPr>
              <w:t>Officials say missing man near Hideaway Lake is from Molalla and is a lost hunter. #LiveonK2? https://t.co/4fKxarQFmh</w:t>
            </w:r>
          </w:p>
        </w:tc>
      </w:tr>
    </w:tbl>
    <w:p w14:paraId="0B0AD69A" w14:textId="54A69300" w:rsidR="00D74434" w:rsidRPr="0015721E" w:rsidRDefault="00367DB9" w:rsidP="00E2578E">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3.  Trigrams from weekly tweets with TF-IDF scores greater than 0.1  </w:t>
      </w:r>
    </w:p>
    <w:p w14:paraId="1209D5D3" w14:textId="66D52DB8" w:rsidR="006524D3" w:rsidRDefault="00855993" w:rsidP="00E2578E">
      <w:pPr>
        <w:spacing w:line="480" w:lineRule="auto"/>
        <w:rPr>
          <w:rFonts w:ascii="Times New Roman" w:hAnsi="Times New Roman" w:cs="Times New Roman"/>
          <w:sz w:val="24"/>
          <w:szCs w:val="24"/>
        </w:rPr>
      </w:pPr>
      <w:r>
        <w:rPr>
          <w:rFonts w:ascii="Times New Roman" w:hAnsi="Times New Roman" w:cs="Times New Roman"/>
          <w:sz w:val="24"/>
          <w:szCs w:val="24"/>
        </w:rPr>
        <w:t>Weekly word frequency and latent variable scores are shown below in Figures 2 and 3</w:t>
      </w:r>
      <w:r w:rsidR="00D36B8D">
        <w:rPr>
          <w:rFonts w:ascii="Times New Roman" w:hAnsi="Times New Roman" w:cs="Times New Roman"/>
          <w:sz w:val="24"/>
          <w:szCs w:val="24"/>
        </w:rPr>
        <w:t xml:space="preserve">.  </w:t>
      </w:r>
      <w:r w:rsidR="00035417">
        <w:rPr>
          <w:rFonts w:ascii="Times New Roman" w:hAnsi="Times New Roman" w:cs="Times New Roman"/>
          <w:sz w:val="24"/>
          <w:szCs w:val="24"/>
        </w:rPr>
        <w:t xml:space="preserve">To adjust for low sampling rates because of technical errors during week 0, </w:t>
      </w:r>
      <w:r w:rsidR="006524D3">
        <w:rPr>
          <w:rFonts w:ascii="Times New Roman" w:hAnsi="Times New Roman" w:cs="Times New Roman"/>
          <w:sz w:val="24"/>
          <w:szCs w:val="24"/>
        </w:rPr>
        <w:t>scores were</w:t>
      </w:r>
      <w:r>
        <w:rPr>
          <w:rFonts w:ascii="Times New Roman" w:hAnsi="Times New Roman" w:cs="Times New Roman"/>
          <w:sz w:val="24"/>
          <w:szCs w:val="24"/>
        </w:rPr>
        <w:t xml:space="preserve"> proportionally adjusted based on the ratio of total tweets in the partial coverage week to total number of tweets in </w:t>
      </w:r>
      <w:r w:rsidR="00035417">
        <w:rPr>
          <w:rFonts w:ascii="Times New Roman" w:hAnsi="Times New Roman" w:cs="Times New Roman"/>
          <w:sz w:val="24"/>
          <w:szCs w:val="24"/>
        </w:rPr>
        <w:t>the following week</w:t>
      </w:r>
      <w:r w:rsidR="006524D3">
        <w:rPr>
          <w:rFonts w:ascii="Times New Roman" w:hAnsi="Times New Roman" w:cs="Times New Roman"/>
          <w:sz w:val="24"/>
          <w:szCs w:val="24"/>
        </w:rPr>
        <w:t xml:space="preserve"> (4.48)</w:t>
      </w:r>
      <w:r w:rsidR="00B92913">
        <w:rPr>
          <w:rFonts w:ascii="Times New Roman" w:hAnsi="Times New Roman" w:cs="Times New Roman"/>
          <w:sz w:val="24"/>
          <w:szCs w:val="24"/>
        </w:rPr>
        <w:t>.  Due to lar</w:t>
      </w:r>
      <w:r w:rsidR="009B66F4">
        <w:rPr>
          <w:rFonts w:ascii="Times New Roman" w:hAnsi="Times New Roman" w:cs="Times New Roman"/>
          <w:sz w:val="24"/>
          <w:szCs w:val="24"/>
        </w:rPr>
        <w:t>ge inter</w:t>
      </w:r>
      <w:r w:rsidR="00E17EA8">
        <w:rPr>
          <w:rFonts w:ascii="Times New Roman" w:hAnsi="Times New Roman" w:cs="Times New Roman"/>
          <w:sz w:val="24"/>
          <w:szCs w:val="24"/>
        </w:rPr>
        <w:t>-</w:t>
      </w:r>
      <w:r w:rsidR="009B66F4">
        <w:rPr>
          <w:rFonts w:ascii="Times New Roman" w:hAnsi="Times New Roman" w:cs="Times New Roman"/>
          <w:sz w:val="24"/>
          <w:szCs w:val="24"/>
        </w:rPr>
        <w:t>week variability, 4 week</w:t>
      </w:r>
      <w:r w:rsidR="00B92913">
        <w:rPr>
          <w:rFonts w:ascii="Times New Roman" w:hAnsi="Times New Roman" w:cs="Times New Roman"/>
          <w:sz w:val="24"/>
          <w:szCs w:val="24"/>
        </w:rPr>
        <w:t xml:space="preserve"> moving averages are shown in Figures 2 and 3 to </w:t>
      </w:r>
      <w:r w:rsidR="00E16F07">
        <w:rPr>
          <w:rFonts w:ascii="Times New Roman" w:hAnsi="Times New Roman" w:cs="Times New Roman"/>
          <w:sz w:val="24"/>
          <w:szCs w:val="24"/>
        </w:rPr>
        <w:t xml:space="preserve">improve visual interpretation.  The terms </w:t>
      </w:r>
      <w:r w:rsidR="00E16F07">
        <w:rPr>
          <w:rFonts w:ascii="Times New Roman" w:hAnsi="Times New Roman" w:cs="Times New Roman"/>
          <w:sz w:val="24"/>
          <w:szCs w:val="24"/>
        </w:rPr>
        <w:lastRenderedPageBreak/>
        <w:t>‘b</w:t>
      </w:r>
      <w:r w:rsidR="006524D3">
        <w:rPr>
          <w:rFonts w:ascii="Times New Roman" w:hAnsi="Times New Roman" w:cs="Times New Roman"/>
          <w:sz w:val="24"/>
          <w:szCs w:val="24"/>
        </w:rPr>
        <w:t>eautiful</w:t>
      </w:r>
      <w:r w:rsidR="00E16F07">
        <w:rPr>
          <w:rFonts w:ascii="Times New Roman" w:hAnsi="Times New Roman" w:cs="Times New Roman"/>
          <w:sz w:val="24"/>
          <w:szCs w:val="24"/>
        </w:rPr>
        <w:t>’</w:t>
      </w:r>
      <w:r w:rsidR="006524D3">
        <w:rPr>
          <w:rFonts w:ascii="Times New Roman" w:hAnsi="Times New Roman" w:cs="Times New Roman"/>
          <w:sz w:val="24"/>
          <w:szCs w:val="24"/>
        </w:rPr>
        <w:t xml:space="preserve"> and </w:t>
      </w:r>
      <w:r w:rsidR="00E16F07">
        <w:rPr>
          <w:rFonts w:ascii="Times New Roman" w:hAnsi="Times New Roman" w:cs="Times New Roman"/>
          <w:sz w:val="24"/>
          <w:szCs w:val="24"/>
        </w:rPr>
        <w:t>‘</w:t>
      </w:r>
      <w:r w:rsidR="006524D3">
        <w:rPr>
          <w:rFonts w:ascii="Times New Roman" w:hAnsi="Times New Roman" w:cs="Times New Roman"/>
          <w:sz w:val="24"/>
          <w:szCs w:val="24"/>
        </w:rPr>
        <w:t>walk</w:t>
      </w:r>
      <w:r w:rsidR="00E16F07">
        <w:rPr>
          <w:rFonts w:ascii="Times New Roman" w:hAnsi="Times New Roman" w:cs="Times New Roman"/>
          <w:sz w:val="24"/>
          <w:szCs w:val="24"/>
        </w:rPr>
        <w:t>’</w:t>
      </w:r>
      <w:r w:rsidR="006524D3">
        <w:rPr>
          <w:rFonts w:ascii="Times New Roman" w:hAnsi="Times New Roman" w:cs="Times New Roman"/>
          <w:sz w:val="24"/>
          <w:szCs w:val="24"/>
        </w:rPr>
        <w:t xml:space="preserve"> both peak</w:t>
      </w:r>
      <w:r w:rsidR="00E16F07">
        <w:rPr>
          <w:rFonts w:ascii="Times New Roman" w:hAnsi="Times New Roman" w:cs="Times New Roman"/>
          <w:sz w:val="24"/>
          <w:szCs w:val="24"/>
        </w:rPr>
        <w:t>ed</w:t>
      </w:r>
      <w:r w:rsidR="006524D3">
        <w:rPr>
          <w:rFonts w:ascii="Times New Roman" w:hAnsi="Times New Roman" w:cs="Times New Roman"/>
          <w:sz w:val="24"/>
          <w:szCs w:val="24"/>
        </w:rPr>
        <w:t xml:space="preserve"> </w:t>
      </w:r>
      <w:r w:rsidR="00E16F07">
        <w:rPr>
          <w:rFonts w:ascii="Times New Roman" w:hAnsi="Times New Roman" w:cs="Times New Roman"/>
          <w:sz w:val="24"/>
          <w:szCs w:val="24"/>
        </w:rPr>
        <w:t xml:space="preserve">globally </w:t>
      </w:r>
      <w:r w:rsidR="006524D3">
        <w:rPr>
          <w:rFonts w:ascii="Times New Roman" w:hAnsi="Times New Roman" w:cs="Times New Roman"/>
          <w:sz w:val="24"/>
          <w:szCs w:val="24"/>
        </w:rPr>
        <w:t>a</w:t>
      </w:r>
      <w:r w:rsidR="00F51B40">
        <w:rPr>
          <w:rFonts w:ascii="Times New Roman" w:hAnsi="Times New Roman" w:cs="Times New Roman"/>
          <w:sz w:val="24"/>
          <w:szCs w:val="24"/>
        </w:rPr>
        <w:t xml:space="preserve">t </w:t>
      </w:r>
      <w:r w:rsidR="009B66F4">
        <w:rPr>
          <w:rFonts w:ascii="Times New Roman" w:hAnsi="Times New Roman" w:cs="Times New Roman"/>
          <w:sz w:val="24"/>
          <w:szCs w:val="24"/>
        </w:rPr>
        <w:t>15-16</w:t>
      </w:r>
      <w:r w:rsidR="00F51B40">
        <w:rPr>
          <w:rFonts w:ascii="Times New Roman" w:hAnsi="Times New Roman" w:cs="Times New Roman"/>
          <w:sz w:val="24"/>
          <w:szCs w:val="24"/>
        </w:rPr>
        <w:t xml:space="preserve"> weeks, </w:t>
      </w:r>
      <w:r w:rsidR="009B66F4">
        <w:rPr>
          <w:rFonts w:ascii="Times New Roman" w:hAnsi="Times New Roman" w:cs="Times New Roman"/>
          <w:sz w:val="24"/>
          <w:szCs w:val="24"/>
        </w:rPr>
        <w:t xml:space="preserve">with local peaks at </w:t>
      </w:r>
      <w:r w:rsidR="00E16F07">
        <w:rPr>
          <w:rFonts w:ascii="Times New Roman" w:hAnsi="Times New Roman" w:cs="Times New Roman"/>
          <w:sz w:val="24"/>
          <w:szCs w:val="24"/>
        </w:rPr>
        <w:t xml:space="preserve">weeks </w:t>
      </w:r>
      <w:r w:rsidR="009B66F4">
        <w:rPr>
          <w:rFonts w:ascii="Times New Roman" w:hAnsi="Times New Roman" w:cs="Times New Roman"/>
          <w:sz w:val="24"/>
          <w:szCs w:val="24"/>
        </w:rPr>
        <w:t xml:space="preserve">30-31.  </w:t>
      </w:r>
      <w:r w:rsidR="00E16F07">
        <w:rPr>
          <w:rFonts w:ascii="Times New Roman" w:hAnsi="Times New Roman" w:cs="Times New Roman"/>
          <w:sz w:val="24"/>
          <w:szCs w:val="24"/>
        </w:rPr>
        <w:t>The terms ‘r</w:t>
      </w:r>
      <w:r w:rsidR="009B66F4">
        <w:rPr>
          <w:rFonts w:ascii="Times New Roman" w:hAnsi="Times New Roman" w:cs="Times New Roman"/>
          <w:sz w:val="24"/>
          <w:szCs w:val="24"/>
        </w:rPr>
        <w:t>un</w:t>
      </w:r>
      <w:r w:rsidR="00E16F07">
        <w:rPr>
          <w:rFonts w:ascii="Times New Roman" w:hAnsi="Times New Roman" w:cs="Times New Roman"/>
          <w:sz w:val="24"/>
          <w:szCs w:val="24"/>
        </w:rPr>
        <w:t>’</w:t>
      </w:r>
      <w:r w:rsidR="009B66F4">
        <w:rPr>
          <w:rFonts w:ascii="Times New Roman" w:hAnsi="Times New Roman" w:cs="Times New Roman"/>
          <w:sz w:val="24"/>
          <w:szCs w:val="24"/>
        </w:rPr>
        <w:t xml:space="preserve"> and </w:t>
      </w:r>
      <w:r w:rsidR="00E16F07">
        <w:rPr>
          <w:rFonts w:ascii="Times New Roman" w:hAnsi="Times New Roman" w:cs="Times New Roman"/>
          <w:sz w:val="24"/>
          <w:szCs w:val="24"/>
        </w:rPr>
        <w:t>‘</w:t>
      </w:r>
      <w:r w:rsidR="009B66F4">
        <w:rPr>
          <w:rFonts w:ascii="Times New Roman" w:hAnsi="Times New Roman" w:cs="Times New Roman"/>
          <w:sz w:val="24"/>
          <w:szCs w:val="24"/>
        </w:rPr>
        <w:t>hike</w:t>
      </w:r>
      <w:r w:rsidR="00E16F07">
        <w:rPr>
          <w:rFonts w:ascii="Times New Roman" w:hAnsi="Times New Roman" w:cs="Times New Roman"/>
          <w:sz w:val="24"/>
          <w:szCs w:val="24"/>
        </w:rPr>
        <w:t>’</w:t>
      </w:r>
      <w:r w:rsidR="009B66F4">
        <w:rPr>
          <w:rFonts w:ascii="Times New Roman" w:hAnsi="Times New Roman" w:cs="Times New Roman"/>
          <w:sz w:val="24"/>
          <w:szCs w:val="24"/>
        </w:rPr>
        <w:t xml:space="preserve"> </w:t>
      </w:r>
      <w:r w:rsidR="00E16F07">
        <w:rPr>
          <w:rFonts w:ascii="Times New Roman" w:hAnsi="Times New Roman" w:cs="Times New Roman"/>
          <w:sz w:val="24"/>
          <w:szCs w:val="24"/>
        </w:rPr>
        <w:t xml:space="preserve">globally </w:t>
      </w:r>
      <w:r w:rsidR="009B66F4">
        <w:rPr>
          <w:rFonts w:ascii="Times New Roman" w:hAnsi="Times New Roman" w:cs="Times New Roman"/>
          <w:sz w:val="24"/>
          <w:szCs w:val="24"/>
        </w:rPr>
        <w:t>peak</w:t>
      </w:r>
      <w:r w:rsidR="00E16F07">
        <w:rPr>
          <w:rFonts w:ascii="Times New Roman" w:hAnsi="Times New Roman" w:cs="Times New Roman"/>
          <w:sz w:val="24"/>
          <w:szCs w:val="24"/>
        </w:rPr>
        <w:t>ed</w:t>
      </w:r>
      <w:r w:rsidR="009B66F4">
        <w:rPr>
          <w:rFonts w:ascii="Times New Roman" w:hAnsi="Times New Roman" w:cs="Times New Roman"/>
          <w:sz w:val="24"/>
          <w:szCs w:val="24"/>
        </w:rPr>
        <w:t xml:space="preserve"> at weeks 22-23</w:t>
      </w:r>
      <w:r w:rsidR="00E16F07">
        <w:rPr>
          <w:rFonts w:ascii="Times New Roman" w:hAnsi="Times New Roman" w:cs="Times New Roman"/>
          <w:sz w:val="24"/>
          <w:szCs w:val="24"/>
        </w:rPr>
        <w:t xml:space="preserve"> (also a local peak for the term ‘beautiful’)</w:t>
      </w:r>
      <w:r w:rsidR="009B66F4">
        <w:rPr>
          <w:rFonts w:ascii="Times New Roman" w:hAnsi="Times New Roman" w:cs="Times New Roman"/>
          <w:sz w:val="24"/>
          <w:szCs w:val="24"/>
        </w:rPr>
        <w:t xml:space="preserve">.  </w:t>
      </w:r>
      <w:r w:rsidR="00E16F07">
        <w:rPr>
          <w:rFonts w:ascii="Times New Roman" w:hAnsi="Times New Roman" w:cs="Times New Roman"/>
          <w:sz w:val="24"/>
          <w:szCs w:val="24"/>
        </w:rPr>
        <w:t>The term ‘</w:t>
      </w:r>
      <w:r w:rsidR="00D830E8">
        <w:rPr>
          <w:rFonts w:ascii="Times New Roman" w:hAnsi="Times New Roman" w:cs="Times New Roman"/>
          <w:sz w:val="24"/>
          <w:szCs w:val="24"/>
        </w:rPr>
        <w:t>v</w:t>
      </w:r>
      <w:r w:rsidR="009B66F4">
        <w:rPr>
          <w:rFonts w:ascii="Times New Roman" w:hAnsi="Times New Roman" w:cs="Times New Roman"/>
          <w:sz w:val="24"/>
          <w:szCs w:val="24"/>
        </w:rPr>
        <w:t>iew</w:t>
      </w:r>
      <w:r w:rsidR="00E16F07">
        <w:rPr>
          <w:rFonts w:ascii="Times New Roman" w:hAnsi="Times New Roman" w:cs="Times New Roman"/>
          <w:sz w:val="24"/>
          <w:szCs w:val="24"/>
        </w:rPr>
        <w:t>’ peaked</w:t>
      </w:r>
      <w:r w:rsidR="009B66F4">
        <w:rPr>
          <w:rFonts w:ascii="Times New Roman" w:hAnsi="Times New Roman" w:cs="Times New Roman"/>
          <w:sz w:val="24"/>
          <w:szCs w:val="24"/>
        </w:rPr>
        <w:t xml:space="preserve"> at weeks 35-37.  </w:t>
      </w:r>
      <w:r w:rsidR="00D830E8">
        <w:rPr>
          <w:rFonts w:ascii="Times New Roman" w:hAnsi="Times New Roman" w:cs="Times New Roman"/>
          <w:sz w:val="24"/>
          <w:szCs w:val="24"/>
        </w:rPr>
        <w:t>Weeks of score peaks appear to be</w:t>
      </w:r>
      <w:r w:rsidR="009B66F4">
        <w:rPr>
          <w:rFonts w:ascii="Times New Roman" w:hAnsi="Times New Roman" w:cs="Times New Roman"/>
          <w:sz w:val="24"/>
          <w:szCs w:val="24"/>
        </w:rPr>
        <w:t xml:space="preserve"> independent of major social events, </w:t>
      </w:r>
      <w:r w:rsidR="002F073B">
        <w:rPr>
          <w:rFonts w:ascii="Times New Roman" w:hAnsi="Times New Roman" w:cs="Times New Roman"/>
          <w:sz w:val="24"/>
          <w:szCs w:val="24"/>
        </w:rPr>
        <w:t>except for</w:t>
      </w:r>
      <w:r w:rsidR="00A2640B">
        <w:rPr>
          <w:rFonts w:ascii="Times New Roman" w:hAnsi="Times New Roman" w:cs="Times New Roman"/>
          <w:sz w:val="24"/>
          <w:szCs w:val="24"/>
        </w:rPr>
        <w:t xml:space="preserve"> week 31 </w:t>
      </w:r>
      <w:r w:rsidR="009B66F4">
        <w:rPr>
          <w:rFonts w:ascii="Times New Roman" w:hAnsi="Times New Roman" w:cs="Times New Roman"/>
          <w:sz w:val="24"/>
          <w:szCs w:val="24"/>
        </w:rPr>
        <w:t xml:space="preserve">where tweets are a mix of positive and negative comment regarding </w:t>
      </w:r>
      <w:r w:rsidR="00E17EA8">
        <w:rPr>
          <w:rFonts w:ascii="Times New Roman" w:hAnsi="Times New Roman" w:cs="Times New Roman"/>
          <w:sz w:val="24"/>
          <w:szCs w:val="24"/>
        </w:rPr>
        <w:t>wildlife</w:t>
      </w:r>
      <w:r w:rsidR="009B66F4">
        <w:rPr>
          <w:rFonts w:ascii="Times New Roman" w:hAnsi="Times New Roman" w:cs="Times New Roman"/>
          <w:sz w:val="24"/>
          <w:szCs w:val="24"/>
        </w:rPr>
        <w:t xml:space="preserve"> beauty, danger, and inability to access nature </w:t>
      </w:r>
      <w:r w:rsidR="00A2640B">
        <w:rPr>
          <w:rFonts w:ascii="Times New Roman" w:hAnsi="Times New Roman" w:cs="Times New Roman"/>
          <w:sz w:val="24"/>
          <w:szCs w:val="24"/>
        </w:rPr>
        <w:t xml:space="preserve">due to </w:t>
      </w:r>
      <w:r w:rsidR="00E17EA8">
        <w:rPr>
          <w:rFonts w:ascii="Times New Roman" w:hAnsi="Times New Roman" w:cs="Times New Roman"/>
          <w:sz w:val="24"/>
          <w:szCs w:val="24"/>
        </w:rPr>
        <w:t>wild files</w:t>
      </w:r>
      <w:r w:rsidR="00A2640B">
        <w:rPr>
          <w:rFonts w:ascii="Times New Roman" w:hAnsi="Times New Roman" w:cs="Times New Roman"/>
          <w:sz w:val="24"/>
          <w:szCs w:val="24"/>
        </w:rPr>
        <w:t>.</w:t>
      </w:r>
    </w:p>
    <w:p w14:paraId="17D2A0D4" w14:textId="65DB238C" w:rsidR="00B92913" w:rsidRDefault="00B92913" w:rsidP="00E2578E">
      <w:pPr>
        <w:spacing w:line="480" w:lineRule="auto"/>
        <w:rPr>
          <w:rFonts w:ascii="Times New Roman" w:hAnsi="Times New Roman" w:cs="Times New Roman"/>
          <w:sz w:val="24"/>
          <w:szCs w:val="24"/>
        </w:rPr>
      </w:pPr>
      <w:r>
        <w:rPr>
          <w:noProof/>
        </w:rPr>
        <w:drawing>
          <wp:inline distT="0" distB="0" distL="0" distR="0" wp14:anchorId="49C7B2E4" wp14:editId="4C6F08C4">
            <wp:extent cx="4572000" cy="2743200"/>
            <wp:effectExtent l="0" t="0" r="0" b="0"/>
            <wp:docPr id="3" name="Chart 3">
              <a:extLst xmlns:a="http://schemas.openxmlformats.org/drawingml/2006/main">
                <a:ext uri="{FF2B5EF4-FFF2-40B4-BE49-F238E27FC236}">
                  <a16:creationId xmlns:a16="http://schemas.microsoft.com/office/drawing/2014/main" id="{06A5E283-DF90-4942-9382-868C1F09A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EF8D0D" w14:textId="4153CB5B" w:rsidR="00B92913" w:rsidRDefault="00B92913" w:rsidP="00E2578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Four week moving average for aesthetic categories.  </w:t>
      </w:r>
    </w:p>
    <w:p w14:paraId="46AD3C0C" w14:textId="49E4252A" w:rsidR="00B92913" w:rsidRDefault="00B92913" w:rsidP="00E2578E">
      <w:pPr>
        <w:spacing w:line="480" w:lineRule="auto"/>
        <w:rPr>
          <w:rFonts w:ascii="Times New Roman" w:hAnsi="Times New Roman" w:cs="Times New Roman"/>
          <w:sz w:val="24"/>
          <w:szCs w:val="24"/>
        </w:rPr>
      </w:pPr>
      <w:r>
        <w:rPr>
          <w:noProof/>
        </w:rPr>
        <w:lastRenderedPageBreak/>
        <w:drawing>
          <wp:inline distT="0" distB="0" distL="0" distR="0" wp14:anchorId="5072914D" wp14:editId="4E30C86F">
            <wp:extent cx="4572000" cy="2743200"/>
            <wp:effectExtent l="0" t="0" r="0" b="0"/>
            <wp:docPr id="5" name="Chart 5">
              <a:extLst xmlns:a="http://schemas.openxmlformats.org/drawingml/2006/main">
                <a:ext uri="{FF2B5EF4-FFF2-40B4-BE49-F238E27FC236}">
                  <a16:creationId xmlns:a16="http://schemas.microsoft.com/office/drawing/2014/main" id="{E29CC740-38BD-4D04-87A8-0D48420F5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94126A" w14:textId="03BD4498" w:rsidR="00B92913" w:rsidRDefault="00B92913" w:rsidP="00E2578E">
      <w:pPr>
        <w:spacing w:line="480" w:lineRule="auto"/>
        <w:rPr>
          <w:rFonts w:ascii="Times New Roman" w:hAnsi="Times New Roman" w:cs="Times New Roman"/>
          <w:sz w:val="24"/>
          <w:szCs w:val="24"/>
        </w:rPr>
      </w:pPr>
      <w:r>
        <w:rPr>
          <w:rFonts w:ascii="Times New Roman" w:hAnsi="Times New Roman" w:cs="Times New Roman"/>
          <w:sz w:val="24"/>
          <w:szCs w:val="24"/>
        </w:rPr>
        <w:t>Figure 3.  Four week moving average for exercise categories</w:t>
      </w:r>
    </w:p>
    <w:p w14:paraId="2EC28133" w14:textId="434C9ECB" w:rsidR="009E0115" w:rsidRDefault="00D36B8D" w:rsidP="00E2578E">
      <w:pPr>
        <w:spacing w:line="480" w:lineRule="auto"/>
        <w:rPr>
          <w:rFonts w:ascii="Times New Roman" w:hAnsi="Times New Roman" w:cs="Times New Roman"/>
          <w:sz w:val="24"/>
          <w:szCs w:val="24"/>
        </w:rPr>
      </w:pPr>
      <w:r>
        <w:rPr>
          <w:rFonts w:ascii="Times New Roman" w:hAnsi="Times New Roman" w:cs="Times New Roman"/>
          <w:sz w:val="24"/>
          <w:szCs w:val="24"/>
        </w:rPr>
        <w:t xml:space="preserve">Sentiment scores are shown in Figure 4.  </w:t>
      </w:r>
      <w:r w:rsidR="00A2640B">
        <w:rPr>
          <w:rFonts w:ascii="Times New Roman" w:hAnsi="Times New Roman" w:cs="Times New Roman"/>
          <w:sz w:val="24"/>
          <w:szCs w:val="24"/>
        </w:rPr>
        <w:t xml:space="preserve">Sentiment scores peak </w:t>
      </w:r>
      <w:r w:rsidR="00D830E8">
        <w:rPr>
          <w:rFonts w:ascii="Times New Roman" w:hAnsi="Times New Roman" w:cs="Times New Roman"/>
          <w:sz w:val="24"/>
          <w:szCs w:val="24"/>
        </w:rPr>
        <w:t>during</w:t>
      </w:r>
      <w:r w:rsidR="00A2640B">
        <w:rPr>
          <w:rFonts w:ascii="Times New Roman" w:hAnsi="Times New Roman" w:cs="Times New Roman"/>
          <w:sz w:val="24"/>
          <w:szCs w:val="24"/>
        </w:rPr>
        <w:t xml:space="preserve"> weeks 14-15</w:t>
      </w:r>
      <w:r w:rsidR="00D830E8">
        <w:rPr>
          <w:rFonts w:ascii="Times New Roman" w:hAnsi="Times New Roman" w:cs="Times New Roman"/>
          <w:sz w:val="24"/>
          <w:szCs w:val="24"/>
        </w:rPr>
        <w:t>, during which the terms ‘</w:t>
      </w:r>
      <w:r w:rsidR="00A2640B">
        <w:rPr>
          <w:rFonts w:ascii="Times New Roman" w:hAnsi="Times New Roman" w:cs="Times New Roman"/>
          <w:sz w:val="24"/>
          <w:szCs w:val="24"/>
        </w:rPr>
        <w:t>beauty</w:t>
      </w:r>
      <w:r w:rsidR="00D830E8">
        <w:rPr>
          <w:rFonts w:ascii="Times New Roman" w:hAnsi="Times New Roman" w:cs="Times New Roman"/>
          <w:sz w:val="24"/>
          <w:szCs w:val="24"/>
        </w:rPr>
        <w:t>’</w:t>
      </w:r>
      <w:r w:rsidR="00A2640B">
        <w:rPr>
          <w:rFonts w:ascii="Times New Roman" w:hAnsi="Times New Roman" w:cs="Times New Roman"/>
          <w:sz w:val="24"/>
          <w:szCs w:val="24"/>
        </w:rPr>
        <w:t xml:space="preserve"> and </w:t>
      </w:r>
      <w:r w:rsidR="00D830E8">
        <w:rPr>
          <w:rFonts w:ascii="Times New Roman" w:hAnsi="Times New Roman" w:cs="Times New Roman"/>
          <w:sz w:val="24"/>
          <w:szCs w:val="24"/>
        </w:rPr>
        <w:t>‘</w:t>
      </w:r>
      <w:r w:rsidR="00A2640B">
        <w:rPr>
          <w:rFonts w:ascii="Times New Roman" w:hAnsi="Times New Roman" w:cs="Times New Roman"/>
          <w:sz w:val="24"/>
          <w:szCs w:val="24"/>
        </w:rPr>
        <w:t>walk</w:t>
      </w:r>
      <w:r w:rsidR="00D830E8">
        <w:rPr>
          <w:rFonts w:ascii="Times New Roman" w:hAnsi="Times New Roman" w:cs="Times New Roman"/>
          <w:sz w:val="24"/>
          <w:szCs w:val="24"/>
        </w:rPr>
        <w:t xml:space="preserve">’ </w:t>
      </w:r>
      <w:r w:rsidR="00A2640B">
        <w:rPr>
          <w:rFonts w:ascii="Times New Roman" w:hAnsi="Times New Roman" w:cs="Times New Roman"/>
          <w:sz w:val="24"/>
          <w:szCs w:val="24"/>
        </w:rPr>
        <w:t>re</w:t>
      </w:r>
      <w:r w:rsidR="00EA4FFA">
        <w:rPr>
          <w:rFonts w:ascii="Times New Roman" w:hAnsi="Times New Roman" w:cs="Times New Roman"/>
          <w:sz w:val="24"/>
          <w:szCs w:val="24"/>
        </w:rPr>
        <w:t>ach th</w:t>
      </w:r>
      <w:r w:rsidR="00D830E8">
        <w:rPr>
          <w:rFonts w:ascii="Times New Roman" w:hAnsi="Times New Roman" w:cs="Times New Roman"/>
          <w:sz w:val="24"/>
          <w:szCs w:val="24"/>
        </w:rPr>
        <w:t>eir global maxima.  Sentiment was</w:t>
      </w:r>
      <w:r w:rsidR="00EA4FFA">
        <w:rPr>
          <w:rFonts w:ascii="Times New Roman" w:hAnsi="Times New Roman" w:cs="Times New Roman"/>
          <w:sz w:val="24"/>
          <w:szCs w:val="24"/>
        </w:rPr>
        <w:t xml:space="preserve"> lowest during week 31, which coincides with </w:t>
      </w:r>
      <w:r w:rsidR="00D830E8">
        <w:rPr>
          <w:rFonts w:ascii="Times New Roman" w:hAnsi="Times New Roman" w:cs="Times New Roman"/>
          <w:sz w:val="24"/>
          <w:szCs w:val="24"/>
        </w:rPr>
        <w:t>the observed wildfire social event</w:t>
      </w:r>
      <w:r w:rsidR="00F74796">
        <w:rPr>
          <w:rFonts w:ascii="Times New Roman" w:hAnsi="Times New Roman" w:cs="Times New Roman"/>
          <w:sz w:val="24"/>
          <w:szCs w:val="24"/>
        </w:rPr>
        <w:t>.  Sentiment scores reach</w:t>
      </w:r>
      <w:r w:rsidR="00D830E8">
        <w:rPr>
          <w:rFonts w:ascii="Times New Roman" w:hAnsi="Times New Roman" w:cs="Times New Roman"/>
          <w:sz w:val="24"/>
          <w:szCs w:val="24"/>
        </w:rPr>
        <w:t>ed</w:t>
      </w:r>
      <w:r w:rsidR="00F74796">
        <w:rPr>
          <w:rFonts w:ascii="Times New Roman" w:hAnsi="Times New Roman" w:cs="Times New Roman"/>
          <w:sz w:val="24"/>
          <w:szCs w:val="24"/>
        </w:rPr>
        <w:t xml:space="preserve"> another local minimum during weeks 39-40, which coincide</w:t>
      </w:r>
      <w:r w:rsidR="00D830E8">
        <w:rPr>
          <w:rFonts w:ascii="Times New Roman" w:hAnsi="Times New Roman" w:cs="Times New Roman"/>
          <w:sz w:val="24"/>
          <w:szCs w:val="24"/>
        </w:rPr>
        <w:t>d</w:t>
      </w:r>
      <w:r w:rsidR="00F74796">
        <w:rPr>
          <w:rFonts w:ascii="Times New Roman" w:hAnsi="Times New Roman" w:cs="Times New Roman"/>
          <w:sz w:val="24"/>
          <w:szCs w:val="24"/>
        </w:rPr>
        <w:t xml:space="preserve"> with multiple bodies found in a popular recreational park.  </w:t>
      </w:r>
      <w:r w:rsidR="00F76322">
        <w:rPr>
          <w:rFonts w:ascii="Times New Roman" w:hAnsi="Times New Roman" w:cs="Times New Roman"/>
          <w:sz w:val="24"/>
          <w:szCs w:val="24"/>
        </w:rPr>
        <w:t xml:space="preserve">Correlations between sentiment, and 4 week moving averages of word frequencies, and latent variables are shown in Figure 4.  Sentiment </w:t>
      </w:r>
      <w:r w:rsidR="00D830E8">
        <w:rPr>
          <w:rFonts w:ascii="Times New Roman" w:hAnsi="Times New Roman" w:cs="Times New Roman"/>
          <w:sz w:val="24"/>
          <w:szCs w:val="24"/>
        </w:rPr>
        <w:t>was</w:t>
      </w:r>
      <w:r w:rsidR="00F76322">
        <w:rPr>
          <w:rFonts w:ascii="Times New Roman" w:hAnsi="Times New Roman" w:cs="Times New Roman"/>
          <w:sz w:val="24"/>
          <w:szCs w:val="24"/>
        </w:rPr>
        <w:t xml:space="preserve"> most strongly associated with the latent construct </w:t>
      </w:r>
      <w:r w:rsidR="00D830E8">
        <w:rPr>
          <w:rFonts w:ascii="Times New Roman" w:hAnsi="Times New Roman" w:cs="Times New Roman"/>
          <w:sz w:val="24"/>
          <w:szCs w:val="24"/>
        </w:rPr>
        <w:t>‘</w:t>
      </w:r>
      <w:r w:rsidR="00F76322">
        <w:rPr>
          <w:rFonts w:ascii="Times New Roman" w:hAnsi="Times New Roman" w:cs="Times New Roman"/>
          <w:sz w:val="24"/>
          <w:szCs w:val="24"/>
        </w:rPr>
        <w:t>exercise</w:t>
      </w:r>
      <w:r w:rsidR="00D830E8">
        <w:rPr>
          <w:rFonts w:ascii="Times New Roman" w:hAnsi="Times New Roman" w:cs="Times New Roman"/>
          <w:sz w:val="24"/>
          <w:szCs w:val="24"/>
        </w:rPr>
        <w:t>’, and was</w:t>
      </w:r>
      <w:r w:rsidR="00F76322">
        <w:rPr>
          <w:rFonts w:ascii="Times New Roman" w:hAnsi="Times New Roman" w:cs="Times New Roman"/>
          <w:sz w:val="24"/>
          <w:szCs w:val="24"/>
        </w:rPr>
        <w:t xml:space="preserve"> also correlated with </w:t>
      </w:r>
      <w:r w:rsidR="00D830E8">
        <w:rPr>
          <w:rFonts w:ascii="Times New Roman" w:hAnsi="Times New Roman" w:cs="Times New Roman"/>
          <w:sz w:val="24"/>
          <w:szCs w:val="24"/>
        </w:rPr>
        <w:t>‘</w:t>
      </w:r>
      <w:r w:rsidR="00F76322">
        <w:rPr>
          <w:rFonts w:ascii="Times New Roman" w:hAnsi="Times New Roman" w:cs="Times New Roman"/>
          <w:sz w:val="24"/>
          <w:szCs w:val="24"/>
        </w:rPr>
        <w:t>walk</w:t>
      </w:r>
      <w:r w:rsidR="00D830E8">
        <w:rPr>
          <w:rFonts w:ascii="Times New Roman" w:hAnsi="Times New Roman" w:cs="Times New Roman"/>
          <w:sz w:val="24"/>
          <w:szCs w:val="24"/>
        </w:rPr>
        <w:t>’</w:t>
      </w:r>
      <w:r w:rsidR="00F76322">
        <w:rPr>
          <w:rFonts w:ascii="Times New Roman" w:hAnsi="Times New Roman" w:cs="Times New Roman"/>
          <w:sz w:val="24"/>
          <w:szCs w:val="24"/>
        </w:rPr>
        <w:t xml:space="preserve"> and </w:t>
      </w:r>
      <w:r w:rsidR="00D830E8">
        <w:rPr>
          <w:rFonts w:ascii="Times New Roman" w:hAnsi="Times New Roman" w:cs="Times New Roman"/>
          <w:sz w:val="24"/>
          <w:szCs w:val="24"/>
        </w:rPr>
        <w:t>‘</w:t>
      </w:r>
      <w:r w:rsidR="00F76322">
        <w:rPr>
          <w:rFonts w:ascii="Times New Roman" w:hAnsi="Times New Roman" w:cs="Times New Roman"/>
          <w:sz w:val="24"/>
          <w:szCs w:val="24"/>
        </w:rPr>
        <w:t>hike</w:t>
      </w:r>
      <w:r w:rsidR="00D830E8">
        <w:rPr>
          <w:rFonts w:ascii="Times New Roman" w:hAnsi="Times New Roman" w:cs="Times New Roman"/>
          <w:sz w:val="24"/>
          <w:szCs w:val="24"/>
        </w:rPr>
        <w:t>’</w:t>
      </w:r>
      <w:r w:rsidR="00F76322">
        <w:rPr>
          <w:rFonts w:ascii="Times New Roman" w:hAnsi="Times New Roman" w:cs="Times New Roman"/>
          <w:sz w:val="24"/>
          <w:szCs w:val="24"/>
        </w:rPr>
        <w:t xml:space="preserve"> activities</w:t>
      </w:r>
      <w:r w:rsidR="00D830E8">
        <w:rPr>
          <w:rFonts w:ascii="Times New Roman" w:hAnsi="Times New Roman" w:cs="Times New Roman"/>
          <w:sz w:val="24"/>
          <w:szCs w:val="24"/>
        </w:rPr>
        <w:t xml:space="preserve"> and </w:t>
      </w:r>
      <w:r w:rsidR="00F76322">
        <w:rPr>
          <w:rFonts w:ascii="Times New Roman" w:hAnsi="Times New Roman" w:cs="Times New Roman"/>
          <w:sz w:val="24"/>
          <w:szCs w:val="24"/>
        </w:rPr>
        <w:t xml:space="preserve">visual attributes </w:t>
      </w:r>
      <w:r w:rsidR="00D830E8">
        <w:rPr>
          <w:rFonts w:ascii="Times New Roman" w:hAnsi="Times New Roman" w:cs="Times New Roman"/>
          <w:sz w:val="24"/>
          <w:szCs w:val="24"/>
        </w:rPr>
        <w:t>‘</w:t>
      </w:r>
      <w:r w:rsidR="00F76322">
        <w:rPr>
          <w:rFonts w:ascii="Times New Roman" w:hAnsi="Times New Roman" w:cs="Times New Roman"/>
          <w:sz w:val="24"/>
          <w:szCs w:val="24"/>
        </w:rPr>
        <w:t>green</w:t>
      </w:r>
      <w:r w:rsidR="00D830E8">
        <w:rPr>
          <w:rFonts w:ascii="Times New Roman" w:hAnsi="Times New Roman" w:cs="Times New Roman"/>
          <w:sz w:val="24"/>
          <w:szCs w:val="24"/>
        </w:rPr>
        <w:t>’</w:t>
      </w:r>
      <w:r w:rsidR="00F76322">
        <w:rPr>
          <w:rFonts w:ascii="Times New Roman" w:hAnsi="Times New Roman" w:cs="Times New Roman"/>
          <w:sz w:val="24"/>
          <w:szCs w:val="24"/>
        </w:rPr>
        <w:t xml:space="preserve">, </w:t>
      </w:r>
      <w:r w:rsidR="00D830E8">
        <w:rPr>
          <w:rFonts w:ascii="Times New Roman" w:hAnsi="Times New Roman" w:cs="Times New Roman"/>
          <w:sz w:val="24"/>
          <w:szCs w:val="24"/>
        </w:rPr>
        <w:t>‘</w:t>
      </w:r>
      <w:r w:rsidR="00F76322">
        <w:rPr>
          <w:rFonts w:ascii="Times New Roman" w:hAnsi="Times New Roman" w:cs="Times New Roman"/>
          <w:sz w:val="24"/>
          <w:szCs w:val="24"/>
        </w:rPr>
        <w:t>beautiful</w:t>
      </w:r>
      <w:r w:rsidR="00D830E8">
        <w:rPr>
          <w:rFonts w:ascii="Times New Roman" w:hAnsi="Times New Roman" w:cs="Times New Roman"/>
          <w:sz w:val="24"/>
          <w:szCs w:val="24"/>
        </w:rPr>
        <w:t>’</w:t>
      </w:r>
      <w:r w:rsidR="00F76322">
        <w:rPr>
          <w:rFonts w:ascii="Times New Roman" w:hAnsi="Times New Roman" w:cs="Times New Roman"/>
          <w:sz w:val="24"/>
          <w:szCs w:val="24"/>
        </w:rPr>
        <w:t xml:space="preserve">, and the </w:t>
      </w:r>
      <w:r w:rsidR="00D830E8">
        <w:rPr>
          <w:rFonts w:ascii="Times New Roman" w:hAnsi="Times New Roman" w:cs="Times New Roman"/>
          <w:sz w:val="24"/>
          <w:szCs w:val="24"/>
        </w:rPr>
        <w:t>‘</w:t>
      </w:r>
      <w:r w:rsidR="00F76322">
        <w:rPr>
          <w:rFonts w:ascii="Times New Roman" w:hAnsi="Times New Roman" w:cs="Times New Roman"/>
          <w:sz w:val="24"/>
          <w:szCs w:val="24"/>
        </w:rPr>
        <w:t>aesthetic</w:t>
      </w:r>
      <w:r w:rsidR="00D830E8">
        <w:rPr>
          <w:rFonts w:ascii="Times New Roman" w:hAnsi="Times New Roman" w:cs="Times New Roman"/>
          <w:sz w:val="24"/>
          <w:szCs w:val="24"/>
        </w:rPr>
        <w:t>’</w:t>
      </w:r>
      <w:r w:rsidR="00F76322">
        <w:rPr>
          <w:rFonts w:ascii="Times New Roman" w:hAnsi="Times New Roman" w:cs="Times New Roman"/>
          <w:sz w:val="24"/>
          <w:szCs w:val="24"/>
        </w:rPr>
        <w:t xml:space="preserve"> latent construct.  </w:t>
      </w:r>
      <w:r w:rsidR="009C0018">
        <w:rPr>
          <w:rFonts w:ascii="Times New Roman" w:hAnsi="Times New Roman" w:cs="Times New Roman"/>
          <w:sz w:val="24"/>
          <w:szCs w:val="24"/>
        </w:rPr>
        <w:t xml:space="preserve">Interestingly, the </w:t>
      </w:r>
      <w:r w:rsidR="00A31E08">
        <w:rPr>
          <w:rFonts w:ascii="Times New Roman" w:hAnsi="Times New Roman" w:cs="Times New Roman"/>
          <w:sz w:val="24"/>
          <w:szCs w:val="24"/>
        </w:rPr>
        <w:t>‘</w:t>
      </w:r>
      <w:r w:rsidR="009C0018">
        <w:rPr>
          <w:rFonts w:ascii="Times New Roman" w:hAnsi="Times New Roman" w:cs="Times New Roman"/>
          <w:sz w:val="24"/>
          <w:szCs w:val="24"/>
        </w:rPr>
        <w:t>aesthetic</w:t>
      </w:r>
      <w:r w:rsidR="00A31E08">
        <w:rPr>
          <w:rFonts w:ascii="Times New Roman" w:hAnsi="Times New Roman" w:cs="Times New Roman"/>
          <w:sz w:val="24"/>
          <w:szCs w:val="24"/>
        </w:rPr>
        <w:t>’</w:t>
      </w:r>
      <w:r w:rsidR="009C0018">
        <w:rPr>
          <w:rFonts w:ascii="Times New Roman" w:hAnsi="Times New Roman" w:cs="Times New Roman"/>
          <w:sz w:val="24"/>
          <w:szCs w:val="24"/>
        </w:rPr>
        <w:t xml:space="preserve"> and </w:t>
      </w:r>
      <w:r w:rsidR="00A31E08">
        <w:rPr>
          <w:rFonts w:ascii="Times New Roman" w:hAnsi="Times New Roman" w:cs="Times New Roman"/>
          <w:sz w:val="24"/>
          <w:szCs w:val="24"/>
        </w:rPr>
        <w:t>‘</w:t>
      </w:r>
      <w:r w:rsidR="009C0018">
        <w:rPr>
          <w:rFonts w:ascii="Times New Roman" w:hAnsi="Times New Roman" w:cs="Times New Roman"/>
          <w:sz w:val="24"/>
          <w:szCs w:val="24"/>
        </w:rPr>
        <w:t>exercise</w:t>
      </w:r>
      <w:r w:rsidR="00A31E08">
        <w:rPr>
          <w:rFonts w:ascii="Times New Roman" w:hAnsi="Times New Roman" w:cs="Times New Roman"/>
          <w:sz w:val="24"/>
          <w:szCs w:val="24"/>
        </w:rPr>
        <w:t>’</w:t>
      </w:r>
      <w:r w:rsidR="009C0018">
        <w:rPr>
          <w:rFonts w:ascii="Times New Roman" w:hAnsi="Times New Roman" w:cs="Times New Roman"/>
          <w:sz w:val="24"/>
          <w:szCs w:val="24"/>
        </w:rPr>
        <w:t xml:space="preserve"> latent constructs are strongly correlated (r = 0.77), suggesting that visual and exercise pathways to greenspace health benefits </w:t>
      </w:r>
      <w:r w:rsidR="009E0115">
        <w:rPr>
          <w:rFonts w:ascii="Times New Roman" w:hAnsi="Times New Roman" w:cs="Times New Roman"/>
          <w:sz w:val="24"/>
          <w:szCs w:val="24"/>
        </w:rPr>
        <w:t>are interdependent.</w:t>
      </w:r>
    </w:p>
    <w:p w14:paraId="0D357682" w14:textId="5DF7D3FB" w:rsidR="00B92913" w:rsidRDefault="00B92913" w:rsidP="00E2578E">
      <w:pPr>
        <w:spacing w:line="480" w:lineRule="auto"/>
        <w:rPr>
          <w:rFonts w:ascii="Times New Roman" w:hAnsi="Times New Roman" w:cs="Times New Roman"/>
          <w:sz w:val="24"/>
          <w:szCs w:val="24"/>
        </w:rPr>
      </w:pPr>
      <w:r>
        <w:rPr>
          <w:noProof/>
        </w:rPr>
        <w:lastRenderedPageBreak/>
        <w:drawing>
          <wp:inline distT="0" distB="0" distL="0" distR="0" wp14:anchorId="078C3E8C" wp14:editId="7795F4DD">
            <wp:extent cx="4572000" cy="2743200"/>
            <wp:effectExtent l="0" t="0" r="0" b="0"/>
            <wp:docPr id="6" name="Chart 6">
              <a:extLst xmlns:a="http://schemas.openxmlformats.org/drawingml/2006/main">
                <a:ext uri="{FF2B5EF4-FFF2-40B4-BE49-F238E27FC236}">
                  <a16:creationId xmlns:a16="http://schemas.microsoft.com/office/drawing/2014/main" id="{72D694C3-8087-4B38-941D-4983BC183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8BB2F3" w14:textId="2B5F5E40" w:rsidR="00D36B8D" w:rsidRDefault="00B92913" w:rsidP="00E2578E">
      <w:pPr>
        <w:spacing w:line="480" w:lineRule="auto"/>
        <w:rPr>
          <w:rFonts w:ascii="Times New Roman" w:hAnsi="Times New Roman" w:cs="Times New Roman"/>
          <w:sz w:val="24"/>
          <w:szCs w:val="24"/>
        </w:rPr>
      </w:pPr>
      <w:r>
        <w:rPr>
          <w:rFonts w:ascii="Times New Roman" w:hAnsi="Times New Roman" w:cs="Times New Roman"/>
          <w:sz w:val="24"/>
          <w:szCs w:val="24"/>
        </w:rPr>
        <w:t>Figure 4.  Weekly sentimental scores</w:t>
      </w:r>
      <w:r w:rsidR="007502CE">
        <w:rPr>
          <w:rFonts w:ascii="Times New Roman" w:hAnsi="Times New Roman" w:cs="Times New Roman"/>
          <w:sz w:val="24"/>
          <w:szCs w:val="24"/>
        </w:rPr>
        <w:t xml:space="preserve">.  Sentiment was lowest during forest fire season (week 31) and </w:t>
      </w:r>
      <w:r w:rsidR="00B94B3C">
        <w:rPr>
          <w:rFonts w:ascii="Times New Roman" w:hAnsi="Times New Roman" w:cs="Times New Roman"/>
          <w:sz w:val="24"/>
          <w:szCs w:val="24"/>
        </w:rPr>
        <w:t>discovery of multiple bodies in a public park (week 39)</w:t>
      </w:r>
    </w:p>
    <w:tbl>
      <w:tblPr>
        <w:tblW w:w="0" w:type="auto"/>
        <w:tblInd w:w="-275" w:type="dxa"/>
        <w:tblLook w:val="04A0" w:firstRow="1" w:lastRow="0" w:firstColumn="1" w:lastColumn="0" w:noHBand="0" w:noVBand="1"/>
      </w:tblPr>
      <w:tblGrid>
        <w:gridCol w:w="994"/>
        <w:gridCol w:w="994"/>
        <w:gridCol w:w="633"/>
        <w:gridCol w:w="716"/>
        <w:gridCol w:w="661"/>
        <w:gridCol w:w="927"/>
        <w:gridCol w:w="916"/>
        <w:gridCol w:w="633"/>
        <w:gridCol w:w="566"/>
        <w:gridCol w:w="566"/>
        <w:gridCol w:w="605"/>
        <w:gridCol w:w="949"/>
      </w:tblGrid>
      <w:tr w:rsidR="002A58DD" w:rsidRPr="002A58DD" w14:paraId="777D06CA" w14:textId="77777777" w:rsidTr="002A58DD">
        <w:trPr>
          <w:trHeight w:val="300"/>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53F23230" w14:textId="77777777" w:rsidR="0084395C" w:rsidRPr="0084395C" w:rsidRDefault="0084395C" w:rsidP="0084395C">
            <w:pPr>
              <w:spacing w:after="0" w:line="240" w:lineRule="auto"/>
              <w:jc w:val="center"/>
              <w:rPr>
                <w:rFonts w:ascii="Times New Roman" w:eastAsia="Times New Roman" w:hAnsi="Times New Roman" w:cs="Times New Roman"/>
                <w:i/>
                <w:iCs/>
                <w:color w:val="000000"/>
                <w:sz w:val="20"/>
                <w:szCs w:val="20"/>
              </w:rPr>
            </w:pPr>
            <w:r w:rsidRPr="0084395C">
              <w:rPr>
                <w:rFonts w:ascii="Times New Roman" w:eastAsia="Times New Roman" w:hAnsi="Times New Roman" w:cs="Times New Roman"/>
                <w:i/>
                <w:iCs/>
                <w:color w:val="000000"/>
                <w:sz w:val="20"/>
                <w:szCs w:val="20"/>
              </w:rPr>
              <w:t> </w:t>
            </w:r>
          </w:p>
        </w:tc>
        <w:tc>
          <w:tcPr>
            <w:tcW w:w="0" w:type="auto"/>
            <w:tcBorders>
              <w:top w:val="single" w:sz="4" w:space="0" w:color="auto"/>
              <w:left w:val="nil"/>
              <w:bottom w:val="single" w:sz="4" w:space="0" w:color="auto"/>
              <w:right w:val="nil"/>
            </w:tcBorders>
            <w:shd w:val="clear" w:color="auto" w:fill="auto"/>
            <w:noWrap/>
            <w:vAlign w:val="bottom"/>
            <w:hideMark/>
          </w:tcPr>
          <w:p w14:paraId="0D7C3D72" w14:textId="77777777" w:rsidR="0084395C" w:rsidRPr="0084395C" w:rsidRDefault="0084395C" w:rsidP="0084395C">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sentiment</w:t>
            </w:r>
          </w:p>
        </w:tc>
        <w:tc>
          <w:tcPr>
            <w:tcW w:w="0" w:type="auto"/>
            <w:tcBorders>
              <w:top w:val="single" w:sz="4" w:space="0" w:color="auto"/>
              <w:left w:val="nil"/>
              <w:bottom w:val="single" w:sz="4" w:space="0" w:color="auto"/>
              <w:right w:val="nil"/>
            </w:tcBorders>
            <w:shd w:val="clear" w:color="auto" w:fill="auto"/>
            <w:noWrap/>
            <w:vAlign w:val="bottom"/>
            <w:hideMark/>
          </w:tcPr>
          <w:p w14:paraId="724E085E" w14:textId="6AB6600B"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v</w:t>
            </w:r>
            <w:r w:rsidR="0084395C" w:rsidRPr="0084395C">
              <w:rPr>
                <w:rFonts w:ascii="Times New Roman" w:eastAsia="Times New Roman" w:hAnsi="Times New Roman" w:cs="Times New Roman"/>
                <w:color w:val="000000"/>
                <w:sz w:val="20"/>
                <w:szCs w:val="20"/>
              </w:rPr>
              <w:t>iew</w:t>
            </w:r>
          </w:p>
        </w:tc>
        <w:tc>
          <w:tcPr>
            <w:tcW w:w="0" w:type="auto"/>
            <w:tcBorders>
              <w:top w:val="single" w:sz="4" w:space="0" w:color="auto"/>
              <w:left w:val="nil"/>
              <w:bottom w:val="single" w:sz="4" w:space="0" w:color="auto"/>
              <w:right w:val="nil"/>
            </w:tcBorders>
            <w:shd w:val="clear" w:color="auto" w:fill="auto"/>
            <w:noWrap/>
            <w:vAlign w:val="bottom"/>
            <w:hideMark/>
          </w:tcPr>
          <w:p w14:paraId="36A3E2B4" w14:textId="373D3A84"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s</w:t>
            </w:r>
            <w:r w:rsidR="0084395C" w:rsidRPr="0084395C">
              <w:rPr>
                <w:rFonts w:ascii="Times New Roman" w:eastAsia="Times New Roman" w:hAnsi="Times New Roman" w:cs="Times New Roman"/>
                <w:color w:val="000000"/>
                <w:sz w:val="20"/>
                <w:szCs w:val="20"/>
              </w:rPr>
              <w:t>unset</w:t>
            </w:r>
          </w:p>
        </w:tc>
        <w:tc>
          <w:tcPr>
            <w:tcW w:w="0" w:type="auto"/>
            <w:tcBorders>
              <w:top w:val="single" w:sz="4" w:space="0" w:color="auto"/>
              <w:left w:val="nil"/>
              <w:bottom w:val="single" w:sz="4" w:space="0" w:color="auto"/>
              <w:right w:val="nil"/>
            </w:tcBorders>
            <w:shd w:val="clear" w:color="auto" w:fill="auto"/>
            <w:noWrap/>
            <w:vAlign w:val="bottom"/>
            <w:hideMark/>
          </w:tcPr>
          <w:p w14:paraId="483CE43D" w14:textId="1B43CF61"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g</w:t>
            </w:r>
            <w:r w:rsidR="0084395C" w:rsidRPr="0084395C">
              <w:rPr>
                <w:rFonts w:ascii="Times New Roman" w:eastAsia="Times New Roman" w:hAnsi="Times New Roman" w:cs="Times New Roman"/>
                <w:color w:val="000000"/>
                <w:sz w:val="20"/>
                <w:szCs w:val="20"/>
              </w:rPr>
              <w:t>reen</w:t>
            </w:r>
          </w:p>
        </w:tc>
        <w:tc>
          <w:tcPr>
            <w:tcW w:w="0" w:type="auto"/>
            <w:tcBorders>
              <w:top w:val="single" w:sz="4" w:space="0" w:color="auto"/>
              <w:left w:val="nil"/>
              <w:bottom w:val="single" w:sz="4" w:space="0" w:color="auto"/>
              <w:right w:val="nil"/>
            </w:tcBorders>
            <w:shd w:val="clear" w:color="auto" w:fill="auto"/>
            <w:noWrap/>
            <w:vAlign w:val="bottom"/>
            <w:hideMark/>
          </w:tcPr>
          <w:p w14:paraId="630CD19F" w14:textId="7095C2A2"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b</w:t>
            </w:r>
            <w:r w:rsidR="0084395C" w:rsidRPr="0084395C">
              <w:rPr>
                <w:rFonts w:ascii="Times New Roman" w:eastAsia="Times New Roman" w:hAnsi="Times New Roman" w:cs="Times New Roman"/>
                <w:color w:val="000000"/>
                <w:sz w:val="20"/>
                <w:szCs w:val="20"/>
              </w:rPr>
              <w:t>eautiful</w:t>
            </w:r>
          </w:p>
        </w:tc>
        <w:tc>
          <w:tcPr>
            <w:tcW w:w="0" w:type="auto"/>
            <w:tcBorders>
              <w:top w:val="single" w:sz="4" w:space="0" w:color="auto"/>
              <w:left w:val="nil"/>
              <w:bottom w:val="single" w:sz="4" w:space="0" w:color="auto"/>
              <w:right w:val="nil"/>
            </w:tcBorders>
            <w:shd w:val="clear" w:color="auto" w:fill="auto"/>
            <w:noWrap/>
            <w:vAlign w:val="bottom"/>
            <w:hideMark/>
          </w:tcPr>
          <w:p w14:paraId="7DD2BC51" w14:textId="0C0ED45E"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a</w:t>
            </w:r>
            <w:r w:rsidR="0084395C" w:rsidRPr="0084395C">
              <w:rPr>
                <w:rFonts w:ascii="Times New Roman" w:eastAsia="Times New Roman" w:hAnsi="Times New Roman" w:cs="Times New Roman"/>
                <w:color w:val="000000"/>
                <w:sz w:val="20"/>
                <w:szCs w:val="20"/>
              </w:rPr>
              <w:t>esthetic</w:t>
            </w:r>
          </w:p>
        </w:tc>
        <w:tc>
          <w:tcPr>
            <w:tcW w:w="0" w:type="auto"/>
            <w:tcBorders>
              <w:top w:val="single" w:sz="4" w:space="0" w:color="auto"/>
              <w:left w:val="nil"/>
              <w:bottom w:val="single" w:sz="4" w:space="0" w:color="auto"/>
              <w:right w:val="nil"/>
            </w:tcBorders>
            <w:shd w:val="clear" w:color="auto" w:fill="auto"/>
            <w:noWrap/>
            <w:vAlign w:val="bottom"/>
            <w:hideMark/>
          </w:tcPr>
          <w:p w14:paraId="188F5D6C" w14:textId="2ACEE093"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r</w:t>
            </w:r>
            <w:r w:rsidR="0084395C" w:rsidRPr="0084395C">
              <w:rPr>
                <w:rFonts w:ascii="Times New Roman" w:eastAsia="Times New Roman" w:hAnsi="Times New Roman" w:cs="Times New Roman"/>
                <w:color w:val="000000"/>
                <w:sz w:val="20"/>
                <w:szCs w:val="20"/>
              </w:rPr>
              <w:t>un</w:t>
            </w:r>
          </w:p>
        </w:tc>
        <w:tc>
          <w:tcPr>
            <w:tcW w:w="0" w:type="auto"/>
            <w:tcBorders>
              <w:top w:val="single" w:sz="4" w:space="0" w:color="auto"/>
              <w:left w:val="nil"/>
              <w:bottom w:val="single" w:sz="4" w:space="0" w:color="auto"/>
              <w:right w:val="nil"/>
            </w:tcBorders>
            <w:shd w:val="clear" w:color="auto" w:fill="auto"/>
            <w:noWrap/>
            <w:vAlign w:val="bottom"/>
            <w:hideMark/>
          </w:tcPr>
          <w:p w14:paraId="4EFFC496" w14:textId="324498E7"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h</w:t>
            </w:r>
            <w:r w:rsidR="0084395C" w:rsidRPr="0084395C">
              <w:rPr>
                <w:rFonts w:ascii="Times New Roman" w:eastAsia="Times New Roman" w:hAnsi="Times New Roman" w:cs="Times New Roman"/>
                <w:color w:val="000000"/>
                <w:sz w:val="20"/>
                <w:szCs w:val="20"/>
              </w:rPr>
              <w:t>ike</w:t>
            </w:r>
          </w:p>
        </w:tc>
        <w:tc>
          <w:tcPr>
            <w:tcW w:w="0" w:type="auto"/>
            <w:tcBorders>
              <w:top w:val="single" w:sz="4" w:space="0" w:color="auto"/>
              <w:left w:val="nil"/>
              <w:bottom w:val="single" w:sz="4" w:space="0" w:color="auto"/>
              <w:right w:val="nil"/>
            </w:tcBorders>
            <w:shd w:val="clear" w:color="auto" w:fill="auto"/>
            <w:noWrap/>
            <w:vAlign w:val="bottom"/>
            <w:hideMark/>
          </w:tcPr>
          <w:p w14:paraId="45258BDA" w14:textId="652C647F"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p</w:t>
            </w:r>
            <w:r w:rsidR="0084395C" w:rsidRPr="0084395C">
              <w:rPr>
                <w:rFonts w:ascii="Times New Roman" w:eastAsia="Times New Roman" w:hAnsi="Times New Roman" w:cs="Times New Roman"/>
                <w:color w:val="000000"/>
                <w:sz w:val="20"/>
                <w:szCs w:val="20"/>
              </w:rPr>
              <w:t>lay</w:t>
            </w:r>
          </w:p>
        </w:tc>
        <w:tc>
          <w:tcPr>
            <w:tcW w:w="0" w:type="auto"/>
            <w:tcBorders>
              <w:top w:val="single" w:sz="4" w:space="0" w:color="auto"/>
              <w:left w:val="nil"/>
              <w:bottom w:val="single" w:sz="4" w:space="0" w:color="auto"/>
              <w:right w:val="nil"/>
            </w:tcBorders>
            <w:shd w:val="clear" w:color="auto" w:fill="auto"/>
            <w:noWrap/>
            <w:vAlign w:val="bottom"/>
            <w:hideMark/>
          </w:tcPr>
          <w:p w14:paraId="4C731079" w14:textId="0795CECF"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w</w:t>
            </w:r>
            <w:r w:rsidR="0084395C" w:rsidRPr="0084395C">
              <w:rPr>
                <w:rFonts w:ascii="Times New Roman" w:eastAsia="Times New Roman" w:hAnsi="Times New Roman" w:cs="Times New Roman"/>
                <w:color w:val="000000"/>
                <w:sz w:val="20"/>
                <w:szCs w:val="20"/>
              </w:rPr>
              <w:t>alk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54BC978" w14:textId="447EE650" w:rsidR="0084395C" w:rsidRPr="0084395C" w:rsidRDefault="00B02C3A" w:rsidP="0084395C">
            <w:pPr>
              <w:spacing w:after="0" w:line="240" w:lineRule="auto"/>
              <w:rPr>
                <w:rFonts w:ascii="Times New Roman" w:eastAsia="Times New Roman" w:hAnsi="Times New Roman" w:cs="Times New Roman"/>
                <w:color w:val="000000"/>
                <w:sz w:val="20"/>
                <w:szCs w:val="20"/>
              </w:rPr>
            </w:pPr>
            <w:r w:rsidRPr="00F76322">
              <w:rPr>
                <w:rFonts w:ascii="Times New Roman" w:eastAsia="Times New Roman" w:hAnsi="Times New Roman" w:cs="Times New Roman"/>
                <w:color w:val="000000"/>
                <w:sz w:val="20"/>
                <w:szCs w:val="20"/>
              </w:rPr>
              <w:t>e</w:t>
            </w:r>
            <w:r w:rsidR="0084395C" w:rsidRPr="0084395C">
              <w:rPr>
                <w:rFonts w:ascii="Times New Roman" w:eastAsia="Times New Roman" w:hAnsi="Times New Roman" w:cs="Times New Roman"/>
                <w:color w:val="000000"/>
                <w:sz w:val="20"/>
                <w:szCs w:val="20"/>
              </w:rPr>
              <w:t>xercises</w:t>
            </w:r>
          </w:p>
        </w:tc>
      </w:tr>
      <w:tr w:rsidR="002A58DD" w:rsidRPr="002A58DD" w14:paraId="49FF9910"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27A5983" w14:textId="77777777"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84395C">
              <w:rPr>
                <w:rFonts w:ascii="Times New Roman" w:eastAsia="Times New Roman" w:hAnsi="Times New Roman" w:cs="Times New Roman"/>
                <w:iCs/>
                <w:color w:val="000000"/>
                <w:sz w:val="20"/>
                <w:szCs w:val="20"/>
              </w:rPr>
              <w:t>sentiment</w:t>
            </w:r>
          </w:p>
        </w:tc>
        <w:tc>
          <w:tcPr>
            <w:tcW w:w="0" w:type="auto"/>
            <w:tcBorders>
              <w:top w:val="nil"/>
              <w:left w:val="nil"/>
              <w:bottom w:val="nil"/>
              <w:right w:val="nil"/>
            </w:tcBorders>
            <w:shd w:val="clear" w:color="auto" w:fill="auto"/>
            <w:noWrap/>
            <w:vAlign w:val="bottom"/>
            <w:hideMark/>
          </w:tcPr>
          <w:p w14:paraId="7AC8C03E" w14:textId="1B036891"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14:paraId="0283F992" w14:textId="7777777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1C0A1103"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93B51B2"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B9ED96"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EDC57C1"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1F4CCC"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9D20519"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91A8BDD"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7479D2"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single" w:sz="4" w:space="0" w:color="auto"/>
              <w:left w:val="nil"/>
              <w:bottom w:val="nil"/>
              <w:right w:val="single" w:sz="4" w:space="0" w:color="auto"/>
            </w:tcBorders>
            <w:shd w:val="clear" w:color="auto" w:fill="auto"/>
            <w:noWrap/>
            <w:vAlign w:val="bottom"/>
            <w:hideMark/>
          </w:tcPr>
          <w:p w14:paraId="717253A3"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2AF387C5"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6D9FD699" w14:textId="3A31EC21"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vi</w:t>
            </w:r>
            <w:r w:rsidRPr="0084395C">
              <w:rPr>
                <w:rFonts w:ascii="Times New Roman" w:eastAsia="Times New Roman" w:hAnsi="Times New Roman" w:cs="Times New Roman"/>
                <w:iCs/>
                <w:color w:val="000000"/>
                <w:sz w:val="20"/>
                <w:szCs w:val="20"/>
              </w:rPr>
              <w:t>ew</w:t>
            </w:r>
          </w:p>
        </w:tc>
        <w:tc>
          <w:tcPr>
            <w:tcW w:w="0" w:type="auto"/>
            <w:tcBorders>
              <w:top w:val="nil"/>
              <w:left w:val="nil"/>
              <w:bottom w:val="nil"/>
              <w:right w:val="nil"/>
            </w:tcBorders>
            <w:shd w:val="clear" w:color="auto" w:fill="auto"/>
            <w:noWrap/>
            <w:vAlign w:val="bottom"/>
            <w:hideMark/>
          </w:tcPr>
          <w:p w14:paraId="27F898FB" w14:textId="65F85558"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-0.13</w:t>
            </w:r>
          </w:p>
        </w:tc>
        <w:tc>
          <w:tcPr>
            <w:tcW w:w="0" w:type="auto"/>
            <w:tcBorders>
              <w:top w:val="nil"/>
              <w:left w:val="nil"/>
              <w:bottom w:val="nil"/>
              <w:right w:val="nil"/>
            </w:tcBorders>
            <w:shd w:val="clear" w:color="auto" w:fill="auto"/>
            <w:noWrap/>
            <w:vAlign w:val="bottom"/>
            <w:hideMark/>
          </w:tcPr>
          <w:p w14:paraId="07119028" w14:textId="26506F3B"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14:paraId="47D40022" w14:textId="7777777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2B15FBA2"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563432E"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150092"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CC3B81B"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B7AC032"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2C1695"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6B127E"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single" w:sz="4" w:space="0" w:color="auto"/>
            </w:tcBorders>
            <w:shd w:val="clear" w:color="auto" w:fill="auto"/>
            <w:noWrap/>
            <w:vAlign w:val="bottom"/>
            <w:hideMark/>
          </w:tcPr>
          <w:p w14:paraId="0BB146BD"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2CDCB158"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5BAC5280" w14:textId="495B6659"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s</w:t>
            </w:r>
            <w:r w:rsidRPr="0084395C">
              <w:rPr>
                <w:rFonts w:ascii="Times New Roman" w:eastAsia="Times New Roman" w:hAnsi="Times New Roman" w:cs="Times New Roman"/>
                <w:iCs/>
                <w:color w:val="000000"/>
                <w:sz w:val="20"/>
                <w:szCs w:val="20"/>
              </w:rPr>
              <w:t>unset</w:t>
            </w:r>
          </w:p>
        </w:tc>
        <w:tc>
          <w:tcPr>
            <w:tcW w:w="0" w:type="auto"/>
            <w:tcBorders>
              <w:top w:val="nil"/>
              <w:left w:val="nil"/>
              <w:bottom w:val="nil"/>
              <w:right w:val="nil"/>
            </w:tcBorders>
            <w:shd w:val="clear" w:color="auto" w:fill="auto"/>
            <w:noWrap/>
            <w:vAlign w:val="bottom"/>
            <w:hideMark/>
          </w:tcPr>
          <w:p w14:paraId="7CE5F2B4" w14:textId="6EE381EF"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-0.01</w:t>
            </w:r>
          </w:p>
        </w:tc>
        <w:tc>
          <w:tcPr>
            <w:tcW w:w="0" w:type="auto"/>
            <w:tcBorders>
              <w:top w:val="nil"/>
              <w:left w:val="nil"/>
              <w:bottom w:val="nil"/>
              <w:right w:val="nil"/>
            </w:tcBorders>
            <w:shd w:val="clear" w:color="auto" w:fill="auto"/>
            <w:noWrap/>
            <w:vAlign w:val="bottom"/>
            <w:hideMark/>
          </w:tcPr>
          <w:p w14:paraId="1C9CED69" w14:textId="7FC15EE4"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0.19</w:t>
            </w:r>
          </w:p>
        </w:tc>
        <w:tc>
          <w:tcPr>
            <w:tcW w:w="0" w:type="auto"/>
            <w:tcBorders>
              <w:top w:val="nil"/>
              <w:left w:val="nil"/>
              <w:bottom w:val="nil"/>
              <w:right w:val="nil"/>
            </w:tcBorders>
            <w:shd w:val="clear" w:color="auto" w:fill="auto"/>
            <w:noWrap/>
            <w:vAlign w:val="bottom"/>
            <w:hideMark/>
          </w:tcPr>
          <w:p w14:paraId="4B4C9F19" w14:textId="2EABD301"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14:paraId="558066A3" w14:textId="7777777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39EE4BEA"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5E31B8A"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4A43434"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739C23"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039BE43"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44D81F"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single" w:sz="4" w:space="0" w:color="auto"/>
            </w:tcBorders>
            <w:shd w:val="clear" w:color="auto" w:fill="auto"/>
            <w:noWrap/>
            <w:vAlign w:val="bottom"/>
            <w:hideMark/>
          </w:tcPr>
          <w:p w14:paraId="0623F78E"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322D5B7E"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298C3DA2" w14:textId="7F20F17C"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g</w:t>
            </w:r>
            <w:r w:rsidRPr="0084395C">
              <w:rPr>
                <w:rFonts w:ascii="Times New Roman" w:eastAsia="Times New Roman" w:hAnsi="Times New Roman" w:cs="Times New Roman"/>
                <w:iCs/>
                <w:color w:val="000000"/>
                <w:sz w:val="20"/>
                <w:szCs w:val="20"/>
              </w:rPr>
              <w:t>reen</w:t>
            </w:r>
          </w:p>
        </w:tc>
        <w:tc>
          <w:tcPr>
            <w:tcW w:w="0" w:type="auto"/>
            <w:tcBorders>
              <w:top w:val="nil"/>
              <w:left w:val="nil"/>
              <w:bottom w:val="nil"/>
              <w:right w:val="nil"/>
            </w:tcBorders>
            <w:shd w:val="clear" w:color="auto" w:fill="auto"/>
            <w:noWrap/>
            <w:vAlign w:val="bottom"/>
            <w:hideMark/>
          </w:tcPr>
          <w:p w14:paraId="04254054" w14:textId="44B79E8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0.39</w:t>
            </w:r>
          </w:p>
        </w:tc>
        <w:tc>
          <w:tcPr>
            <w:tcW w:w="0" w:type="auto"/>
            <w:tcBorders>
              <w:top w:val="nil"/>
              <w:left w:val="nil"/>
              <w:bottom w:val="nil"/>
              <w:right w:val="nil"/>
            </w:tcBorders>
            <w:shd w:val="clear" w:color="auto" w:fill="auto"/>
            <w:noWrap/>
            <w:vAlign w:val="bottom"/>
            <w:hideMark/>
          </w:tcPr>
          <w:p w14:paraId="24218D24" w14:textId="42EDF971"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-0.49</w:t>
            </w:r>
          </w:p>
        </w:tc>
        <w:tc>
          <w:tcPr>
            <w:tcW w:w="0" w:type="auto"/>
            <w:tcBorders>
              <w:top w:val="nil"/>
              <w:left w:val="nil"/>
              <w:bottom w:val="nil"/>
              <w:right w:val="nil"/>
            </w:tcBorders>
            <w:shd w:val="clear" w:color="auto" w:fill="auto"/>
            <w:noWrap/>
            <w:vAlign w:val="bottom"/>
            <w:hideMark/>
          </w:tcPr>
          <w:p w14:paraId="36306184" w14:textId="6355DCE8"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-0.04</w:t>
            </w:r>
          </w:p>
        </w:tc>
        <w:tc>
          <w:tcPr>
            <w:tcW w:w="0" w:type="auto"/>
            <w:tcBorders>
              <w:top w:val="nil"/>
              <w:left w:val="nil"/>
              <w:bottom w:val="nil"/>
              <w:right w:val="nil"/>
            </w:tcBorders>
            <w:shd w:val="clear" w:color="auto" w:fill="auto"/>
            <w:noWrap/>
            <w:vAlign w:val="bottom"/>
            <w:hideMark/>
          </w:tcPr>
          <w:p w14:paraId="7919CAB5" w14:textId="1522DC5B"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14:paraId="6D828613" w14:textId="7777777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435E7EB6"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B2FF70B"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251C31"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CB74A50"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AA8F9E"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single" w:sz="4" w:space="0" w:color="auto"/>
            </w:tcBorders>
            <w:shd w:val="clear" w:color="auto" w:fill="auto"/>
            <w:noWrap/>
            <w:vAlign w:val="bottom"/>
            <w:hideMark/>
          </w:tcPr>
          <w:p w14:paraId="30546EDA"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2F920242"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11BB064" w14:textId="66EC78CE"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b</w:t>
            </w:r>
            <w:r w:rsidRPr="0084395C">
              <w:rPr>
                <w:rFonts w:ascii="Times New Roman" w:eastAsia="Times New Roman" w:hAnsi="Times New Roman" w:cs="Times New Roman"/>
                <w:iCs/>
                <w:color w:val="000000"/>
                <w:sz w:val="20"/>
                <w:szCs w:val="20"/>
              </w:rPr>
              <w:t>eautiful</w:t>
            </w:r>
          </w:p>
        </w:tc>
        <w:tc>
          <w:tcPr>
            <w:tcW w:w="0" w:type="auto"/>
            <w:tcBorders>
              <w:top w:val="nil"/>
              <w:left w:val="nil"/>
              <w:bottom w:val="nil"/>
              <w:right w:val="nil"/>
            </w:tcBorders>
            <w:shd w:val="clear" w:color="auto" w:fill="auto"/>
            <w:noWrap/>
            <w:vAlign w:val="bottom"/>
            <w:hideMark/>
          </w:tcPr>
          <w:p w14:paraId="6E4AA7F8" w14:textId="56B142E3"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0.35</w:t>
            </w:r>
          </w:p>
        </w:tc>
        <w:tc>
          <w:tcPr>
            <w:tcW w:w="0" w:type="auto"/>
            <w:tcBorders>
              <w:top w:val="nil"/>
              <w:left w:val="nil"/>
              <w:bottom w:val="nil"/>
              <w:right w:val="nil"/>
            </w:tcBorders>
            <w:shd w:val="clear" w:color="auto" w:fill="auto"/>
            <w:noWrap/>
            <w:vAlign w:val="bottom"/>
            <w:hideMark/>
          </w:tcPr>
          <w:p w14:paraId="411AC569" w14:textId="1E5E69F9"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-0.17</w:t>
            </w:r>
          </w:p>
        </w:tc>
        <w:tc>
          <w:tcPr>
            <w:tcW w:w="0" w:type="auto"/>
            <w:tcBorders>
              <w:top w:val="nil"/>
              <w:left w:val="nil"/>
              <w:bottom w:val="nil"/>
              <w:right w:val="nil"/>
            </w:tcBorders>
            <w:shd w:val="clear" w:color="auto" w:fill="auto"/>
            <w:noWrap/>
            <w:vAlign w:val="bottom"/>
            <w:hideMark/>
          </w:tcPr>
          <w:p w14:paraId="3B1431C6" w14:textId="4F4A3E44"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14:paraId="10C65099" w14:textId="327CE59E"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0.57</w:t>
            </w:r>
          </w:p>
        </w:tc>
        <w:tc>
          <w:tcPr>
            <w:tcW w:w="0" w:type="auto"/>
            <w:tcBorders>
              <w:top w:val="nil"/>
              <w:left w:val="nil"/>
              <w:bottom w:val="nil"/>
              <w:right w:val="nil"/>
            </w:tcBorders>
            <w:shd w:val="clear" w:color="auto" w:fill="auto"/>
            <w:noWrap/>
            <w:vAlign w:val="bottom"/>
            <w:hideMark/>
          </w:tcPr>
          <w:p w14:paraId="230EC4FE" w14:textId="132A8003"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14:paraId="08A7FBB9" w14:textId="7777777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2F70AB92"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072BED5"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D0FAD19"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D706900"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single" w:sz="4" w:space="0" w:color="auto"/>
            </w:tcBorders>
            <w:shd w:val="clear" w:color="auto" w:fill="auto"/>
            <w:noWrap/>
            <w:vAlign w:val="bottom"/>
            <w:hideMark/>
          </w:tcPr>
          <w:p w14:paraId="5C792BCB"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220EE0C3"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0F6D6CF4" w14:textId="0FF88C12" w:rsidR="002A58DD" w:rsidRPr="0084395C" w:rsidRDefault="00F76322"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a</w:t>
            </w:r>
            <w:r w:rsidR="002A58DD" w:rsidRPr="0084395C">
              <w:rPr>
                <w:rFonts w:ascii="Times New Roman" w:eastAsia="Times New Roman" w:hAnsi="Times New Roman" w:cs="Times New Roman"/>
                <w:iCs/>
                <w:color w:val="000000"/>
                <w:sz w:val="20"/>
                <w:szCs w:val="20"/>
              </w:rPr>
              <w:t>esthetic</w:t>
            </w:r>
          </w:p>
        </w:tc>
        <w:tc>
          <w:tcPr>
            <w:tcW w:w="0" w:type="auto"/>
            <w:tcBorders>
              <w:top w:val="nil"/>
              <w:left w:val="nil"/>
              <w:bottom w:val="nil"/>
              <w:right w:val="nil"/>
            </w:tcBorders>
            <w:shd w:val="clear" w:color="auto" w:fill="auto"/>
            <w:noWrap/>
            <w:vAlign w:val="bottom"/>
            <w:hideMark/>
          </w:tcPr>
          <w:p w14:paraId="73F99159" w14:textId="5348ADDC"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14:paraId="4849F2D3" w14:textId="66D18A2F"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0.33</w:t>
            </w:r>
          </w:p>
        </w:tc>
        <w:tc>
          <w:tcPr>
            <w:tcW w:w="0" w:type="auto"/>
            <w:tcBorders>
              <w:top w:val="nil"/>
              <w:left w:val="nil"/>
              <w:bottom w:val="nil"/>
              <w:right w:val="nil"/>
            </w:tcBorders>
            <w:shd w:val="clear" w:color="auto" w:fill="auto"/>
            <w:noWrap/>
            <w:vAlign w:val="bottom"/>
            <w:hideMark/>
          </w:tcPr>
          <w:p w14:paraId="57F56D48" w14:textId="48F98D0F"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14:paraId="7D6E3AD2" w14:textId="6935F3D9"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0.49</w:t>
            </w:r>
          </w:p>
        </w:tc>
        <w:tc>
          <w:tcPr>
            <w:tcW w:w="0" w:type="auto"/>
            <w:tcBorders>
              <w:top w:val="nil"/>
              <w:left w:val="nil"/>
              <w:bottom w:val="nil"/>
              <w:right w:val="nil"/>
            </w:tcBorders>
            <w:shd w:val="clear" w:color="auto" w:fill="auto"/>
            <w:noWrap/>
            <w:vAlign w:val="bottom"/>
            <w:hideMark/>
          </w:tcPr>
          <w:p w14:paraId="08D37810" w14:textId="73B48504"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0.77</w:t>
            </w:r>
          </w:p>
        </w:tc>
        <w:tc>
          <w:tcPr>
            <w:tcW w:w="0" w:type="auto"/>
            <w:tcBorders>
              <w:top w:val="nil"/>
              <w:left w:val="nil"/>
              <w:bottom w:val="nil"/>
              <w:right w:val="nil"/>
            </w:tcBorders>
            <w:shd w:val="clear" w:color="auto" w:fill="auto"/>
            <w:noWrap/>
            <w:vAlign w:val="bottom"/>
            <w:hideMark/>
          </w:tcPr>
          <w:p w14:paraId="33B1B556" w14:textId="4B24DE86"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14:paraId="43866E92" w14:textId="7777777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174CB813"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53E6CFE"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E84009"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single" w:sz="4" w:space="0" w:color="auto"/>
            </w:tcBorders>
            <w:shd w:val="clear" w:color="auto" w:fill="auto"/>
            <w:noWrap/>
            <w:vAlign w:val="bottom"/>
            <w:hideMark/>
          </w:tcPr>
          <w:p w14:paraId="46ED8B89"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263F2356"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2FD15216" w14:textId="211D4787"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r</w:t>
            </w:r>
            <w:r w:rsidRPr="0084395C">
              <w:rPr>
                <w:rFonts w:ascii="Times New Roman" w:eastAsia="Times New Roman" w:hAnsi="Times New Roman" w:cs="Times New Roman"/>
                <w:iCs/>
                <w:color w:val="000000"/>
                <w:sz w:val="20"/>
                <w:szCs w:val="20"/>
              </w:rPr>
              <w:t>un</w:t>
            </w:r>
          </w:p>
        </w:tc>
        <w:tc>
          <w:tcPr>
            <w:tcW w:w="0" w:type="auto"/>
            <w:tcBorders>
              <w:top w:val="nil"/>
              <w:left w:val="nil"/>
              <w:bottom w:val="nil"/>
              <w:right w:val="nil"/>
            </w:tcBorders>
            <w:shd w:val="clear" w:color="auto" w:fill="auto"/>
            <w:noWrap/>
            <w:vAlign w:val="bottom"/>
            <w:hideMark/>
          </w:tcPr>
          <w:p w14:paraId="0C46E725" w14:textId="32914C02"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0.15</w:t>
            </w:r>
          </w:p>
        </w:tc>
        <w:tc>
          <w:tcPr>
            <w:tcW w:w="0" w:type="auto"/>
            <w:tcBorders>
              <w:top w:val="nil"/>
              <w:left w:val="nil"/>
              <w:bottom w:val="nil"/>
              <w:right w:val="nil"/>
            </w:tcBorders>
            <w:shd w:val="clear" w:color="auto" w:fill="auto"/>
            <w:noWrap/>
            <w:vAlign w:val="bottom"/>
            <w:hideMark/>
          </w:tcPr>
          <w:p w14:paraId="171E1F0E" w14:textId="0DB89DA1"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0.03</w:t>
            </w:r>
          </w:p>
        </w:tc>
        <w:tc>
          <w:tcPr>
            <w:tcW w:w="0" w:type="auto"/>
            <w:tcBorders>
              <w:top w:val="nil"/>
              <w:left w:val="nil"/>
              <w:bottom w:val="nil"/>
              <w:right w:val="nil"/>
            </w:tcBorders>
            <w:shd w:val="clear" w:color="auto" w:fill="auto"/>
            <w:noWrap/>
            <w:vAlign w:val="bottom"/>
            <w:hideMark/>
          </w:tcPr>
          <w:p w14:paraId="799A20CB" w14:textId="259DEBF0"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14:paraId="28E8FB3E" w14:textId="2A728616"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0.42</w:t>
            </w:r>
          </w:p>
        </w:tc>
        <w:tc>
          <w:tcPr>
            <w:tcW w:w="0" w:type="auto"/>
            <w:tcBorders>
              <w:top w:val="nil"/>
              <w:left w:val="nil"/>
              <w:bottom w:val="nil"/>
              <w:right w:val="nil"/>
            </w:tcBorders>
            <w:shd w:val="clear" w:color="auto" w:fill="auto"/>
            <w:noWrap/>
            <w:vAlign w:val="bottom"/>
            <w:hideMark/>
          </w:tcPr>
          <w:p w14:paraId="0CFB37CB" w14:textId="2CE64C25"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0.40</w:t>
            </w:r>
          </w:p>
        </w:tc>
        <w:tc>
          <w:tcPr>
            <w:tcW w:w="0" w:type="auto"/>
            <w:tcBorders>
              <w:top w:val="nil"/>
              <w:left w:val="nil"/>
              <w:bottom w:val="nil"/>
              <w:right w:val="nil"/>
            </w:tcBorders>
            <w:shd w:val="clear" w:color="auto" w:fill="auto"/>
            <w:noWrap/>
            <w:vAlign w:val="bottom"/>
            <w:hideMark/>
          </w:tcPr>
          <w:p w14:paraId="1C98180D" w14:textId="229BA7E8"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0.41</w:t>
            </w:r>
          </w:p>
        </w:tc>
        <w:tc>
          <w:tcPr>
            <w:tcW w:w="0" w:type="auto"/>
            <w:tcBorders>
              <w:top w:val="nil"/>
              <w:left w:val="nil"/>
              <w:bottom w:val="nil"/>
              <w:right w:val="nil"/>
            </w:tcBorders>
            <w:shd w:val="clear" w:color="auto" w:fill="auto"/>
            <w:noWrap/>
            <w:vAlign w:val="bottom"/>
            <w:hideMark/>
          </w:tcPr>
          <w:p w14:paraId="11DF7222" w14:textId="37177833"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14:paraId="442A39CC" w14:textId="7777777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22F830D6"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764089"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single" w:sz="4" w:space="0" w:color="auto"/>
            </w:tcBorders>
            <w:shd w:val="clear" w:color="auto" w:fill="auto"/>
            <w:noWrap/>
            <w:vAlign w:val="bottom"/>
            <w:hideMark/>
          </w:tcPr>
          <w:p w14:paraId="2196837D"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1BF73F72"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5F3B544F" w14:textId="299E2B58"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h</w:t>
            </w:r>
            <w:r w:rsidRPr="0084395C">
              <w:rPr>
                <w:rFonts w:ascii="Times New Roman" w:eastAsia="Times New Roman" w:hAnsi="Times New Roman" w:cs="Times New Roman"/>
                <w:iCs/>
                <w:color w:val="000000"/>
                <w:sz w:val="20"/>
                <w:szCs w:val="20"/>
              </w:rPr>
              <w:t>ike</w:t>
            </w:r>
          </w:p>
        </w:tc>
        <w:tc>
          <w:tcPr>
            <w:tcW w:w="0" w:type="auto"/>
            <w:tcBorders>
              <w:top w:val="nil"/>
              <w:left w:val="nil"/>
              <w:bottom w:val="nil"/>
              <w:right w:val="nil"/>
            </w:tcBorders>
            <w:shd w:val="clear" w:color="auto" w:fill="auto"/>
            <w:noWrap/>
            <w:vAlign w:val="bottom"/>
            <w:hideMark/>
          </w:tcPr>
          <w:p w14:paraId="021E5224" w14:textId="198AE2B8"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0.41</w:t>
            </w:r>
          </w:p>
        </w:tc>
        <w:tc>
          <w:tcPr>
            <w:tcW w:w="0" w:type="auto"/>
            <w:tcBorders>
              <w:top w:val="nil"/>
              <w:left w:val="nil"/>
              <w:bottom w:val="nil"/>
              <w:right w:val="nil"/>
            </w:tcBorders>
            <w:shd w:val="clear" w:color="auto" w:fill="auto"/>
            <w:noWrap/>
            <w:vAlign w:val="bottom"/>
            <w:hideMark/>
          </w:tcPr>
          <w:p w14:paraId="6041D0B8" w14:textId="2A5FA04E"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-0.58</w:t>
            </w:r>
          </w:p>
        </w:tc>
        <w:tc>
          <w:tcPr>
            <w:tcW w:w="0" w:type="auto"/>
            <w:tcBorders>
              <w:top w:val="nil"/>
              <w:left w:val="nil"/>
              <w:bottom w:val="nil"/>
              <w:right w:val="nil"/>
            </w:tcBorders>
            <w:shd w:val="clear" w:color="auto" w:fill="auto"/>
            <w:noWrap/>
            <w:vAlign w:val="bottom"/>
            <w:hideMark/>
          </w:tcPr>
          <w:p w14:paraId="57F1120A" w14:textId="5267062B"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-0.08</w:t>
            </w:r>
          </w:p>
        </w:tc>
        <w:tc>
          <w:tcPr>
            <w:tcW w:w="0" w:type="auto"/>
            <w:tcBorders>
              <w:top w:val="nil"/>
              <w:left w:val="nil"/>
              <w:bottom w:val="nil"/>
              <w:right w:val="nil"/>
            </w:tcBorders>
            <w:shd w:val="clear" w:color="auto" w:fill="auto"/>
            <w:noWrap/>
            <w:vAlign w:val="bottom"/>
            <w:hideMark/>
          </w:tcPr>
          <w:p w14:paraId="564DE964" w14:textId="0BE7A648"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0.69</w:t>
            </w:r>
          </w:p>
        </w:tc>
        <w:tc>
          <w:tcPr>
            <w:tcW w:w="0" w:type="auto"/>
            <w:tcBorders>
              <w:top w:val="nil"/>
              <w:left w:val="nil"/>
              <w:bottom w:val="nil"/>
              <w:right w:val="nil"/>
            </w:tcBorders>
            <w:shd w:val="clear" w:color="auto" w:fill="auto"/>
            <w:noWrap/>
            <w:vAlign w:val="bottom"/>
            <w:hideMark/>
          </w:tcPr>
          <w:p w14:paraId="05FF806A" w14:textId="2976C2D5"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0.64</w:t>
            </w:r>
          </w:p>
        </w:tc>
        <w:tc>
          <w:tcPr>
            <w:tcW w:w="0" w:type="auto"/>
            <w:tcBorders>
              <w:top w:val="nil"/>
              <w:left w:val="nil"/>
              <w:bottom w:val="nil"/>
              <w:right w:val="nil"/>
            </w:tcBorders>
            <w:shd w:val="clear" w:color="auto" w:fill="auto"/>
            <w:noWrap/>
            <w:vAlign w:val="bottom"/>
            <w:hideMark/>
          </w:tcPr>
          <w:p w14:paraId="35EE293E" w14:textId="17E9E636"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0.36</w:t>
            </w:r>
          </w:p>
        </w:tc>
        <w:tc>
          <w:tcPr>
            <w:tcW w:w="0" w:type="auto"/>
            <w:tcBorders>
              <w:top w:val="nil"/>
              <w:left w:val="nil"/>
              <w:bottom w:val="nil"/>
              <w:right w:val="nil"/>
            </w:tcBorders>
            <w:shd w:val="clear" w:color="auto" w:fill="auto"/>
            <w:noWrap/>
            <w:vAlign w:val="bottom"/>
            <w:hideMark/>
          </w:tcPr>
          <w:p w14:paraId="0CB0F4FC" w14:textId="16E34304"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14:paraId="7BB329A1" w14:textId="262E0A65"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14:paraId="23510DA3" w14:textId="7777777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7784DB56" w14:textId="77777777" w:rsidR="002A58DD" w:rsidRPr="0084395C" w:rsidRDefault="002A58DD" w:rsidP="002A58D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single" w:sz="4" w:space="0" w:color="auto"/>
            </w:tcBorders>
            <w:shd w:val="clear" w:color="auto" w:fill="auto"/>
            <w:noWrap/>
            <w:vAlign w:val="bottom"/>
            <w:hideMark/>
          </w:tcPr>
          <w:p w14:paraId="3EDF6A21"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606F2D06"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7749A884" w14:textId="78EE25E8"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p</w:t>
            </w:r>
            <w:r w:rsidRPr="0084395C">
              <w:rPr>
                <w:rFonts w:ascii="Times New Roman" w:eastAsia="Times New Roman" w:hAnsi="Times New Roman" w:cs="Times New Roman"/>
                <w:iCs/>
                <w:color w:val="000000"/>
                <w:sz w:val="20"/>
                <w:szCs w:val="20"/>
              </w:rPr>
              <w:t>lay</w:t>
            </w:r>
          </w:p>
        </w:tc>
        <w:tc>
          <w:tcPr>
            <w:tcW w:w="0" w:type="auto"/>
            <w:tcBorders>
              <w:top w:val="nil"/>
              <w:left w:val="nil"/>
              <w:bottom w:val="nil"/>
              <w:right w:val="nil"/>
            </w:tcBorders>
            <w:shd w:val="clear" w:color="auto" w:fill="auto"/>
            <w:noWrap/>
            <w:vAlign w:val="bottom"/>
            <w:hideMark/>
          </w:tcPr>
          <w:p w14:paraId="5FD2C151" w14:textId="090ABB48"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0.25</w:t>
            </w:r>
          </w:p>
        </w:tc>
        <w:tc>
          <w:tcPr>
            <w:tcW w:w="0" w:type="auto"/>
            <w:tcBorders>
              <w:top w:val="nil"/>
              <w:left w:val="nil"/>
              <w:bottom w:val="nil"/>
              <w:right w:val="nil"/>
            </w:tcBorders>
            <w:shd w:val="clear" w:color="auto" w:fill="auto"/>
            <w:noWrap/>
            <w:vAlign w:val="bottom"/>
            <w:hideMark/>
          </w:tcPr>
          <w:p w14:paraId="334F39E3" w14:textId="78A640CE"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-0.13</w:t>
            </w:r>
          </w:p>
        </w:tc>
        <w:tc>
          <w:tcPr>
            <w:tcW w:w="0" w:type="auto"/>
            <w:tcBorders>
              <w:top w:val="nil"/>
              <w:left w:val="nil"/>
              <w:bottom w:val="nil"/>
              <w:right w:val="nil"/>
            </w:tcBorders>
            <w:shd w:val="clear" w:color="auto" w:fill="auto"/>
            <w:noWrap/>
            <w:vAlign w:val="bottom"/>
            <w:hideMark/>
          </w:tcPr>
          <w:p w14:paraId="016C7DCE" w14:textId="36000773"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0.14</w:t>
            </w:r>
          </w:p>
        </w:tc>
        <w:tc>
          <w:tcPr>
            <w:tcW w:w="0" w:type="auto"/>
            <w:tcBorders>
              <w:top w:val="nil"/>
              <w:left w:val="nil"/>
              <w:bottom w:val="nil"/>
              <w:right w:val="nil"/>
            </w:tcBorders>
            <w:shd w:val="clear" w:color="auto" w:fill="auto"/>
            <w:noWrap/>
            <w:vAlign w:val="bottom"/>
            <w:hideMark/>
          </w:tcPr>
          <w:p w14:paraId="3A22EE20" w14:textId="0D1664F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0.52</w:t>
            </w:r>
          </w:p>
        </w:tc>
        <w:tc>
          <w:tcPr>
            <w:tcW w:w="0" w:type="auto"/>
            <w:tcBorders>
              <w:top w:val="nil"/>
              <w:left w:val="nil"/>
              <w:bottom w:val="nil"/>
              <w:right w:val="nil"/>
            </w:tcBorders>
            <w:shd w:val="clear" w:color="auto" w:fill="auto"/>
            <w:noWrap/>
            <w:vAlign w:val="bottom"/>
            <w:hideMark/>
          </w:tcPr>
          <w:p w14:paraId="6916147F" w14:textId="4A600346"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0.38</w:t>
            </w:r>
          </w:p>
        </w:tc>
        <w:tc>
          <w:tcPr>
            <w:tcW w:w="0" w:type="auto"/>
            <w:tcBorders>
              <w:top w:val="nil"/>
              <w:left w:val="nil"/>
              <w:bottom w:val="nil"/>
              <w:right w:val="nil"/>
            </w:tcBorders>
            <w:shd w:val="clear" w:color="auto" w:fill="auto"/>
            <w:noWrap/>
            <w:vAlign w:val="bottom"/>
            <w:hideMark/>
          </w:tcPr>
          <w:p w14:paraId="0F1D2D66" w14:textId="71201BB0"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0.43</w:t>
            </w:r>
          </w:p>
        </w:tc>
        <w:tc>
          <w:tcPr>
            <w:tcW w:w="0" w:type="auto"/>
            <w:tcBorders>
              <w:top w:val="nil"/>
              <w:left w:val="nil"/>
              <w:bottom w:val="nil"/>
              <w:right w:val="nil"/>
            </w:tcBorders>
            <w:shd w:val="clear" w:color="auto" w:fill="auto"/>
            <w:noWrap/>
            <w:vAlign w:val="bottom"/>
            <w:hideMark/>
          </w:tcPr>
          <w:p w14:paraId="6D634CB0" w14:textId="7B0F31E5"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-0.02</w:t>
            </w:r>
          </w:p>
        </w:tc>
        <w:tc>
          <w:tcPr>
            <w:tcW w:w="0" w:type="auto"/>
            <w:tcBorders>
              <w:top w:val="nil"/>
              <w:left w:val="nil"/>
              <w:bottom w:val="nil"/>
              <w:right w:val="nil"/>
            </w:tcBorders>
            <w:shd w:val="clear" w:color="auto" w:fill="auto"/>
            <w:noWrap/>
            <w:vAlign w:val="bottom"/>
            <w:hideMark/>
          </w:tcPr>
          <w:p w14:paraId="1581E357" w14:textId="65086A79"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0.55</w:t>
            </w:r>
          </w:p>
        </w:tc>
        <w:tc>
          <w:tcPr>
            <w:tcW w:w="0" w:type="auto"/>
            <w:tcBorders>
              <w:top w:val="nil"/>
              <w:left w:val="nil"/>
              <w:bottom w:val="nil"/>
              <w:right w:val="nil"/>
            </w:tcBorders>
            <w:shd w:val="clear" w:color="auto" w:fill="auto"/>
            <w:noWrap/>
            <w:vAlign w:val="bottom"/>
            <w:hideMark/>
          </w:tcPr>
          <w:p w14:paraId="32FB4D8F" w14:textId="315D4C52"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14:paraId="6DDB2F54" w14:textId="7777777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p>
        </w:tc>
        <w:tc>
          <w:tcPr>
            <w:tcW w:w="0" w:type="auto"/>
            <w:tcBorders>
              <w:top w:val="nil"/>
              <w:left w:val="nil"/>
              <w:bottom w:val="nil"/>
              <w:right w:val="single" w:sz="4" w:space="0" w:color="auto"/>
            </w:tcBorders>
            <w:shd w:val="clear" w:color="auto" w:fill="auto"/>
            <w:noWrap/>
            <w:vAlign w:val="bottom"/>
            <w:hideMark/>
          </w:tcPr>
          <w:p w14:paraId="0CB39531"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66E92422" w14:textId="77777777" w:rsidTr="002A58DD">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241F302C" w14:textId="31070303"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w</w:t>
            </w:r>
            <w:r w:rsidRPr="0084395C">
              <w:rPr>
                <w:rFonts w:ascii="Times New Roman" w:eastAsia="Times New Roman" w:hAnsi="Times New Roman" w:cs="Times New Roman"/>
                <w:iCs/>
                <w:color w:val="000000"/>
                <w:sz w:val="20"/>
                <w:szCs w:val="20"/>
              </w:rPr>
              <w:t>alk</w:t>
            </w:r>
          </w:p>
        </w:tc>
        <w:tc>
          <w:tcPr>
            <w:tcW w:w="0" w:type="auto"/>
            <w:tcBorders>
              <w:top w:val="nil"/>
              <w:left w:val="nil"/>
              <w:bottom w:val="nil"/>
              <w:right w:val="nil"/>
            </w:tcBorders>
            <w:shd w:val="clear" w:color="auto" w:fill="auto"/>
            <w:noWrap/>
            <w:vAlign w:val="bottom"/>
            <w:hideMark/>
          </w:tcPr>
          <w:p w14:paraId="5B87DE86" w14:textId="05FAB37C"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0.41</w:t>
            </w:r>
          </w:p>
        </w:tc>
        <w:tc>
          <w:tcPr>
            <w:tcW w:w="0" w:type="auto"/>
            <w:tcBorders>
              <w:top w:val="nil"/>
              <w:left w:val="nil"/>
              <w:bottom w:val="nil"/>
              <w:right w:val="nil"/>
            </w:tcBorders>
            <w:shd w:val="clear" w:color="auto" w:fill="auto"/>
            <w:noWrap/>
            <w:vAlign w:val="bottom"/>
            <w:hideMark/>
          </w:tcPr>
          <w:p w14:paraId="0670B305" w14:textId="6CD2D461"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-0.10</w:t>
            </w:r>
          </w:p>
        </w:tc>
        <w:tc>
          <w:tcPr>
            <w:tcW w:w="0" w:type="auto"/>
            <w:tcBorders>
              <w:top w:val="nil"/>
              <w:left w:val="nil"/>
              <w:bottom w:val="nil"/>
              <w:right w:val="nil"/>
            </w:tcBorders>
            <w:shd w:val="clear" w:color="auto" w:fill="auto"/>
            <w:noWrap/>
            <w:vAlign w:val="bottom"/>
            <w:hideMark/>
          </w:tcPr>
          <w:p w14:paraId="2C906F5B" w14:textId="4B4ADEC9"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-0.04</w:t>
            </w:r>
          </w:p>
        </w:tc>
        <w:tc>
          <w:tcPr>
            <w:tcW w:w="0" w:type="auto"/>
            <w:tcBorders>
              <w:top w:val="nil"/>
              <w:left w:val="nil"/>
              <w:bottom w:val="nil"/>
              <w:right w:val="nil"/>
            </w:tcBorders>
            <w:shd w:val="clear" w:color="auto" w:fill="auto"/>
            <w:noWrap/>
            <w:vAlign w:val="bottom"/>
            <w:hideMark/>
          </w:tcPr>
          <w:p w14:paraId="3C0CB3CD" w14:textId="5FACF693"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0.55</w:t>
            </w:r>
          </w:p>
        </w:tc>
        <w:tc>
          <w:tcPr>
            <w:tcW w:w="0" w:type="auto"/>
            <w:tcBorders>
              <w:top w:val="nil"/>
              <w:left w:val="nil"/>
              <w:bottom w:val="nil"/>
              <w:right w:val="nil"/>
            </w:tcBorders>
            <w:shd w:val="clear" w:color="auto" w:fill="auto"/>
            <w:noWrap/>
            <w:vAlign w:val="bottom"/>
            <w:hideMark/>
          </w:tcPr>
          <w:p w14:paraId="4E5A8CB9" w14:textId="031C4AF4"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0.71</w:t>
            </w:r>
          </w:p>
        </w:tc>
        <w:tc>
          <w:tcPr>
            <w:tcW w:w="0" w:type="auto"/>
            <w:tcBorders>
              <w:top w:val="nil"/>
              <w:left w:val="nil"/>
              <w:bottom w:val="nil"/>
              <w:right w:val="nil"/>
            </w:tcBorders>
            <w:shd w:val="clear" w:color="auto" w:fill="auto"/>
            <w:noWrap/>
            <w:vAlign w:val="bottom"/>
            <w:hideMark/>
          </w:tcPr>
          <w:p w14:paraId="02D57977" w14:textId="538B79BB"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0.65</w:t>
            </w:r>
          </w:p>
        </w:tc>
        <w:tc>
          <w:tcPr>
            <w:tcW w:w="0" w:type="auto"/>
            <w:tcBorders>
              <w:top w:val="nil"/>
              <w:left w:val="nil"/>
              <w:bottom w:val="nil"/>
              <w:right w:val="nil"/>
            </w:tcBorders>
            <w:shd w:val="clear" w:color="auto" w:fill="auto"/>
            <w:noWrap/>
            <w:vAlign w:val="bottom"/>
            <w:hideMark/>
          </w:tcPr>
          <w:p w14:paraId="52A17F0E" w14:textId="62CEF7C5"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14:paraId="1894181A" w14:textId="7232E2E0"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0.35</w:t>
            </w:r>
          </w:p>
        </w:tc>
        <w:tc>
          <w:tcPr>
            <w:tcW w:w="0" w:type="auto"/>
            <w:tcBorders>
              <w:top w:val="nil"/>
              <w:left w:val="nil"/>
              <w:bottom w:val="nil"/>
              <w:right w:val="nil"/>
            </w:tcBorders>
            <w:shd w:val="clear" w:color="auto" w:fill="auto"/>
            <w:noWrap/>
            <w:vAlign w:val="bottom"/>
            <w:hideMark/>
          </w:tcPr>
          <w:p w14:paraId="046D6A07" w14:textId="3B673546"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0.27</w:t>
            </w:r>
          </w:p>
        </w:tc>
        <w:tc>
          <w:tcPr>
            <w:tcW w:w="0" w:type="auto"/>
            <w:tcBorders>
              <w:top w:val="nil"/>
              <w:left w:val="nil"/>
              <w:bottom w:val="nil"/>
              <w:right w:val="nil"/>
            </w:tcBorders>
            <w:shd w:val="clear" w:color="auto" w:fill="auto"/>
            <w:noWrap/>
            <w:vAlign w:val="bottom"/>
            <w:hideMark/>
          </w:tcPr>
          <w:p w14:paraId="74893414" w14:textId="4B157BB2"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1.00</w:t>
            </w:r>
          </w:p>
        </w:tc>
        <w:tc>
          <w:tcPr>
            <w:tcW w:w="0" w:type="auto"/>
            <w:tcBorders>
              <w:top w:val="nil"/>
              <w:left w:val="nil"/>
              <w:bottom w:val="nil"/>
              <w:right w:val="single" w:sz="4" w:space="0" w:color="auto"/>
            </w:tcBorders>
            <w:shd w:val="clear" w:color="auto" w:fill="auto"/>
            <w:noWrap/>
            <w:vAlign w:val="bottom"/>
            <w:hideMark/>
          </w:tcPr>
          <w:p w14:paraId="4E9FE38B" w14:textId="77777777" w:rsidR="002A58DD" w:rsidRPr="0084395C" w:rsidRDefault="002A58DD" w:rsidP="002A58DD">
            <w:pPr>
              <w:spacing w:after="0" w:line="240" w:lineRule="auto"/>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 </w:t>
            </w:r>
          </w:p>
        </w:tc>
      </w:tr>
      <w:tr w:rsidR="002A58DD" w:rsidRPr="002A58DD" w14:paraId="2D81FE49" w14:textId="77777777" w:rsidTr="002A58DD">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1C27FC" w14:textId="57AEF307" w:rsidR="002A58DD" w:rsidRPr="0084395C" w:rsidRDefault="002A58DD" w:rsidP="002A58DD">
            <w:pPr>
              <w:spacing w:after="0" w:line="240" w:lineRule="auto"/>
              <w:rPr>
                <w:rFonts w:ascii="Times New Roman" w:eastAsia="Times New Roman" w:hAnsi="Times New Roman" w:cs="Times New Roman"/>
                <w:iCs/>
                <w:color w:val="000000"/>
                <w:sz w:val="20"/>
                <w:szCs w:val="20"/>
              </w:rPr>
            </w:pPr>
            <w:r w:rsidRPr="00F76322">
              <w:rPr>
                <w:rFonts w:ascii="Times New Roman" w:eastAsia="Times New Roman" w:hAnsi="Times New Roman" w:cs="Times New Roman"/>
                <w:iCs/>
                <w:color w:val="000000"/>
                <w:sz w:val="20"/>
                <w:szCs w:val="20"/>
              </w:rPr>
              <w:t>e</w:t>
            </w:r>
            <w:r w:rsidRPr="0084395C">
              <w:rPr>
                <w:rFonts w:ascii="Times New Roman" w:eastAsia="Times New Roman" w:hAnsi="Times New Roman" w:cs="Times New Roman"/>
                <w:iCs/>
                <w:color w:val="000000"/>
                <w:sz w:val="20"/>
                <w:szCs w:val="20"/>
              </w:rPr>
              <w:t>xercises</w:t>
            </w:r>
          </w:p>
        </w:tc>
        <w:tc>
          <w:tcPr>
            <w:tcW w:w="0" w:type="auto"/>
            <w:tcBorders>
              <w:top w:val="nil"/>
              <w:left w:val="nil"/>
              <w:bottom w:val="single" w:sz="8" w:space="0" w:color="auto"/>
              <w:right w:val="nil"/>
            </w:tcBorders>
            <w:shd w:val="clear" w:color="auto" w:fill="auto"/>
            <w:noWrap/>
            <w:vAlign w:val="bottom"/>
            <w:hideMark/>
          </w:tcPr>
          <w:p w14:paraId="6836BD25" w14:textId="69E46051"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0.48</w:t>
            </w:r>
          </w:p>
        </w:tc>
        <w:tc>
          <w:tcPr>
            <w:tcW w:w="0" w:type="auto"/>
            <w:tcBorders>
              <w:top w:val="nil"/>
              <w:left w:val="nil"/>
              <w:bottom w:val="single" w:sz="8" w:space="0" w:color="auto"/>
              <w:right w:val="nil"/>
            </w:tcBorders>
            <w:shd w:val="clear" w:color="auto" w:fill="auto"/>
            <w:noWrap/>
            <w:vAlign w:val="bottom"/>
            <w:hideMark/>
          </w:tcPr>
          <w:p w14:paraId="1703230A" w14:textId="0CC21382"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-0.32</w:t>
            </w:r>
          </w:p>
        </w:tc>
        <w:tc>
          <w:tcPr>
            <w:tcW w:w="0" w:type="auto"/>
            <w:tcBorders>
              <w:top w:val="nil"/>
              <w:left w:val="nil"/>
              <w:bottom w:val="single" w:sz="8" w:space="0" w:color="auto"/>
              <w:right w:val="nil"/>
            </w:tcBorders>
            <w:shd w:val="clear" w:color="auto" w:fill="auto"/>
            <w:noWrap/>
            <w:vAlign w:val="bottom"/>
            <w:hideMark/>
          </w:tcPr>
          <w:p w14:paraId="6E63EE01" w14:textId="3972C544"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-0.06</w:t>
            </w:r>
          </w:p>
        </w:tc>
        <w:tc>
          <w:tcPr>
            <w:tcW w:w="0" w:type="auto"/>
            <w:tcBorders>
              <w:top w:val="nil"/>
              <w:left w:val="nil"/>
              <w:bottom w:val="single" w:sz="8" w:space="0" w:color="auto"/>
              <w:right w:val="nil"/>
            </w:tcBorders>
            <w:shd w:val="clear" w:color="auto" w:fill="auto"/>
            <w:noWrap/>
            <w:vAlign w:val="bottom"/>
            <w:hideMark/>
          </w:tcPr>
          <w:p w14:paraId="0AAE7F1F" w14:textId="2E2B44F2"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0.81</w:t>
            </w:r>
          </w:p>
        </w:tc>
        <w:tc>
          <w:tcPr>
            <w:tcW w:w="0" w:type="auto"/>
            <w:tcBorders>
              <w:top w:val="nil"/>
              <w:left w:val="nil"/>
              <w:bottom w:val="single" w:sz="8" w:space="0" w:color="auto"/>
              <w:right w:val="nil"/>
            </w:tcBorders>
            <w:shd w:val="clear" w:color="auto" w:fill="auto"/>
            <w:noWrap/>
            <w:vAlign w:val="bottom"/>
            <w:hideMark/>
          </w:tcPr>
          <w:p w14:paraId="634F8B52" w14:textId="3405BB95"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0.82</w:t>
            </w:r>
          </w:p>
        </w:tc>
        <w:tc>
          <w:tcPr>
            <w:tcW w:w="0" w:type="auto"/>
            <w:tcBorders>
              <w:top w:val="nil"/>
              <w:left w:val="nil"/>
              <w:bottom w:val="single" w:sz="8" w:space="0" w:color="auto"/>
              <w:right w:val="nil"/>
            </w:tcBorders>
            <w:shd w:val="clear" w:color="auto" w:fill="auto"/>
            <w:noWrap/>
            <w:vAlign w:val="bottom"/>
            <w:hideMark/>
          </w:tcPr>
          <w:p w14:paraId="7DA0B86E" w14:textId="45E32289"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0.70</w:t>
            </w:r>
          </w:p>
        </w:tc>
        <w:tc>
          <w:tcPr>
            <w:tcW w:w="0" w:type="auto"/>
            <w:tcBorders>
              <w:top w:val="nil"/>
              <w:left w:val="nil"/>
              <w:bottom w:val="single" w:sz="8" w:space="0" w:color="auto"/>
              <w:right w:val="nil"/>
            </w:tcBorders>
            <w:shd w:val="clear" w:color="auto" w:fill="auto"/>
            <w:noWrap/>
            <w:vAlign w:val="bottom"/>
            <w:hideMark/>
          </w:tcPr>
          <w:p w14:paraId="19D04687" w14:textId="5964B278"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0.43</w:t>
            </w:r>
          </w:p>
        </w:tc>
        <w:tc>
          <w:tcPr>
            <w:tcW w:w="0" w:type="auto"/>
            <w:tcBorders>
              <w:top w:val="nil"/>
              <w:left w:val="nil"/>
              <w:bottom w:val="single" w:sz="8" w:space="0" w:color="auto"/>
              <w:right w:val="nil"/>
            </w:tcBorders>
            <w:shd w:val="clear" w:color="auto" w:fill="auto"/>
            <w:noWrap/>
            <w:vAlign w:val="bottom"/>
            <w:hideMark/>
          </w:tcPr>
          <w:p w14:paraId="662E788A" w14:textId="620ECCF7"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0.80</w:t>
            </w:r>
          </w:p>
        </w:tc>
        <w:tc>
          <w:tcPr>
            <w:tcW w:w="0" w:type="auto"/>
            <w:tcBorders>
              <w:top w:val="nil"/>
              <w:left w:val="nil"/>
              <w:bottom w:val="single" w:sz="8" w:space="0" w:color="auto"/>
              <w:right w:val="nil"/>
            </w:tcBorders>
            <w:shd w:val="clear" w:color="auto" w:fill="auto"/>
            <w:noWrap/>
            <w:vAlign w:val="bottom"/>
            <w:hideMark/>
          </w:tcPr>
          <w:p w14:paraId="1FD33B9F" w14:textId="01B842AC"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0.65</w:t>
            </w:r>
          </w:p>
        </w:tc>
        <w:tc>
          <w:tcPr>
            <w:tcW w:w="0" w:type="auto"/>
            <w:tcBorders>
              <w:top w:val="nil"/>
              <w:left w:val="nil"/>
              <w:bottom w:val="single" w:sz="8" w:space="0" w:color="auto"/>
              <w:right w:val="nil"/>
            </w:tcBorders>
            <w:shd w:val="clear" w:color="auto" w:fill="auto"/>
            <w:noWrap/>
            <w:vAlign w:val="bottom"/>
            <w:hideMark/>
          </w:tcPr>
          <w:p w14:paraId="05A31569" w14:textId="4D62433B"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F76322">
              <w:rPr>
                <w:rFonts w:ascii="Times New Roman" w:hAnsi="Times New Roman" w:cs="Times New Roman"/>
                <w:color w:val="000000"/>
                <w:sz w:val="20"/>
                <w:szCs w:val="20"/>
              </w:rPr>
              <w:t>0.75</w:t>
            </w:r>
          </w:p>
        </w:tc>
        <w:tc>
          <w:tcPr>
            <w:tcW w:w="0" w:type="auto"/>
            <w:tcBorders>
              <w:top w:val="nil"/>
              <w:left w:val="nil"/>
              <w:bottom w:val="single" w:sz="8" w:space="0" w:color="auto"/>
              <w:right w:val="single" w:sz="4" w:space="0" w:color="auto"/>
            </w:tcBorders>
            <w:shd w:val="clear" w:color="auto" w:fill="auto"/>
            <w:noWrap/>
            <w:vAlign w:val="bottom"/>
            <w:hideMark/>
          </w:tcPr>
          <w:p w14:paraId="5C791E08" w14:textId="7FAA88CE" w:rsidR="002A58DD" w:rsidRPr="0084395C" w:rsidRDefault="002A58DD" w:rsidP="002A58DD">
            <w:pPr>
              <w:spacing w:after="0" w:line="240" w:lineRule="auto"/>
              <w:jc w:val="right"/>
              <w:rPr>
                <w:rFonts w:ascii="Times New Roman" w:eastAsia="Times New Roman" w:hAnsi="Times New Roman" w:cs="Times New Roman"/>
                <w:color w:val="000000"/>
                <w:sz w:val="20"/>
                <w:szCs w:val="20"/>
              </w:rPr>
            </w:pPr>
            <w:r w:rsidRPr="0084395C">
              <w:rPr>
                <w:rFonts w:ascii="Times New Roman" w:eastAsia="Times New Roman" w:hAnsi="Times New Roman" w:cs="Times New Roman"/>
                <w:color w:val="000000"/>
                <w:sz w:val="20"/>
                <w:szCs w:val="20"/>
              </w:rPr>
              <w:t>1</w:t>
            </w:r>
            <w:r w:rsidR="00184906">
              <w:rPr>
                <w:rFonts w:ascii="Times New Roman" w:eastAsia="Times New Roman" w:hAnsi="Times New Roman" w:cs="Times New Roman"/>
                <w:color w:val="000000"/>
                <w:sz w:val="20"/>
                <w:szCs w:val="20"/>
              </w:rPr>
              <w:t>.00</w:t>
            </w:r>
          </w:p>
        </w:tc>
      </w:tr>
    </w:tbl>
    <w:p w14:paraId="54B90534" w14:textId="69BA780C" w:rsidR="00855993" w:rsidRPr="00C915B8" w:rsidRDefault="006152BA" w:rsidP="00E2578E">
      <w:pPr>
        <w:spacing w:line="480" w:lineRule="auto"/>
        <w:rPr>
          <w:rFonts w:ascii="Times New Roman" w:hAnsi="Times New Roman" w:cs="Times New Roman"/>
          <w:sz w:val="24"/>
          <w:szCs w:val="24"/>
        </w:rPr>
      </w:pPr>
      <w:r>
        <w:rPr>
          <w:rFonts w:ascii="Times New Roman" w:hAnsi="Times New Roman" w:cs="Times New Roman"/>
          <w:sz w:val="24"/>
          <w:szCs w:val="24"/>
        </w:rPr>
        <w:t>Table 4.  Correlation matrix between aesthetic, exercise, and sentiment scores.</w:t>
      </w:r>
    </w:p>
    <w:p w14:paraId="1D8705C9" w14:textId="5DF0D0F0" w:rsidR="00253E35" w:rsidRDefault="00253E35" w:rsidP="0016153C">
      <w:pPr>
        <w:spacing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36379768" w14:textId="52897366" w:rsidR="006C263C" w:rsidRDefault="00CB38C9" w:rsidP="0016153C">
      <w:pPr>
        <w:spacing w:line="480" w:lineRule="auto"/>
        <w:rPr>
          <w:rFonts w:ascii="Times New Roman" w:hAnsi="Times New Roman" w:cs="Times New Roman"/>
          <w:sz w:val="24"/>
          <w:szCs w:val="24"/>
        </w:rPr>
      </w:pPr>
      <w:r>
        <w:rPr>
          <w:rFonts w:ascii="Times New Roman" w:hAnsi="Times New Roman" w:cs="Times New Roman"/>
          <w:sz w:val="24"/>
          <w:szCs w:val="24"/>
        </w:rPr>
        <w:t xml:space="preserve">Previous research suggests green space impacts human health through social, psychological, and physical pathways of action.  While experimental </w:t>
      </w:r>
      <w:r w:rsidR="00A31E08">
        <w:rPr>
          <w:rFonts w:ascii="Times New Roman" w:hAnsi="Times New Roman" w:cs="Times New Roman"/>
          <w:sz w:val="24"/>
          <w:szCs w:val="24"/>
        </w:rPr>
        <w:t>and observational</w:t>
      </w:r>
      <w:r>
        <w:rPr>
          <w:rFonts w:ascii="Times New Roman" w:hAnsi="Times New Roman" w:cs="Times New Roman"/>
          <w:sz w:val="24"/>
          <w:szCs w:val="24"/>
        </w:rPr>
        <w:t xml:space="preserve"> studies </w:t>
      </w:r>
      <w:r w:rsidR="00A31E08">
        <w:rPr>
          <w:rFonts w:ascii="Times New Roman" w:hAnsi="Times New Roman" w:cs="Times New Roman"/>
          <w:sz w:val="24"/>
          <w:szCs w:val="24"/>
        </w:rPr>
        <w:t xml:space="preserve">tend to </w:t>
      </w:r>
      <w:r>
        <w:rPr>
          <w:rFonts w:ascii="Times New Roman" w:hAnsi="Times New Roman" w:cs="Times New Roman"/>
          <w:sz w:val="24"/>
          <w:szCs w:val="24"/>
        </w:rPr>
        <w:t xml:space="preserve">isolate pathways to the greatest extent possible, in real world applications these pathways are strongly </w:t>
      </w:r>
      <w:r>
        <w:rPr>
          <w:rFonts w:ascii="Times New Roman" w:hAnsi="Times New Roman" w:cs="Times New Roman"/>
          <w:sz w:val="24"/>
          <w:szCs w:val="24"/>
        </w:rPr>
        <w:lastRenderedPageBreak/>
        <w:t>interconnected and should be concomitantly considered.  In our analysis of tweets from January th</w:t>
      </w:r>
      <w:r w:rsidR="00AE72C2">
        <w:rPr>
          <w:rFonts w:ascii="Times New Roman" w:hAnsi="Times New Roman" w:cs="Times New Roman"/>
          <w:sz w:val="24"/>
          <w:szCs w:val="24"/>
        </w:rPr>
        <w:t>r</w:t>
      </w:r>
      <w:r>
        <w:rPr>
          <w:rFonts w:ascii="Times New Roman" w:hAnsi="Times New Roman" w:cs="Times New Roman"/>
          <w:sz w:val="24"/>
          <w:szCs w:val="24"/>
        </w:rPr>
        <w:t>ough November 2017</w:t>
      </w:r>
      <w:r w:rsidR="00AE72C2">
        <w:rPr>
          <w:rFonts w:ascii="Times New Roman" w:hAnsi="Times New Roman" w:cs="Times New Roman"/>
          <w:sz w:val="24"/>
          <w:szCs w:val="24"/>
        </w:rPr>
        <w:t xml:space="preserve">, self-reported visual characteristics of greenspace were strongly associated with self-reported exercise and sentiment.  Significant social events, most notably adverse events </w:t>
      </w:r>
      <w:r w:rsidR="003E0249">
        <w:rPr>
          <w:rFonts w:ascii="Times New Roman" w:hAnsi="Times New Roman" w:cs="Times New Roman"/>
          <w:sz w:val="24"/>
          <w:szCs w:val="24"/>
        </w:rPr>
        <w:t xml:space="preserve">were also associated with greenspace sentiment.  </w:t>
      </w:r>
      <w:r w:rsidR="006C263C">
        <w:rPr>
          <w:rFonts w:ascii="Times New Roman" w:hAnsi="Times New Roman" w:cs="Times New Roman"/>
          <w:sz w:val="24"/>
          <w:szCs w:val="24"/>
        </w:rPr>
        <w:t>These preliminary results support the use of Twitter as a platform for evaluating complex physical-psychological-sociological interactions between greenspace and human health.</w:t>
      </w:r>
    </w:p>
    <w:p w14:paraId="2F8B43F0" w14:textId="11F2F570" w:rsidR="009C241C" w:rsidRPr="00CB38C9" w:rsidRDefault="006C263C" w:rsidP="0016153C">
      <w:pPr>
        <w:spacing w:line="480" w:lineRule="auto"/>
        <w:rPr>
          <w:rFonts w:ascii="Times New Roman" w:hAnsi="Times New Roman" w:cs="Times New Roman"/>
          <w:sz w:val="24"/>
          <w:szCs w:val="24"/>
        </w:rPr>
      </w:pPr>
      <w:r>
        <w:rPr>
          <w:rFonts w:ascii="Times New Roman" w:hAnsi="Times New Roman" w:cs="Times New Roman"/>
          <w:sz w:val="24"/>
          <w:szCs w:val="24"/>
        </w:rPr>
        <w:t>While the derived methodology provides a useful starting point, there are several limitations tha</w:t>
      </w:r>
      <w:r w:rsidR="00FD5040">
        <w:rPr>
          <w:rFonts w:ascii="Times New Roman" w:hAnsi="Times New Roman" w:cs="Times New Roman"/>
          <w:sz w:val="24"/>
          <w:szCs w:val="24"/>
        </w:rPr>
        <w:t>t</w:t>
      </w:r>
      <w:r>
        <w:rPr>
          <w:rFonts w:ascii="Times New Roman" w:hAnsi="Times New Roman" w:cs="Times New Roman"/>
          <w:sz w:val="24"/>
          <w:szCs w:val="24"/>
        </w:rPr>
        <w:t xml:space="preserve"> need to be addressed.  First, 16% of tweets from a random sample of screened tweets were not directly relevant to green space research.  Example non-relevant tweets include bible scriptures, and professional athletics (most often using bi- tri-grams with the keyword ‘field’, ‘yard’, and/or ‘park’).</w:t>
      </w:r>
      <w:r w:rsidR="00FD5040">
        <w:rPr>
          <w:rFonts w:ascii="Times New Roman" w:hAnsi="Times New Roman" w:cs="Times New Roman"/>
          <w:sz w:val="24"/>
          <w:szCs w:val="24"/>
        </w:rPr>
        <w:t xml:space="preserve">  While a small degree of noise is permissible in a large dataset, developing more additional more refined latent constructs than those shown here will require reducing the number of ancillary tweets in the twitter dataset.  M</w:t>
      </w:r>
      <w:r w:rsidR="009D259D">
        <w:rPr>
          <w:rFonts w:ascii="Times New Roman" w:hAnsi="Times New Roman" w:cs="Times New Roman"/>
          <w:sz w:val="24"/>
          <w:szCs w:val="24"/>
        </w:rPr>
        <w:t xml:space="preserve">achine learning, such as developing a greenspace classifier, coupled with error rate classifications can potentially reduce the percentage of false positive tweets.  Second, in this analysis we’ve removed emojis and hyperlinks from our twitter text and subsequent analysis.  However, these are rich data sources that should be considered in future analyses.  Finally, the current analysis is </w:t>
      </w:r>
      <w:r w:rsidR="00A31E08">
        <w:rPr>
          <w:rFonts w:ascii="Times New Roman" w:hAnsi="Times New Roman" w:cs="Times New Roman"/>
          <w:sz w:val="24"/>
          <w:szCs w:val="24"/>
        </w:rPr>
        <w:t xml:space="preserve">ecological in nature and </w:t>
      </w:r>
      <w:r w:rsidR="009D259D">
        <w:rPr>
          <w:rFonts w:ascii="Times New Roman" w:hAnsi="Times New Roman" w:cs="Times New Roman"/>
          <w:sz w:val="24"/>
          <w:szCs w:val="24"/>
        </w:rPr>
        <w:t xml:space="preserve">doesn’t </w:t>
      </w:r>
      <w:r w:rsidR="00A31E08">
        <w:rPr>
          <w:rFonts w:ascii="Times New Roman" w:hAnsi="Times New Roman" w:cs="Times New Roman"/>
          <w:sz w:val="24"/>
          <w:szCs w:val="24"/>
        </w:rPr>
        <w:t>follow i</w:t>
      </w:r>
      <w:r w:rsidR="009D259D">
        <w:rPr>
          <w:rFonts w:ascii="Times New Roman" w:hAnsi="Times New Roman" w:cs="Times New Roman"/>
          <w:sz w:val="24"/>
          <w:szCs w:val="24"/>
        </w:rPr>
        <w:t xml:space="preserve">ndividual </w:t>
      </w:r>
      <w:r w:rsidR="00A31E08">
        <w:rPr>
          <w:rFonts w:ascii="Times New Roman" w:hAnsi="Times New Roman" w:cs="Times New Roman"/>
          <w:sz w:val="24"/>
          <w:szCs w:val="24"/>
        </w:rPr>
        <w:t xml:space="preserve">authors </w:t>
      </w:r>
      <w:r w:rsidR="009D259D">
        <w:rPr>
          <w:rFonts w:ascii="Times New Roman" w:hAnsi="Times New Roman" w:cs="Times New Roman"/>
          <w:sz w:val="24"/>
          <w:szCs w:val="24"/>
        </w:rPr>
        <w:t xml:space="preserve">over time.  We chose in this initial analysis not to include individual information for ethical reasons.  However, a carefully designed study can minimize identifiable information while tracking tweet authors </w:t>
      </w:r>
      <w:r w:rsidR="00A31E08">
        <w:rPr>
          <w:rFonts w:ascii="Times New Roman" w:hAnsi="Times New Roman" w:cs="Times New Roman"/>
          <w:sz w:val="24"/>
          <w:szCs w:val="24"/>
        </w:rPr>
        <w:t xml:space="preserve">over time, providing context that’s essential for moving </w:t>
      </w:r>
      <w:r w:rsidR="009D259D">
        <w:rPr>
          <w:rFonts w:ascii="Times New Roman" w:hAnsi="Times New Roman" w:cs="Times New Roman"/>
          <w:sz w:val="24"/>
          <w:szCs w:val="24"/>
        </w:rPr>
        <w:t xml:space="preserve">beyond ecological </w:t>
      </w:r>
      <w:r w:rsidR="00A31E08">
        <w:rPr>
          <w:rFonts w:ascii="Times New Roman" w:hAnsi="Times New Roman" w:cs="Times New Roman"/>
          <w:sz w:val="24"/>
          <w:szCs w:val="24"/>
        </w:rPr>
        <w:t xml:space="preserve">and toward prospective observational study designs.  </w:t>
      </w:r>
      <w:r w:rsidR="009D259D">
        <w:rPr>
          <w:rFonts w:ascii="Times New Roman" w:hAnsi="Times New Roman" w:cs="Times New Roman"/>
          <w:sz w:val="24"/>
          <w:szCs w:val="24"/>
        </w:rPr>
        <w:t xml:space="preserve">  </w:t>
      </w:r>
    </w:p>
    <w:p w14:paraId="5B3704A3" w14:textId="2F03B078" w:rsidR="00E858D7" w:rsidRDefault="00E858D7" w:rsidP="0016153C">
      <w:pPr>
        <w:spacing w:line="480" w:lineRule="auto"/>
        <w:rPr>
          <w:rFonts w:ascii="Times New Roman" w:hAnsi="Times New Roman" w:cs="Times New Roman"/>
          <w:b/>
          <w:sz w:val="24"/>
          <w:szCs w:val="24"/>
        </w:rPr>
      </w:pPr>
      <w:r w:rsidRPr="00ED510C">
        <w:rPr>
          <w:rFonts w:ascii="Times New Roman" w:hAnsi="Times New Roman" w:cs="Times New Roman"/>
          <w:b/>
          <w:sz w:val="24"/>
          <w:szCs w:val="24"/>
        </w:rPr>
        <w:t>Conclusions</w:t>
      </w:r>
    </w:p>
    <w:p w14:paraId="440C5F39" w14:textId="3F2B12B2" w:rsidR="0003092B" w:rsidRPr="008E7C48" w:rsidRDefault="008E7C48" w:rsidP="0016153C">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Green </w:t>
      </w:r>
      <w:r w:rsidR="00632233">
        <w:rPr>
          <w:rFonts w:ascii="Times New Roman" w:hAnsi="Times New Roman" w:cs="Times New Roman"/>
          <w:sz w:val="24"/>
          <w:szCs w:val="24"/>
        </w:rPr>
        <w:t>space-related t</w:t>
      </w:r>
      <w:r w:rsidR="00E87B2B">
        <w:rPr>
          <w:rFonts w:ascii="Times New Roman" w:hAnsi="Times New Roman" w:cs="Times New Roman"/>
          <w:sz w:val="24"/>
          <w:szCs w:val="24"/>
        </w:rPr>
        <w:t>weets capture</w:t>
      </w:r>
      <w:r>
        <w:rPr>
          <w:rFonts w:ascii="Times New Roman" w:hAnsi="Times New Roman" w:cs="Times New Roman"/>
          <w:sz w:val="24"/>
          <w:szCs w:val="24"/>
        </w:rPr>
        <w:t xml:space="preserve"> </w:t>
      </w:r>
      <w:r w:rsidR="007268ED">
        <w:rPr>
          <w:rFonts w:ascii="Times New Roman" w:hAnsi="Times New Roman" w:cs="Times New Roman"/>
          <w:sz w:val="24"/>
          <w:szCs w:val="24"/>
        </w:rPr>
        <w:t xml:space="preserve">self-reported </w:t>
      </w:r>
      <w:r w:rsidR="007D312C">
        <w:rPr>
          <w:rFonts w:ascii="Times New Roman" w:hAnsi="Times New Roman" w:cs="Times New Roman"/>
          <w:sz w:val="24"/>
          <w:szCs w:val="24"/>
        </w:rPr>
        <w:t>social, physical, and psychological interactions with green space</w:t>
      </w:r>
      <w:r w:rsidR="007268ED">
        <w:rPr>
          <w:rFonts w:ascii="Times New Roman" w:hAnsi="Times New Roman" w:cs="Times New Roman"/>
          <w:sz w:val="24"/>
          <w:szCs w:val="24"/>
        </w:rPr>
        <w:t xml:space="preserve">. </w:t>
      </w:r>
      <w:r w:rsidR="001A4412">
        <w:rPr>
          <w:rFonts w:ascii="Times New Roman" w:hAnsi="Times New Roman" w:cs="Times New Roman"/>
          <w:sz w:val="24"/>
          <w:szCs w:val="24"/>
        </w:rPr>
        <w:t>Real time tweet collection and analysis</w:t>
      </w:r>
      <w:r w:rsidR="00113837">
        <w:rPr>
          <w:rFonts w:ascii="Times New Roman" w:hAnsi="Times New Roman" w:cs="Times New Roman"/>
          <w:sz w:val="24"/>
          <w:szCs w:val="24"/>
        </w:rPr>
        <w:t xml:space="preserve"> present</w:t>
      </w:r>
      <w:r w:rsidR="001A4412">
        <w:rPr>
          <w:rFonts w:ascii="Times New Roman" w:hAnsi="Times New Roman" w:cs="Times New Roman"/>
          <w:sz w:val="24"/>
          <w:szCs w:val="24"/>
        </w:rPr>
        <w:t>s</w:t>
      </w:r>
      <w:r w:rsidR="0064504D">
        <w:rPr>
          <w:rFonts w:ascii="Times New Roman" w:hAnsi="Times New Roman" w:cs="Times New Roman"/>
          <w:sz w:val="24"/>
          <w:szCs w:val="24"/>
        </w:rPr>
        <w:t xml:space="preserve"> opportunities to capture unique, episodic beneficial and harmful green space interactions.  </w:t>
      </w:r>
      <w:r w:rsidR="00113837">
        <w:rPr>
          <w:rFonts w:ascii="Times New Roman" w:hAnsi="Times New Roman" w:cs="Times New Roman"/>
          <w:sz w:val="24"/>
          <w:szCs w:val="24"/>
        </w:rPr>
        <w:t xml:space="preserve">Next steps for include </w:t>
      </w:r>
      <w:r w:rsidR="0058477C">
        <w:rPr>
          <w:rFonts w:ascii="Times New Roman" w:hAnsi="Times New Roman" w:cs="Times New Roman"/>
          <w:sz w:val="24"/>
          <w:szCs w:val="24"/>
        </w:rPr>
        <w:t xml:space="preserve">refining and expanding exclusion criteria and latent constructs, following individual tweeters or groups over time, and inter and intracity comparisons to </w:t>
      </w:r>
      <w:proofErr w:type="gramStart"/>
      <w:r w:rsidR="0058477C">
        <w:rPr>
          <w:rFonts w:ascii="Times New Roman" w:hAnsi="Times New Roman" w:cs="Times New Roman"/>
          <w:sz w:val="24"/>
          <w:szCs w:val="24"/>
        </w:rPr>
        <w:t>compare and contrast</w:t>
      </w:r>
      <w:proofErr w:type="gramEnd"/>
      <w:r w:rsidR="0058477C">
        <w:rPr>
          <w:rFonts w:ascii="Times New Roman" w:hAnsi="Times New Roman" w:cs="Times New Roman"/>
          <w:sz w:val="24"/>
          <w:szCs w:val="24"/>
        </w:rPr>
        <w:t xml:space="preserve"> city greenspace characteristics</w:t>
      </w:r>
      <w:r w:rsidR="007D312C">
        <w:rPr>
          <w:rFonts w:ascii="Times New Roman" w:hAnsi="Times New Roman" w:cs="Times New Roman"/>
          <w:sz w:val="24"/>
          <w:szCs w:val="24"/>
        </w:rPr>
        <w:t xml:space="preserve">. </w:t>
      </w:r>
    </w:p>
    <w:p w14:paraId="28862296" w14:textId="4CFDCC8F" w:rsidR="006666EF" w:rsidRPr="006F7E82" w:rsidRDefault="006666EF" w:rsidP="0016153C">
      <w:pPr>
        <w:spacing w:line="480" w:lineRule="auto"/>
        <w:rPr>
          <w:rFonts w:ascii="Times New Roman" w:hAnsi="Times New Roman" w:cs="Times New Roman"/>
          <w:b/>
          <w:sz w:val="24"/>
          <w:szCs w:val="24"/>
        </w:rPr>
      </w:pPr>
      <w:r w:rsidRPr="006F7E82">
        <w:rPr>
          <w:rFonts w:ascii="Times New Roman" w:hAnsi="Times New Roman" w:cs="Times New Roman"/>
          <w:b/>
          <w:sz w:val="24"/>
          <w:szCs w:val="24"/>
        </w:rPr>
        <w:t>Acknowledgements</w:t>
      </w:r>
    </w:p>
    <w:p w14:paraId="3F9D6A88" w14:textId="7E62C48A" w:rsidR="00B27B48" w:rsidRDefault="00B27B48" w:rsidP="00BC129E">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like to acknowledge Professor</w:t>
      </w:r>
      <w:r w:rsidR="0058477C">
        <w:rPr>
          <w:rFonts w:ascii="Times New Roman" w:hAnsi="Times New Roman" w:cs="Times New Roman"/>
          <w:sz w:val="24"/>
          <w:szCs w:val="24"/>
        </w:rPr>
        <w:t xml:space="preserve">s John </w:t>
      </w:r>
      <w:proofErr w:type="spellStart"/>
      <w:r w:rsidR="0058477C">
        <w:rPr>
          <w:rFonts w:ascii="Times New Roman" w:hAnsi="Times New Roman" w:cs="Times New Roman"/>
          <w:sz w:val="24"/>
          <w:szCs w:val="24"/>
        </w:rPr>
        <w:t>Piorkowski</w:t>
      </w:r>
      <w:proofErr w:type="spellEnd"/>
      <w:r w:rsidR="0058477C">
        <w:rPr>
          <w:rFonts w:ascii="Times New Roman" w:hAnsi="Times New Roman" w:cs="Times New Roman"/>
          <w:sz w:val="24"/>
          <w:szCs w:val="24"/>
        </w:rPr>
        <w:t xml:space="preserve"> and Ian </w:t>
      </w:r>
      <w:proofErr w:type="spellStart"/>
      <w:r w:rsidR="0058477C">
        <w:rPr>
          <w:rFonts w:ascii="Times New Roman" w:hAnsi="Times New Roman" w:cs="Times New Roman"/>
          <w:sz w:val="24"/>
          <w:szCs w:val="24"/>
        </w:rPr>
        <w:t>McCulloh</w:t>
      </w:r>
      <w:proofErr w:type="spellEnd"/>
      <w:r w:rsidR="0058477C">
        <w:rPr>
          <w:rFonts w:ascii="Times New Roman" w:hAnsi="Times New Roman" w:cs="Times New Roman"/>
          <w:sz w:val="24"/>
          <w:szCs w:val="24"/>
        </w:rPr>
        <w:t xml:space="preserve"> for lending their experience in social media analytics throughout this course project. </w:t>
      </w:r>
    </w:p>
    <w:p w14:paraId="0C1A2E31" w14:textId="77777777" w:rsidR="006666EF" w:rsidRPr="00825383" w:rsidRDefault="006666EF" w:rsidP="0016153C">
      <w:pPr>
        <w:spacing w:line="480" w:lineRule="auto"/>
        <w:rPr>
          <w:rFonts w:ascii="Times New Roman" w:hAnsi="Times New Roman" w:cs="Times New Roman"/>
          <w:sz w:val="24"/>
          <w:szCs w:val="24"/>
        </w:rPr>
      </w:pPr>
    </w:p>
    <w:p w14:paraId="23929541" w14:textId="77777777" w:rsidR="00833759" w:rsidRDefault="00833759">
      <w:pPr>
        <w:rPr>
          <w:rFonts w:ascii="Times New Roman" w:hAnsi="Times New Roman" w:cs="Times New Roman"/>
          <w:b/>
          <w:sz w:val="24"/>
          <w:szCs w:val="24"/>
        </w:rPr>
      </w:pPr>
      <w:r>
        <w:rPr>
          <w:rFonts w:ascii="Times New Roman" w:hAnsi="Times New Roman" w:cs="Times New Roman"/>
          <w:b/>
          <w:sz w:val="24"/>
          <w:szCs w:val="24"/>
        </w:rPr>
        <w:br w:type="page"/>
      </w:r>
    </w:p>
    <w:p w14:paraId="0B35696E" w14:textId="55FF5D61" w:rsidR="00701120" w:rsidRDefault="00833759" w:rsidP="0003325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References</w:t>
      </w:r>
      <w:r w:rsidR="00ED3D25" w:rsidRPr="00825383">
        <w:rPr>
          <w:rFonts w:ascii="Times New Roman" w:hAnsi="Times New Roman" w:cs="Times New Roman"/>
          <w:sz w:val="24"/>
          <w:szCs w:val="24"/>
        </w:rPr>
        <w:t xml:space="preserve">  </w:t>
      </w:r>
    </w:p>
    <w:p w14:paraId="2846F158" w14:textId="77777777" w:rsidR="00603BAF" w:rsidRPr="0052206F" w:rsidRDefault="00603BAF" w:rsidP="00603BAF">
      <w:pPr>
        <w:pStyle w:val="Bibliography"/>
        <w:rPr>
          <w:rFonts w:ascii="Times New Roman" w:hAnsi="Times New Roman" w:cs="Times New Roman"/>
          <w:sz w:val="24"/>
          <w:szCs w:val="24"/>
        </w:rPr>
      </w:pPr>
      <w:r w:rsidRPr="00603BAF">
        <w:rPr>
          <w:rFonts w:ascii="Times New Roman" w:hAnsi="Times New Roman" w:cs="Times New Roman"/>
          <w:sz w:val="24"/>
        </w:rPr>
        <w:t xml:space="preserve">Beyer, K. M., </w:t>
      </w:r>
      <w:proofErr w:type="spellStart"/>
      <w:r w:rsidRPr="00603BAF">
        <w:rPr>
          <w:rFonts w:ascii="Times New Roman" w:hAnsi="Times New Roman" w:cs="Times New Roman"/>
          <w:sz w:val="24"/>
        </w:rPr>
        <w:t>Kaltenbach</w:t>
      </w:r>
      <w:proofErr w:type="spellEnd"/>
      <w:r w:rsidRPr="00603BAF">
        <w:rPr>
          <w:rFonts w:ascii="Times New Roman" w:hAnsi="Times New Roman" w:cs="Times New Roman"/>
          <w:sz w:val="24"/>
        </w:rPr>
        <w:t xml:space="preserve">, A., Szabo, A., </w:t>
      </w:r>
      <w:proofErr w:type="spellStart"/>
      <w:r w:rsidRPr="00603BAF">
        <w:rPr>
          <w:rFonts w:ascii="Times New Roman" w:hAnsi="Times New Roman" w:cs="Times New Roman"/>
          <w:sz w:val="24"/>
        </w:rPr>
        <w:t>Bogar</w:t>
      </w:r>
      <w:proofErr w:type="spellEnd"/>
      <w:r w:rsidRPr="00603BAF">
        <w:rPr>
          <w:rFonts w:ascii="Times New Roman" w:hAnsi="Times New Roman" w:cs="Times New Roman"/>
          <w:sz w:val="24"/>
        </w:rPr>
        <w:t xml:space="preserve">, S., Nieto, F. J., &amp; </w:t>
      </w:r>
      <w:proofErr w:type="spellStart"/>
      <w:r w:rsidRPr="00603BAF">
        <w:rPr>
          <w:rFonts w:ascii="Times New Roman" w:hAnsi="Times New Roman" w:cs="Times New Roman"/>
          <w:sz w:val="24"/>
        </w:rPr>
        <w:t>Malecki</w:t>
      </w:r>
      <w:proofErr w:type="spellEnd"/>
      <w:r w:rsidRPr="00603BAF">
        <w:rPr>
          <w:rFonts w:ascii="Times New Roman" w:hAnsi="Times New Roman" w:cs="Times New Roman"/>
          <w:sz w:val="24"/>
        </w:rPr>
        <w:t xml:space="preserve">, K. M. (2014). </w:t>
      </w:r>
      <w:r w:rsidRPr="0052206F">
        <w:rPr>
          <w:rFonts w:ascii="Times New Roman" w:hAnsi="Times New Roman" w:cs="Times New Roman"/>
          <w:sz w:val="24"/>
          <w:szCs w:val="24"/>
        </w:rPr>
        <w:t xml:space="preserve">Exposure to neighborhood green space and mental health: evidence from the survey of the health of Wisconsin. </w:t>
      </w:r>
      <w:r w:rsidRPr="0052206F">
        <w:rPr>
          <w:rFonts w:ascii="Times New Roman" w:hAnsi="Times New Roman" w:cs="Times New Roman"/>
          <w:i/>
          <w:iCs/>
          <w:sz w:val="24"/>
          <w:szCs w:val="24"/>
        </w:rPr>
        <w:t>International Journal of Environmental Research and Public Health</w:t>
      </w:r>
      <w:r w:rsidRPr="0052206F">
        <w:rPr>
          <w:rFonts w:ascii="Times New Roman" w:hAnsi="Times New Roman" w:cs="Times New Roman"/>
          <w:sz w:val="24"/>
          <w:szCs w:val="24"/>
        </w:rPr>
        <w:t xml:space="preserve">, </w:t>
      </w:r>
      <w:r w:rsidRPr="0052206F">
        <w:rPr>
          <w:rFonts w:ascii="Times New Roman" w:hAnsi="Times New Roman" w:cs="Times New Roman"/>
          <w:i/>
          <w:iCs/>
          <w:sz w:val="24"/>
          <w:szCs w:val="24"/>
        </w:rPr>
        <w:t>11</w:t>
      </w:r>
      <w:r w:rsidRPr="0052206F">
        <w:rPr>
          <w:rFonts w:ascii="Times New Roman" w:hAnsi="Times New Roman" w:cs="Times New Roman"/>
          <w:sz w:val="24"/>
          <w:szCs w:val="24"/>
        </w:rPr>
        <w:t>(3), 3453–3472.</w:t>
      </w:r>
    </w:p>
    <w:p w14:paraId="6C389E86" w14:textId="77777777" w:rsidR="00603BAF" w:rsidRPr="0052206F" w:rsidRDefault="00603BAF" w:rsidP="00297B34">
      <w:pPr>
        <w:pStyle w:val="Bibliography"/>
        <w:rPr>
          <w:rFonts w:ascii="Times New Roman" w:hAnsi="Times New Roman" w:cs="Times New Roman"/>
          <w:sz w:val="24"/>
          <w:szCs w:val="24"/>
        </w:rPr>
      </w:pPr>
      <w:r w:rsidRPr="0052206F">
        <w:rPr>
          <w:rFonts w:ascii="Times New Roman" w:hAnsi="Times New Roman" w:cs="Times New Roman"/>
          <w:sz w:val="24"/>
          <w:szCs w:val="24"/>
        </w:rPr>
        <w:t xml:space="preserve">Bratman, G. N., Hamilton, J. P., &amp; Daily, G. C. (2012). The impacts of nature experience on human cognitive function and mental health. </w:t>
      </w:r>
      <w:r w:rsidRPr="0052206F">
        <w:rPr>
          <w:rFonts w:ascii="Times New Roman" w:hAnsi="Times New Roman" w:cs="Times New Roman"/>
          <w:i/>
          <w:iCs/>
          <w:sz w:val="24"/>
          <w:szCs w:val="24"/>
        </w:rPr>
        <w:t>Annals of the New York Academy of Sciences</w:t>
      </w:r>
      <w:r w:rsidRPr="0052206F">
        <w:rPr>
          <w:rFonts w:ascii="Times New Roman" w:hAnsi="Times New Roman" w:cs="Times New Roman"/>
          <w:sz w:val="24"/>
          <w:szCs w:val="24"/>
        </w:rPr>
        <w:t xml:space="preserve">, </w:t>
      </w:r>
      <w:r w:rsidRPr="0052206F">
        <w:rPr>
          <w:rFonts w:ascii="Times New Roman" w:hAnsi="Times New Roman" w:cs="Times New Roman"/>
          <w:i/>
          <w:iCs/>
          <w:sz w:val="24"/>
          <w:szCs w:val="24"/>
        </w:rPr>
        <w:t>1249</w:t>
      </w:r>
      <w:r w:rsidRPr="0052206F">
        <w:rPr>
          <w:rFonts w:ascii="Times New Roman" w:hAnsi="Times New Roman" w:cs="Times New Roman"/>
          <w:sz w:val="24"/>
          <w:szCs w:val="24"/>
        </w:rPr>
        <w:t>(1), 118–136.</w:t>
      </w:r>
    </w:p>
    <w:p w14:paraId="3821A528" w14:textId="2E81CC7E" w:rsidR="00603BAF" w:rsidRDefault="00603BAF" w:rsidP="00297B34">
      <w:pPr>
        <w:pStyle w:val="Bibliography"/>
        <w:rPr>
          <w:rFonts w:ascii="Times New Roman" w:hAnsi="Times New Roman" w:cs="Times New Roman"/>
          <w:sz w:val="24"/>
          <w:szCs w:val="24"/>
        </w:rPr>
      </w:pPr>
      <w:r w:rsidRPr="0052206F">
        <w:rPr>
          <w:rFonts w:ascii="Times New Roman" w:hAnsi="Times New Roman" w:cs="Times New Roman"/>
          <w:sz w:val="24"/>
          <w:szCs w:val="24"/>
        </w:rPr>
        <w:t xml:space="preserve">Ebisu, K., Holford, T. R., &amp; Bell, M. L. (2016). Association between greenness, urbanicity, and birth weight. </w:t>
      </w:r>
      <w:r w:rsidRPr="0052206F">
        <w:rPr>
          <w:rFonts w:ascii="Times New Roman" w:hAnsi="Times New Roman" w:cs="Times New Roman"/>
          <w:i/>
          <w:iCs/>
          <w:sz w:val="24"/>
          <w:szCs w:val="24"/>
        </w:rPr>
        <w:t>Science of The Total Environment</w:t>
      </w:r>
      <w:r w:rsidRPr="0052206F">
        <w:rPr>
          <w:rFonts w:ascii="Times New Roman" w:hAnsi="Times New Roman" w:cs="Times New Roman"/>
          <w:sz w:val="24"/>
          <w:szCs w:val="24"/>
        </w:rPr>
        <w:t xml:space="preserve">, </w:t>
      </w:r>
      <w:r w:rsidRPr="0052206F">
        <w:rPr>
          <w:rFonts w:ascii="Times New Roman" w:hAnsi="Times New Roman" w:cs="Times New Roman"/>
          <w:i/>
          <w:iCs/>
          <w:sz w:val="24"/>
          <w:szCs w:val="24"/>
        </w:rPr>
        <w:t>542</w:t>
      </w:r>
      <w:r w:rsidRPr="0052206F">
        <w:rPr>
          <w:rFonts w:ascii="Times New Roman" w:hAnsi="Times New Roman" w:cs="Times New Roman"/>
          <w:sz w:val="24"/>
          <w:szCs w:val="24"/>
        </w:rPr>
        <w:t>, 750–756.</w:t>
      </w:r>
    </w:p>
    <w:p w14:paraId="36F92386" w14:textId="38FE66D4" w:rsidR="00F51FDD" w:rsidRPr="0052206F" w:rsidRDefault="00F51FDD" w:rsidP="00297B34">
      <w:pPr>
        <w:pStyle w:val="Bibliography"/>
        <w:rPr>
          <w:rFonts w:ascii="Times New Roman" w:hAnsi="Times New Roman" w:cs="Times New Roman"/>
          <w:sz w:val="24"/>
          <w:szCs w:val="24"/>
        </w:rPr>
      </w:pPr>
      <w:r w:rsidRPr="0052206F">
        <w:rPr>
          <w:rFonts w:ascii="Times New Roman" w:hAnsi="Times New Roman" w:cs="Times New Roman"/>
          <w:sz w:val="24"/>
          <w:szCs w:val="24"/>
        </w:rPr>
        <w:t xml:space="preserve">Hutto, C.J., </w:t>
      </w:r>
      <w:r w:rsidR="00E0030E" w:rsidRPr="0052206F">
        <w:rPr>
          <w:rFonts w:ascii="Times New Roman" w:hAnsi="Times New Roman" w:cs="Times New Roman"/>
          <w:sz w:val="24"/>
          <w:szCs w:val="24"/>
        </w:rPr>
        <w:t xml:space="preserve">&amp; Gilbert, E.E. (2014). VADER: A </w:t>
      </w:r>
      <w:r w:rsidR="00ED52A1" w:rsidRPr="0052206F">
        <w:rPr>
          <w:rFonts w:ascii="Times New Roman" w:hAnsi="Times New Roman" w:cs="Times New Roman"/>
          <w:sz w:val="24"/>
          <w:szCs w:val="24"/>
        </w:rPr>
        <w:t>Parsimonious</w:t>
      </w:r>
      <w:r w:rsidR="00E0030E" w:rsidRPr="0052206F">
        <w:rPr>
          <w:rFonts w:ascii="Times New Roman" w:hAnsi="Times New Roman" w:cs="Times New Roman"/>
          <w:sz w:val="24"/>
          <w:szCs w:val="24"/>
        </w:rPr>
        <w:t xml:space="preserve"> Rule-based Model for </w:t>
      </w:r>
      <w:r w:rsidR="00297B34">
        <w:rPr>
          <w:rFonts w:ascii="Times New Roman" w:hAnsi="Times New Roman" w:cs="Times New Roman"/>
          <w:sz w:val="24"/>
          <w:szCs w:val="24"/>
        </w:rPr>
        <w:t xml:space="preserve">Sentiment </w:t>
      </w:r>
      <w:r w:rsidR="00E0030E" w:rsidRPr="0052206F">
        <w:rPr>
          <w:rFonts w:ascii="Times New Roman" w:hAnsi="Times New Roman" w:cs="Times New Roman"/>
          <w:sz w:val="24"/>
          <w:szCs w:val="24"/>
        </w:rPr>
        <w:t xml:space="preserve">Analysis of </w:t>
      </w:r>
      <w:r w:rsidR="00165FEE" w:rsidRPr="0052206F">
        <w:rPr>
          <w:rFonts w:ascii="Times New Roman" w:hAnsi="Times New Roman" w:cs="Times New Roman"/>
          <w:sz w:val="24"/>
          <w:szCs w:val="24"/>
        </w:rPr>
        <w:t>Social</w:t>
      </w:r>
      <w:r w:rsidR="00E0030E" w:rsidRPr="0052206F">
        <w:rPr>
          <w:rFonts w:ascii="Times New Roman" w:hAnsi="Times New Roman" w:cs="Times New Roman"/>
          <w:sz w:val="24"/>
          <w:szCs w:val="24"/>
        </w:rPr>
        <w:t xml:space="preserve"> Media Text. </w:t>
      </w:r>
      <w:r w:rsidR="00E0030E" w:rsidRPr="001466B9">
        <w:rPr>
          <w:rFonts w:ascii="Times New Roman" w:hAnsi="Times New Roman" w:cs="Times New Roman"/>
          <w:i/>
          <w:sz w:val="24"/>
          <w:szCs w:val="24"/>
        </w:rPr>
        <w:t xml:space="preserve"> Eighth International Conference on Weblogs and Social Media (ICWSM-14)</w:t>
      </w:r>
      <w:r w:rsidR="00E0030E" w:rsidRPr="0052206F">
        <w:rPr>
          <w:rFonts w:ascii="Times New Roman" w:hAnsi="Times New Roman" w:cs="Times New Roman"/>
          <w:sz w:val="24"/>
          <w:szCs w:val="24"/>
        </w:rPr>
        <w:t>.  Ann Arbor, MI, June 2014.</w:t>
      </w:r>
    </w:p>
    <w:p w14:paraId="4F6667B7" w14:textId="77777777" w:rsidR="00603BAF" w:rsidRPr="00603BAF" w:rsidRDefault="00603BAF" w:rsidP="00297B34">
      <w:pPr>
        <w:pStyle w:val="Bibliography"/>
        <w:rPr>
          <w:rFonts w:ascii="Times New Roman" w:hAnsi="Times New Roman" w:cs="Times New Roman"/>
          <w:sz w:val="24"/>
        </w:rPr>
      </w:pPr>
      <w:proofErr w:type="spellStart"/>
      <w:r w:rsidRPr="0052206F">
        <w:rPr>
          <w:rFonts w:ascii="Times New Roman" w:hAnsi="Times New Roman" w:cs="Times New Roman"/>
          <w:sz w:val="24"/>
          <w:szCs w:val="24"/>
        </w:rPr>
        <w:t>Lovasi</w:t>
      </w:r>
      <w:proofErr w:type="spellEnd"/>
      <w:r w:rsidRPr="0052206F">
        <w:rPr>
          <w:rFonts w:ascii="Times New Roman" w:hAnsi="Times New Roman" w:cs="Times New Roman"/>
          <w:sz w:val="24"/>
          <w:szCs w:val="24"/>
        </w:rPr>
        <w:t>, G. S., Schwartz-</w:t>
      </w:r>
      <w:proofErr w:type="spellStart"/>
      <w:r w:rsidRPr="0052206F">
        <w:rPr>
          <w:rFonts w:ascii="Times New Roman" w:hAnsi="Times New Roman" w:cs="Times New Roman"/>
          <w:sz w:val="24"/>
          <w:szCs w:val="24"/>
        </w:rPr>
        <w:t>Soicher</w:t>
      </w:r>
      <w:proofErr w:type="spellEnd"/>
      <w:r w:rsidRPr="0052206F">
        <w:rPr>
          <w:rFonts w:ascii="Times New Roman" w:hAnsi="Times New Roman" w:cs="Times New Roman"/>
          <w:sz w:val="24"/>
          <w:szCs w:val="24"/>
        </w:rPr>
        <w:t xml:space="preserve">, O., Quinn, J. W., Berger, D. K., </w:t>
      </w:r>
      <w:proofErr w:type="spellStart"/>
      <w:r w:rsidRPr="0052206F">
        <w:rPr>
          <w:rFonts w:ascii="Times New Roman" w:hAnsi="Times New Roman" w:cs="Times New Roman"/>
          <w:sz w:val="24"/>
          <w:szCs w:val="24"/>
        </w:rPr>
        <w:t>Neckerman</w:t>
      </w:r>
      <w:proofErr w:type="spellEnd"/>
      <w:r w:rsidRPr="0052206F">
        <w:rPr>
          <w:rFonts w:ascii="Times New Roman" w:hAnsi="Times New Roman" w:cs="Times New Roman"/>
          <w:sz w:val="24"/>
          <w:szCs w:val="24"/>
        </w:rPr>
        <w:t xml:space="preserve">, K. M., </w:t>
      </w:r>
      <w:proofErr w:type="spellStart"/>
      <w:r w:rsidRPr="0052206F">
        <w:rPr>
          <w:rFonts w:ascii="Times New Roman" w:hAnsi="Times New Roman" w:cs="Times New Roman"/>
          <w:sz w:val="24"/>
          <w:szCs w:val="24"/>
        </w:rPr>
        <w:t>Jaslow</w:t>
      </w:r>
      <w:proofErr w:type="spellEnd"/>
      <w:r w:rsidRPr="0052206F">
        <w:rPr>
          <w:rFonts w:ascii="Times New Roman" w:hAnsi="Times New Roman" w:cs="Times New Roman"/>
          <w:sz w:val="24"/>
          <w:szCs w:val="24"/>
        </w:rPr>
        <w:t>, R., … Rundle, A. (2013). Neighborhood safety and green space as predictors of obesity among preschool children from low-inco</w:t>
      </w:r>
      <w:r w:rsidRPr="00603BAF">
        <w:rPr>
          <w:rFonts w:ascii="Times New Roman" w:hAnsi="Times New Roman" w:cs="Times New Roman"/>
          <w:sz w:val="24"/>
        </w:rPr>
        <w:t xml:space="preserve">me families in New York City. </w:t>
      </w:r>
      <w:r w:rsidRPr="00603BAF">
        <w:rPr>
          <w:rFonts w:ascii="Times New Roman" w:hAnsi="Times New Roman" w:cs="Times New Roman"/>
          <w:i/>
          <w:iCs/>
          <w:sz w:val="24"/>
        </w:rPr>
        <w:t>Preventive Medicine</w:t>
      </w:r>
      <w:r w:rsidRPr="00603BAF">
        <w:rPr>
          <w:rFonts w:ascii="Times New Roman" w:hAnsi="Times New Roman" w:cs="Times New Roman"/>
          <w:sz w:val="24"/>
        </w:rPr>
        <w:t xml:space="preserve">, </w:t>
      </w:r>
      <w:r w:rsidRPr="00603BAF">
        <w:rPr>
          <w:rFonts w:ascii="Times New Roman" w:hAnsi="Times New Roman" w:cs="Times New Roman"/>
          <w:i/>
          <w:iCs/>
          <w:sz w:val="24"/>
        </w:rPr>
        <w:t>57</w:t>
      </w:r>
      <w:r w:rsidRPr="00603BAF">
        <w:rPr>
          <w:rFonts w:ascii="Times New Roman" w:hAnsi="Times New Roman" w:cs="Times New Roman"/>
          <w:sz w:val="24"/>
        </w:rPr>
        <w:t>(3), 189–193.</w:t>
      </w:r>
    </w:p>
    <w:p w14:paraId="26A5B49E" w14:textId="77777777" w:rsidR="00603BAF" w:rsidRPr="00603BAF" w:rsidRDefault="00603BAF" w:rsidP="00603BAF">
      <w:pPr>
        <w:pStyle w:val="Bibliography"/>
        <w:rPr>
          <w:rFonts w:ascii="Times New Roman" w:hAnsi="Times New Roman" w:cs="Times New Roman"/>
          <w:sz w:val="24"/>
        </w:rPr>
      </w:pPr>
      <w:r w:rsidRPr="00603BAF">
        <w:rPr>
          <w:rFonts w:ascii="Times New Roman" w:hAnsi="Times New Roman" w:cs="Times New Roman"/>
          <w:sz w:val="24"/>
        </w:rPr>
        <w:t xml:space="preserve">Maas, J., </w:t>
      </w:r>
      <w:proofErr w:type="spellStart"/>
      <w:r w:rsidRPr="00603BAF">
        <w:rPr>
          <w:rFonts w:ascii="Times New Roman" w:hAnsi="Times New Roman" w:cs="Times New Roman"/>
          <w:sz w:val="24"/>
        </w:rPr>
        <w:t>Spreeuwenberg</w:t>
      </w:r>
      <w:proofErr w:type="spellEnd"/>
      <w:r w:rsidRPr="00603BAF">
        <w:rPr>
          <w:rFonts w:ascii="Times New Roman" w:hAnsi="Times New Roman" w:cs="Times New Roman"/>
          <w:sz w:val="24"/>
        </w:rPr>
        <w:t xml:space="preserve">, P., Van </w:t>
      </w:r>
      <w:proofErr w:type="spellStart"/>
      <w:r w:rsidRPr="00603BAF">
        <w:rPr>
          <w:rFonts w:ascii="Times New Roman" w:hAnsi="Times New Roman" w:cs="Times New Roman"/>
          <w:sz w:val="24"/>
        </w:rPr>
        <w:t>Winsum-Westra</w:t>
      </w:r>
      <w:proofErr w:type="spellEnd"/>
      <w:r w:rsidRPr="00603BAF">
        <w:rPr>
          <w:rFonts w:ascii="Times New Roman" w:hAnsi="Times New Roman" w:cs="Times New Roman"/>
          <w:sz w:val="24"/>
        </w:rPr>
        <w:t xml:space="preserve">, M., </w:t>
      </w:r>
      <w:proofErr w:type="spellStart"/>
      <w:r w:rsidRPr="00603BAF">
        <w:rPr>
          <w:rFonts w:ascii="Times New Roman" w:hAnsi="Times New Roman" w:cs="Times New Roman"/>
          <w:sz w:val="24"/>
        </w:rPr>
        <w:t>Verheij</w:t>
      </w:r>
      <w:proofErr w:type="spellEnd"/>
      <w:r w:rsidRPr="00603BAF">
        <w:rPr>
          <w:rFonts w:ascii="Times New Roman" w:hAnsi="Times New Roman" w:cs="Times New Roman"/>
          <w:sz w:val="24"/>
        </w:rPr>
        <w:t xml:space="preserve">, R. A., Vries, S., &amp; </w:t>
      </w:r>
      <w:proofErr w:type="spellStart"/>
      <w:r w:rsidRPr="00603BAF">
        <w:rPr>
          <w:rFonts w:ascii="Times New Roman" w:hAnsi="Times New Roman" w:cs="Times New Roman"/>
          <w:sz w:val="24"/>
        </w:rPr>
        <w:t>Groenewegen</w:t>
      </w:r>
      <w:proofErr w:type="spellEnd"/>
      <w:r w:rsidRPr="00603BAF">
        <w:rPr>
          <w:rFonts w:ascii="Times New Roman" w:hAnsi="Times New Roman" w:cs="Times New Roman"/>
          <w:sz w:val="24"/>
        </w:rPr>
        <w:t xml:space="preserve">, P. P. (2009). Is green space in the living environment associated with people’s feelings of social safety? </w:t>
      </w:r>
      <w:r w:rsidRPr="00603BAF">
        <w:rPr>
          <w:rFonts w:ascii="Times New Roman" w:hAnsi="Times New Roman" w:cs="Times New Roman"/>
          <w:i/>
          <w:iCs/>
          <w:sz w:val="24"/>
        </w:rPr>
        <w:t>Environment and Planning A</w:t>
      </w:r>
      <w:r w:rsidRPr="00603BAF">
        <w:rPr>
          <w:rFonts w:ascii="Times New Roman" w:hAnsi="Times New Roman" w:cs="Times New Roman"/>
          <w:sz w:val="24"/>
        </w:rPr>
        <w:t xml:space="preserve">, </w:t>
      </w:r>
      <w:r w:rsidRPr="00603BAF">
        <w:rPr>
          <w:rFonts w:ascii="Times New Roman" w:hAnsi="Times New Roman" w:cs="Times New Roman"/>
          <w:i/>
          <w:iCs/>
          <w:sz w:val="24"/>
        </w:rPr>
        <w:t>41</w:t>
      </w:r>
      <w:r w:rsidRPr="00603BAF">
        <w:rPr>
          <w:rFonts w:ascii="Times New Roman" w:hAnsi="Times New Roman" w:cs="Times New Roman"/>
          <w:sz w:val="24"/>
        </w:rPr>
        <w:t>(7), 1763–1777.</w:t>
      </w:r>
    </w:p>
    <w:p w14:paraId="3E0EE2C5" w14:textId="77777777" w:rsidR="00603BAF" w:rsidRPr="00603BAF" w:rsidRDefault="00603BAF" w:rsidP="00603BAF">
      <w:pPr>
        <w:pStyle w:val="Bibliography"/>
        <w:rPr>
          <w:rFonts w:ascii="Times New Roman" w:hAnsi="Times New Roman" w:cs="Times New Roman"/>
          <w:sz w:val="24"/>
        </w:rPr>
      </w:pPr>
      <w:r w:rsidRPr="00603BAF">
        <w:rPr>
          <w:rFonts w:ascii="Times New Roman" w:hAnsi="Times New Roman" w:cs="Times New Roman"/>
          <w:sz w:val="24"/>
        </w:rPr>
        <w:t xml:space="preserve">Maas, J., Van </w:t>
      </w:r>
      <w:proofErr w:type="spellStart"/>
      <w:r w:rsidRPr="00603BAF">
        <w:rPr>
          <w:rFonts w:ascii="Times New Roman" w:hAnsi="Times New Roman" w:cs="Times New Roman"/>
          <w:sz w:val="24"/>
        </w:rPr>
        <w:t>Dillen</w:t>
      </w:r>
      <w:proofErr w:type="spellEnd"/>
      <w:r w:rsidRPr="00603BAF">
        <w:rPr>
          <w:rFonts w:ascii="Times New Roman" w:hAnsi="Times New Roman" w:cs="Times New Roman"/>
          <w:sz w:val="24"/>
        </w:rPr>
        <w:t xml:space="preserve">, S. M., </w:t>
      </w:r>
      <w:proofErr w:type="spellStart"/>
      <w:r w:rsidRPr="00603BAF">
        <w:rPr>
          <w:rFonts w:ascii="Times New Roman" w:hAnsi="Times New Roman" w:cs="Times New Roman"/>
          <w:sz w:val="24"/>
        </w:rPr>
        <w:t>Verheij</w:t>
      </w:r>
      <w:proofErr w:type="spellEnd"/>
      <w:r w:rsidRPr="00603BAF">
        <w:rPr>
          <w:rFonts w:ascii="Times New Roman" w:hAnsi="Times New Roman" w:cs="Times New Roman"/>
          <w:sz w:val="24"/>
        </w:rPr>
        <w:t xml:space="preserve">, R. A., &amp; </w:t>
      </w:r>
      <w:proofErr w:type="spellStart"/>
      <w:r w:rsidRPr="00603BAF">
        <w:rPr>
          <w:rFonts w:ascii="Times New Roman" w:hAnsi="Times New Roman" w:cs="Times New Roman"/>
          <w:sz w:val="24"/>
        </w:rPr>
        <w:t>Groenewegen</w:t>
      </w:r>
      <w:proofErr w:type="spellEnd"/>
      <w:r w:rsidRPr="00603BAF">
        <w:rPr>
          <w:rFonts w:ascii="Times New Roman" w:hAnsi="Times New Roman" w:cs="Times New Roman"/>
          <w:sz w:val="24"/>
        </w:rPr>
        <w:t xml:space="preserve">, P. P. (2009). Social contacts as a possible mechanism behind the relation between green space and health. </w:t>
      </w:r>
      <w:r w:rsidRPr="00603BAF">
        <w:rPr>
          <w:rFonts w:ascii="Times New Roman" w:hAnsi="Times New Roman" w:cs="Times New Roman"/>
          <w:i/>
          <w:iCs/>
          <w:sz w:val="24"/>
        </w:rPr>
        <w:t>Health &amp; Place</w:t>
      </w:r>
      <w:r w:rsidRPr="00603BAF">
        <w:rPr>
          <w:rFonts w:ascii="Times New Roman" w:hAnsi="Times New Roman" w:cs="Times New Roman"/>
          <w:sz w:val="24"/>
        </w:rPr>
        <w:t xml:space="preserve">, </w:t>
      </w:r>
      <w:r w:rsidRPr="00603BAF">
        <w:rPr>
          <w:rFonts w:ascii="Times New Roman" w:hAnsi="Times New Roman" w:cs="Times New Roman"/>
          <w:i/>
          <w:iCs/>
          <w:sz w:val="24"/>
        </w:rPr>
        <w:t>15</w:t>
      </w:r>
      <w:r w:rsidRPr="00603BAF">
        <w:rPr>
          <w:rFonts w:ascii="Times New Roman" w:hAnsi="Times New Roman" w:cs="Times New Roman"/>
          <w:sz w:val="24"/>
        </w:rPr>
        <w:t>(2), 586–595.</w:t>
      </w:r>
    </w:p>
    <w:p w14:paraId="7ED714E0" w14:textId="77777777" w:rsidR="00603BAF" w:rsidRPr="00603BAF" w:rsidRDefault="00603BAF" w:rsidP="00603BAF">
      <w:pPr>
        <w:pStyle w:val="Bibliography"/>
        <w:rPr>
          <w:rFonts w:ascii="Times New Roman" w:hAnsi="Times New Roman" w:cs="Times New Roman"/>
          <w:sz w:val="24"/>
        </w:rPr>
      </w:pPr>
      <w:r w:rsidRPr="00603BAF">
        <w:rPr>
          <w:rFonts w:ascii="Times New Roman" w:hAnsi="Times New Roman" w:cs="Times New Roman"/>
          <w:sz w:val="24"/>
        </w:rPr>
        <w:lastRenderedPageBreak/>
        <w:t xml:space="preserve">Makris, M. V. (2015). Separate, Different, but Not Isolated: How Youth in Public Housing Relate to Their Gentrified Community. In </w:t>
      </w:r>
      <w:r w:rsidRPr="00603BAF">
        <w:rPr>
          <w:rFonts w:ascii="Times New Roman" w:hAnsi="Times New Roman" w:cs="Times New Roman"/>
          <w:i/>
          <w:iCs/>
          <w:sz w:val="24"/>
        </w:rPr>
        <w:t>Public Housing and School Choice in a Gentrified City</w:t>
      </w:r>
      <w:r w:rsidRPr="00603BAF">
        <w:rPr>
          <w:rFonts w:ascii="Times New Roman" w:hAnsi="Times New Roman" w:cs="Times New Roman"/>
          <w:sz w:val="24"/>
        </w:rPr>
        <w:t xml:space="preserve"> (pp. 171–189). Springer. Retrieved from http://link.springer.com/chapter/10.1057/9781137412386_7</w:t>
      </w:r>
    </w:p>
    <w:p w14:paraId="1C48D5CE" w14:textId="77777777" w:rsidR="00603BAF" w:rsidRPr="00603BAF" w:rsidRDefault="00603BAF" w:rsidP="00603BAF">
      <w:pPr>
        <w:pStyle w:val="Bibliography"/>
        <w:rPr>
          <w:rFonts w:ascii="Times New Roman" w:hAnsi="Times New Roman" w:cs="Times New Roman"/>
          <w:sz w:val="24"/>
        </w:rPr>
      </w:pPr>
      <w:r w:rsidRPr="00603BAF">
        <w:rPr>
          <w:rFonts w:ascii="Times New Roman" w:hAnsi="Times New Roman" w:cs="Times New Roman"/>
          <w:sz w:val="24"/>
        </w:rPr>
        <w:t xml:space="preserve">Manning, C. D., </w:t>
      </w:r>
      <w:proofErr w:type="spellStart"/>
      <w:r w:rsidRPr="00603BAF">
        <w:rPr>
          <w:rFonts w:ascii="Times New Roman" w:hAnsi="Times New Roman" w:cs="Times New Roman"/>
          <w:sz w:val="24"/>
        </w:rPr>
        <w:t>Surdeanu</w:t>
      </w:r>
      <w:proofErr w:type="spellEnd"/>
      <w:r w:rsidRPr="00603BAF">
        <w:rPr>
          <w:rFonts w:ascii="Times New Roman" w:hAnsi="Times New Roman" w:cs="Times New Roman"/>
          <w:sz w:val="24"/>
        </w:rPr>
        <w:t xml:space="preserve">, M., Bauer, J., Finkel, J. R., </w:t>
      </w:r>
      <w:proofErr w:type="spellStart"/>
      <w:r w:rsidRPr="00603BAF">
        <w:rPr>
          <w:rFonts w:ascii="Times New Roman" w:hAnsi="Times New Roman" w:cs="Times New Roman"/>
          <w:sz w:val="24"/>
        </w:rPr>
        <w:t>Bethard</w:t>
      </w:r>
      <w:proofErr w:type="spellEnd"/>
      <w:r w:rsidRPr="00603BAF">
        <w:rPr>
          <w:rFonts w:ascii="Times New Roman" w:hAnsi="Times New Roman" w:cs="Times New Roman"/>
          <w:sz w:val="24"/>
        </w:rPr>
        <w:t xml:space="preserve">, S., &amp; </w:t>
      </w:r>
      <w:proofErr w:type="spellStart"/>
      <w:r w:rsidRPr="00603BAF">
        <w:rPr>
          <w:rFonts w:ascii="Times New Roman" w:hAnsi="Times New Roman" w:cs="Times New Roman"/>
          <w:sz w:val="24"/>
        </w:rPr>
        <w:t>McClosky</w:t>
      </w:r>
      <w:proofErr w:type="spellEnd"/>
      <w:r w:rsidRPr="00603BAF">
        <w:rPr>
          <w:rFonts w:ascii="Times New Roman" w:hAnsi="Times New Roman" w:cs="Times New Roman"/>
          <w:sz w:val="24"/>
        </w:rPr>
        <w:t xml:space="preserve">, D. (2014). The </w:t>
      </w:r>
      <w:proofErr w:type="spellStart"/>
      <w:r w:rsidRPr="00603BAF">
        <w:rPr>
          <w:rFonts w:ascii="Times New Roman" w:hAnsi="Times New Roman" w:cs="Times New Roman"/>
          <w:sz w:val="24"/>
        </w:rPr>
        <w:t>stanford</w:t>
      </w:r>
      <w:proofErr w:type="spellEnd"/>
      <w:r w:rsidRPr="00603BAF">
        <w:rPr>
          <w:rFonts w:ascii="Times New Roman" w:hAnsi="Times New Roman" w:cs="Times New Roman"/>
          <w:sz w:val="24"/>
        </w:rPr>
        <w:t xml:space="preserve"> </w:t>
      </w:r>
      <w:proofErr w:type="spellStart"/>
      <w:r w:rsidRPr="00603BAF">
        <w:rPr>
          <w:rFonts w:ascii="Times New Roman" w:hAnsi="Times New Roman" w:cs="Times New Roman"/>
          <w:sz w:val="24"/>
        </w:rPr>
        <w:t>corenlp</w:t>
      </w:r>
      <w:proofErr w:type="spellEnd"/>
      <w:r w:rsidRPr="00603BAF">
        <w:rPr>
          <w:rFonts w:ascii="Times New Roman" w:hAnsi="Times New Roman" w:cs="Times New Roman"/>
          <w:sz w:val="24"/>
        </w:rPr>
        <w:t xml:space="preserve"> natural language processing toolkit. In </w:t>
      </w:r>
      <w:r w:rsidRPr="00603BAF">
        <w:rPr>
          <w:rFonts w:ascii="Times New Roman" w:hAnsi="Times New Roman" w:cs="Times New Roman"/>
          <w:i/>
          <w:iCs/>
          <w:sz w:val="24"/>
        </w:rPr>
        <w:t>ACL (System Demonstrations)</w:t>
      </w:r>
      <w:r w:rsidRPr="00603BAF">
        <w:rPr>
          <w:rFonts w:ascii="Times New Roman" w:hAnsi="Times New Roman" w:cs="Times New Roman"/>
          <w:sz w:val="24"/>
        </w:rPr>
        <w:t xml:space="preserve"> (pp. 55–60). Retrieved from http://www.aclweb.org/website/old_anthology/P/P14/P14-5.pdf#page=67</w:t>
      </w:r>
    </w:p>
    <w:p w14:paraId="58F77F7D" w14:textId="77777777" w:rsidR="00603BAF" w:rsidRPr="00A22D77" w:rsidRDefault="00603BAF" w:rsidP="00A22D77">
      <w:pPr>
        <w:pStyle w:val="Bibliography"/>
        <w:rPr>
          <w:rFonts w:ascii="Times New Roman" w:hAnsi="Times New Roman" w:cs="Times New Roman"/>
          <w:sz w:val="24"/>
          <w:szCs w:val="24"/>
        </w:rPr>
      </w:pPr>
      <w:r w:rsidRPr="00603BAF">
        <w:rPr>
          <w:rFonts w:ascii="Times New Roman" w:hAnsi="Times New Roman" w:cs="Times New Roman"/>
          <w:sz w:val="24"/>
        </w:rPr>
        <w:t xml:space="preserve">Mitchell, A., &amp; Page, D. (2014). State of the news media 2014. </w:t>
      </w:r>
      <w:r w:rsidRPr="00603BAF">
        <w:rPr>
          <w:rFonts w:ascii="Times New Roman" w:hAnsi="Times New Roman" w:cs="Times New Roman"/>
          <w:i/>
          <w:iCs/>
          <w:sz w:val="24"/>
        </w:rPr>
        <w:t>Pew Research Journalism Project</w:t>
      </w:r>
      <w:r w:rsidRPr="00603BAF">
        <w:rPr>
          <w:rFonts w:ascii="Times New Roman" w:hAnsi="Times New Roman" w:cs="Times New Roman"/>
          <w:sz w:val="24"/>
        </w:rPr>
        <w:t>. Retrieved from http://</w:t>
      </w:r>
      <w:r w:rsidRPr="00A22D77">
        <w:rPr>
          <w:rFonts w:ascii="Times New Roman" w:hAnsi="Times New Roman" w:cs="Times New Roman"/>
          <w:sz w:val="24"/>
          <w:szCs w:val="24"/>
        </w:rPr>
        <w:t>radiogood.ru/goto/http://www.journalism.org/2014/03/26/state-of-the-news-media-2014-overview/</w:t>
      </w:r>
    </w:p>
    <w:p w14:paraId="0466EA0E" w14:textId="77777777" w:rsidR="00603BAF" w:rsidRPr="00603BAF" w:rsidRDefault="00603BAF" w:rsidP="00603BAF">
      <w:pPr>
        <w:pStyle w:val="Bibliography"/>
        <w:rPr>
          <w:rFonts w:ascii="Times New Roman" w:hAnsi="Times New Roman" w:cs="Times New Roman"/>
          <w:sz w:val="24"/>
        </w:rPr>
      </w:pPr>
      <w:r w:rsidRPr="00603BAF">
        <w:rPr>
          <w:rFonts w:ascii="Times New Roman" w:hAnsi="Times New Roman" w:cs="Times New Roman"/>
          <w:sz w:val="24"/>
        </w:rPr>
        <w:t xml:space="preserve">Perrin, A. (2015). Social media usage. </w:t>
      </w:r>
      <w:r w:rsidRPr="00603BAF">
        <w:rPr>
          <w:rFonts w:ascii="Times New Roman" w:hAnsi="Times New Roman" w:cs="Times New Roman"/>
          <w:i/>
          <w:iCs/>
          <w:sz w:val="24"/>
        </w:rPr>
        <w:t>Pew Research Center</w:t>
      </w:r>
      <w:r w:rsidRPr="00603BAF">
        <w:rPr>
          <w:rFonts w:ascii="Times New Roman" w:hAnsi="Times New Roman" w:cs="Times New Roman"/>
          <w:sz w:val="24"/>
        </w:rPr>
        <w:t>. Retrieved from http://www.gbcinteractive.com/s/PI_2015-10-08_Social-Networking-Usage-2005-2015_FINAL.pdf</w:t>
      </w:r>
    </w:p>
    <w:p w14:paraId="25FE6BA2" w14:textId="77777777" w:rsidR="00603BAF" w:rsidRPr="00603BAF" w:rsidRDefault="00603BAF" w:rsidP="00603BAF">
      <w:pPr>
        <w:pStyle w:val="Bibliography"/>
        <w:rPr>
          <w:rFonts w:ascii="Times New Roman" w:hAnsi="Times New Roman" w:cs="Times New Roman"/>
          <w:sz w:val="24"/>
        </w:rPr>
      </w:pPr>
      <w:r w:rsidRPr="00603BAF">
        <w:rPr>
          <w:rFonts w:ascii="Times New Roman" w:hAnsi="Times New Roman" w:cs="Times New Roman"/>
          <w:sz w:val="24"/>
        </w:rPr>
        <w:t xml:space="preserve">Rainie, L., Fox, S., &amp; Duggan, M. (2014). The web at 25 in the US. </w:t>
      </w:r>
      <w:r w:rsidRPr="00603BAF">
        <w:rPr>
          <w:rFonts w:ascii="Times New Roman" w:hAnsi="Times New Roman" w:cs="Times New Roman"/>
          <w:i/>
          <w:iCs/>
          <w:sz w:val="24"/>
        </w:rPr>
        <w:t>Pew Research Center’s Internet &amp; American Life Project</w:t>
      </w:r>
      <w:r w:rsidRPr="00603BAF">
        <w:rPr>
          <w:rFonts w:ascii="Times New Roman" w:hAnsi="Times New Roman" w:cs="Times New Roman"/>
          <w:sz w:val="24"/>
        </w:rPr>
        <w:t>.</w:t>
      </w:r>
    </w:p>
    <w:p w14:paraId="7913BBBF" w14:textId="77777777" w:rsidR="00603BAF" w:rsidRPr="00603BAF" w:rsidRDefault="00603BAF" w:rsidP="00603BAF">
      <w:pPr>
        <w:pStyle w:val="Bibliography"/>
        <w:rPr>
          <w:rFonts w:ascii="Times New Roman" w:hAnsi="Times New Roman" w:cs="Times New Roman"/>
          <w:sz w:val="24"/>
        </w:rPr>
      </w:pPr>
      <w:proofErr w:type="spellStart"/>
      <w:r w:rsidRPr="00603BAF">
        <w:rPr>
          <w:rFonts w:ascii="Times New Roman" w:hAnsi="Times New Roman" w:cs="Times New Roman"/>
          <w:sz w:val="24"/>
        </w:rPr>
        <w:t>Roesslein</w:t>
      </w:r>
      <w:proofErr w:type="spellEnd"/>
      <w:r w:rsidRPr="00603BAF">
        <w:rPr>
          <w:rFonts w:ascii="Times New Roman" w:hAnsi="Times New Roman" w:cs="Times New Roman"/>
          <w:sz w:val="24"/>
        </w:rPr>
        <w:t xml:space="preserve">, J. (2015). </w:t>
      </w:r>
      <w:proofErr w:type="spellStart"/>
      <w:r w:rsidRPr="00603BAF">
        <w:rPr>
          <w:rFonts w:ascii="Times New Roman" w:hAnsi="Times New Roman" w:cs="Times New Roman"/>
          <w:sz w:val="24"/>
        </w:rPr>
        <w:t>Tweepy</w:t>
      </w:r>
      <w:proofErr w:type="spellEnd"/>
      <w:r w:rsidRPr="00603BAF">
        <w:rPr>
          <w:rFonts w:ascii="Times New Roman" w:hAnsi="Times New Roman" w:cs="Times New Roman"/>
          <w:sz w:val="24"/>
        </w:rPr>
        <w:t xml:space="preserve">. </w:t>
      </w:r>
      <w:r w:rsidRPr="00603BAF">
        <w:rPr>
          <w:rFonts w:ascii="Times New Roman" w:hAnsi="Times New Roman" w:cs="Times New Roman"/>
          <w:i/>
          <w:iCs/>
          <w:sz w:val="24"/>
        </w:rPr>
        <w:t>Python Programming Language Module</w:t>
      </w:r>
      <w:r w:rsidRPr="00603BAF">
        <w:rPr>
          <w:rFonts w:ascii="Times New Roman" w:hAnsi="Times New Roman" w:cs="Times New Roman"/>
          <w:sz w:val="24"/>
        </w:rPr>
        <w:t>.</w:t>
      </w:r>
    </w:p>
    <w:p w14:paraId="4B4CA0EA" w14:textId="77777777" w:rsidR="00603BAF" w:rsidRPr="00603BAF" w:rsidRDefault="00603BAF" w:rsidP="00603BAF">
      <w:pPr>
        <w:pStyle w:val="Bibliography"/>
        <w:rPr>
          <w:rFonts w:ascii="Times New Roman" w:hAnsi="Times New Roman" w:cs="Times New Roman"/>
          <w:sz w:val="24"/>
        </w:rPr>
      </w:pPr>
      <w:r w:rsidRPr="00603BAF">
        <w:rPr>
          <w:rFonts w:ascii="Times New Roman" w:hAnsi="Times New Roman" w:cs="Times New Roman"/>
          <w:sz w:val="24"/>
        </w:rPr>
        <w:t xml:space="preserve">Shanahan, D. F., Bush, R., Gaston, K. J., Lin, B. B., Dean, J., Barber, E., &amp; Fuller, R. A. (2016). Health benefits from nature experiences depend on dose. </w:t>
      </w:r>
      <w:r w:rsidRPr="00603BAF">
        <w:rPr>
          <w:rFonts w:ascii="Times New Roman" w:hAnsi="Times New Roman" w:cs="Times New Roman"/>
          <w:i/>
          <w:iCs/>
          <w:sz w:val="24"/>
        </w:rPr>
        <w:t>Scientific Reports</w:t>
      </w:r>
      <w:r w:rsidRPr="00603BAF">
        <w:rPr>
          <w:rFonts w:ascii="Times New Roman" w:hAnsi="Times New Roman" w:cs="Times New Roman"/>
          <w:sz w:val="24"/>
        </w:rPr>
        <w:t xml:space="preserve">, </w:t>
      </w:r>
      <w:r w:rsidRPr="00603BAF">
        <w:rPr>
          <w:rFonts w:ascii="Times New Roman" w:hAnsi="Times New Roman" w:cs="Times New Roman"/>
          <w:i/>
          <w:iCs/>
          <w:sz w:val="24"/>
        </w:rPr>
        <w:t>6</w:t>
      </w:r>
      <w:r w:rsidRPr="00603BAF">
        <w:rPr>
          <w:rFonts w:ascii="Times New Roman" w:hAnsi="Times New Roman" w:cs="Times New Roman"/>
          <w:sz w:val="24"/>
        </w:rPr>
        <w:t>. Retrieved from https://www.ncbi.nlm.nih.gov/pmc/articles/PMC4917833/</w:t>
      </w:r>
    </w:p>
    <w:p w14:paraId="46AB9FCF" w14:textId="77777777" w:rsidR="00603BAF" w:rsidRPr="00603BAF" w:rsidRDefault="00603BAF" w:rsidP="00603BAF">
      <w:pPr>
        <w:pStyle w:val="Bibliography"/>
        <w:rPr>
          <w:rFonts w:ascii="Times New Roman" w:hAnsi="Times New Roman" w:cs="Times New Roman"/>
          <w:sz w:val="24"/>
        </w:rPr>
      </w:pPr>
      <w:r w:rsidRPr="00603BAF">
        <w:rPr>
          <w:rFonts w:ascii="Times New Roman" w:hAnsi="Times New Roman" w:cs="Times New Roman"/>
          <w:sz w:val="24"/>
        </w:rPr>
        <w:lastRenderedPageBreak/>
        <w:t xml:space="preserve">Takano, T., Nakamura, K., &amp; Watanabe, M. (2002). Urban residential environments and senior citizens’ longevity in megacity areas: the importance of walkable green spaces. </w:t>
      </w:r>
      <w:r w:rsidRPr="00603BAF">
        <w:rPr>
          <w:rFonts w:ascii="Times New Roman" w:hAnsi="Times New Roman" w:cs="Times New Roman"/>
          <w:i/>
          <w:iCs/>
          <w:sz w:val="24"/>
        </w:rPr>
        <w:t>Journal of Epidemiology and Community Health</w:t>
      </w:r>
      <w:r w:rsidRPr="00603BAF">
        <w:rPr>
          <w:rFonts w:ascii="Times New Roman" w:hAnsi="Times New Roman" w:cs="Times New Roman"/>
          <w:sz w:val="24"/>
        </w:rPr>
        <w:t xml:space="preserve">, </w:t>
      </w:r>
      <w:r w:rsidRPr="00603BAF">
        <w:rPr>
          <w:rFonts w:ascii="Times New Roman" w:hAnsi="Times New Roman" w:cs="Times New Roman"/>
          <w:i/>
          <w:iCs/>
          <w:sz w:val="24"/>
        </w:rPr>
        <w:t>56</w:t>
      </w:r>
      <w:r w:rsidRPr="00603BAF">
        <w:rPr>
          <w:rFonts w:ascii="Times New Roman" w:hAnsi="Times New Roman" w:cs="Times New Roman"/>
          <w:sz w:val="24"/>
        </w:rPr>
        <w:t>(12), 913–918.</w:t>
      </w:r>
    </w:p>
    <w:p w14:paraId="411E8FC2" w14:textId="77777777" w:rsidR="00603BAF" w:rsidRPr="00603BAF" w:rsidRDefault="00603BAF" w:rsidP="00603BAF">
      <w:pPr>
        <w:pStyle w:val="Bibliography"/>
        <w:rPr>
          <w:rFonts w:ascii="Times New Roman" w:hAnsi="Times New Roman" w:cs="Times New Roman"/>
          <w:sz w:val="24"/>
        </w:rPr>
      </w:pPr>
      <w:r w:rsidRPr="00603BAF">
        <w:rPr>
          <w:rFonts w:ascii="Times New Roman" w:hAnsi="Times New Roman" w:cs="Times New Roman"/>
          <w:sz w:val="24"/>
        </w:rPr>
        <w:t xml:space="preserve">van den Berg, A. E., Maas, J., </w:t>
      </w:r>
      <w:proofErr w:type="spellStart"/>
      <w:r w:rsidRPr="00603BAF">
        <w:rPr>
          <w:rFonts w:ascii="Times New Roman" w:hAnsi="Times New Roman" w:cs="Times New Roman"/>
          <w:sz w:val="24"/>
        </w:rPr>
        <w:t>Verheij</w:t>
      </w:r>
      <w:proofErr w:type="spellEnd"/>
      <w:r w:rsidRPr="00603BAF">
        <w:rPr>
          <w:rFonts w:ascii="Times New Roman" w:hAnsi="Times New Roman" w:cs="Times New Roman"/>
          <w:sz w:val="24"/>
        </w:rPr>
        <w:t xml:space="preserve">, R. A., &amp; </w:t>
      </w:r>
      <w:proofErr w:type="spellStart"/>
      <w:r w:rsidRPr="00603BAF">
        <w:rPr>
          <w:rFonts w:ascii="Times New Roman" w:hAnsi="Times New Roman" w:cs="Times New Roman"/>
          <w:sz w:val="24"/>
        </w:rPr>
        <w:t>Groenewegen</w:t>
      </w:r>
      <w:proofErr w:type="spellEnd"/>
      <w:r w:rsidRPr="00603BAF">
        <w:rPr>
          <w:rFonts w:ascii="Times New Roman" w:hAnsi="Times New Roman" w:cs="Times New Roman"/>
          <w:sz w:val="24"/>
        </w:rPr>
        <w:t xml:space="preserve">, P. P. (2010). Green space as a buffer between stressful life events and health. </w:t>
      </w:r>
      <w:r w:rsidRPr="00603BAF">
        <w:rPr>
          <w:rFonts w:ascii="Times New Roman" w:hAnsi="Times New Roman" w:cs="Times New Roman"/>
          <w:i/>
          <w:iCs/>
          <w:sz w:val="24"/>
        </w:rPr>
        <w:t>Social Science &amp; Medicine</w:t>
      </w:r>
      <w:r w:rsidRPr="00603BAF">
        <w:rPr>
          <w:rFonts w:ascii="Times New Roman" w:hAnsi="Times New Roman" w:cs="Times New Roman"/>
          <w:sz w:val="24"/>
        </w:rPr>
        <w:t xml:space="preserve">, </w:t>
      </w:r>
      <w:r w:rsidRPr="00603BAF">
        <w:rPr>
          <w:rFonts w:ascii="Times New Roman" w:hAnsi="Times New Roman" w:cs="Times New Roman"/>
          <w:i/>
          <w:iCs/>
          <w:sz w:val="24"/>
        </w:rPr>
        <w:t>70</w:t>
      </w:r>
      <w:r w:rsidRPr="00603BAF">
        <w:rPr>
          <w:rFonts w:ascii="Times New Roman" w:hAnsi="Times New Roman" w:cs="Times New Roman"/>
          <w:sz w:val="24"/>
        </w:rPr>
        <w:t>(8), 1203–1210. https://doi.org/10.1016/j.socscimed.2010.01.002</w:t>
      </w:r>
    </w:p>
    <w:p w14:paraId="40AE409C" w14:textId="0FDF72CC" w:rsidR="00603BAF" w:rsidRPr="00096705" w:rsidRDefault="00603BAF" w:rsidP="00096705">
      <w:pPr>
        <w:pStyle w:val="Bibliography"/>
        <w:rPr>
          <w:rFonts w:ascii="Times New Roman" w:hAnsi="Times New Roman" w:cs="Times New Roman"/>
          <w:sz w:val="24"/>
        </w:rPr>
      </w:pPr>
      <w:r w:rsidRPr="00603BAF">
        <w:rPr>
          <w:rFonts w:ascii="Times New Roman" w:hAnsi="Times New Roman" w:cs="Times New Roman"/>
          <w:sz w:val="24"/>
        </w:rPr>
        <w:t xml:space="preserve">van Rossum, G., &amp; Drake Jr, F. L. (2010). Extending and embedding Python, Release 2.7. </w:t>
      </w:r>
      <w:r w:rsidRPr="00603BAF">
        <w:rPr>
          <w:rFonts w:ascii="Times New Roman" w:hAnsi="Times New Roman" w:cs="Times New Roman"/>
          <w:i/>
          <w:iCs/>
          <w:sz w:val="24"/>
        </w:rPr>
        <w:t xml:space="preserve">Python Software Foundation, Wolfeboro </w:t>
      </w:r>
      <w:proofErr w:type="spellStart"/>
      <w:r w:rsidRPr="00603BAF">
        <w:rPr>
          <w:rFonts w:ascii="Times New Roman" w:hAnsi="Times New Roman" w:cs="Times New Roman"/>
          <w:i/>
          <w:iCs/>
          <w:sz w:val="24"/>
        </w:rPr>
        <w:t>Falls</w:t>
      </w:r>
      <w:r w:rsidRPr="00603BAF">
        <w:rPr>
          <w:rFonts w:ascii="Times New Roman" w:hAnsi="Times New Roman" w:cs="Times New Roman"/>
          <w:sz w:val="24"/>
        </w:rPr>
        <w:t>.</w:t>
      </w:r>
      <w:r w:rsidRPr="0054583F">
        <w:rPr>
          <w:rFonts w:ascii="Times New Roman" w:hAnsi="Times New Roman" w:cs="Times New Roman"/>
          <w:sz w:val="24"/>
          <w:szCs w:val="24"/>
        </w:rPr>
        <w:t>Visser</w:t>
      </w:r>
      <w:proofErr w:type="spellEnd"/>
      <w:r w:rsidRPr="0054583F">
        <w:rPr>
          <w:rFonts w:ascii="Times New Roman" w:hAnsi="Times New Roman" w:cs="Times New Roman"/>
          <w:sz w:val="24"/>
          <w:szCs w:val="24"/>
        </w:rPr>
        <w:t xml:space="preserve">, K., </w:t>
      </w:r>
      <w:proofErr w:type="spellStart"/>
      <w:r w:rsidRPr="0054583F">
        <w:rPr>
          <w:rFonts w:ascii="Times New Roman" w:hAnsi="Times New Roman" w:cs="Times New Roman"/>
          <w:sz w:val="24"/>
          <w:szCs w:val="24"/>
        </w:rPr>
        <w:t>Sichling</w:t>
      </w:r>
      <w:proofErr w:type="spellEnd"/>
      <w:r w:rsidRPr="0054583F">
        <w:rPr>
          <w:rFonts w:ascii="Times New Roman" w:hAnsi="Times New Roman" w:cs="Times New Roman"/>
          <w:sz w:val="24"/>
          <w:szCs w:val="24"/>
        </w:rPr>
        <w:t xml:space="preserve">, F., &amp; </w:t>
      </w:r>
      <w:proofErr w:type="spellStart"/>
      <w:r w:rsidRPr="0054583F">
        <w:rPr>
          <w:rFonts w:ascii="Times New Roman" w:hAnsi="Times New Roman" w:cs="Times New Roman"/>
          <w:sz w:val="24"/>
          <w:szCs w:val="24"/>
        </w:rPr>
        <w:t>Chaskin</w:t>
      </w:r>
      <w:proofErr w:type="spellEnd"/>
      <w:r w:rsidRPr="0054583F">
        <w:rPr>
          <w:rFonts w:ascii="Times New Roman" w:hAnsi="Times New Roman" w:cs="Times New Roman"/>
          <w:sz w:val="24"/>
          <w:szCs w:val="24"/>
        </w:rPr>
        <w:t>, R. J. (2016). Hot times, hot places. Youths’ risk perceptions and risk management in Chicago</w:t>
      </w:r>
      <w:r w:rsidRPr="00603BAF">
        <w:rPr>
          <w:rFonts w:ascii="Times New Roman" w:hAnsi="Times New Roman" w:cs="Times New Roman"/>
          <w:sz w:val="24"/>
        </w:rPr>
        <w:t xml:space="preserve"> and Rotterdam. </w:t>
      </w:r>
      <w:r w:rsidRPr="00603BAF">
        <w:rPr>
          <w:rFonts w:ascii="Times New Roman" w:hAnsi="Times New Roman" w:cs="Times New Roman"/>
          <w:i/>
          <w:iCs/>
          <w:sz w:val="24"/>
        </w:rPr>
        <w:t>Journal of Youth Studies</w:t>
      </w:r>
      <w:r w:rsidRPr="00603BAF">
        <w:rPr>
          <w:rFonts w:ascii="Times New Roman" w:hAnsi="Times New Roman" w:cs="Times New Roman"/>
          <w:sz w:val="24"/>
        </w:rPr>
        <w:t>, 1–17.</w:t>
      </w:r>
    </w:p>
    <w:sectPr w:rsidR="00603BAF" w:rsidRPr="0009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3110"/>
    <w:multiLevelType w:val="hybridMultilevel"/>
    <w:tmpl w:val="B572740E"/>
    <w:lvl w:ilvl="0" w:tplc="D2EA14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55FD8"/>
    <w:multiLevelType w:val="hybridMultilevel"/>
    <w:tmpl w:val="B572740E"/>
    <w:lvl w:ilvl="0" w:tplc="D2EA14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311678"/>
    <w:multiLevelType w:val="hybridMultilevel"/>
    <w:tmpl w:val="B572740E"/>
    <w:lvl w:ilvl="0" w:tplc="D2EA14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6006B"/>
    <w:multiLevelType w:val="hybridMultilevel"/>
    <w:tmpl w:val="B572740E"/>
    <w:lvl w:ilvl="0" w:tplc="D2EA14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25B"/>
    <w:rsid w:val="00001085"/>
    <w:rsid w:val="00001743"/>
    <w:rsid w:val="000025C7"/>
    <w:rsid w:val="000027E3"/>
    <w:rsid w:val="0000386C"/>
    <w:rsid w:val="0000575B"/>
    <w:rsid w:val="00006F65"/>
    <w:rsid w:val="00024DA0"/>
    <w:rsid w:val="00025C2C"/>
    <w:rsid w:val="0003092B"/>
    <w:rsid w:val="00030ADF"/>
    <w:rsid w:val="0003325B"/>
    <w:rsid w:val="00035416"/>
    <w:rsid w:val="00035417"/>
    <w:rsid w:val="000359E3"/>
    <w:rsid w:val="0004038F"/>
    <w:rsid w:val="00047D06"/>
    <w:rsid w:val="000503FD"/>
    <w:rsid w:val="0005465C"/>
    <w:rsid w:val="00056120"/>
    <w:rsid w:val="00056D3E"/>
    <w:rsid w:val="000620D2"/>
    <w:rsid w:val="000622BC"/>
    <w:rsid w:val="000672C6"/>
    <w:rsid w:val="00072B21"/>
    <w:rsid w:val="0007706A"/>
    <w:rsid w:val="00087D32"/>
    <w:rsid w:val="00090495"/>
    <w:rsid w:val="0009291A"/>
    <w:rsid w:val="00094882"/>
    <w:rsid w:val="00094D99"/>
    <w:rsid w:val="00096705"/>
    <w:rsid w:val="000A23E4"/>
    <w:rsid w:val="000A528F"/>
    <w:rsid w:val="000B19D5"/>
    <w:rsid w:val="000B5DB4"/>
    <w:rsid w:val="000B620B"/>
    <w:rsid w:val="000C1E25"/>
    <w:rsid w:val="000C5374"/>
    <w:rsid w:val="000C6076"/>
    <w:rsid w:val="000D1EB1"/>
    <w:rsid w:val="000D5619"/>
    <w:rsid w:val="000D6133"/>
    <w:rsid w:val="000E2222"/>
    <w:rsid w:val="000E2FD9"/>
    <w:rsid w:val="000E54D2"/>
    <w:rsid w:val="000F1D41"/>
    <w:rsid w:val="000F1EA9"/>
    <w:rsid w:val="000F2D18"/>
    <w:rsid w:val="000F4947"/>
    <w:rsid w:val="000F583E"/>
    <w:rsid w:val="000F71F3"/>
    <w:rsid w:val="000F74E2"/>
    <w:rsid w:val="000F7E25"/>
    <w:rsid w:val="00102069"/>
    <w:rsid w:val="001024A9"/>
    <w:rsid w:val="00103EA8"/>
    <w:rsid w:val="00113837"/>
    <w:rsid w:val="00114E00"/>
    <w:rsid w:val="001152CE"/>
    <w:rsid w:val="001152E6"/>
    <w:rsid w:val="0012429E"/>
    <w:rsid w:val="0013050A"/>
    <w:rsid w:val="0013167C"/>
    <w:rsid w:val="00134FF9"/>
    <w:rsid w:val="00135CA9"/>
    <w:rsid w:val="00135DA8"/>
    <w:rsid w:val="00137291"/>
    <w:rsid w:val="00140803"/>
    <w:rsid w:val="001434F0"/>
    <w:rsid w:val="00144236"/>
    <w:rsid w:val="001466B9"/>
    <w:rsid w:val="00147065"/>
    <w:rsid w:val="00154B62"/>
    <w:rsid w:val="00155F51"/>
    <w:rsid w:val="00155F9D"/>
    <w:rsid w:val="0015721E"/>
    <w:rsid w:val="0016153C"/>
    <w:rsid w:val="001639E3"/>
    <w:rsid w:val="00164EA0"/>
    <w:rsid w:val="00165FEE"/>
    <w:rsid w:val="00172A2A"/>
    <w:rsid w:val="00173678"/>
    <w:rsid w:val="001759EA"/>
    <w:rsid w:val="00175F59"/>
    <w:rsid w:val="00177DDE"/>
    <w:rsid w:val="00181E35"/>
    <w:rsid w:val="001840B4"/>
    <w:rsid w:val="0018457A"/>
    <w:rsid w:val="00184906"/>
    <w:rsid w:val="001867DB"/>
    <w:rsid w:val="00190B56"/>
    <w:rsid w:val="00190DE8"/>
    <w:rsid w:val="00195371"/>
    <w:rsid w:val="001970CA"/>
    <w:rsid w:val="001970CC"/>
    <w:rsid w:val="001A4412"/>
    <w:rsid w:val="001A48CA"/>
    <w:rsid w:val="001A54E7"/>
    <w:rsid w:val="001A564B"/>
    <w:rsid w:val="001B1F58"/>
    <w:rsid w:val="001C3202"/>
    <w:rsid w:val="001C6704"/>
    <w:rsid w:val="001D09C2"/>
    <w:rsid w:val="001D49CD"/>
    <w:rsid w:val="001D6830"/>
    <w:rsid w:val="001D7076"/>
    <w:rsid w:val="001E7124"/>
    <w:rsid w:val="001F118D"/>
    <w:rsid w:val="001F17EF"/>
    <w:rsid w:val="001F5542"/>
    <w:rsid w:val="001F779C"/>
    <w:rsid w:val="001F799D"/>
    <w:rsid w:val="00203D3E"/>
    <w:rsid w:val="00204BC7"/>
    <w:rsid w:val="00216B46"/>
    <w:rsid w:val="00221278"/>
    <w:rsid w:val="0022318E"/>
    <w:rsid w:val="002245B3"/>
    <w:rsid w:val="002260F4"/>
    <w:rsid w:val="002310B8"/>
    <w:rsid w:val="0025338D"/>
    <w:rsid w:val="00253E35"/>
    <w:rsid w:val="0025769F"/>
    <w:rsid w:val="00265436"/>
    <w:rsid w:val="00275BED"/>
    <w:rsid w:val="0027774C"/>
    <w:rsid w:val="00291538"/>
    <w:rsid w:val="00297B34"/>
    <w:rsid w:val="002A048D"/>
    <w:rsid w:val="002A2EC6"/>
    <w:rsid w:val="002A58DD"/>
    <w:rsid w:val="002B1A9D"/>
    <w:rsid w:val="002B49E8"/>
    <w:rsid w:val="002B4F60"/>
    <w:rsid w:val="002C183D"/>
    <w:rsid w:val="002C33DC"/>
    <w:rsid w:val="002D14BC"/>
    <w:rsid w:val="002D151A"/>
    <w:rsid w:val="002D549F"/>
    <w:rsid w:val="002E274A"/>
    <w:rsid w:val="002E628E"/>
    <w:rsid w:val="002E7C9D"/>
    <w:rsid w:val="002F073B"/>
    <w:rsid w:val="002F4836"/>
    <w:rsid w:val="00301AA2"/>
    <w:rsid w:val="00301AAF"/>
    <w:rsid w:val="003039B6"/>
    <w:rsid w:val="003072F0"/>
    <w:rsid w:val="00313B45"/>
    <w:rsid w:val="0031516F"/>
    <w:rsid w:val="00320F8C"/>
    <w:rsid w:val="00325816"/>
    <w:rsid w:val="00327919"/>
    <w:rsid w:val="0033003A"/>
    <w:rsid w:val="0034745B"/>
    <w:rsid w:val="00347C92"/>
    <w:rsid w:val="00354247"/>
    <w:rsid w:val="0036227A"/>
    <w:rsid w:val="00367DB9"/>
    <w:rsid w:val="00372617"/>
    <w:rsid w:val="00376EB3"/>
    <w:rsid w:val="0038014F"/>
    <w:rsid w:val="00382684"/>
    <w:rsid w:val="0038308B"/>
    <w:rsid w:val="00390330"/>
    <w:rsid w:val="00392EBC"/>
    <w:rsid w:val="00395964"/>
    <w:rsid w:val="00395ADE"/>
    <w:rsid w:val="00397CDC"/>
    <w:rsid w:val="003A00E1"/>
    <w:rsid w:val="003B17C5"/>
    <w:rsid w:val="003B1AB9"/>
    <w:rsid w:val="003B201D"/>
    <w:rsid w:val="003C127E"/>
    <w:rsid w:val="003D1AC0"/>
    <w:rsid w:val="003D69E2"/>
    <w:rsid w:val="003E0249"/>
    <w:rsid w:val="003E0A90"/>
    <w:rsid w:val="00400726"/>
    <w:rsid w:val="004031FB"/>
    <w:rsid w:val="00403BB1"/>
    <w:rsid w:val="00406647"/>
    <w:rsid w:val="00410316"/>
    <w:rsid w:val="00414425"/>
    <w:rsid w:val="004174B1"/>
    <w:rsid w:val="0042199F"/>
    <w:rsid w:val="00434268"/>
    <w:rsid w:val="00434841"/>
    <w:rsid w:val="00436E26"/>
    <w:rsid w:val="00437608"/>
    <w:rsid w:val="00440C67"/>
    <w:rsid w:val="00447E1A"/>
    <w:rsid w:val="00450680"/>
    <w:rsid w:val="00452834"/>
    <w:rsid w:val="00456EA6"/>
    <w:rsid w:val="00472DFC"/>
    <w:rsid w:val="00475297"/>
    <w:rsid w:val="00481C03"/>
    <w:rsid w:val="00487F0F"/>
    <w:rsid w:val="00495F90"/>
    <w:rsid w:val="004968F5"/>
    <w:rsid w:val="00497B7C"/>
    <w:rsid w:val="004A2C2C"/>
    <w:rsid w:val="004A32AF"/>
    <w:rsid w:val="004A758B"/>
    <w:rsid w:val="004B3378"/>
    <w:rsid w:val="004C22E1"/>
    <w:rsid w:val="004C2BB2"/>
    <w:rsid w:val="004C330B"/>
    <w:rsid w:val="004C33FC"/>
    <w:rsid w:val="004C3A7B"/>
    <w:rsid w:val="004C7232"/>
    <w:rsid w:val="004D1218"/>
    <w:rsid w:val="004D3DF2"/>
    <w:rsid w:val="004E64DA"/>
    <w:rsid w:val="004F41BD"/>
    <w:rsid w:val="004F56F1"/>
    <w:rsid w:val="00501599"/>
    <w:rsid w:val="00502E93"/>
    <w:rsid w:val="005102AC"/>
    <w:rsid w:val="005107A7"/>
    <w:rsid w:val="00510EC6"/>
    <w:rsid w:val="00515387"/>
    <w:rsid w:val="0052054C"/>
    <w:rsid w:val="0052206F"/>
    <w:rsid w:val="00524AB4"/>
    <w:rsid w:val="00525843"/>
    <w:rsid w:val="0053658F"/>
    <w:rsid w:val="00536699"/>
    <w:rsid w:val="0053730C"/>
    <w:rsid w:val="00540AC3"/>
    <w:rsid w:val="00541E85"/>
    <w:rsid w:val="0054496F"/>
    <w:rsid w:val="0054583F"/>
    <w:rsid w:val="00556930"/>
    <w:rsid w:val="00560733"/>
    <w:rsid w:val="00560860"/>
    <w:rsid w:val="00560D8C"/>
    <w:rsid w:val="005639A0"/>
    <w:rsid w:val="00563C01"/>
    <w:rsid w:val="005663A9"/>
    <w:rsid w:val="00571F4C"/>
    <w:rsid w:val="00575651"/>
    <w:rsid w:val="005815B0"/>
    <w:rsid w:val="00582084"/>
    <w:rsid w:val="0058477C"/>
    <w:rsid w:val="0058624B"/>
    <w:rsid w:val="005913E5"/>
    <w:rsid w:val="005A33F9"/>
    <w:rsid w:val="005A348D"/>
    <w:rsid w:val="005B1CEE"/>
    <w:rsid w:val="005B6539"/>
    <w:rsid w:val="005B660F"/>
    <w:rsid w:val="005C0CF9"/>
    <w:rsid w:val="005C2BED"/>
    <w:rsid w:val="005C2F37"/>
    <w:rsid w:val="005C6216"/>
    <w:rsid w:val="005D0806"/>
    <w:rsid w:val="005D56B3"/>
    <w:rsid w:val="005D78CE"/>
    <w:rsid w:val="005E37ED"/>
    <w:rsid w:val="005E5B05"/>
    <w:rsid w:val="005E636E"/>
    <w:rsid w:val="005E71C5"/>
    <w:rsid w:val="005E76A5"/>
    <w:rsid w:val="005F31CA"/>
    <w:rsid w:val="005F3CD2"/>
    <w:rsid w:val="005F7312"/>
    <w:rsid w:val="006005EA"/>
    <w:rsid w:val="00601423"/>
    <w:rsid w:val="006026D7"/>
    <w:rsid w:val="00603BAF"/>
    <w:rsid w:val="00604BFA"/>
    <w:rsid w:val="00607D30"/>
    <w:rsid w:val="006152BA"/>
    <w:rsid w:val="0062370B"/>
    <w:rsid w:val="00623FDE"/>
    <w:rsid w:val="00624E0E"/>
    <w:rsid w:val="00625085"/>
    <w:rsid w:val="006258A7"/>
    <w:rsid w:val="006270CA"/>
    <w:rsid w:val="0063099F"/>
    <w:rsid w:val="00632233"/>
    <w:rsid w:val="00632CEC"/>
    <w:rsid w:val="00633937"/>
    <w:rsid w:val="0064144D"/>
    <w:rsid w:val="00644514"/>
    <w:rsid w:val="0064504D"/>
    <w:rsid w:val="006473D2"/>
    <w:rsid w:val="00651950"/>
    <w:rsid w:val="006524D3"/>
    <w:rsid w:val="00661DBE"/>
    <w:rsid w:val="00662739"/>
    <w:rsid w:val="006645D3"/>
    <w:rsid w:val="00665B92"/>
    <w:rsid w:val="006666EF"/>
    <w:rsid w:val="00666B9D"/>
    <w:rsid w:val="00671FE5"/>
    <w:rsid w:val="00681F61"/>
    <w:rsid w:val="00684561"/>
    <w:rsid w:val="006935CD"/>
    <w:rsid w:val="006A2756"/>
    <w:rsid w:val="006A5874"/>
    <w:rsid w:val="006B0203"/>
    <w:rsid w:val="006B2DB3"/>
    <w:rsid w:val="006C263C"/>
    <w:rsid w:val="006C317D"/>
    <w:rsid w:val="006C3A4D"/>
    <w:rsid w:val="006C467D"/>
    <w:rsid w:val="006C497D"/>
    <w:rsid w:val="006C4A61"/>
    <w:rsid w:val="006C551D"/>
    <w:rsid w:val="006D13BA"/>
    <w:rsid w:val="006D18F6"/>
    <w:rsid w:val="006E0CF9"/>
    <w:rsid w:val="006E1E26"/>
    <w:rsid w:val="006E5E1A"/>
    <w:rsid w:val="006E6B17"/>
    <w:rsid w:val="006F21EB"/>
    <w:rsid w:val="006F247C"/>
    <w:rsid w:val="006F2911"/>
    <w:rsid w:val="006F3A45"/>
    <w:rsid w:val="006F7E82"/>
    <w:rsid w:val="00701120"/>
    <w:rsid w:val="0070203F"/>
    <w:rsid w:val="00705C84"/>
    <w:rsid w:val="007074D3"/>
    <w:rsid w:val="0071368A"/>
    <w:rsid w:val="00713D73"/>
    <w:rsid w:val="0071579C"/>
    <w:rsid w:val="00715987"/>
    <w:rsid w:val="0072101C"/>
    <w:rsid w:val="00723C8F"/>
    <w:rsid w:val="007268ED"/>
    <w:rsid w:val="00732B63"/>
    <w:rsid w:val="00734A51"/>
    <w:rsid w:val="00737168"/>
    <w:rsid w:val="0074327B"/>
    <w:rsid w:val="00746509"/>
    <w:rsid w:val="007502CE"/>
    <w:rsid w:val="007607D4"/>
    <w:rsid w:val="00773BAD"/>
    <w:rsid w:val="00774558"/>
    <w:rsid w:val="007766A9"/>
    <w:rsid w:val="00782BDF"/>
    <w:rsid w:val="007844A7"/>
    <w:rsid w:val="007869FB"/>
    <w:rsid w:val="007916CD"/>
    <w:rsid w:val="00794940"/>
    <w:rsid w:val="007A46C1"/>
    <w:rsid w:val="007A71B5"/>
    <w:rsid w:val="007B16B7"/>
    <w:rsid w:val="007B2849"/>
    <w:rsid w:val="007B420A"/>
    <w:rsid w:val="007B6580"/>
    <w:rsid w:val="007C2D7A"/>
    <w:rsid w:val="007C4018"/>
    <w:rsid w:val="007D1090"/>
    <w:rsid w:val="007D17D9"/>
    <w:rsid w:val="007D233C"/>
    <w:rsid w:val="007D312C"/>
    <w:rsid w:val="007E2307"/>
    <w:rsid w:val="007E717E"/>
    <w:rsid w:val="007F049B"/>
    <w:rsid w:val="007F13C6"/>
    <w:rsid w:val="007F4FAE"/>
    <w:rsid w:val="007F56C9"/>
    <w:rsid w:val="00807086"/>
    <w:rsid w:val="0082076D"/>
    <w:rsid w:val="00821918"/>
    <w:rsid w:val="00825136"/>
    <w:rsid w:val="00825383"/>
    <w:rsid w:val="008268E3"/>
    <w:rsid w:val="008275BF"/>
    <w:rsid w:val="00833759"/>
    <w:rsid w:val="00834217"/>
    <w:rsid w:val="008346F8"/>
    <w:rsid w:val="0084273D"/>
    <w:rsid w:val="00842CF6"/>
    <w:rsid w:val="0084395C"/>
    <w:rsid w:val="00847126"/>
    <w:rsid w:val="0085102F"/>
    <w:rsid w:val="00855950"/>
    <w:rsid w:val="00855993"/>
    <w:rsid w:val="00856FF6"/>
    <w:rsid w:val="00865318"/>
    <w:rsid w:val="0087296C"/>
    <w:rsid w:val="0087466C"/>
    <w:rsid w:val="00880C06"/>
    <w:rsid w:val="00884471"/>
    <w:rsid w:val="00886A34"/>
    <w:rsid w:val="00891891"/>
    <w:rsid w:val="00895F2E"/>
    <w:rsid w:val="00896B09"/>
    <w:rsid w:val="008A1334"/>
    <w:rsid w:val="008A421E"/>
    <w:rsid w:val="008A4E7A"/>
    <w:rsid w:val="008A6E3B"/>
    <w:rsid w:val="008B2291"/>
    <w:rsid w:val="008B553A"/>
    <w:rsid w:val="008C0529"/>
    <w:rsid w:val="008D5F65"/>
    <w:rsid w:val="008E29AE"/>
    <w:rsid w:val="008E3AE9"/>
    <w:rsid w:val="008E51CF"/>
    <w:rsid w:val="008E566A"/>
    <w:rsid w:val="008E7C48"/>
    <w:rsid w:val="008F0651"/>
    <w:rsid w:val="008F3D4F"/>
    <w:rsid w:val="008F5971"/>
    <w:rsid w:val="008F7162"/>
    <w:rsid w:val="009000CB"/>
    <w:rsid w:val="00906DE3"/>
    <w:rsid w:val="00913867"/>
    <w:rsid w:val="009213B3"/>
    <w:rsid w:val="00922912"/>
    <w:rsid w:val="00932260"/>
    <w:rsid w:val="00934656"/>
    <w:rsid w:val="0093490F"/>
    <w:rsid w:val="00941A48"/>
    <w:rsid w:val="00955A47"/>
    <w:rsid w:val="00957713"/>
    <w:rsid w:val="00960110"/>
    <w:rsid w:val="00966C1D"/>
    <w:rsid w:val="00981C95"/>
    <w:rsid w:val="00981DF0"/>
    <w:rsid w:val="00990843"/>
    <w:rsid w:val="00991449"/>
    <w:rsid w:val="0099438B"/>
    <w:rsid w:val="0099475C"/>
    <w:rsid w:val="00995134"/>
    <w:rsid w:val="0099701E"/>
    <w:rsid w:val="009A0C31"/>
    <w:rsid w:val="009A21BA"/>
    <w:rsid w:val="009A4224"/>
    <w:rsid w:val="009A7871"/>
    <w:rsid w:val="009B66F4"/>
    <w:rsid w:val="009C0018"/>
    <w:rsid w:val="009C1C94"/>
    <w:rsid w:val="009C241C"/>
    <w:rsid w:val="009C4ECF"/>
    <w:rsid w:val="009D259D"/>
    <w:rsid w:val="009D3675"/>
    <w:rsid w:val="009D4E4A"/>
    <w:rsid w:val="009E0115"/>
    <w:rsid w:val="009E01B6"/>
    <w:rsid w:val="009E0A79"/>
    <w:rsid w:val="009E0DA6"/>
    <w:rsid w:val="009E59EA"/>
    <w:rsid w:val="009E6D89"/>
    <w:rsid w:val="00A027AD"/>
    <w:rsid w:val="00A03C73"/>
    <w:rsid w:val="00A063C8"/>
    <w:rsid w:val="00A0699A"/>
    <w:rsid w:val="00A1618A"/>
    <w:rsid w:val="00A17C2F"/>
    <w:rsid w:val="00A22D77"/>
    <w:rsid w:val="00A2640B"/>
    <w:rsid w:val="00A26B1E"/>
    <w:rsid w:val="00A31E08"/>
    <w:rsid w:val="00A334D9"/>
    <w:rsid w:val="00A344D0"/>
    <w:rsid w:val="00A34BB2"/>
    <w:rsid w:val="00A35D93"/>
    <w:rsid w:val="00A36A0F"/>
    <w:rsid w:val="00A4700B"/>
    <w:rsid w:val="00A472B1"/>
    <w:rsid w:val="00A629D7"/>
    <w:rsid w:val="00A63753"/>
    <w:rsid w:val="00A66321"/>
    <w:rsid w:val="00A8488A"/>
    <w:rsid w:val="00A851B2"/>
    <w:rsid w:val="00A86466"/>
    <w:rsid w:val="00A968A6"/>
    <w:rsid w:val="00AA15C4"/>
    <w:rsid w:val="00AA7658"/>
    <w:rsid w:val="00AB28DE"/>
    <w:rsid w:val="00AB6D14"/>
    <w:rsid w:val="00AB77D0"/>
    <w:rsid w:val="00AC17DC"/>
    <w:rsid w:val="00AC2C01"/>
    <w:rsid w:val="00AC7704"/>
    <w:rsid w:val="00AD2FAF"/>
    <w:rsid w:val="00AD7789"/>
    <w:rsid w:val="00AE20C5"/>
    <w:rsid w:val="00AE72C2"/>
    <w:rsid w:val="00AF255D"/>
    <w:rsid w:val="00AF320C"/>
    <w:rsid w:val="00AF3C26"/>
    <w:rsid w:val="00AF63B5"/>
    <w:rsid w:val="00B004C2"/>
    <w:rsid w:val="00B02C3A"/>
    <w:rsid w:val="00B0360C"/>
    <w:rsid w:val="00B106F8"/>
    <w:rsid w:val="00B1523D"/>
    <w:rsid w:val="00B15459"/>
    <w:rsid w:val="00B206CA"/>
    <w:rsid w:val="00B247CC"/>
    <w:rsid w:val="00B25915"/>
    <w:rsid w:val="00B27B48"/>
    <w:rsid w:val="00B370EA"/>
    <w:rsid w:val="00B40756"/>
    <w:rsid w:val="00B443AA"/>
    <w:rsid w:val="00B469D2"/>
    <w:rsid w:val="00B47920"/>
    <w:rsid w:val="00B5221C"/>
    <w:rsid w:val="00B52416"/>
    <w:rsid w:val="00B53510"/>
    <w:rsid w:val="00B548F8"/>
    <w:rsid w:val="00B577B0"/>
    <w:rsid w:val="00B577B7"/>
    <w:rsid w:val="00B61193"/>
    <w:rsid w:val="00B676B2"/>
    <w:rsid w:val="00B732C3"/>
    <w:rsid w:val="00B745E4"/>
    <w:rsid w:val="00B75E49"/>
    <w:rsid w:val="00B76A6B"/>
    <w:rsid w:val="00B92913"/>
    <w:rsid w:val="00B92AD7"/>
    <w:rsid w:val="00B94B3C"/>
    <w:rsid w:val="00B963E0"/>
    <w:rsid w:val="00BA21B9"/>
    <w:rsid w:val="00BA22AC"/>
    <w:rsid w:val="00BA59E7"/>
    <w:rsid w:val="00BC129E"/>
    <w:rsid w:val="00BC46E6"/>
    <w:rsid w:val="00BC6585"/>
    <w:rsid w:val="00BC7051"/>
    <w:rsid w:val="00BC7AE5"/>
    <w:rsid w:val="00BD17BB"/>
    <w:rsid w:val="00BD25CA"/>
    <w:rsid w:val="00BD567F"/>
    <w:rsid w:val="00BD7965"/>
    <w:rsid w:val="00BE20E9"/>
    <w:rsid w:val="00BE791F"/>
    <w:rsid w:val="00BF031D"/>
    <w:rsid w:val="00BF105A"/>
    <w:rsid w:val="00BF29CF"/>
    <w:rsid w:val="00C13583"/>
    <w:rsid w:val="00C13C7F"/>
    <w:rsid w:val="00C237A4"/>
    <w:rsid w:val="00C32288"/>
    <w:rsid w:val="00C36CEA"/>
    <w:rsid w:val="00C44117"/>
    <w:rsid w:val="00C4447C"/>
    <w:rsid w:val="00C45639"/>
    <w:rsid w:val="00C5034E"/>
    <w:rsid w:val="00C561C5"/>
    <w:rsid w:val="00C60DFB"/>
    <w:rsid w:val="00C6216A"/>
    <w:rsid w:val="00C70949"/>
    <w:rsid w:val="00C718FB"/>
    <w:rsid w:val="00C75761"/>
    <w:rsid w:val="00C84026"/>
    <w:rsid w:val="00C915B8"/>
    <w:rsid w:val="00C93CCA"/>
    <w:rsid w:val="00C96038"/>
    <w:rsid w:val="00CA34DF"/>
    <w:rsid w:val="00CB015C"/>
    <w:rsid w:val="00CB38C9"/>
    <w:rsid w:val="00CC0897"/>
    <w:rsid w:val="00CC1596"/>
    <w:rsid w:val="00CC3344"/>
    <w:rsid w:val="00CC3B3B"/>
    <w:rsid w:val="00CC3B9B"/>
    <w:rsid w:val="00CC4739"/>
    <w:rsid w:val="00CC4EA3"/>
    <w:rsid w:val="00CC65CF"/>
    <w:rsid w:val="00CD307F"/>
    <w:rsid w:val="00CE13C9"/>
    <w:rsid w:val="00CE19C4"/>
    <w:rsid w:val="00CE331A"/>
    <w:rsid w:val="00CF389B"/>
    <w:rsid w:val="00D0085D"/>
    <w:rsid w:val="00D05602"/>
    <w:rsid w:val="00D07E1A"/>
    <w:rsid w:val="00D1399B"/>
    <w:rsid w:val="00D154D3"/>
    <w:rsid w:val="00D24D7A"/>
    <w:rsid w:val="00D27B93"/>
    <w:rsid w:val="00D36B8D"/>
    <w:rsid w:val="00D42173"/>
    <w:rsid w:val="00D42EE7"/>
    <w:rsid w:val="00D464A1"/>
    <w:rsid w:val="00D46E1B"/>
    <w:rsid w:val="00D56DE9"/>
    <w:rsid w:val="00D6383F"/>
    <w:rsid w:val="00D65058"/>
    <w:rsid w:val="00D74434"/>
    <w:rsid w:val="00D74A01"/>
    <w:rsid w:val="00D82D33"/>
    <w:rsid w:val="00D830E8"/>
    <w:rsid w:val="00D86411"/>
    <w:rsid w:val="00DA191D"/>
    <w:rsid w:val="00DA3A47"/>
    <w:rsid w:val="00DB2179"/>
    <w:rsid w:val="00DB743E"/>
    <w:rsid w:val="00DC2BE5"/>
    <w:rsid w:val="00DD3835"/>
    <w:rsid w:val="00DD3A7F"/>
    <w:rsid w:val="00DD3F20"/>
    <w:rsid w:val="00DD4983"/>
    <w:rsid w:val="00DD6113"/>
    <w:rsid w:val="00DD7F94"/>
    <w:rsid w:val="00DE005C"/>
    <w:rsid w:val="00DE2B85"/>
    <w:rsid w:val="00DF0ABA"/>
    <w:rsid w:val="00DF298D"/>
    <w:rsid w:val="00E0030E"/>
    <w:rsid w:val="00E01285"/>
    <w:rsid w:val="00E02874"/>
    <w:rsid w:val="00E03B75"/>
    <w:rsid w:val="00E046CF"/>
    <w:rsid w:val="00E062FC"/>
    <w:rsid w:val="00E07842"/>
    <w:rsid w:val="00E10B03"/>
    <w:rsid w:val="00E1455D"/>
    <w:rsid w:val="00E16F07"/>
    <w:rsid w:val="00E17EA8"/>
    <w:rsid w:val="00E2457D"/>
    <w:rsid w:val="00E2578E"/>
    <w:rsid w:val="00E263A8"/>
    <w:rsid w:val="00E3104F"/>
    <w:rsid w:val="00E3202B"/>
    <w:rsid w:val="00E32DA9"/>
    <w:rsid w:val="00E34A9D"/>
    <w:rsid w:val="00E474D8"/>
    <w:rsid w:val="00E5355E"/>
    <w:rsid w:val="00E54BCB"/>
    <w:rsid w:val="00E56BBA"/>
    <w:rsid w:val="00E57208"/>
    <w:rsid w:val="00E67C9B"/>
    <w:rsid w:val="00E75BDE"/>
    <w:rsid w:val="00E858D7"/>
    <w:rsid w:val="00E87B2B"/>
    <w:rsid w:val="00E943F1"/>
    <w:rsid w:val="00E95F2B"/>
    <w:rsid w:val="00EA0732"/>
    <w:rsid w:val="00EA1174"/>
    <w:rsid w:val="00EA1295"/>
    <w:rsid w:val="00EA1E14"/>
    <w:rsid w:val="00EA4FFA"/>
    <w:rsid w:val="00EB1B13"/>
    <w:rsid w:val="00EB1D83"/>
    <w:rsid w:val="00EB1DFC"/>
    <w:rsid w:val="00ED3D25"/>
    <w:rsid w:val="00ED42A6"/>
    <w:rsid w:val="00ED510C"/>
    <w:rsid w:val="00ED52A1"/>
    <w:rsid w:val="00ED5944"/>
    <w:rsid w:val="00EE7F3C"/>
    <w:rsid w:val="00EF55F8"/>
    <w:rsid w:val="00F0060D"/>
    <w:rsid w:val="00F05D80"/>
    <w:rsid w:val="00F1779A"/>
    <w:rsid w:val="00F21C49"/>
    <w:rsid w:val="00F2515B"/>
    <w:rsid w:val="00F26F9E"/>
    <w:rsid w:val="00F27E26"/>
    <w:rsid w:val="00F313E4"/>
    <w:rsid w:val="00F3404C"/>
    <w:rsid w:val="00F34DD1"/>
    <w:rsid w:val="00F3577C"/>
    <w:rsid w:val="00F36DDF"/>
    <w:rsid w:val="00F379E2"/>
    <w:rsid w:val="00F4637B"/>
    <w:rsid w:val="00F51B40"/>
    <w:rsid w:val="00F51FDD"/>
    <w:rsid w:val="00F527BD"/>
    <w:rsid w:val="00F57B6B"/>
    <w:rsid w:val="00F61FC6"/>
    <w:rsid w:val="00F70833"/>
    <w:rsid w:val="00F709DA"/>
    <w:rsid w:val="00F70BA1"/>
    <w:rsid w:val="00F70E44"/>
    <w:rsid w:val="00F719D0"/>
    <w:rsid w:val="00F74796"/>
    <w:rsid w:val="00F76322"/>
    <w:rsid w:val="00F76889"/>
    <w:rsid w:val="00F866E5"/>
    <w:rsid w:val="00F86A6B"/>
    <w:rsid w:val="00F908BD"/>
    <w:rsid w:val="00F934EC"/>
    <w:rsid w:val="00F94006"/>
    <w:rsid w:val="00F964AE"/>
    <w:rsid w:val="00FA0202"/>
    <w:rsid w:val="00FA0F4A"/>
    <w:rsid w:val="00FA7690"/>
    <w:rsid w:val="00FB053B"/>
    <w:rsid w:val="00FB31C5"/>
    <w:rsid w:val="00FB434D"/>
    <w:rsid w:val="00FC15AD"/>
    <w:rsid w:val="00FC2505"/>
    <w:rsid w:val="00FC57AC"/>
    <w:rsid w:val="00FD180C"/>
    <w:rsid w:val="00FD3A70"/>
    <w:rsid w:val="00FD5040"/>
    <w:rsid w:val="00FD5CBD"/>
    <w:rsid w:val="00FD7B3B"/>
    <w:rsid w:val="00FE239C"/>
    <w:rsid w:val="00FE25A6"/>
    <w:rsid w:val="00FF0236"/>
    <w:rsid w:val="00FF1243"/>
    <w:rsid w:val="00FF1EB2"/>
    <w:rsid w:val="00FF3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4B84D"/>
  <w15:docId w15:val="{CF8517F5-F9EE-471B-A79F-50D9D45B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25B"/>
    <w:rPr>
      <w:color w:val="0563C1" w:themeColor="hyperlink"/>
      <w:u w:val="single"/>
    </w:rPr>
  </w:style>
  <w:style w:type="character" w:styleId="CommentReference">
    <w:name w:val="annotation reference"/>
    <w:basedOn w:val="DefaultParagraphFont"/>
    <w:uiPriority w:val="99"/>
    <w:semiHidden/>
    <w:unhideWhenUsed/>
    <w:rsid w:val="00C32288"/>
    <w:rPr>
      <w:rFonts w:cs="Times New Roman"/>
      <w:sz w:val="18"/>
      <w:szCs w:val="18"/>
    </w:rPr>
  </w:style>
  <w:style w:type="paragraph" w:styleId="CommentText">
    <w:name w:val="annotation text"/>
    <w:basedOn w:val="Normal"/>
    <w:link w:val="CommentTextChar"/>
    <w:uiPriority w:val="99"/>
    <w:semiHidden/>
    <w:unhideWhenUsed/>
    <w:rsid w:val="00C32288"/>
    <w:pPr>
      <w:spacing w:line="240" w:lineRule="auto"/>
    </w:pPr>
    <w:rPr>
      <w:rFonts w:eastAsia="Times New Roman" w:cs="Times New Roman"/>
      <w:sz w:val="24"/>
      <w:szCs w:val="24"/>
    </w:rPr>
  </w:style>
  <w:style w:type="character" w:customStyle="1" w:styleId="CommentTextChar">
    <w:name w:val="Comment Text Char"/>
    <w:basedOn w:val="DefaultParagraphFont"/>
    <w:link w:val="CommentText"/>
    <w:uiPriority w:val="99"/>
    <w:semiHidden/>
    <w:rsid w:val="00C32288"/>
    <w:rPr>
      <w:rFonts w:eastAsia="Times New Roman" w:cs="Times New Roman"/>
      <w:sz w:val="24"/>
      <w:szCs w:val="24"/>
    </w:rPr>
  </w:style>
  <w:style w:type="paragraph" w:styleId="BalloonText">
    <w:name w:val="Balloon Text"/>
    <w:basedOn w:val="Normal"/>
    <w:link w:val="BalloonTextChar"/>
    <w:uiPriority w:val="99"/>
    <w:semiHidden/>
    <w:unhideWhenUsed/>
    <w:rsid w:val="00C32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288"/>
    <w:rPr>
      <w:rFonts w:ascii="Segoe UI" w:hAnsi="Segoe UI" w:cs="Segoe UI"/>
      <w:sz w:val="18"/>
      <w:szCs w:val="18"/>
    </w:rPr>
  </w:style>
  <w:style w:type="paragraph" w:styleId="Bibliography">
    <w:name w:val="Bibliography"/>
    <w:basedOn w:val="Normal"/>
    <w:next w:val="Normal"/>
    <w:uiPriority w:val="37"/>
    <w:unhideWhenUsed/>
    <w:rsid w:val="00701120"/>
    <w:pPr>
      <w:spacing w:after="0" w:line="480" w:lineRule="auto"/>
      <w:ind w:left="720" w:hanging="720"/>
    </w:pPr>
  </w:style>
  <w:style w:type="paragraph" w:styleId="ListParagraph">
    <w:name w:val="List Paragraph"/>
    <w:basedOn w:val="Normal"/>
    <w:uiPriority w:val="34"/>
    <w:qFormat/>
    <w:rsid w:val="006A2756"/>
    <w:pPr>
      <w:ind w:left="720"/>
      <w:contextualSpacing/>
    </w:pPr>
  </w:style>
  <w:style w:type="paragraph" w:customStyle="1" w:styleId="Normal0">
    <w:name w:val="[Normal]"/>
    <w:rsid w:val="00F21C49"/>
    <w:pPr>
      <w:widowControl w:val="0"/>
      <w:autoSpaceDE w:val="0"/>
      <w:autoSpaceDN w:val="0"/>
      <w:adjustRightInd w:val="0"/>
      <w:spacing w:after="0" w:line="240" w:lineRule="auto"/>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9A0C31"/>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9A0C31"/>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39648">
      <w:bodyDiv w:val="1"/>
      <w:marLeft w:val="0"/>
      <w:marRight w:val="0"/>
      <w:marTop w:val="0"/>
      <w:marBottom w:val="0"/>
      <w:divBdr>
        <w:top w:val="none" w:sz="0" w:space="0" w:color="auto"/>
        <w:left w:val="none" w:sz="0" w:space="0" w:color="auto"/>
        <w:bottom w:val="none" w:sz="0" w:space="0" w:color="auto"/>
        <w:right w:val="none" w:sz="0" w:space="0" w:color="auto"/>
      </w:divBdr>
    </w:div>
    <w:div w:id="200283360">
      <w:bodyDiv w:val="1"/>
      <w:marLeft w:val="0"/>
      <w:marRight w:val="0"/>
      <w:marTop w:val="0"/>
      <w:marBottom w:val="0"/>
      <w:divBdr>
        <w:top w:val="none" w:sz="0" w:space="0" w:color="auto"/>
        <w:left w:val="none" w:sz="0" w:space="0" w:color="auto"/>
        <w:bottom w:val="none" w:sz="0" w:space="0" w:color="auto"/>
        <w:right w:val="none" w:sz="0" w:space="0" w:color="auto"/>
      </w:divBdr>
    </w:div>
    <w:div w:id="383483446">
      <w:bodyDiv w:val="1"/>
      <w:marLeft w:val="0"/>
      <w:marRight w:val="0"/>
      <w:marTop w:val="0"/>
      <w:marBottom w:val="0"/>
      <w:divBdr>
        <w:top w:val="none" w:sz="0" w:space="0" w:color="auto"/>
        <w:left w:val="none" w:sz="0" w:space="0" w:color="auto"/>
        <w:bottom w:val="none" w:sz="0" w:space="0" w:color="auto"/>
        <w:right w:val="none" w:sz="0" w:space="0" w:color="auto"/>
      </w:divBdr>
    </w:div>
    <w:div w:id="604575167">
      <w:bodyDiv w:val="1"/>
      <w:marLeft w:val="0"/>
      <w:marRight w:val="0"/>
      <w:marTop w:val="0"/>
      <w:marBottom w:val="0"/>
      <w:divBdr>
        <w:top w:val="none" w:sz="0" w:space="0" w:color="auto"/>
        <w:left w:val="none" w:sz="0" w:space="0" w:color="auto"/>
        <w:bottom w:val="none" w:sz="0" w:space="0" w:color="auto"/>
        <w:right w:val="none" w:sz="0" w:space="0" w:color="auto"/>
      </w:divBdr>
    </w:div>
    <w:div w:id="692074625">
      <w:bodyDiv w:val="1"/>
      <w:marLeft w:val="0"/>
      <w:marRight w:val="0"/>
      <w:marTop w:val="0"/>
      <w:marBottom w:val="0"/>
      <w:divBdr>
        <w:top w:val="none" w:sz="0" w:space="0" w:color="auto"/>
        <w:left w:val="none" w:sz="0" w:space="0" w:color="auto"/>
        <w:bottom w:val="none" w:sz="0" w:space="0" w:color="auto"/>
        <w:right w:val="none" w:sz="0" w:space="0" w:color="auto"/>
      </w:divBdr>
    </w:div>
    <w:div w:id="762260756">
      <w:bodyDiv w:val="1"/>
      <w:marLeft w:val="0"/>
      <w:marRight w:val="0"/>
      <w:marTop w:val="0"/>
      <w:marBottom w:val="0"/>
      <w:divBdr>
        <w:top w:val="none" w:sz="0" w:space="0" w:color="auto"/>
        <w:left w:val="none" w:sz="0" w:space="0" w:color="auto"/>
        <w:bottom w:val="none" w:sz="0" w:space="0" w:color="auto"/>
        <w:right w:val="none" w:sz="0" w:space="0" w:color="auto"/>
      </w:divBdr>
    </w:div>
    <w:div w:id="828323753">
      <w:bodyDiv w:val="1"/>
      <w:marLeft w:val="0"/>
      <w:marRight w:val="0"/>
      <w:marTop w:val="0"/>
      <w:marBottom w:val="0"/>
      <w:divBdr>
        <w:top w:val="none" w:sz="0" w:space="0" w:color="auto"/>
        <w:left w:val="none" w:sz="0" w:space="0" w:color="auto"/>
        <w:bottom w:val="none" w:sz="0" w:space="0" w:color="auto"/>
        <w:right w:val="none" w:sz="0" w:space="0" w:color="auto"/>
      </w:divBdr>
    </w:div>
    <w:div w:id="1007295642">
      <w:bodyDiv w:val="1"/>
      <w:marLeft w:val="0"/>
      <w:marRight w:val="0"/>
      <w:marTop w:val="0"/>
      <w:marBottom w:val="0"/>
      <w:divBdr>
        <w:top w:val="none" w:sz="0" w:space="0" w:color="auto"/>
        <w:left w:val="none" w:sz="0" w:space="0" w:color="auto"/>
        <w:bottom w:val="none" w:sz="0" w:space="0" w:color="auto"/>
        <w:right w:val="none" w:sz="0" w:space="0" w:color="auto"/>
      </w:divBdr>
    </w:div>
    <w:div w:id="1190952574">
      <w:bodyDiv w:val="1"/>
      <w:marLeft w:val="0"/>
      <w:marRight w:val="0"/>
      <w:marTop w:val="0"/>
      <w:marBottom w:val="0"/>
      <w:divBdr>
        <w:top w:val="none" w:sz="0" w:space="0" w:color="auto"/>
        <w:left w:val="none" w:sz="0" w:space="0" w:color="auto"/>
        <w:bottom w:val="none" w:sz="0" w:space="0" w:color="auto"/>
        <w:right w:val="none" w:sz="0" w:space="0" w:color="auto"/>
      </w:divBdr>
    </w:div>
    <w:div w:id="1280651166">
      <w:bodyDiv w:val="1"/>
      <w:marLeft w:val="0"/>
      <w:marRight w:val="0"/>
      <w:marTop w:val="0"/>
      <w:marBottom w:val="0"/>
      <w:divBdr>
        <w:top w:val="none" w:sz="0" w:space="0" w:color="auto"/>
        <w:left w:val="none" w:sz="0" w:space="0" w:color="auto"/>
        <w:bottom w:val="none" w:sz="0" w:space="0" w:color="auto"/>
        <w:right w:val="none" w:sz="0" w:space="0" w:color="auto"/>
      </w:divBdr>
    </w:div>
    <w:div w:id="1435516228">
      <w:bodyDiv w:val="1"/>
      <w:marLeft w:val="0"/>
      <w:marRight w:val="0"/>
      <w:marTop w:val="0"/>
      <w:marBottom w:val="0"/>
      <w:divBdr>
        <w:top w:val="none" w:sz="0" w:space="0" w:color="auto"/>
        <w:left w:val="none" w:sz="0" w:space="0" w:color="auto"/>
        <w:bottom w:val="none" w:sz="0" w:space="0" w:color="auto"/>
        <w:right w:val="none" w:sz="0" w:space="0" w:color="auto"/>
      </w:divBdr>
    </w:div>
    <w:div w:id="1465852196">
      <w:bodyDiv w:val="1"/>
      <w:marLeft w:val="0"/>
      <w:marRight w:val="0"/>
      <w:marTop w:val="0"/>
      <w:marBottom w:val="0"/>
      <w:divBdr>
        <w:top w:val="none" w:sz="0" w:space="0" w:color="auto"/>
        <w:left w:val="none" w:sz="0" w:space="0" w:color="auto"/>
        <w:bottom w:val="none" w:sz="0" w:space="0" w:color="auto"/>
        <w:right w:val="none" w:sz="0" w:space="0" w:color="auto"/>
      </w:divBdr>
    </w:div>
    <w:div w:id="1719624572">
      <w:bodyDiv w:val="1"/>
      <w:marLeft w:val="0"/>
      <w:marRight w:val="0"/>
      <w:marTop w:val="0"/>
      <w:marBottom w:val="0"/>
      <w:divBdr>
        <w:top w:val="none" w:sz="0" w:space="0" w:color="auto"/>
        <w:left w:val="none" w:sz="0" w:space="0" w:color="auto"/>
        <w:bottom w:val="none" w:sz="0" w:space="0" w:color="auto"/>
        <w:right w:val="none" w:sz="0" w:space="0" w:color="auto"/>
      </w:divBdr>
    </w:div>
    <w:div w:id="1725446693">
      <w:bodyDiv w:val="1"/>
      <w:marLeft w:val="0"/>
      <w:marRight w:val="0"/>
      <w:marTop w:val="0"/>
      <w:marBottom w:val="0"/>
      <w:divBdr>
        <w:top w:val="none" w:sz="0" w:space="0" w:color="auto"/>
        <w:left w:val="none" w:sz="0" w:space="0" w:color="auto"/>
        <w:bottom w:val="none" w:sz="0" w:space="0" w:color="auto"/>
        <w:right w:val="none" w:sz="0" w:space="0" w:color="auto"/>
      </w:divBdr>
    </w:div>
    <w:div w:id="1923441649">
      <w:bodyDiv w:val="1"/>
      <w:marLeft w:val="0"/>
      <w:marRight w:val="0"/>
      <w:marTop w:val="0"/>
      <w:marBottom w:val="0"/>
      <w:divBdr>
        <w:top w:val="none" w:sz="0" w:space="0" w:color="auto"/>
        <w:left w:val="none" w:sz="0" w:space="0" w:color="auto"/>
        <w:bottom w:val="none" w:sz="0" w:space="0" w:color="auto"/>
        <w:right w:val="none" w:sz="0" w:space="0" w:color="auto"/>
      </w:divBdr>
    </w:div>
    <w:div w:id="2018269421">
      <w:bodyDiv w:val="1"/>
      <w:marLeft w:val="0"/>
      <w:marRight w:val="0"/>
      <w:marTop w:val="0"/>
      <w:marBottom w:val="0"/>
      <w:divBdr>
        <w:top w:val="none" w:sz="0" w:space="0" w:color="auto"/>
        <w:left w:val="none" w:sz="0" w:space="0" w:color="auto"/>
        <w:bottom w:val="none" w:sz="0" w:space="0" w:color="auto"/>
        <w:right w:val="none" w:sz="0" w:space="0" w:color="auto"/>
      </w:divBdr>
    </w:div>
    <w:div w:id="201899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out.twitter.com/compan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Dropbox2\Dropbox\SMA\FinalProject\NumEv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ropbox2\Dropbox\SMA\FinalProject\NumEv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ropbox2\Dropbox\SMA\FinalProject\NumEven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Moving Average for Aesthetic Categories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15048118985125"/>
          <c:y val="0.16245370370370371"/>
          <c:w val="0.84286789151356079"/>
          <c:h val="0.51681284631087776"/>
        </c:manualLayout>
      </c:layout>
      <c:lineChart>
        <c:grouping val="standard"/>
        <c:varyColors val="0"/>
        <c:ser>
          <c:idx val="0"/>
          <c:order val="0"/>
          <c:tx>
            <c:strRef>
              <c:f>NumEvents!$M$1</c:f>
              <c:strCache>
                <c:ptCount val="1"/>
                <c:pt idx="0">
                  <c:v>avgView</c:v>
                </c:pt>
              </c:strCache>
            </c:strRef>
          </c:tx>
          <c:spPr>
            <a:ln w="28575" cap="rnd">
              <a:solidFill>
                <a:schemeClr val="accent1"/>
              </a:solidFill>
              <a:round/>
            </a:ln>
            <a:effectLst/>
          </c:spPr>
          <c:marker>
            <c:symbol val="none"/>
          </c:marker>
          <c:val>
            <c:numRef>
              <c:f>NumEvents!$M$2:$M$43</c:f>
              <c:numCache>
                <c:formatCode>General</c:formatCode>
                <c:ptCount val="42"/>
                <c:pt idx="1">
                  <c:v>7.9543749999999998</c:v>
                </c:pt>
                <c:pt idx="2">
                  <c:v>9.25</c:v>
                </c:pt>
                <c:pt idx="3">
                  <c:v>7</c:v>
                </c:pt>
                <c:pt idx="4">
                  <c:v>6.5</c:v>
                </c:pt>
                <c:pt idx="5">
                  <c:v>6.25</c:v>
                </c:pt>
                <c:pt idx="6">
                  <c:v>4</c:v>
                </c:pt>
                <c:pt idx="7">
                  <c:v>4.25</c:v>
                </c:pt>
                <c:pt idx="8">
                  <c:v>3.75</c:v>
                </c:pt>
                <c:pt idx="9">
                  <c:v>3.75</c:v>
                </c:pt>
                <c:pt idx="10">
                  <c:v>4.25</c:v>
                </c:pt>
                <c:pt idx="11">
                  <c:v>3.75</c:v>
                </c:pt>
                <c:pt idx="12">
                  <c:v>3.5</c:v>
                </c:pt>
                <c:pt idx="13">
                  <c:v>5</c:v>
                </c:pt>
                <c:pt idx="14">
                  <c:v>6.5</c:v>
                </c:pt>
                <c:pt idx="15">
                  <c:v>7.25</c:v>
                </c:pt>
                <c:pt idx="16">
                  <c:v>6.5</c:v>
                </c:pt>
                <c:pt idx="17">
                  <c:v>5.25</c:v>
                </c:pt>
                <c:pt idx="18">
                  <c:v>4</c:v>
                </c:pt>
                <c:pt idx="19">
                  <c:v>4.5</c:v>
                </c:pt>
                <c:pt idx="20">
                  <c:v>5.75</c:v>
                </c:pt>
                <c:pt idx="21">
                  <c:v>6.25</c:v>
                </c:pt>
                <c:pt idx="22">
                  <c:v>6</c:v>
                </c:pt>
                <c:pt idx="23">
                  <c:v>4.5</c:v>
                </c:pt>
                <c:pt idx="24">
                  <c:v>5.75</c:v>
                </c:pt>
                <c:pt idx="25">
                  <c:v>5.5</c:v>
                </c:pt>
                <c:pt idx="26">
                  <c:v>6</c:v>
                </c:pt>
                <c:pt idx="27">
                  <c:v>5.25</c:v>
                </c:pt>
                <c:pt idx="28">
                  <c:v>4.25</c:v>
                </c:pt>
                <c:pt idx="29">
                  <c:v>4.5</c:v>
                </c:pt>
                <c:pt idx="30">
                  <c:v>4.25</c:v>
                </c:pt>
                <c:pt idx="31">
                  <c:v>6.25</c:v>
                </c:pt>
                <c:pt idx="32">
                  <c:v>6</c:v>
                </c:pt>
                <c:pt idx="33">
                  <c:v>8</c:v>
                </c:pt>
                <c:pt idx="34">
                  <c:v>11.25</c:v>
                </c:pt>
                <c:pt idx="35">
                  <c:v>10.25</c:v>
                </c:pt>
                <c:pt idx="36">
                  <c:v>9.25</c:v>
                </c:pt>
                <c:pt idx="37">
                  <c:v>10.25</c:v>
                </c:pt>
                <c:pt idx="38">
                  <c:v>6.5</c:v>
                </c:pt>
                <c:pt idx="39">
                  <c:v>6</c:v>
                </c:pt>
              </c:numCache>
            </c:numRef>
          </c:val>
          <c:smooth val="0"/>
          <c:extLst>
            <c:ext xmlns:c16="http://schemas.microsoft.com/office/drawing/2014/chart" uri="{C3380CC4-5D6E-409C-BE32-E72D297353CC}">
              <c16:uniqueId val="{00000000-CCE0-493B-9440-72F3EF29D8FE}"/>
            </c:ext>
          </c:extLst>
        </c:ser>
        <c:ser>
          <c:idx val="1"/>
          <c:order val="1"/>
          <c:tx>
            <c:strRef>
              <c:f>NumEvents!$N$1</c:f>
              <c:strCache>
                <c:ptCount val="1"/>
                <c:pt idx="0">
                  <c:v>avgSunset</c:v>
                </c:pt>
              </c:strCache>
            </c:strRef>
          </c:tx>
          <c:spPr>
            <a:ln w="28575" cap="rnd">
              <a:solidFill>
                <a:schemeClr val="accent2"/>
              </a:solidFill>
              <a:round/>
            </a:ln>
            <a:effectLst/>
          </c:spPr>
          <c:marker>
            <c:symbol val="none"/>
          </c:marker>
          <c:val>
            <c:numRef>
              <c:f>NumEvents!$N$2:$N$43</c:f>
              <c:numCache>
                <c:formatCode>General</c:formatCode>
                <c:ptCount val="42"/>
                <c:pt idx="1">
                  <c:v>3.75</c:v>
                </c:pt>
                <c:pt idx="2">
                  <c:v>5</c:v>
                </c:pt>
                <c:pt idx="3">
                  <c:v>5</c:v>
                </c:pt>
                <c:pt idx="4">
                  <c:v>4.5</c:v>
                </c:pt>
                <c:pt idx="5">
                  <c:v>2</c:v>
                </c:pt>
                <c:pt idx="6">
                  <c:v>1.5</c:v>
                </c:pt>
                <c:pt idx="7">
                  <c:v>1.5</c:v>
                </c:pt>
                <c:pt idx="8">
                  <c:v>2</c:v>
                </c:pt>
                <c:pt idx="9">
                  <c:v>2</c:v>
                </c:pt>
                <c:pt idx="10">
                  <c:v>1.5</c:v>
                </c:pt>
                <c:pt idx="11">
                  <c:v>1.5</c:v>
                </c:pt>
                <c:pt idx="12">
                  <c:v>1</c:v>
                </c:pt>
                <c:pt idx="13">
                  <c:v>1.75</c:v>
                </c:pt>
                <c:pt idx="14">
                  <c:v>2</c:v>
                </c:pt>
                <c:pt idx="15">
                  <c:v>1.75</c:v>
                </c:pt>
                <c:pt idx="16">
                  <c:v>2</c:v>
                </c:pt>
                <c:pt idx="17">
                  <c:v>1.75</c:v>
                </c:pt>
                <c:pt idx="18">
                  <c:v>1.75</c:v>
                </c:pt>
                <c:pt idx="19">
                  <c:v>3</c:v>
                </c:pt>
                <c:pt idx="20">
                  <c:v>2.5</c:v>
                </c:pt>
                <c:pt idx="21">
                  <c:v>3</c:v>
                </c:pt>
                <c:pt idx="22">
                  <c:v>3</c:v>
                </c:pt>
                <c:pt idx="23">
                  <c:v>2</c:v>
                </c:pt>
                <c:pt idx="24">
                  <c:v>3.25</c:v>
                </c:pt>
                <c:pt idx="25">
                  <c:v>3</c:v>
                </c:pt>
                <c:pt idx="26">
                  <c:v>3</c:v>
                </c:pt>
                <c:pt idx="27">
                  <c:v>3.5</c:v>
                </c:pt>
                <c:pt idx="28">
                  <c:v>2.25</c:v>
                </c:pt>
                <c:pt idx="29">
                  <c:v>2</c:v>
                </c:pt>
                <c:pt idx="30">
                  <c:v>1.75</c:v>
                </c:pt>
                <c:pt idx="31">
                  <c:v>2</c:v>
                </c:pt>
                <c:pt idx="32">
                  <c:v>2.5</c:v>
                </c:pt>
                <c:pt idx="33">
                  <c:v>2.25</c:v>
                </c:pt>
                <c:pt idx="34">
                  <c:v>2.25</c:v>
                </c:pt>
                <c:pt idx="35">
                  <c:v>1.5</c:v>
                </c:pt>
                <c:pt idx="36">
                  <c:v>1.25</c:v>
                </c:pt>
                <c:pt idx="37">
                  <c:v>1.25</c:v>
                </c:pt>
                <c:pt idx="38">
                  <c:v>1</c:v>
                </c:pt>
                <c:pt idx="39">
                  <c:v>2</c:v>
                </c:pt>
              </c:numCache>
            </c:numRef>
          </c:val>
          <c:smooth val="0"/>
          <c:extLst>
            <c:ext xmlns:c16="http://schemas.microsoft.com/office/drawing/2014/chart" uri="{C3380CC4-5D6E-409C-BE32-E72D297353CC}">
              <c16:uniqueId val="{00000001-CCE0-493B-9440-72F3EF29D8FE}"/>
            </c:ext>
          </c:extLst>
        </c:ser>
        <c:ser>
          <c:idx val="2"/>
          <c:order val="2"/>
          <c:tx>
            <c:strRef>
              <c:f>NumEvents!$O$1</c:f>
              <c:strCache>
                <c:ptCount val="1"/>
                <c:pt idx="0">
                  <c:v>avgGreen</c:v>
                </c:pt>
              </c:strCache>
            </c:strRef>
          </c:tx>
          <c:spPr>
            <a:ln w="28575" cap="rnd">
              <a:solidFill>
                <a:schemeClr val="accent3"/>
              </a:solidFill>
              <a:round/>
            </a:ln>
            <a:effectLst/>
          </c:spPr>
          <c:marker>
            <c:symbol val="none"/>
          </c:marker>
          <c:val>
            <c:numRef>
              <c:f>NumEvents!$O$2:$O$43</c:f>
              <c:numCache>
                <c:formatCode>General</c:formatCode>
                <c:ptCount val="42"/>
                <c:pt idx="1">
                  <c:v>5.0565625000000001</c:v>
                </c:pt>
                <c:pt idx="2">
                  <c:v>4.75</c:v>
                </c:pt>
                <c:pt idx="3">
                  <c:v>4.75</c:v>
                </c:pt>
                <c:pt idx="4">
                  <c:v>4.25</c:v>
                </c:pt>
                <c:pt idx="5">
                  <c:v>4.25</c:v>
                </c:pt>
                <c:pt idx="6">
                  <c:v>3.75</c:v>
                </c:pt>
                <c:pt idx="7">
                  <c:v>4</c:v>
                </c:pt>
                <c:pt idx="8">
                  <c:v>5.75</c:v>
                </c:pt>
                <c:pt idx="9">
                  <c:v>5.25</c:v>
                </c:pt>
                <c:pt idx="10">
                  <c:v>6.25</c:v>
                </c:pt>
                <c:pt idx="11">
                  <c:v>7.25</c:v>
                </c:pt>
                <c:pt idx="12">
                  <c:v>7</c:v>
                </c:pt>
                <c:pt idx="13">
                  <c:v>7.75</c:v>
                </c:pt>
                <c:pt idx="14">
                  <c:v>6.75</c:v>
                </c:pt>
                <c:pt idx="15">
                  <c:v>5.75</c:v>
                </c:pt>
                <c:pt idx="16">
                  <c:v>5.25</c:v>
                </c:pt>
                <c:pt idx="17">
                  <c:v>4.75</c:v>
                </c:pt>
                <c:pt idx="18">
                  <c:v>6</c:v>
                </c:pt>
                <c:pt idx="19">
                  <c:v>6</c:v>
                </c:pt>
                <c:pt idx="20">
                  <c:v>6</c:v>
                </c:pt>
                <c:pt idx="21">
                  <c:v>6.75</c:v>
                </c:pt>
                <c:pt idx="22">
                  <c:v>6.75</c:v>
                </c:pt>
                <c:pt idx="23">
                  <c:v>7</c:v>
                </c:pt>
                <c:pt idx="24">
                  <c:v>7.25</c:v>
                </c:pt>
                <c:pt idx="25">
                  <c:v>6</c:v>
                </c:pt>
                <c:pt idx="26">
                  <c:v>4.5</c:v>
                </c:pt>
                <c:pt idx="27">
                  <c:v>4</c:v>
                </c:pt>
                <c:pt idx="28">
                  <c:v>4.75</c:v>
                </c:pt>
                <c:pt idx="29">
                  <c:v>5</c:v>
                </c:pt>
                <c:pt idx="30">
                  <c:v>4.75</c:v>
                </c:pt>
                <c:pt idx="31">
                  <c:v>4.25</c:v>
                </c:pt>
                <c:pt idx="32">
                  <c:v>3.75</c:v>
                </c:pt>
                <c:pt idx="33">
                  <c:v>2.75</c:v>
                </c:pt>
                <c:pt idx="34">
                  <c:v>3</c:v>
                </c:pt>
                <c:pt idx="35">
                  <c:v>3.75</c:v>
                </c:pt>
                <c:pt idx="36">
                  <c:v>3</c:v>
                </c:pt>
                <c:pt idx="37">
                  <c:v>4.5</c:v>
                </c:pt>
                <c:pt idx="38">
                  <c:v>5.25</c:v>
                </c:pt>
                <c:pt idx="39">
                  <c:v>4.5</c:v>
                </c:pt>
              </c:numCache>
            </c:numRef>
          </c:val>
          <c:smooth val="0"/>
          <c:extLst>
            <c:ext xmlns:c16="http://schemas.microsoft.com/office/drawing/2014/chart" uri="{C3380CC4-5D6E-409C-BE32-E72D297353CC}">
              <c16:uniqueId val="{00000002-CCE0-493B-9440-72F3EF29D8FE}"/>
            </c:ext>
          </c:extLst>
        </c:ser>
        <c:ser>
          <c:idx val="3"/>
          <c:order val="3"/>
          <c:tx>
            <c:strRef>
              <c:f>NumEvents!$P$1</c:f>
              <c:strCache>
                <c:ptCount val="1"/>
                <c:pt idx="0">
                  <c:v>avgBeautiful</c:v>
                </c:pt>
              </c:strCache>
            </c:strRef>
          </c:tx>
          <c:spPr>
            <a:ln w="28575" cap="rnd">
              <a:solidFill>
                <a:schemeClr val="accent4"/>
              </a:solidFill>
              <a:round/>
            </a:ln>
            <a:effectLst/>
          </c:spPr>
          <c:marker>
            <c:symbol val="none"/>
          </c:marker>
          <c:val>
            <c:numRef>
              <c:f>NumEvents!$P$2:$P$43</c:f>
              <c:numCache>
                <c:formatCode>General</c:formatCode>
                <c:ptCount val="42"/>
                <c:pt idx="1">
                  <c:v>8.8065625000000001</c:v>
                </c:pt>
                <c:pt idx="2">
                  <c:v>8.75</c:v>
                </c:pt>
                <c:pt idx="3">
                  <c:v>8.25</c:v>
                </c:pt>
                <c:pt idx="4">
                  <c:v>7.75</c:v>
                </c:pt>
                <c:pt idx="5">
                  <c:v>8.75</c:v>
                </c:pt>
                <c:pt idx="6">
                  <c:v>7</c:v>
                </c:pt>
                <c:pt idx="7">
                  <c:v>7</c:v>
                </c:pt>
                <c:pt idx="8">
                  <c:v>8.75</c:v>
                </c:pt>
                <c:pt idx="9">
                  <c:v>9.25</c:v>
                </c:pt>
                <c:pt idx="10">
                  <c:v>11.5</c:v>
                </c:pt>
                <c:pt idx="11">
                  <c:v>11.75</c:v>
                </c:pt>
                <c:pt idx="12">
                  <c:v>11</c:v>
                </c:pt>
                <c:pt idx="13">
                  <c:v>13</c:v>
                </c:pt>
                <c:pt idx="14">
                  <c:v>14.75</c:v>
                </c:pt>
                <c:pt idx="15">
                  <c:v>16</c:v>
                </c:pt>
                <c:pt idx="16">
                  <c:v>15.25</c:v>
                </c:pt>
                <c:pt idx="17">
                  <c:v>13</c:v>
                </c:pt>
                <c:pt idx="18">
                  <c:v>11.25</c:v>
                </c:pt>
                <c:pt idx="19">
                  <c:v>9</c:v>
                </c:pt>
                <c:pt idx="20">
                  <c:v>10.75</c:v>
                </c:pt>
                <c:pt idx="21">
                  <c:v>10.5</c:v>
                </c:pt>
                <c:pt idx="22">
                  <c:v>11.75</c:v>
                </c:pt>
                <c:pt idx="23">
                  <c:v>11</c:v>
                </c:pt>
                <c:pt idx="24">
                  <c:v>9.75</c:v>
                </c:pt>
                <c:pt idx="25">
                  <c:v>9</c:v>
                </c:pt>
                <c:pt idx="26">
                  <c:v>6.25</c:v>
                </c:pt>
                <c:pt idx="27">
                  <c:v>6.5</c:v>
                </c:pt>
                <c:pt idx="28">
                  <c:v>8</c:v>
                </c:pt>
                <c:pt idx="29">
                  <c:v>9.75</c:v>
                </c:pt>
                <c:pt idx="30">
                  <c:v>11</c:v>
                </c:pt>
                <c:pt idx="31">
                  <c:v>11.25</c:v>
                </c:pt>
                <c:pt idx="32">
                  <c:v>9.75</c:v>
                </c:pt>
                <c:pt idx="33">
                  <c:v>8</c:v>
                </c:pt>
                <c:pt idx="34">
                  <c:v>7.75</c:v>
                </c:pt>
                <c:pt idx="35">
                  <c:v>8.75</c:v>
                </c:pt>
                <c:pt idx="36">
                  <c:v>7.75</c:v>
                </c:pt>
                <c:pt idx="37">
                  <c:v>8</c:v>
                </c:pt>
                <c:pt idx="38">
                  <c:v>7.75</c:v>
                </c:pt>
                <c:pt idx="39">
                  <c:v>5.75</c:v>
                </c:pt>
              </c:numCache>
            </c:numRef>
          </c:val>
          <c:smooth val="0"/>
          <c:extLst>
            <c:ext xmlns:c16="http://schemas.microsoft.com/office/drawing/2014/chart" uri="{C3380CC4-5D6E-409C-BE32-E72D297353CC}">
              <c16:uniqueId val="{00000003-CCE0-493B-9440-72F3EF29D8FE}"/>
            </c:ext>
          </c:extLst>
        </c:ser>
        <c:ser>
          <c:idx val="4"/>
          <c:order val="4"/>
          <c:tx>
            <c:strRef>
              <c:f>NumEvents!$Q$1</c:f>
              <c:strCache>
                <c:ptCount val="1"/>
                <c:pt idx="0">
                  <c:v>avgAesthetic</c:v>
                </c:pt>
              </c:strCache>
            </c:strRef>
          </c:tx>
          <c:spPr>
            <a:ln w="28575" cap="rnd">
              <a:solidFill>
                <a:schemeClr val="accent5"/>
              </a:solidFill>
              <a:round/>
            </a:ln>
            <a:effectLst/>
          </c:spPr>
          <c:marker>
            <c:symbol val="none"/>
          </c:marker>
          <c:val>
            <c:numRef>
              <c:f>NumEvents!$Q$2:$Q$43</c:f>
              <c:numCache>
                <c:formatCode>General</c:formatCode>
                <c:ptCount val="42"/>
                <c:pt idx="1">
                  <c:v>6.3918749999999998</c:v>
                </c:pt>
                <c:pt idx="2">
                  <c:v>6.9375</c:v>
                </c:pt>
                <c:pt idx="3">
                  <c:v>6.25</c:v>
                </c:pt>
                <c:pt idx="4">
                  <c:v>5.75</c:v>
                </c:pt>
                <c:pt idx="5">
                  <c:v>5.3125</c:v>
                </c:pt>
                <c:pt idx="6">
                  <c:v>4.0625</c:v>
                </c:pt>
                <c:pt idx="7">
                  <c:v>4.1875</c:v>
                </c:pt>
                <c:pt idx="8">
                  <c:v>5.0625</c:v>
                </c:pt>
                <c:pt idx="9">
                  <c:v>5.0625</c:v>
                </c:pt>
                <c:pt idx="10">
                  <c:v>5.875</c:v>
                </c:pt>
                <c:pt idx="11">
                  <c:v>6.0625</c:v>
                </c:pt>
                <c:pt idx="12">
                  <c:v>5.625</c:v>
                </c:pt>
                <c:pt idx="13">
                  <c:v>6.875</c:v>
                </c:pt>
                <c:pt idx="14">
                  <c:v>7.5</c:v>
                </c:pt>
                <c:pt idx="15">
                  <c:v>7.6875</c:v>
                </c:pt>
                <c:pt idx="16">
                  <c:v>7.25</c:v>
                </c:pt>
                <c:pt idx="17">
                  <c:v>6.1875</c:v>
                </c:pt>
                <c:pt idx="18">
                  <c:v>5.75</c:v>
                </c:pt>
                <c:pt idx="19">
                  <c:v>5.625</c:v>
                </c:pt>
                <c:pt idx="20">
                  <c:v>6.25</c:v>
                </c:pt>
                <c:pt idx="21">
                  <c:v>6.625</c:v>
                </c:pt>
                <c:pt idx="22">
                  <c:v>6.875</c:v>
                </c:pt>
                <c:pt idx="23">
                  <c:v>6.125</c:v>
                </c:pt>
                <c:pt idx="24">
                  <c:v>6.5</c:v>
                </c:pt>
                <c:pt idx="25">
                  <c:v>5.875</c:v>
                </c:pt>
                <c:pt idx="26">
                  <c:v>4.9375</c:v>
                </c:pt>
                <c:pt idx="27">
                  <c:v>4.8125</c:v>
                </c:pt>
                <c:pt idx="28">
                  <c:v>4.8125</c:v>
                </c:pt>
                <c:pt idx="29">
                  <c:v>5.3125</c:v>
                </c:pt>
                <c:pt idx="30">
                  <c:v>5.4375</c:v>
                </c:pt>
                <c:pt idx="31">
                  <c:v>5.9375</c:v>
                </c:pt>
                <c:pt idx="32">
                  <c:v>5.5</c:v>
                </c:pt>
                <c:pt idx="33">
                  <c:v>5.25</c:v>
                </c:pt>
                <c:pt idx="34">
                  <c:v>6.0625</c:v>
                </c:pt>
                <c:pt idx="35">
                  <c:v>6.0625</c:v>
                </c:pt>
                <c:pt idx="36">
                  <c:v>5.3125</c:v>
                </c:pt>
                <c:pt idx="37">
                  <c:v>6</c:v>
                </c:pt>
                <c:pt idx="38">
                  <c:v>5.125</c:v>
                </c:pt>
                <c:pt idx="39">
                  <c:v>4.5625</c:v>
                </c:pt>
              </c:numCache>
            </c:numRef>
          </c:val>
          <c:smooth val="0"/>
          <c:extLst>
            <c:ext xmlns:c16="http://schemas.microsoft.com/office/drawing/2014/chart" uri="{C3380CC4-5D6E-409C-BE32-E72D297353CC}">
              <c16:uniqueId val="{00000004-CCE0-493B-9440-72F3EF29D8FE}"/>
            </c:ext>
          </c:extLst>
        </c:ser>
        <c:dLbls>
          <c:showLegendKey val="0"/>
          <c:showVal val="0"/>
          <c:showCatName val="0"/>
          <c:showSerName val="0"/>
          <c:showPercent val="0"/>
          <c:showBubbleSize val="0"/>
        </c:dLbls>
        <c:smooth val="0"/>
        <c:axId val="290415392"/>
        <c:axId val="335796352"/>
      </c:lineChart>
      <c:catAx>
        <c:axId val="29041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 (8 day units)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796352"/>
        <c:crosses val="autoZero"/>
        <c:auto val="1"/>
        <c:lblAlgn val="ctr"/>
        <c:lblOffset val="100"/>
        <c:noMultiLvlLbl val="0"/>
      </c:catAx>
      <c:valAx>
        <c:axId val="33579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r>
                  <a:rPr lang="en-US" baseline="0"/>
                  <a:t>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1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Moving</a:t>
            </a:r>
            <a:r>
              <a:rPr lang="en-US" baseline="0"/>
              <a:t> Average for Exercise Categories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NumEvents!$R$1</c:f>
              <c:strCache>
                <c:ptCount val="1"/>
                <c:pt idx="0">
                  <c:v>avgRun</c:v>
                </c:pt>
              </c:strCache>
            </c:strRef>
          </c:tx>
          <c:spPr>
            <a:ln w="28575" cap="rnd">
              <a:solidFill>
                <a:schemeClr val="accent1"/>
              </a:solidFill>
              <a:round/>
            </a:ln>
            <a:effectLst/>
          </c:spPr>
          <c:marker>
            <c:symbol val="none"/>
          </c:marker>
          <c:val>
            <c:numRef>
              <c:f>NumEvents!$R$2:$R$44</c:f>
              <c:numCache>
                <c:formatCode>General</c:formatCode>
                <c:ptCount val="43"/>
                <c:pt idx="1">
                  <c:v>9.9087499999999995</c:v>
                </c:pt>
                <c:pt idx="2">
                  <c:v>9.75</c:v>
                </c:pt>
                <c:pt idx="3">
                  <c:v>11</c:v>
                </c:pt>
                <c:pt idx="4">
                  <c:v>11.25</c:v>
                </c:pt>
                <c:pt idx="5">
                  <c:v>10.75</c:v>
                </c:pt>
                <c:pt idx="6">
                  <c:v>9.75</c:v>
                </c:pt>
                <c:pt idx="7">
                  <c:v>8.25</c:v>
                </c:pt>
                <c:pt idx="8">
                  <c:v>9.25</c:v>
                </c:pt>
                <c:pt idx="9">
                  <c:v>10</c:v>
                </c:pt>
                <c:pt idx="10">
                  <c:v>12.5</c:v>
                </c:pt>
                <c:pt idx="11">
                  <c:v>13.5</c:v>
                </c:pt>
                <c:pt idx="12">
                  <c:v>13.5</c:v>
                </c:pt>
                <c:pt idx="13">
                  <c:v>13</c:v>
                </c:pt>
                <c:pt idx="14">
                  <c:v>13</c:v>
                </c:pt>
                <c:pt idx="15">
                  <c:v>11.75</c:v>
                </c:pt>
                <c:pt idx="16">
                  <c:v>10</c:v>
                </c:pt>
                <c:pt idx="17">
                  <c:v>9.75</c:v>
                </c:pt>
                <c:pt idx="18">
                  <c:v>7.25</c:v>
                </c:pt>
                <c:pt idx="19">
                  <c:v>7.5</c:v>
                </c:pt>
                <c:pt idx="20">
                  <c:v>10.5</c:v>
                </c:pt>
                <c:pt idx="21">
                  <c:v>11.5</c:v>
                </c:pt>
                <c:pt idx="22">
                  <c:v>14.5</c:v>
                </c:pt>
                <c:pt idx="23">
                  <c:v>14.5</c:v>
                </c:pt>
                <c:pt idx="24">
                  <c:v>12.5</c:v>
                </c:pt>
                <c:pt idx="25">
                  <c:v>11.5</c:v>
                </c:pt>
                <c:pt idx="26">
                  <c:v>9.25</c:v>
                </c:pt>
                <c:pt idx="27">
                  <c:v>9.25</c:v>
                </c:pt>
                <c:pt idx="28">
                  <c:v>11.75</c:v>
                </c:pt>
                <c:pt idx="29">
                  <c:v>12</c:v>
                </c:pt>
                <c:pt idx="30">
                  <c:v>12.25</c:v>
                </c:pt>
                <c:pt idx="31">
                  <c:v>12</c:v>
                </c:pt>
                <c:pt idx="32">
                  <c:v>9</c:v>
                </c:pt>
                <c:pt idx="33">
                  <c:v>10.25</c:v>
                </c:pt>
                <c:pt idx="34">
                  <c:v>10</c:v>
                </c:pt>
                <c:pt idx="35">
                  <c:v>12</c:v>
                </c:pt>
                <c:pt idx="36">
                  <c:v>13.5</c:v>
                </c:pt>
                <c:pt idx="37">
                  <c:v>11.25</c:v>
                </c:pt>
                <c:pt idx="38">
                  <c:v>10.75</c:v>
                </c:pt>
                <c:pt idx="39">
                  <c:v>8.25</c:v>
                </c:pt>
              </c:numCache>
            </c:numRef>
          </c:val>
          <c:smooth val="0"/>
          <c:extLst>
            <c:ext xmlns:c16="http://schemas.microsoft.com/office/drawing/2014/chart" uri="{C3380CC4-5D6E-409C-BE32-E72D297353CC}">
              <c16:uniqueId val="{00000000-6F72-4210-AECC-A6334A7FC6FE}"/>
            </c:ext>
          </c:extLst>
        </c:ser>
        <c:ser>
          <c:idx val="1"/>
          <c:order val="1"/>
          <c:tx>
            <c:strRef>
              <c:f>NumEvents!$S$1</c:f>
              <c:strCache>
                <c:ptCount val="1"/>
                <c:pt idx="0">
                  <c:v>avgHike</c:v>
                </c:pt>
              </c:strCache>
            </c:strRef>
          </c:tx>
          <c:spPr>
            <a:ln w="28575" cap="rnd">
              <a:solidFill>
                <a:schemeClr val="accent2"/>
              </a:solidFill>
              <a:round/>
            </a:ln>
            <a:effectLst/>
          </c:spPr>
          <c:marker>
            <c:symbol val="none"/>
          </c:marker>
          <c:val>
            <c:numRef>
              <c:f>NumEvents!$S$2:$S$44</c:f>
              <c:numCache>
                <c:formatCode>General</c:formatCode>
                <c:ptCount val="43"/>
                <c:pt idx="1">
                  <c:v>7.3065625000000001</c:v>
                </c:pt>
                <c:pt idx="2">
                  <c:v>7.25</c:v>
                </c:pt>
                <c:pt idx="3">
                  <c:v>7</c:v>
                </c:pt>
                <c:pt idx="4">
                  <c:v>7.5</c:v>
                </c:pt>
                <c:pt idx="5">
                  <c:v>7.25</c:v>
                </c:pt>
                <c:pt idx="6">
                  <c:v>6.5</c:v>
                </c:pt>
                <c:pt idx="7">
                  <c:v>8.25</c:v>
                </c:pt>
                <c:pt idx="8">
                  <c:v>11.75</c:v>
                </c:pt>
                <c:pt idx="9">
                  <c:v>12.5</c:v>
                </c:pt>
                <c:pt idx="10">
                  <c:v>13.75</c:v>
                </c:pt>
                <c:pt idx="11">
                  <c:v>13</c:v>
                </c:pt>
                <c:pt idx="12">
                  <c:v>10.25</c:v>
                </c:pt>
                <c:pt idx="13">
                  <c:v>9.75</c:v>
                </c:pt>
                <c:pt idx="14">
                  <c:v>10.5</c:v>
                </c:pt>
                <c:pt idx="15">
                  <c:v>10.25</c:v>
                </c:pt>
                <c:pt idx="16">
                  <c:v>11.5</c:v>
                </c:pt>
                <c:pt idx="17">
                  <c:v>12</c:v>
                </c:pt>
                <c:pt idx="18">
                  <c:v>12.75</c:v>
                </c:pt>
                <c:pt idx="19">
                  <c:v>13.5</c:v>
                </c:pt>
                <c:pt idx="20">
                  <c:v>13.75</c:v>
                </c:pt>
                <c:pt idx="21">
                  <c:v>13.25</c:v>
                </c:pt>
                <c:pt idx="22">
                  <c:v>13.5</c:v>
                </c:pt>
                <c:pt idx="23">
                  <c:v>12</c:v>
                </c:pt>
                <c:pt idx="24">
                  <c:v>10.75</c:v>
                </c:pt>
                <c:pt idx="25">
                  <c:v>9.75</c:v>
                </c:pt>
                <c:pt idx="26">
                  <c:v>7.25</c:v>
                </c:pt>
                <c:pt idx="27">
                  <c:v>6.75</c:v>
                </c:pt>
                <c:pt idx="28">
                  <c:v>9.5</c:v>
                </c:pt>
                <c:pt idx="29">
                  <c:v>10.25</c:v>
                </c:pt>
                <c:pt idx="30">
                  <c:v>10.5</c:v>
                </c:pt>
                <c:pt idx="31">
                  <c:v>11</c:v>
                </c:pt>
                <c:pt idx="32">
                  <c:v>7.75</c:v>
                </c:pt>
                <c:pt idx="33">
                  <c:v>7</c:v>
                </c:pt>
                <c:pt idx="34">
                  <c:v>6.75</c:v>
                </c:pt>
                <c:pt idx="35">
                  <c:v>6.75</c:v>
                </c:pt>
                <c:pt idx="36">
                  <c:v>5.75</c:v>
                </c:pt>
                <c:pt idx="37">
                  <c:v>4.75</c:v>
                </c:pt>
                <c:pt idx="38">
                  <c:v>5.5</c:v>
                </c:pt>
                <c:pt idx="39">
                  <c:v>5</c:v>
                </c:pt>
              </c:numCache>
            </c:numRef>
          </c:val>
          <c:smooth val="0"/>
          <c:extLst>
            <c:ext xmlns:c16="http://schemas.microsoft.com/office/drawing/2014/chart" uri="{C3380CC4-5D6E-409C-BE32-E72D297353CC}">
              <c16:uniqueId val="{00000001-6F72-4210-AECC-A6334A7FC6FE}"/>
            </c:ext>
          </c:extLst>
        </c:ser>
        <c:ser>
          <c:idx val="2"/>
          <c:order val="2"/>
          <c:tx>
            <c:strRef>
              <c:f>NumEvents!$T$1</c:f>
              <c:strCache>
                <c:ptCount val="1"/>
                <c:pt idx="0">
                  <c:v>avgPlay</c:v>
                </c:pt>
              </c:strCache>
            </c:strRef>
          </c:tx>
          <c:spPr>
            <a:ln w="28575" cap="rnd">
              <a:solidFill>
                <a:schemeClr val="accent3"/>
              </a:solidFill>
              <a:round/>
            </a:ln>
            <a:effectLst/>
          </c:spPr>
          <c:marker>
            <c:symbol val="none"/>
          </c:marker>
          <c:val>
            <c:numRef>
              <c:f>NumEvents!$T$2:$T$44</c:f>
              <c:numCache>
                <c:formatCode>General</c:formatCode>
                <c:ptCount val="43"/>
                <c:pt idx="1">
                  <c:v>10.2153125</c:v>
                </c:pt>
                <c:pt idx="2">
                  <c:v>8.25</c:v>
                </c:pt>
                <c:pt idx="3">
                  <c:v>6.25</c:v>
                </c:pt>
                <c:pt idx="4">
                  <c:v>5.75</c:v>
                </c:pt>
                <c:pt idx="5">
                  <c:v>4.75</c:v>
                </c:pt>
                <c:pt idx="6">
                  <c:v>3.5</c:v>
                </c:pt>
                <c:pt idx="7">
                  <c:v>5</c:v>
                </c:pt>
                <c:pt idx="8">
                  <c:v>6</c:v>
                </c:pt>
                <c:pt idx="9">
                  <c:v>7.75</c:v>
                </c:pt>
                <c:pt idx="10">
                  <c:v>8.5</c:v>
                </c:pt>
                <c:pt idx="11">
                  <c:v>8.25</c:v>
                </c:pt>
                <c:pt idx="12">
                  <c:v>7.25</c:v>
                </c:pt>
                <c:pt idx="13">
                  <c:v>7.25</c:v>
                </c:pt>
                <c:pt idx="14">
                  <c:v>5.5</c:v>
                </c:pt>
                <c:pt idx="15">
                  <c:v>8</c:v>
                </c:pt>
                <c:pt idx="16">
                  <c:v>9.5</c:v>
                </c:pt>
                <c:pt idx="17">
                  <c:v>9.5</c:v>
                </c:pt>
                <c:pt idx="18">
                  <c:v>11.5</c:v>
                </c:pt>
                <c:pt idx="19">
                  <c:v>10.5</c:v>
                </c:pt>
                <c:pt idx="20">
                  <c:v>10.5</c:v>
                </c:pt>
                <c:pt idx="21">
                  <c:v>9.75</c:v>
                </c:pt>
                <c:pt idx="22">
                  <c:v>11.75</c:v>
                </c:pt>
                <c:pt idx="23">
                  <c:v>11</c:v>
                </c:pt>
                <c:pt idx="24">
                  <c:v>9</c:v>
                </c:pt>
                <c:pt idx="25">
                  <c:v>9.25</c:v>
                </c:pt>
                <c:pt idx="26">
                  <c:v>7</c:v>
                </c:pt>
                <c:pt idx="27">
                  <c:v>5.25</c:v>
                </c:pt>
                <c:pt idx="28">
                  <c:v>5.5</c:v>
                </c:pt>
                <c:pt idx="29">
                  <c:v>5</c:v>
                </c:pt>
                <c:pt idx="30">
                  <c:v>6.75</c:v>
                </c:pt>
                <c:pt idx="31">
                  <c:v>8.25</c:v>
                </c:pt>
                <c:pt idx="32">
                  <c:v>9</c:v>
                </c:pt>
                <c:pt idx="33">
                  <c:v>7.5</c:v>
                </c:pt>
                <c:pt idx="34">
                  <c:v>5.5</c:v>
                </c:pt>
                <c:pt idx="35">
                  <c:v>4.5</c:v>
                </c:pt>
                <c:pt idx="36">
                  <c:v>5.25</c:v>
                </c:pt>
                <c:pt idx="37">
                  <c:v>7.75</c:v>
                </c:pt>
                <c:pt idx="38">
                  <c:v>8.25</c:v>
                </c:pt>
                <c:pt idx="39">
                  <c:v>8.75</c:v>
                </c:pt>
              </c:numCache>
            </c:numRef>
          </c:val>
          <c:smooth val="0"/>
          <c:extLst>
            <c:ext xmlns:c16="http://schemas.microsoft.com/office/drawing/2014/chart" uri="{C3380CC4-5D6E-409C-BE32-E72D297353CC}">
              <c16:uniqueId val="{00000002-6F72-4210-AECC-A6334A7FC6FE}"/>
            </c:ext>
          </c:extLst>
        </c:ser>
        <c:ser>
          <c:idx val="3"/>
          <c:order val="3"/>
          <c:tx>
            <c:strRef>
              <c:f>NumEvents!$U$1</c:f>
              <c:strCache>
                <c:ptCount val="1"/>
                <c:pt idx="0">
                  <c:v>avgWalk</c:v>
                </c:pt>
              </c:strCache>
            </c:strRef>
          </c:tx>
          <c:spPr>
            <a:ln w="28575" cap="rnd">
              <a:solidFill>
                <a:schemeClr val="accent4"/>
              </a:solidFill>
              <a:round/>
            </a:ln>
            <a:effectLst/>
          </c:spPr>
          <c:marker>
            <c:symbol val="none"/>
          </c:marker>
          <c:val>
            <c:numRef>
              <c:f>NumEvents!$U$2:$U$44</c:f>
              <c:numCache>
                <c:formatCode>General</c:formatCode>
                <c:ptCount val="43"/>
                <c:pt idx="1">
                  <c:v>15.613125</c:v>
                </c:pt>
                <c:pt idx="2">
                  <c:v>15.5</c:v>
                </c:pt>
                <c:pt idx="3">
                  <c:v>13.5</c:v>
                </c:pt>
                <c:pt idx="4">
                  <c:v>14</c:v>
                </c:pt>
                <c:pt idx="5">
                  <c:v>12.25</c:v>
                </c:pt>
                <c:pt idx="6">
                  <c:v>11</c:v>
                </c:pt>
                <c:pt idx="7">
                  <c:v>10.25</c:v>
                </c:pt>
                <c:pt idx="8">
                  <c:v>12</c:v>
                </c:pt>
                <c:pt idx="9">
                  <c:v>13.25</c:v>
                </c:pt>
                <c:pt idx="10">
                  <c:v>15.25</c:v>
                </c:pt>
                <c:pt idx="11">
                  <c:v>18.25</c:v>
                </c:pt>
                <c:pt idx="12">
                  <c:v>17</c:v>
                </c:pt>
                <c:pt idx="13">
                  <c:v>18.75</c:v>
                </c:pt>
                <c:pt idx="14">
                  <c:v>20</c:v>
                </c:pt>
                <c:pt idx="15">
                  <c:v>19</c:v>
                </c:pt>
                <c:pt idx="16">
                  <c:v>19.25</c:v>
                </c:pt>
                <c:pt idx="17">
                  <c:v>17</c:v>
                </c:pt>
                <c:pt idx="18">
                  <c:v>15.25</c:v>
                </c:pt>
                <c:pt idx="19">
                  <c:v>12.5</c:v>
                </c:pt>
                <c:pt idx="20">
                  <c:v>12.75</c:v>
                </c:pt>
                <c:pt idx="21">
                  <c:v>12.5</c:v>
                </c:pt>
                <c:pt idx="22">
                  <c:v>12.25</c:v>
                </c:pt>
                <c:pt idx="23">
                  <c:v>12.75</c:v>
                </c:pt>
                <c:pt idx="24">
                  <c:v>10.25</c:v>
                </c:pt>
                <c:pt idx="25">
                  <c:v>11.25</c:v>
                </c:pt>
                <c:pt idx="26">
                  <c:v>9</c:v>
                </c:pt>
                <c:pt idx="27">
                  <c:v>9.5</c:v>
                </c:pt>
                <c:pt idx="28">
                  <c:v>10.25</c:v>
                </c:pt>
                <c:pt idx="29">
                  <c:v>7.75</c:v>
                </c:pt>
                <c:pt idx="30">
                  <c:v>9.25</c:v>
                </c:pt>
                <c:pt idx="31">
                  <c:v>9</c:v>
                </c:pt>
                <c:pt idx="32">
                  <c:v>9.25</c:v>
                </c:pt>
                <c:pt idx="33">
                  <c:v>9.75</c:v>
                </c:pt>
                <c:pt idx="34">
                  <c:v>9.75</c:v>
                </c:pt>
                <c:pt idx="35">
                  <c:v>11</c:v>
                </c:pt>
                <c:pt idx="36">
                  <c:v>10.75</c:v>
                </c:pt>
                <c:pt idx="37">
                  <c:v>11</c:v>
                </c:pt>
                <c:pt idx="38">
                  <c:v>10.75</c:v>
                </c:pt>
                <c:pt idx="39">
                  <c:v>12</c:v>
                </c:pt>
              </c:numCache>
            </c:numRef>
          </c:val>
          <c:smooth val="0"/>
          <c:extLst>
            <c:ext xmlns:c16="http://schemas.microsoft.com/office/drawing/2014/chart" uri="{C3380CC4-5D6E-409C-BE32-E72D297353CC}">
              <c16:uniqueId val="{00000003-6F72-4210-AECC-A6334A7FC6FE}"/>
            </c:ext>
          </c:extLst>
        </c:ser>
        <c:ser>
          <c:idx val="4"/>
          <c:order val="4"/>
          <c:tx>
            <c:strRef>
              <c:f>NumEvents!$V$1</c:f>
              <c:strCache>
                <c:ptCount val="1"/>
                <c:pt idx="0">
                  <c:v>avgExercises</c:v>
                </c:pt>
              </c:strCache>
            </c:strRef>
          </c:tx>
          <c:spPr>
            <a:ln w="28575" cap="rnd">
              <a:solidFill>
                <a:schemeClr val="accent5"/>
              </a:solidFill>
              <a:round/>
            </a:ln>
            <a:effectLst/>
          </c:spPr>
          <c:marker>
            <c:symbol val="none"/>
          </c:marker>
          <c:val>
            <c:numRef>
              <c:f>NumEvents!$V$2:$V$44</c:f>
              <c:numCache>
                <c:formatCode>General</c:formatCode>
                <c:ptCount val="43"/>
                <c:pt idx="1">
                  <c:v>10.760937500000001</c:v>
                </c:pt>
                <c:pt idx="2">
                  <c:v>10.1875</c:v>
                </c:pt>
                <c:pt idx="3">
                  <c:v>9.4375</c:v>
                </c:pt>
                <c:pt idx="4">
                  <c:v>9.625</c:v>
                </c:pt>
                <c:pt idx="5">
                  <c:v>8.75</c:v>
                </c:pt>
                <c:pt idx="6">
                  <c:v>7.6875</c:v>
                </c:pt>
                <c:pt idx="7">
                  <c:v>7.9375</c:v>
                </c:pt>
                <c:pt idx="8">
                  <c:v>9.75</c:v>
                </c:pt>
                <c:pt idx="9">
                  <c:v>10.875</c:v>
                </c:pt>
                <c:pt idx="10">
                  <c:v>12.5</c:v>
                </c:pt>
                <c:pt idx="11">
                  <c:v>13.25</c:v>
                </c:pt>
                <c:pt idx="12">
                  <c:v>12</c:v>
                </c:pt>
                <c:pt idx="13">
                  <c:v>12.1875</c:v>
                </c:pt>
                <c:pt idx="14">
                  <c:v>12.25</c:v>
                </c:pt>
                <c:pt idx="15">
                  <c:v>12.25</c:v>
                </c:pt>
                <c:pt idx="16">
                  <c:v>12.5625</c:v>
                </c:pt>
                <c:pt idx="17">
                  <c:v>12.0625</c:v>
                </c:pt>
                <c:pt idx="18">
                  <c:v>11.6875</c:v>
                </c:pt>
                <c:pt idx="19">
                  <c:v>11</c:v>
                </c:pt>
                <c:pt idx="20">
                  <c:v>11.875</c:v>
                </c:pt>
                <c:pt idx="21">
                  <c:v>11.75</c:v>
                </c:pt>
                <c:pt idx="22">
                  <c:v>13</c:v>
                </c:pt>
                <c:pt idx="23">
                  <c:v>12.5625</c:v>
                </c:pt>
                <c:pt idx="24">
                  <c:v>10.625</c:v>
                </c:pt>
                <c:pt idx="25">
                  <c:v>10.4375</c:v>
                </c:pt>
                <c:pt idx="26">
                  <c:v>8.125</c:v>
                </c:pt>
                <c:pt idx="27">
                  <c:v>7.6875</c:v>
                </c:pt>
                <c:pt idx="28">
                  <c:v>9.25</c:v>
                </c:pt>
                <c:pt idx="29">
                  <c:v>8.75</c:v>
                </c:pt>
                <c:pt idx="30">
                  <c:v>9.6875</c:v>
                </c:pt>
                <c:pt idx="31">
                  <c:v>10.0625</c:v>
                </c:pt>
                <c:pt idx="32">
                  <c:v>8.75</c:v>
                </c:pt>
                <c:pt idx="33">
                  <c:v>8.625</c:v>
                </c:pt>
                <c:pt idx="34">
                  <c:v>8</c:v>
                </c:pt>
                <c:pt idx="35">
                  <c:v>8.5625</c:v>
                </c:pt>
                <c:pt idx="36">
                  <c:v>8.8125</c:v>
                </c:pt>
                <c:pt idx="37">
                  <c:v>8.6875</c:v>
                </c:pt>
                <c:pt idx="38">
                  <c:v>8.8125</c:v>
                </c:pt>
                <c:pt idx="39">
                  <c:v>8.5</c:v>
                </c:pt>
              </c:numCache>
            </c:numRef>
          </c:val>
          <c:smooth val="0"/>
          <c:extLst>
            <c:ext xmlns:c16="http://schemas.microsoft.com/office/drawing/2014/chart" uri="{C3380CC4-5D6E-409C-BE32-E72D297353CC}">
              <c16:uniqueId val="{00000004-6F72-4210-AECC-A6334A7FC6FE}"/>
            </c:ext>
          </c:extLst>
        </c:ser>
        <c:dLbls>
          <c:showLegendKey val="0"/>
          <c:showVal val="0"/>
          <c:showCatName val="0"/>
          <c:showSerName val="0"/>
          <c:showPercent val="0"/>
          <c:showBubbleSize val="0"/>
        </c:dLbls>
        <c:smooth val="0"/>
        <c:axId val="286771472"/>
        <c:axId val="339111632"/>
      </c:lineChart>
      <c:catAx>
        <c:axId val="28677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a:t>
                </a:r>
                <a:r>
                  <a:rPr lang="en-US" baseline="0"/>
                  <a:t> (8 day units)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111632"/>
        <c:crosses val="autoZero"/>
        <c:auto val="0"/>
        <c:lblAlgn val="ctr"/>
        <c:lblOffset val="100"/>
        <c:noMultiLvlLbl val="0"/>
      </c:catAx>
      <c:valAx>
        <c:axId val="33911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77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Sentiment Scores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NumEvents!$L$1</c:f>
              <c:strCache>
                <c:ptCount val="1"/>
                <c:pt idx="0">
                  <c:v>sentimentScores </c:v>
                </c:pt>
              </c:strCache>
            </c:strRef>
          </c:tx>
          <c:spPr>
            <a:ln w="19050" cap="rnd">
              <a:noFill/>
              <a:round/>
            </a:ln>
            <a:effectLst/>
          </c:spPr>
          <c:marker>
            <c:symbol val="circle"/>
            <c:size val="5"/>
            <c:spPr>
              <a:solidFill>
                <a:schemeClr val="accent1"/>
              </a:solidFill>
              <a:ln w="9525">
                <a:solidFill>
                  <a:schemeClr val="accent1"/>
                </a:solidFill>
              </a:ln>
              <a:effectLst/>
            </c:spPr>
          </c:marker>
          <c:yVal>
            <c:numRef>
              <c:f>NumEvents!$L$2:$L$43</c:f>
              <c:numCache>
                <c:formatCode>General</c:formatCode>
                <c:ptCount val="42"/>
                <c:pt idx="0">
                  <c:v>0.19020042500000001</c:v>
                </c:pt>
                <c:pt idx="1">
                  <c:v>0.201969864</c:v>
                </c:pt>
                <c:pt idx="2">
                  <c:v>0.18290646899999999</c:v>
                </c:pt>
                <c:pt idx="3">
                  <c:v>0.23042490700000001</c:v>
                </c:pt>
                <c:pt idx="4">
                  <c:v>0.233659441</c:v>
                </c:pt>
                <c:pt idx="5">
                  <c:v>0.22960065399999999</c:v>
                </c:pt>
                <c:pt idx="6">
                  <c:v>0.228544619</c:v>
                </c:pt>
                <c:pt idx="7">
                  <c:v>0.22079162499999999</c:v>
                </c:pt>
                <c:pt idx="8">
                  <c:v>0.22249898000000001</c:v>
                </c:pt>
                <c:pt idx="9">
                  <c:v>0.23327120100000001</c:v>
                </c:pt>
                <c:pt idx="10">
                  <c:v>0.27077805599999999</c:v>
                </c:pt>
                <c:pt idx="11">
                  <c:v>0.25887317700000001</c:v>
                </c:pt>
                <c:pt idx="12">
                  <c:v>0.25844745200000002</c:v>
                </c:pt>
                <c:pt idx="13">
                  <c:v>0.28786952999999998</c:v>
                </c:pt>
                <c:pt idx="14">
                  <c:v>0.24498784500000001</c:v>
                </c:pt>
                <c:pt idx="15">
                  <c:v>0.26781442900000002</c:v>
                </c:pt>
                <c:pt idx="16">
                  <c:v>0.26644619899999999</c:v>
                </c:pt>
                <c:pt idx="17">
                  <c:v>0.25735503799999998</c:v>
                </c:pt>
                <c:pt idx="18">
                  <c:v>0.263166067</c:v>
                </c:pt>
                <c:pt idx="19">
                  <c:v>0.26834778300000001</c:v>
                </c:pt>
                <c:pt idx="20">
                  <c:v>0.26351429799999998</c:v>
                </c:pt>
                <c:pt idx="21">
                  <c:v>0.27461873599999997</c:v>
                </c:pt>
                <c:pt idx="22">
                  <c:v>0.26101516899999999</c:v>
                </c:pt>
                <c:pt idx="23">
                  <c:v>0.257837649</c:v>
                </c:pt>
                <c:pt idx="24">
                  <c:v>0.26619494599999999</c:v>
                </c:pt>
                <c:pt idx="25">
                  <c:v>0.24098272700000001</c:v>
                </c:pt>
                <c:pt idx="26">
                  <c:v>0.228605853</c:v>
                </c:pt>
                <c:pt idx="27">
                  <c:v>0.224084071</c:v>
                </c:pt>
                <c:pt idx="28">
                  <c:v>0.26213746500000001</c:v>
                </c:pt>
                <c:pt idx="29">
                  <c:v>0.20080630099999999</c:v>
                </c:pt>
                <c:pt idx="30">
                  <c:v>7.5387197000000003E-2</c:v>
                </c:pt>
                <c:pt idx="31">
                  <c:v>0.179121224</c:v>
                </c:pt>
                <c:pt idx="32">
                  <c:v>0.258279378</c:v>
                </c:pt>
                <c:pt idx="33">
                  <c:v>0.25268807300000001</c:v>
                </c:pt>
                <c:pt idx="34">
                  <c:v>0.21040299300000001</c:v>
                </c:pt>
                <c:pt idx="35">
                  <c:v>0.230346154</c:v>
                </c:pt>
                <c:pt idx="36">
                  <c:v>0.251441107</c:v>
                </c:pt>
                <c:pt idx="37">
                  <c:v>0.21994241</c:v>
                </c:pt>
                <c:pt idx="38">
                  <c:v>0.15654078799999999</c:v>
                </c:pt>
                <c:pt idx="39">
                  <c:v>0.163916689</c:v>
                </c:pt>
                <c:pt idx="40">
                  <c:v>0.24129884900000001</c:v>
                </c:pt>
                <c:pt idx="41">
                  <c:v>0.23833315099999999</c:v>
                </c:pt>
              </c:numCache>
            </c:numRef>
          </c:yVal>
          <c:smooth val="0"/>
          <c:extLst>
            <c:ext xmlns:c16="http://schemas.microsoft.com/office/drawing/2014/chart" uri="{C3380CC4-5D6E-409C-BE32-E72D297353CC}">
              <c16:uniqueId val="{00000000-71EC-43AC-ADC2-8E8E1B1969A2}"/>
            </c:ext>
          </c:extLst>
        </c:ser>
        <c:dLbls>
          <c:showLegendKey val="0"/>
          <c:showVal val="0"/>
          <c:showCatName val="0"/>
          <c:showSerName val="0"/>
          <c:showPercent val="0"/>
          <c:showBubbleSize val="0"/>
        </c:dLbls>
        <c:axId val="288058128"/>
        <c:axId val="331995920"/>
      </c:scatterChart>
      <c:valAx>
        <c:axId val="28805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 (8 day units)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95920"/>
        <c:crosses val="autoZero"/>
        <c:crossBetween val="midCat"/>
      </c:valAx>
      <c:valAx>
        <c:axId val="33199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Sentiment Score (-1 to 1)</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058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37FCC-C07D-4EF9-920D-4D86675D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Larkin</dc:creator>
  <cp:keywords/>
  <dc:description/>
  <cp:lastModifiedBy>Andrew Larkin</cp:lastModifiedBy>
  <cp:revision>22</cp:revision>
  <dcterms:created xsi:type="dcterms:W3CDTF">2017-12-13T01:35:00Z</dcterms:created>
  <dcterms:modified xsi:type="dcterms:W3CDTF">2017-12-13T01:55:00Z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id="uGkf7z2O"/&gt;&lt;style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