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line="252" w:lineRule="auto"/>
        <w:jc w:val="center"/>
      </w:pPr>
      <w:r>
        <w:rPr>
          <w:rFonts w:ascii="Malgun Gothic" w:hAnsi="Malgun Gothic" w:eastAsia="Malgun Gothic"/>
          <w:b/>
          <w:color w:val="1F4E79"/>
          <w:sz w:val="36"/>
        </w:rPr>
        <w:t>AIQuant 2차 프로젝트 기획서</w:t>
      </w:r>
    </w:p>
    <w:p>
      <w:pPr>
        <w:spacing w:before="160" w:after="80" w:line="252" w:lineRule="auto"/>
      </w:pPr>
      <w:r>
        <w:rPr>
          <w:rFonts w:ascii="Malgun Gothic" w:hAnsi="Malgun Gothic" w:eastAsia="Malgun Gothic"/>
          <w:b/>
          <w:color w:val="1F4E79"/>
          <w:sz w:val="26"/>
        </w:rPr>
        <w:t>1. 프로젝트 개요</w:t>
      </w:r>
    </w:p>
    <w:p>
      <w:pPr>
        <w:spacing w:before="0" w:after="80" w:line="259" w:lineRule="auto"/>
      </w:pPr>
      <w:r>
        <w:rPr>
          <w:rFonts w:ascii="Malgun Gothic" w:hAnsi="Malgun Gothic" w:eastAsia="Malgun Gothic"/>
          <w:b/>
          <w:sz w:val="20"/>
        </w:rPr>
        <w:t>프로젝트명:</w:t>
      </w:r>
      <w:r>
        <w:rPr>
          <w:rFonts w:ascii="Malgun Gothic" w:hAnsi="Malgun Gothic" w:eastAsia="Malgun Gothic"/>
          <w:b w:val="0"/>
          <w:sz w:val="20"/>
        </w:rPr>
        <w:t xml:space="preserve"> HSI 기반 시장위험 신호를 활용한 ETF 자산배분 전략 성과 비교 및 검증</w:t>
      </w:r>
    </w:p>
    <w:p>
      <w:pPr>
        <w:spacing w:before="0" w:after="80" w:line="259" w:lineRule="auto"/>
      </w:pPr>
      <w:r>
        <w:rPr>
          <w:rFonts w:ascii="Malgun Gothic" w:hAnsi="Malgun Gothic" w:eastAsia="Malgun Gothic"/>
          <w:b/>
          <w:sz w:val="20"/>
        </w:rPr>
        <w:t>조번호:</w:t>
      </w:r>
      <w:r>
        <w:rPr>
          <w:rFonts w:ascii="Malgun Gothic" w:hAnsi="Malgun Gothic" w:eastAsia="Malgun Gothic"/>
          <w:b w:val="0"/>
          <w:sz w:val="20"/>
        </w:rPr>
        <w:t xml:space="preserve"> 3조</w:t>
      </w:r>
    </w:p>
    <w:p>
      <w:pPr>
        <w:spacing w:before="0" w:after="80" w:line="259" w:lineRule="auto"/>
      </w:pPr>
      <w:r>
        <w:rPr>
          <w:rFonts w:ascii="Malgun Gothic" w:hAnsi="Malgun Gothic" w:eastAsia="Malgun Gothic"/>
          <w:b/>
          <w:sz w:val="20"/>
        </w:rPr>
        <w:t>조원:</w:t>
      </w:r>
      <w:r>
        <w:rPr>
          <w:rFonts w:ascii="Malgun Gothic" w:hAnsi="Malgun Gothic" w:eastAsia="Malgun Gothic"/>
          <w:b w:val="0"/>
          <w:sz w:val="20"/>
        </w:rPr>
        <w:t xml:space="preserve"> 권보성, 김근형, 김민호, 추주원</w:t>
      </w:r>
    </w:p>
    <w:p>
      <w:pPr>
        <w:spacing w:before="0" w:after="80" w:line="259" w:lineRule="auto"/>
      </w:pPr>
      <w:r>
        <w:rPr>
          <w:rFonts w:ascii="Malgun Gothic" w:hAnsi="Malgun Gothic" w:eastAsia="Malgun Gothic"/>
          <w:b/>
          <w:sz w:val="20"/>
        </w:rPr>
        <w:t>프로젝트 주제:</w:t>
      </w:r>
      <w:r>
        <w:rPr>
          <w:rFonts w:ascii="Malgun Gothic" w:hAnsi="Malgun Gothic" w:eastAsia="Malgun Gothic"/>
          <w:b w:val="0"/>
          <w:sz w:val="20"/>
        </w:rPr>
        <w:t xml:space="preserve"> 한국 상장 ETF 가격 데이터를 기반으로 시장위험 신호를 요약하는 HSI(Hourglass Signal Index)를 설계하고, 이를 market timing 및 리밸런싱 보조지표로 활용하여 기존 자산배분 전략 대비 성과와 위험 관리 효과를 백테스트로 검증한다.</w:t>
      </w:r>
    </w:p>
    <w:p>
      <w:pPr>
        <w:spacing w:before="160" w:after="80" w:line="252" w:lineRule="auto"/>
      </w:pPr>
      <w:r>
        <w:rPr>
          <w:rFonts w:ascii="Malgun Gothic" w:hAnsi="Malgun Gothic" w:eastAsia="Malgun Gothic"/>
          <w:b/>
          <w:color w:val="1F4E79"/>
          <w:sz w:val="26"/>
        </w:rPr>
        <w:t>2. 프로젝트 배경 및 필요성</w:t>
      </w:r>
    </w:p>
    <w:p>
      <w:pPr>
        <w:spacing w:before="0" w:after="80" w:line="259" w:lineRule="auto"/>
      </w:pPr>
      <w:r>
        <w:rPr>
          <w:rFonts w:ascii="Malgun Gothic" w:hAnsi="Malgun Gothic" w:eastAsia="Malgun Gothic"/>
          <w:b w:val="0"/>
          <w:sz w:val="20"/>
        </w:rPr>
        <w:t>로보 어드바이저 전략은 단순히 수익률이 높은 자산을 선택하는 것만으로 완성되지 않는다. 실제 운용에서는 시장 상황에 따라 위험자산 비중을 조절하고, 하락 구간에서 손실을 방어하며, 회복 구간에서는 다시 위험자산 비중을 확대하는 판단 로직이 필요하다.</w:t>
      </w:r>
    </w:p>
    <w:p>
      <w:pPr>
        <w:spacing w:before="0" w:after="80" w:line="259" w:lineRule="auto"/>
      </w:pPr>
      <w:r>
        <w:rPr>
          <w:rFonts w:ascii="Malgun Gothic" w:hAnsi="Malgun Gothic" w:eastAsia="Malgun Gothic"/>
          <w:b w:val="0"/>
          <w:sz w:val="20"/>
        </w:rPr>
        <w:t>기존 자산배분 전략은 Equal Weight, GMV, MDP, Risk Parity처럼 명확한 비중 결정 규칙을 제공하지만, 여러 가격 기반 신호가 동시에 충돌하는 구간을 직관적으로 설명하기 어렵다. 예를 들어 수익률은 회복되고 있지만 변동성이 급격히 커지는 경우, 또는 모멘텀은 약하지만 상대강도는 개선되는 경우처럼 시장 신호가 혼재할 수 있다.</w:t>
      </w:r>
    </w:p>
    <w:p>
      <w:pPr>
        <w:spacing w:before="0" w:after="80" w:line="259" w:lineRule="auto"/>
      </w:pPr>
      <w:r>
        <w:rPr>
          <w:rFonts w:ascii="Malgun Gothic" w:hAnsi="Malgun Gothic" w:eastAsia="Malgun Gothic"/>
          <w:b w:val="0"/>
          <w:sz w:val="20"/>
        </w:rPr>
        <w:t>이에 본 프로젝트에서는 조원이 제시한 모래시계 형태의 HSI를 활용하여 시장의 위험/기회 신호를 요약하고, 이 신호가 자산배분 전략의 리밸런싱 보조지표로 유용한지 검토한다.</w:t>
      </w:r>
    </w:p>
    <w:p>
      <w:pPr>
        <w:spacing w:before="160" w:after="80" w:line="252" w:lineRule="auto"/>
      </w:pPr>
      <w:r>
        <w:rPr>
          <w:rFonts w:ascii="Malgun Gothic" w:hAnsi="Malgun Gothic" w:eastAsia="Malgun Gothic"/>
          <w:b/>
          <w:color w:val="1F4E79"/>
          <w:sz w:val="26"/>
        </w:rPr>
        <w:t>3. 프로젝트 요구사항 반영</w:t>
      </w:r>
    </w:p>
    <w:p>
      <w:pPr>
        <w:spacing w:before="0" w:after="80" w:line="259" w:lineRule="auto"/>
      </w:pPr>
      <w:r>
        <w:rPr>
          <w:rFonts w:ascii="Malgun Gothic" w:hAnsi="Malgun Gothic" w:eastAsia="Malgun Gothic"/>
          <w:b w:val="0"/>
          <w:sz w:val="20"/>
        </w:rPr>
        <w:t>노션 페이지의 2차 프로젝트 요구사항은 “나만의 투자 전략을 기반으로 종목 선정, 비중 결정, 리밸런싱 로직을 개발하고, 백테스팅을 통해 성과를 검증하는 로보 어드바이저 시스템 구축”이다.</w:t>
      </w:r>
    </w:p>
    <w:p>
      <w:pPr>
        <w:spacing w:before="0" w:after="80" w:line="259" w:lineRule="auto"/>
      </w:pPr>
      <w:r>
        <w:rPr>
          <w:rFonts w:ascii="Malgun Gothic" w:hAnsi="Malgun Gothic" w:eastAsia="Malgun Gothic"/>
          <w:b w:val="0"/>
          <w:sz w:val="20"/>
        </w:rPr>
        <w:t>본 기획안은 다음 요구사항을 반영한다.</w:t>
      </w:r>
    </w:p>
    <w:p>
      <w:pPr>
        <w:spacing w:before="80" w:after="60" w:line="252" w:lineRule="auto"/>
      </w:pPr>
      <w:r>
        <w:rPr>
          <w:rFonts w:ascii="Malgun Gothic" w:hAnsi="Malgun Gothic" w:eastAsia="Malgun Gothic"/>
          <w:b/>
          <w:color w:val="444444"/>
          <w:sz w:val="22"/>
        </w:rPr>
        <w:t>3.1 아이디어 제네레이션 및 기획</w:t>
      </w:r>
    </w:p>
    <w:p>
      <w:pPr>
        <w:pStyle w:val="ListBullet"/>
        <w:spacing w:before="0" w:after="40" w:line="252" w:lineRule="auto"/>
      </w:pPr>
      <w:r>
        <w:rPr>
          <w:rFonts w:ascii="Malgun Gothic" w:hAnsi="Malgun Gothic" w:eastAsia="Malgun Gothic"/>
          <w:b w:val="0"/>
          <w:sz w:val="19"/>
        </w:rPr>
        <w:t>투자 철학 및 목표 정의: 단순 수익률 극대화보다 위험 구간 방어와 안정적 성과를 중시한다.</w:t>
      </w:r>
    </w:p>
    <w:p>
      <w:pPr>
        <w:pStyle w:val="ListBullet"/>
        <w:spacing w:before="0" w:after="40" w:line="252" w:lineRule="auto"/>
      </w:pPr>
      <w:r>
        <w:rPr>
          <w:rFonts w:ascii="Malgun Gothic" w:hAnsi="Malgun Gothic" w:eastAsia="Malgun Gothic"/>
          <w:b w:val="0"/>
          <w:sz w:val="19"/>
        </w:rPr>
        <w:t>투자 유니버스 선정: 한국 상장 ETF를 기본 유니버스로 설정한다.</w:t>
      </w:r>
    </w:p>
    <w:p>
      <w:pPr>
        <w:pStyle w:val="ListBullet"/>
        <w:spacing w:before="0" w:after="40" w:line="252" w:lineRule="auto"/>
      </w:pPr>
      <w:r>
        <w:rPr>
          <w:rFonts w:ascii="Malgun Gothic" w:hAnsi="Malgun Gothic" w:eastAsia="Malgun Gothic"/>
          <w:b w:val="0"/>
          <w:sz w:val="19"/>
        </w:rPr>
        <w:t>전략 아이디어 구체화: HSI를 시장위험 신호 요약 지표로 활용한다.</w:t>
      </w:r>
    </w:p>
    <w:p>
      <w:pPr>
        <w:pStyle w:val="ListBullet"/>
        <w:spacing w:before="0" w:after="40" w:line="252" w:lineRule="auto"/>
      </w:pPr>
      <w:r>
        <w:rPr>
          <w:rFonts w:ascii="Malgun Gothic" w:hAnsi="Malgun Gothic" w:eastAsia="Malgun Gothic"/>
          <w:b w:val="0"/>
          <w:sz w:val="19"/>
        </w:rPr>
        <w:t>기획 발표 및 피드백: HSI를 확정된 투자전략이 아니라 검증 대상 보조지표로 제시한다.</w:t>
      </w:r>
    </w:p>
    <w:p>
      <w:pPr>
        <w:spacing w:before="80" w:after="60" w:line="252" w:lineRule="auto"/>
      </w:pPr>
      <w:r>
        <w:rPr>
          <w:rFonts w:ascii="Malgun Gothic" w:hAnsi="Malgun Gothic" w:eastAsia="Malgun Gothic"/>
          <w:b/>
          <w:color w:val="444444"/>
          <w:sz w:val="22"/>
        </w:rPr>
        <w:t>3.2 자산배분 전략</w:t>
      </w:r>
    </w:p>
    <w:p>
      <w:pPr>
        <w:pStyle w:val="ListBullet"/>
        <w:spacing w:before="0" w:after="40" w:line="252" w:lineRule="auto"/>
      </w:pPr>
      <w:r>
        <w:rPr>
          <w:rFonts w:ascii="Malgun Gothic" w:hAnsi="Malgun Gothic" w:eastAsia="Malgun Gothic"/>
          <w:b w:val="0"/>
          <w:sz w:val="19"/>
        </w:rPr>
        <w:t>주식형 ETF와 채권형 ETF 등 위험자산/안전자산을 구분한다.</w:t>
      </w:r>
    </w:p>
    <w:p>
      <w:pPr>
        <w:pStyle w:val="ListBullet"/>
        <w:spacing w:before="0" w:after="40" w:line="252" w:lineRule="auto"/>
      </w:pPr>
      <w:r>
        <w:rPr>
          <w:rFonts w:ascii="Malgun Gothic" w:hAnsi="Malgun Gothic" w:eastAsia="Malgun Gothic"/>
          <w:b w:val="0"/>
          <w:sz w:val="19"/>
        </w:rPr>
        <w:t>Equal Weight, GMV, MDP, Risk Parity를 기본 비교군으로 둔다.</w:t>
      </w:r>
    </w:p>
    <w:p>
      <w:pPr>
        <w:pStyle w:val="ListBullet"/>
        <w:spacing w:before="0" w:after="40" w:line="252" w:lineRule="auto"/>
      </w:pPr>
      <w:r>
        <w:rPr>
          <w:rFonts w:ascii="Malgun Gothic" w:hAnsi="Malgun Gothic" w:eastAsia="Malgun Gothic"/>
          <w:b w:val="0"/>
          <w:sz w:val="19"/>
        </w:rPr>
        <w:t>가능하면 DAA 또는 모멘텀 기반 동적 자산배분 전략도 비교군으로 검토한다.</w:t>
      </w:r>
    </w:p>
    <w:p>
      <w:pPr>
        <w:pStyle w:val="ListBullet"/>
        <w:spacing w:before="0" w:after="40" w:line="252" w:lineRule="auto"/>
      </w:pPr>
      <w:r>
        <w:rPr>
          <w:rFonts w:ascii="Malgun Gothic" w:hAnsi="Malgun Gothic" w:eastAsia="Malgun Gothic"/>
          <w:b w:val="0"/>
          <w:sz w:val="19"/>
        </w:rPr>
        <w:t>리밸런싱 주기는 월별을 기본으로 설정하고, 필요 시 분기별 비교를 추가한다.</w:t>
      </w:r>
    </w:p>
    <w:p>
      <w:pPr>
        <w:spacing w:before="80" w:after="60" w:line="252" w:lineRule="auto"/>
      </w:pPr>
      <w:r>
        <w:rPr>
          <w:rFonts w:ascii="Malgun Gothic" w:hAnsi="Malgun Gothic" w:eastAsia="Malgun Gothic"/>
          <w:b/>
          <w:color w:val="444444"/>
          <w:sz w:val="22"/>
        </w:rPr>
        <w:t>3.3 포트폴리오 결정 로직 개발</w:t>
      </w:r>
    </w:p>
    <w:p>
      <w:pPr>
        <w:pStyle w:val="ListBullet"/>
        <w:spacing w:before="0" w:after="40" w:line="252" w:lineRule="auto"/>
      </w:pPr>
      <w:r>
        <w:rPr>
          <w:rFonts w:ascii="Malgun Gothic" w:hAnsi="Malgun Gothic" w:eastAsia="Malgun Gothic"/>
          <w:b w:val="0"/>
          <w:sz w:val="19"/>
        </w:rPr>
        <w:t>ETF 유니버스를 위험자산, 안전자산, 대체/방어자산으로 분류한다.</w:t>
      </w:r>
    </w:p>
    <w:p>
      <w:pPr>
        <w:pStyle w:val="ListBullet"/>
        <w:spacing w:before="0" w:after="40" w:line="252" w:lineRule="auto"/>
      </w:pPr>
      <w:r>
        <w:rPr>
          <w:rFonts w:ascii="Malgun Gothic" w:hAnsi="Malgun Gothic" w:eastAsia="Malgun Gothic"/>
          <w:b w:val="0"/>
          <w:sz w:val="19"/>
        </w:rPr>
        <w:t>HSI 상태가 위험 악화로 분류되면 위험자산 비중을 축소하는 규칙을 검토한다.</w:t>
      </w:r>
    </w:p>
    <w:p>
      <w:pPr>
        <w:pStyle w:val="ListBullet"/>
        <w:spacing w:before="0" w:after="40" w:line="252" w:lineRule="auto"/>
      </w:pPr>
      <w:r>
        <w:rPr>
          <w:rFonts w:ascii="Malgun Gothic" w:hAnsi="Malgun Gothic" w:eastAsia="Malgun Gothic"/>
          <w:b w:val="0"/>
          <w:sz w:val="19"/>
        </w:rPr>
        <w:t>HSI 상태가 회복 또는 기회 구간으로 분류되면 위험자산 비중 확대 가능성을 검토한다.</w:t>
      </w:r>
    </w:p>
    <w:p>
      <w:pPr>
        <w:pStyle w:val="ListBullet"/>
        <w:spacing w:before="0" w:after="40" w:line="252" w:lineRule="auto"/>
      </w:pPr>
      <w:r>
        <w:rPr>
          <w:rFonts w:ascii="Malgun Gothic" w:hAnsi="Malgun Gothic" w:eastAsia="Malgun Gothic"/>
          <w:b w:val="0"/>
          <w:sz w:val="19"/>
        </w:rPr>
        <w:t>비중 결정 방식은 기존 자산배분 전략의 결과와 HSI 기반 조정 규칙을 비교한다.</w:t>
      </w:r>
    </w:p>
    <w:p>
      <w:pPr>
        <w:spacing w:before="80" w:after="60" w:line="252" w:lineRule="auto"/>
      </w:pPr>
      <w:r>
        <w:rPr>
          <w:rFonts w:ascii="Malgun Gothic" w:hAnsi="Malgun Gothic" w:eastAsia="Malgun Gothic"/>
          <w:b/>
          <w:color w:val="444444"/>
          <w:sz w:val="22"/>
        </w:rPr>
        <w:t>3.4 백테스트 및 검증</w:t>
      </w:r>
    </w:p>
    <w:p>
      <w:pPr>
        <w:pStyle w:val="ListBullet"/>
        <w:spacing w:before="0" w:after="40" w:line="252" w:lineRule="auto"/>
      </w:pPr>
      <w:r>
        <w:rPr>
          <w:rFonts w:ascii="Malgun Gothic" w:hAnsi="Malgun Gothic" w:eastAsia="Malgun Gothic"/>
          <w:b w:val="0"/>
          <w:sz w:val="19"/>
        </w:rPr>
        <w:t>과거 ETF 가격 데이터를 활용하여 전략별 성과를 검증한다.</w:t>
      </w:r>
    </w:p>
    <w:p>
      <w:pPr>
        <w:pStyle w:val="ListBullet"/>
        <w:spacing w:before="0" w:after="40" w:line="252" w:lineRule="auto"/>
      </w:pPr>
      <w:r>
        <w:rPr>
          <w:rFonts w:ascii="Malgun Gothic" w:hAnsi="Malgun Gothic" w:eastAsia="Malgun Gothic"/>
          <w:b w:val="0"/>
          <w:sz w:val="19"/>
        </w:rPr>
        <w:t>벤치마크 또는 기본 전략 대비 성과를 비교한다.</w:t>
      </w:r>
    </w:p>
    <w:p>
      <w:pPr>
        <w:pStyle w:val="ListBullet"/>
        <w:spacing w:before="0" w:after="40" w:line="252" w:lineRule="auto"/>
      </w:pPr>
      <w:r>
        <w:rPr>
          <w:rFonts w:ascii="Malgun Gothic" w:hAnsi="Malgun Gothic" w:eastAsia="Malgun Gothic"/>
          <w:b w:val="0"/>
          <w:sz w:val="19"/>
        </w:rPr>
        <w:t>누적수익률, CAGR, MDD, Sharpe Ratio, Volatility를 계산한다.</w:t>
      </w:r>
    </w:p>
    <w:p>
      <w:pPr>
        <w:pStyle w:val="ListBullet"/>
        <w:spacing w:before="0" w:after="40" w:line="252" w:lineRule="auto"/>
      </w:pPr>
      <w:r>
        <w:rPr>
          <w:rFonts w:ascii="Malgun Gothic" w:hAnsi="Malgun Gothic" w:eastAsia="Malgun Gothic"/>
          <w:b w:val="0"/>
          <w:sz w:val="19"/>
        </w:rPr>
        <w:t>Equity Curve와 위기 구간별 성과를 시각화한다.</w:t>
      </w:r>
    </w:p>
    <w:p>
      <w:pPr>
        <w:spacing w:before="160" w:after="80" w:line="252" w:lineRule="auto"/>
      </w:pPr>
      <w:r>
        <w:rPr>
          <w:rFonts w:ascii="Malgun Gothic" w:hAnsi="Malgun Gothic" w:eastAsia="Malgun Gothic"/>
          <w:b/>
          <w:color w:val="1F4E79"/>
          <w:sz w:val="26"/>
        </w:rPr>
        <w:t>4. HSI 모래시계 모형의 활용 전략 검토</w:t>
      </w:r>
    </w:p>
    <w:p>
      <w:pPr>
        <w:spacing w:before="0" w:after="80" w:line="259" w:lineRule="auto"/>
      </w:pPr>
      <w:r>
        <w:rPr>
          <w:rFonts w:ascii="Malgun Gothic" w:hAnsi="Malgun Gothic" w:eastAsia="Malgun Gothic"/>
          <w:b w:val="0"/>
          <w:sz w:val="20"/>
        </w:rPr>
        <w:t>HSI는 종목을 직접 고르는 selection 전략보다는 시장 상황을 해석하고 위험자산 비중을 조절하는 market timing 전략에 더 적합하다.</w:t>
      </w:r>
    </w:p>
    <w:p>
      <w:pPr>
        <w:spacing w:before="80" w:after="60" w:line="252" w:lineRule="auto"/>
      </w:pPr>
      <w:r>
        <w:rPr>
          <w:rFonts w:ascii="Malgun Gothic" w:hAnsi="Malgun Gothic" w:eastAsia="Malgun Gothic"/>
          <w:b/>
          <w:color w:val="444444"/>
          <w:sz w:val="22"/>
        </w:rPr>
        <w:t>4.1 유용한 전략</w:t>
      </w:r>
    </w:p>
    <w:p>
      <w:pPr>
        <w:spacing w:before="0" w:after="80" w:line="259" w:lineRule="auto"/>
      </w:pPr>
      <w:r>
        <w:rPr>
          <w:rFonts w:ascii="Malgun Gothic" w:hAnsi="Malgun Gothic" w:eastAsia="Malgun Gothic"/>
          <w:b/>
          <w:sz w:val="20"/>
        </w:rPr>
        <w:t>Market Timing 전략:</w:t>
      </w:r>
      <w:r>
        <w:rPr>
          <w:rFonts w:ascii="Malgun Gothic" w:hAnsi="Malgun Gothic" w:eastAsia="Malgun Gothic"/>
          <w:b w:val="0"/>
          <w:sz w:val="20"/>
        </w:rPr>
        <w:t xml:space="preserve"> HSI는 위험자산 비중을 늘릴지 줄일지 판단하는 보조 신호로 사용할 수 있다. 예를 들어 HSI가 위험 악화 상태를 보이면 주식형 ETF 비중을 줄이고, 채권형 또는 현금성 ETF 비중을 늘리는 방식이다.</w:t>
      </w:r>
    </w:p>
    <w:p>
      <w:pPr>
        <w:spacing w:before="0" w:after="80" w:line="259" w:lineRule="auto"/>
      </w:pPr>
      <w:r>
        <w:rPr>
          <w:rFonts w:ascii="Malgun Gothic" w:hAnsi="Malgun Gothic" w:eastAsia="Malgun Gothic"/>
          <w:b/>
          <w:sz w:val="20"/>
        </w:rPr>
        <w:t>동적 자산배분 전략:</w:t>
      </w:r>
      <w:r>
        <w:rPr>
          <w:rFonts w:ascii="Malgun Gothic" w:hAnsi="Malgun Gothic" w:eastAsia="Malgun Gothic"/>
          <w:b w:val="0"/>
          <w:sz w:val="20"/>
        </w:rPr>
        <w:t xml:space="preserve"> DAA, VAA, FAA, 평균모멘텀 전략처럼 시장 상황에 따라 자산 비중을 조절하는 전략과 잘 연결된다. HSI는 기존 동적 자산배분 전략의 위험 판단 보조지표로 활용할 수 있다.</w:t>
      </w:r>
    </w:p>
    <w:p>
      <w:pPr>
        <w:spacing w:before="0" w:after="80" w:line="259" w:lineRule="auto"/>
      </w:pPr>
      <w:r>
        <w:rPr>
          <w:rFonts w:ascii="Malgun Gothic" w:hAnsi="Malgun Gothic" w:eastAsia="Malgun Gothic"/>
          <w:b/>
          <w:sz w:val="20"/>
        </w:rPr>
        <w:t>위기 구간 방어 전략:</w:t>
      </w:r>
      <w:r>
        <w:rPr>
          <w:rFonts w:ascii="Malgun Gothic" w:hAnsi="Malgun Gothic" w:eastAsia="Malgun Gothic"/>
          <w:b w:val="0"/>
          <w:sz w:val="20"/>
        </w:rPr>
        <w:t xml:space="preserve"> 코로나 급락, 금리 인상, 기술주 충격 등 이벤트 구간에서 HSI가 위험 신호를 얼마나 잘 포착했는지 검증하기 좋다.</w:t>
      </w:r>
    </w:p>
    <w:p>
      <w:pPr>
        <w:spacing w:before="80" w:after="60" w:line="252" w:lineRule="auto"/>
      </w:pPr>
      <w:r>
        <w:rPr>
          <w:rFonts w:ascii="Malgun Gothic" w:hAnsi="Malgun Gothic" w:eastAsia="Malgun Gothic"/>
          <w:b/>
          <w:color w:val="444444"/>
          <w:sz w:val="22"/>
        </w:rPr>
        <w:t>4.2 덜 적합한 전략</w:t>
      </w:r>
    </w:p>
    <w:p>
      <w:pPr>
        <w:spacing w:before="0" w:after="80" w:line="259" w:lineRule="auto"/>
      </w:pPr>
      <w:r>
        <w:rPr>
          <w:rFonts w:ascii="Malgun Gothic" w:hAnsi="Malgun Gothic" w:eastAsia="Malgun Gothic"/>
          <w:b/>
          <w:sz w:val="20"/>
        </w:rPr>
        <w:t>종목 Selection 전략:</w:t>
      </w:r>
      <w:r>
        <w:rPr>
          <w:rFonts w:ascii="Malgun Gothic" w:hAnsi="Malgun Gothic" w:eastAsia="Malgun Gothic"/>
          <w:b w:val="0"/>
          <w:sz w:val="20"/>
        </w:rPr>
        <w:t xml:space="preserve"> HSI는 PER, PBR, ROE, 매출 성장률처럼 개별 종목의 재무적 매력도를 평가하는 지표가 아니므로 직접적인 종목 선정 모델로 쓰기에는 한계가 있다.</w:t>
      </w:r>
    </w:p>
    <w:p>
      <w:pPr>
        <w:spacing w:before="0" w:after="80" w:line="259" w:lineRule="auto"/>
      </w:pPr>
      <w:r>
        <w:rPr>
          <w:rFonts w:ascii="Malgun Gothic" w:hAnsi="Malgun Gothic" w:eastAsia="Malgun Gothic"/>
          <w:b/>
          <w:sz w:val="20"/>
        </w:rPr>
        <w:t>정적 자산배분 전략:</w:t>
      </w:r>
      <w:r>
        <w:rPr>
          <w:rFonts w:ascii="Malgun Gothic" w:hAnsi="Malgun Gothic" w:eastAsia="Malgun Gothic"/>
          <w:b w:val="0"/>
          <w:sz w:val="20"/>
        </w:rPr>
        <w:t xml:space="preserve"> Equal Weight나 영구 포트폴리오처럼 비중을 고정하는 전략에는 HSI가 직접적으로 필요하지 않다. 다만 HSI 적용 전략의 비교군으로 활용하기에는 적합하다.</w:t>
      </w:r>
    </w:p>
    <w:p>
      <w:pPr>
        <w:spacing w:before="160" w:after="80" w:line="252" w:lineRule="auto"/>
      </w:pPr>
      <w:r>
        <w:rPr>
          <w:rFonts w:ascii="Malgun Gothic" w:hAnsi="Malgun Gothic" w:eastAsia="Malgun Gothic"/>
          <w:b/>
          <w:color w:val="1F4E79"/>
          <w:sz w:val="26"/>
        </w:rPr>
        <w:t>5. 위험자산 분류 필요성</w:t>
      </w:r>
    </w:p>
    <w:p>
      <w:pPr>
        <w:spacing w:before="0" w:after="80" w:line="259" w:lineRule="auto"/>
      </w:pPr>
      <w:r>
        <w:rPr>
          <w:rFonts w:ascii="Malgun Gothic" w:hAnsi="Malgun Gothic" w:eastAsia="Malgun Gothic"/>
          <w:b w:val="0"/>
          <w:sz w:val="20"/>
        </w:rPr>
        <w:t>HSI를 실제 리밸런싱 로직에 연결하려면 ETF를 위험자산, 안전자산, 대체/방어자산으로 분류해야 한다.</w:t>
      </w:r>
    </w:p>
    <w:p>
      <w:pPr>
        <w:spacing w:before="0" w:after="80" w:line="259" w:lineRule="auto"/>
      </w:pPr>
      <w:r>
        <w:rPr>
          <w:rFonts w:ascii="Malgun Gothic" w:hAnsi="Malgun Gothic" w:eastAsia="Malgun Gothic"/>
          <w:b w:val="0"/>
          <w:sz w:val="20"/>
        </w:rPr>
        <w:t>위험 신호가 강화될 때 어떤 자산을 줄이고 어떤 자산을 늘릴지 정해져 있어야 전략이 된다. 따라서 ETF 코드별 자산군 매핑표가 필요하다.</w:t>
      </w:r>
    </w:p>
    <w:p>
      <w:pPr>
        <w:spacing w:before="80" w:after="60" w:line="252" w:lineRule="auto"/>
      </w:pPr>
      <w:r>
        <w:rPr>
          <w:rFonts w:ascii="Malgun Gothic" w:hAnsi="Malgun Gothic" w:eastAsia="Malgun Gothic"/>
          <w:b/>
          <w:color w:val="444444"/>
          <w:sz w:val="22"/>
        </w:rPr>
        <w:t>5.1 분류 기준 초안</w:t>
      </w:r>
    </w:p>
    <w:p>
      <w:pPr>
        <w:pStyle w:val="ListBullet"/>
        <w:spacing w:before="0" w:after="40" w:line="252" w:lineRule="auto"/>
      </w:pPr>
      <w:r>
        <w:rPr>
          <w:rFonts w:ascii="Malgun Gothic" w:hAnsi="Malgun Gothic" w:eastAsia="Malgun Gothic"/>
          <w:b w:val="0"/>
          <w:sz w:val="19"/>
        </w:rPr>
        <w:t>위험자산: 주식형 ETF, 레버리지 ETF, 섹터/테마 ETF, 고변동성 ETF</w:t>
      </w:r>
    </w:p>
    <w:p>
      <w:pPr>
        <w:pStyle w:val="ListBullet"/>
        <w:spacing w:before="0" w:after="40" w:line="252" w:lineRule="auto"/>
      </w:pPr>
      <w:r>
        <w:rPr>
          <w:rFonts w:ascii="Malgun Gothic" w:hAnsi="Malgun Gothic" w:eastAsia="Malgun Gothic"/>
          <w:b w:val="0"/>
          <w:sz w:val="19"/>
        </w:rPr>
        <w:t>안전자산: 채권형 ETF, 단기채 ETF, 현금성 ETF</w:t>
      </w:r>
    </w:p>
    <w:p>
      <w:pPr>
        <w:pStyle w:val="ListBullet"/>
        <w:spacing w:before="0" w:after="40" w:line="252" w:lineRule="auto"/>
      </w:pPr>
      <w:r>
        <w:rPr>
          <w:rFonts w:ascii="Malgun Gothic" w:hAnsi="Malgun Gothic" w:eastAsia="Malgun Gothic"/>
          <w:b w:val="0"/>
          <w:sz w:val="19"/>
        </w:rPr>
        <w:t>대체/방어자산: 금 ETF, 달러 ETF, 원자재 ETF, 인버스 ETF</w:t>
      </w:r>
    </w:p>
    <w:p>
      <w:pPr>
        <w:pStyle w:val="ListBullet"/>
        <w:spacing w:before="0" w:after="40" w:line="252" w:lineRule="auto"/>
      </w:pPr>
      <w:r>
        <w:rPr>
          <w:rFonts w:ascii="Malgun Gothic" w:hAnsi="Malgun Gothic" w:eastAsia="Malgun Gothic"/>
          <w:b w:val="0"/>
          <w:sz w:val="19"/>
        </w:rPr>
        <w:t>분류 보류: ETF명 또는 기초자산 확인이 필요한 종목</w:t>
      </w:r>
    </w:p>
    <w:p>
      <w:pPr>
        <w:spacing w:before="80" w:after="60" w:line="252" w:lineRule="auto"/>
      </w:pPr>
      <w:r>
        <w:rPr>
          <w:rFonts w:ascii="Malgun Gothic" w:hAnsi="Malgun Gothic" w:eastAsia="Malgun Gothic"/>
          <w:b/>
          <w:color w:val="444444"/>
          <w:sz w:val="22"/>
        </w:rPr>
        <w:t>5.2 기획안 반영 문장</w:t>
      </w:r>
    </w:p>
    <w:p>
      <w:pPr>
        <w:spacing w:before="0" w:after="80" w:line="259" w:lineRule="auto"/>
      </w:pPr>
      <w:r>
        <w:rPr>
          <w:rFonts w:ascii="Malgun Gothic" w:hAnsi="Malgun Gothic" w:eastAsia="Malgun Gothic"/>
          <w:b w:val="0"/>
          <w:sz w:val="20"/>
        </w:rPr>
        <w:t>HSI 신호를 실제 비중 조절 전략으로 활용하기 위해 ETF 유니버스를 위험자산, 안전자산, 대체/방어자산으로 분류한다. 위험 신호 강화 시 위험자산 비중을 축소하고 안전자산 또는 방어자산 비중을 확대하는 리밸런싱 규칙을 설계한다.</w:t>
      </w:r>
    </w:p>
    <w:p>
      <w:pPr>
        <w:spacing w:before="160" w:after="80" w:line="252" w:lineRule="auto"/>
      </w:pPr>
      <w:r>
        <w:rPr>
          <w:rFonts w:ascii="Malgun Gothic" w:hAnsi="Malgun Gothic" w:eastAsia="Malgun Gothic"/>
          <w:b/>
          <w:color w:val="1F4E79"/>
          <w:sz w:val="26"/>
        </w:rPr>
        <w:t>6. 데이터 및 자료</w:t>
      </w:r>
    </w:p>
    <w:p>
      <w:pPr>
        <w:spacing w:before="80" w:after="60" w:line="252" w:lineRule="auto"/>
      </w:pPr>
      <w:r>
        <w:rPr>
          <w:rFonts w:ascii="Malgun Gothic" w:hAnsi="Malgun Gothic" w:eastAsia="Malgun Gothic"/>
          <w:b/>
          <w:color w:val="444444"/>
          <w:sz w:val="22"/>
        </w:rPr>
        <w:t>6.1 현재 확보 자료</w:t>
      </w:r>
    </w:p>
    <w:p>
      <w:pPr>
        <w:pStyle w:val="ListBullet"/>
        <w:spacing w:before="0" w:after="40" w:line="252" w:lineRule="auto"/>
      </w:pPr>
      <w:r>
        <w:rPr>
          <w:rFonts w:ascii="Malgun Gothic" w:hAnsi="Malgun Gothic" w:eastAsia="Malgun Gothic"/>
          <w:b w:val="0"/>
          <w:sz w:val="19"/>
        </w:rPr>
        <w:t>한국 ETF 가격 데이터: `data/processed/korea_etf_price_clean.csv`</w:t>
      </w:r>
    </w:p>
    <w:p>
      <w:pPr>
        <w:pStyle w:val="ListBullet"/>
        <w:spacing w:before="0" w:after="40" w:line="252" w:lineRule="auto"/>
      </w:pPr>
      <w:r>
        <w:rPr>
          <w:rFonts w:ascii="Malgun Gothic" w:hAnsi="Malgun Gothic" w:eastAsia="Malgun Gothic"/>
          <w:b w:val="0"/>
          <w:sz w:val="19"/>
        </w:rPr>
        <w:t>원본 ETF 데이터: `data/raw/korea_etf.csv`</w:t>
      </w:r>
    </w:p>
    <w:p>
      <w:pPr>
        <w:pStyle w:val="ListBullet"/>
        <w:spacing w:before="0" w:after="40" w:line="252" w:lineRule="auto"/>
      </w:pPr>
      <w:r>
        <w:rPr>
          <w:rFonts w:ascii="Malgun Gothic" w:hAnsi="Malgun Gothic" w:eastAsia="Malgun Gothic"/>
          <w:b w:val="0"/>
          <w:sz w:val="19"/>
        </w:rPr>
        <w:t>미국 30개 대형주 샘플 데이터: `data/raw/sample_30stocks.xlsx`</w:t>
      </w:r>
    </w:p>
    <w:p>
      <w:pPr>
        <w:pStyle w:val="ListBullet"/>
        <w:spacing w:before="0" w:after="40" w:line="252" w:lineRule="auto"/>
      </w:pPr>
      <w:r>
        <w:rPr>
          <w:rFonts w:ascii="Malgun Gothic" w:hAnsi="Malgun Gothic" w:eastAsia="Malgun Gothic"/>
          <w:b w:val="0"/>
          <w:sz w:val="19"/>
        </w:rPr>
        <w:t>이벤트 캘린더: `data/reference/event_calendar_us_kr.csv`</w:t>
      </w:r>
    </w:p>
    <w:p>
      <w:pPr>
        <w:pStyle w:val="ListBullet"/>
        <w:spacing w:before="0" w:after="40" w:line="252" w:lineRule="auto"/>
      </w:pPr>
      <w:r>
        <w:rPr>
          <w:rFonts w:ascii="Malgun Gothic" w:hAnsi="Malgun Gothic" w:eastAsia="Malgun Gothic"/>
          <w:b w:val="0"/>
          <w:sz w:val="19"/>
        </w:rPr>
        <w:t>포트폴리오 최적화 GUI 코드: `src/portfolio_optimizer.py`</w:t>
      </w:r>
    </w:p>
    <w:p>
      <w:pPr>
        <w:pStyle w:val="ListBullet"/>
        <w:spacing w:before="0" w:after="40" w:line="252" w:lineRule="auto"/>
      </w:pPr>
      <w:r>
        <w:rPr>
          <w:rFonts w:ascii="Malgun Gothic" w:hAnsi="Malgun Gothic" w:eastAsia="Malgun Gothic"/>
          <w:b w:val="0"/>
          <w:sz w:val="19"/>
        </w:rPr>
        <w:t>HSI 분석 코드: `src/04_event_count_index.py` ~ `src/09_visualize_hsi_event_annotations.py`</w:t>
      </w:r>
    </w:p>
    <w:p>
      <w:pPr>
        <w:pStyle w:val="ListBullet"/>
        <w:spacing w:before="0" w:after="40" w:line="252" w:lineRule="auto"/>
      </w:pPr>
      <w:r>
        <w:rPr>
          <w:rFonts w:ascii="Malgun Gothic" w:hAnsi="Malgun Gothic" w:eastAsia="Malgun Gothic"/>
          <w:b w:val="0"/>
          <w:sz w:val="19"/>
        </w:rPr>
        <w:t>HSI 결과 표: `output/tables/`</w:t>
      </w:r>
    </w:p>
    <w:p>
      <w:pPr>
        <w:pStyle w:val="ListBullet"/>
        <w:spacing w:before="0" w:after="40" w:line="252" w:lineRule="auto"/>
      </w:pPr>
      <w:r>
        <w:rPr>
          <w:rFonts w:ascii="Malgun Gothic" w:hAnsi="Malgun Gothic" w:eastAsia="Malgun Gothic"/>
          <w:b w:val="0"/>
          <w:sz w:val="19"/>
        </w:rPr>
        <w:t>HSI 결과 그림: `output/figures/`</w:t>
      </w:r>
    </w:p>
    <w:p>
      <w:pPr>
        <w:spacing w:before="80" w:after="60" w:line="252" w:lineRule="auto"/>
      </w:pPr>
      <w:r>
        <w:rPr>
          <w:rFonts w:ascii="Malgun Gothic" w:hAnsi="Malgun Gothic" w:eastAsia="Malgun Gothic"/>
          <w:b/>
          <w:color w:val="444444"/>
          <w:sz w:val="22"/>
        </w:rPr>
        <w:t>6.2 추가 필요 자료</w:t>
      </w:r>
    </w:p>
    <w:p>
      <w:pPr>
        <w:pStyle w:val="ListBullet"/>
        <w:spacing w:before="0" w:after="40" w:line="252" w:lineRule="auto"/>
      </w:pPr>
      <w:r>
        <w:rPr>
          <w:rFonts w:ascii="Malgun Gothic" w:hAnsi="Malgun Gothic" w:eastAsia="Malgun Gothic"/>
          <w:b w:val="0"/>
          <w:sz w:val="19"/>
        </w:rPr>
        <w:t>ETF 코드별 ETF명 매핑표</w:t>
      </w:r>
    </w:p>
    <w:p>
      <w:pPr>
        <w:pStyle w:val="ListBullet"/>
        <w:spacing w:before="0" w:after="40" w:line="252" w:lineRule="auto"/>
      </w:pPr>
      <w:r>
        <w:rPr>
          <w:rFonts w:ascii="Malgun Gothic" w:hAnsi="Malgun Gothic" w:eastAsia="Malgun Gothic"/>
          <w:b w:val="0"/>
          <w:sz w:val="19"/>
        </w:rPr>
        <w:t>ETF별 자산군 분류표</w:t>
      </w:r>
    </w:p>
    <w:p>
      <w:pPr>
        <w:pStyle w:val="ListBullet"/>
        <w:spacing w:before="0" w:after="40" w:line="252" w:lineRule="auto"/>
      </w:pPr>
      <w:r>
        <w:rPr>
          <w:rFonts w:ascii="Malgun Gothic" w:hAnsi="Malgun Gothic" w:eastAsia="Malgun Gothic"/>
          <w:b w:val="0"/>
          <w:sz w:val="19"/>
        </w:rPr>
        <w:t>가능하면 벤치마크 지수 데이터</w:t>
      </w:r>
    </w:p>
    <w:p>
      <w:pPr>
        <w:pStyle w:val="ListBullet"/>
        <w:spacing w:before="0" w:after="40" w:line="252" w:lineRule="auto"/>
      </w:pPr>
      <w:r>
        <w:rPr>
          <w:rFonts w:ascii="Malgun Gothic" w:hAnsi="Malgun Gothic" w:eastAsia="Malgun Gothic"/>
          <w:b w:val="0"/>
          <w:sz w:val="19"/>
        </w:rPr>
        <w:t>전략 비교를 위한 리밸런싱 기준일 데이터</w:t>
      </w:r>
    </w:p>
    <w:p>
      <w:pPr>
        <w:spacing w:before="160" w:after="80" w:line="252" w:lineRule="auto"/>
      </w:pPr>
      <w:r>
        <w:rPr>
          <w:rFonts w:ascii="Malgun Gothic" w:hAnsi="Malgun Gothic" w:eastAsia="Malgun Gothic"/>
          <w:b/>
          <w:color w:val="1F4E79"/>
          <w:sz w:val="26"/>
        </w:rPr>
        <w:t>7. 분석 및 개발 방법</w:t>
      </w:r>
    </w:p>
    <w:p>
      <w:pPr>
        <w:pStyle w:val="ListNumber"/>
        <w:spacing w:before="0" w:after="40" w:line="252" w:lineRule="auto"/>
      </w:pPr>
      <w:r>
        <w:rPr>
          <w:rFonts w:ascii="Malgun Gothic" w:hAnsi="Malgun Gothic" w:eastAsia="Malgun Gothic"/>
          <w:b w:val="0"/>
          <w:sz w:val="19"/>
        </w:rPr>
        <w:t>한국 ETF 가격 데이터 전처리</w:t>
      </w:r>
    </w:p>
    <w:p>
      <w:pPr>
        <w:pStyle w:val="ListNumber"/>
        <w:spacing w:before="0" w:after="40" w:line="252" w:lineRule="auto"/>
      </w:pPr>
      <w:r>
        <w:rPr>
          <w:rFonts w:ascii="Malgun Gothic" w:hAnsi="Malgun Gothic" w:eastAsia="Malgun Gothic"/>
          <w:b w:val="0"/>
          <w:sz w:val="19"/>
        </w:rPr>
        <w:t>ETF 코드별 자산군 분류</w:t>
      </w:r>
    </w:p>
    <w:p>
      <w:pPr>
        <w:pStyle w:val="ListNumber"/>
        <w:spacing w:before="0" w:after="40" w:line="252" w:lineRule="auto"/>
      </w:pPr>
      <w:r>
        <w:rPr>
          <w:rFonts w:ascii="Malgun Gothic" w:hAnsi="Malgun Gothic" w:eastAsia="Malgun Gothic"/>
          <w:b w:val="0"/>
          <w:sz w:val="19"/>
        </w:rPr>
        <w:t>월별 수익률, 변동성, 추세, 상대강도 등 가격 기반 신호 계산</w:t>
      </w:r>
    </w:p>
    <w:p>
      <w:pPr>
        <w:pStyle w:val="ListNumber"/>
        <w:spacing w:before="0" w:after="40" w:line="252" w:lineRule="auto"/>
      </w:pPr>
      <w:r>
        <w:rPr>
          <w:rFonts w:ascii="Malgun Gothic" w:hAnsi="Malgun Gothic" w:eastAsia="Malgun Gothic"/>
          <w:b w:val="0"/>
          <w:sz w:val="19"/>
        </w:rPr>
        <w:t>HSI 상태 분류</w:t>
      </w:r>
    </w:p>
    <w:p>
      <w:pPr>
        <w:pStyle w:val="ListNumber"/>
        <w:spacing w:before="0" w:after="40" w:line="252" w:lineRule="auto"/>
      </w:pPr>
      <w:r>
        <w:rPr>
          <w:rFonts w:ascii="Malgun Gothic" w:hAnsi="Malgun Gothic" w:eastAsia="Malgun Gothic"/>
          <w:b w:val="0"/>
          <w:sz w:val="19"/>
        </w:rPr>
        <w:t>HSI 상태별 위험/기회 구간 해석</w:t>
      </w:r>
    </w:p>
    <w:p>
      <w:pPr>
        <w:pStyle w:val="ListNumber"/>
        <w:spacing w:before="0" w:after="40" w:line="252" w:lineRule="auto"/>
      </w:pPr>
      <w:r>
        <w:rPr>
          <w:rFonts w:ascii="Malgun Gothic" w:hAnsi="Malgun Gothic" w:eastAsia="Malgun Gothic"/>
          <w:b w:val="0"/>
          <w:sz w:val="19"/>
        </w:rPr>
        <w:t>Equal Weight, GMV, MDP, Risk Parity 전략 구현 또는 제공 GUI 활용</w:t>
      </w:r>
    </w:p>
    <w:p>
      <w:pPr>
        <w:pStyle w:val="ListNumber"/>
        <w:spacing w:before="0" w:after="40" w:line="252" w:lineRule="auto"/>
      </w:pPr>
      <w:r>
        <w:rPr>
          <w:rFonts w:ascii="Malgun Gothic" w:hAnsi="Malgun Gothic" w:eastAsia="Malgun Gothic"/>
          <w:b w:val="0"/>
          <w:sz w:val="19"/>
        </w:rPr>
        <w:t>HSI 기반 비중 조정 규칙 설계</w:t>
      </w:r>
    </w:p>
    <w:p>
      <w:pPr>
        <w:pStyle w:val="ListNumber"/>
        <w:spacing w:before="0" w:after="40" w:line="252" w:lineRule="auto"/>
      </w:pPr>
      <w:r>
        <w:rPr>
          <w:rFonts w:ascii="Malgun Gothic" w:hAnsi="Malgun Gothic" w:eastAsia="Malgun Gothic"/>
          <w:b w:val="0"/>
          <w:sz w:val="19"/>
        </w:rPr>
        <w:t>기존 전략과 HSI 보조 전략의 백테스트 비교</w:t>
      </w:r>
    </w:p>
    <w:p>
      <w:pPr>
        <w:pStyle w:val="ListNumber"/>
        <w:spacing w:before="0" w:after="40" w:line="252" w:lineRule="auto"/>
      </w:pPr>
      <w:r>
        <w:rPr>
          <w:rFonts w:ascii="Malgun Gothic" w:hAnsi="Malgun Gothic" w:eastAsia="Malgun Gothic"/>
          <w:b w:val="0"/>
          <w:sz w:val="19"/>
        </w:rPr>
        <w:t>성과지표 계산 및 시각화</w:t>
      </w:r>
    </w:p>
    <w:p>
      <w:pPr>
        <w:pStyle w:val="ListNumber"/>
        <w:spacing w:before="0" w:after="40" w:line="252" w:lineRule="auto"/>
      </w:pPr>
      <w:r>
        <w:rPr>
          <w:rFonts w:ascii="Malgun Gothic" w:hAnsi="Malgun Gothic" w:eastAsia="Malgun Gothic"/>
          <w:b w:val="0"/>
          <w:sz w:val="19"/>
        </w:rPr>
        <w:t>결과 해석 및 한계 정리</w:t>
      </w:r>
    </w:p>
    <w:p>
      <w:pPr>
        <w:spacing w:before="160" w:after="80" w:line="252" w:lineRule="auto"/>
      </w:pPr>
      <w:r>
        <w:rPr>
          <w:rFonts w:ascii="Malgun Gothic" w:hAnsi="Malgun Gothic" w:eastAsia="Malgun Gothic"/>
          <w:b/>
          <w:color w:val="1F4E79"/>
          <w:sz w:val="26"/>
        </w:rPr>
        <w:t>8. 비교 전략</w:t>
      </w:r>
    </w:p>
    <w:p>
      <w:pPr>
        <w:spacing w:before="80" w:after="60" w:line="252" w:lineRule="auto"/>
      </w:pPr>
      <w:r>
        <w:rPr>
          <w:rFonts w:ascii="Malgun Gothic" w:hAnsi="Malgun Gothic" w:eastAsia="Malgun Gothic"/>
          <w:b/>
          <w:color w:val="444444"/>
          <w:sz w:val="22"/>
        </w:rPr>
        <w:t>8.1 기본 비교군</w:t>
      </w:r>
    </w:p>
    <w:p>
      <w:pPr>
        <w:pStyle w:val="ListBullet"/>
        <w:spacing w:before="0" w:after="40" w:line="252" w:lineRule="auto"/>
      </w:pPr>
      <w:r>
        <w:rPr>
          <w:rFonts w:ascii="Malgun Gothic" w:hAnsi="Malgun Gothic" w:eastAsia="Malgun Gothic"/>
          <w:b w:val="0"/>
          <w:sz w:val="19"/>
        </w:rPr>
        <w:t>Equal Weight: 모든 ETF에 동일 비중 투자</w:t>
      </w:r>
    </w:p>
    <w:p>
      <w:pPr>
        <w:pStyle w:val="ListBullet"/>
        <w:spacing w:before="0" w:after="40" w:line="252" w:lineRule="auto"/>
      </w:pPr>
      <w:r>
        <w:rPr>
          <w:rFonts w:ascii="Malgun Gothic" w:hAnsi="Malgun Gothic" w:eastAsia="Malgun Gothic"/>
          <w:b w:val="0"/>
          <w:sz w:val="19"/>
        </w:rPr>
        <w:t>GMV: 포트폴리오 변동성을 최소화하는 비중 결정</w:t>
      </w:r>
    </w:p>
    <w:p>
      <w:pPr>
        <w:pStyle w:val="ListBullet"/>
        <w:spacing w:before="0" w:after="40" w:line="252" w:lineRule="auto"/>
      </w:pPr>
      <w:r>
        <w:rPr>
          <w:rFonts w:ascii="Malgun Gothic" w:hAnsi="Malgun Gothic" w:eastAsia="Malgun Gothic"/>
          <w:b w:val="0"/>
          <w:sz w:val="19"/>
        </w:rPr>
        <w:t>MDP: 분산 효과를 최대화하는 비중 결정</w:t>
      </w:r>
    </w:p>
    <w:p>
      <w:pPr>
        <w:pStyle w:val="ListBullet"/>
        <w:spacing w:before="0" w:after="40" w:line="252" w:lineRule="auto"/>
      </w:pPr>
      <w:r>
        <w:rPr>
          <w:rFonts w:ascii="Malgun Gothic" w:hAnsi="Malgun Gothic" w:eastAsia="Malgun Gothic"/>
          <w:b w:val="0"/>
          <w:sz w:val="19"/>
        </w:rPr>
        <w:t>Risk Parity: 각 자산의 위험 기여도를 균등하게 조정</w:t>
      </w:r>
    </w:p>
    <w:p>
      <w:pPr>
        <w:spacing w:before="80" w:after="60" w:line="252" w:lineRule="auto"/>
      </w:pPr>
      <w:r>
        <w:rPr>
          <w:rFonts w:ascii="Malgun Gothic" w:hAnsi="Malgun Gothic" w:eastAsia="Malgun Gothic"/>
          <w:b/>
          <w:color w:val="444444"/>
          <w:sz w:val="22"/>
        </w:rPr>
        <w:t>8.2 확장 비교군</w:t>
      </w:r>
    </w:p>
    <w:p>
      <w:pPr>
        <w:pStyle w:val="ListBullet"/>
        <w:spacing w:before="0" w:after="40" w:line="252" w:lineRule="auto"/>
      </w:pPr>
      <w:r>
        <w:rPr>
          <w:rFonts w:ascii="Malgun Gothic" w:hAnsi="Malgun Gothic" w:eastAsia="Malgun Gothic"/>
          <w:b w:val="0"/>
          <w:sz w:val="19"/>
        </w:rPr>
        <w:t>DAA 계열 전략</w:t>
      </w:r>
    </w:p>
    <w:p>
      <w:pPr>
        <w:pStyle w:val="ListBullet"/>
        <w:spacing w:before="0" w:after="40" w:line="252" w:lineRule="auto"/>
      </w:pPr>
      <w:r>
        <w:rPr>
          <w:rFonts w:ascii="Malgun Gothic" w:hAnsi="Malgun Gothic" w:eastAsia="Malgun Gothic"/>
          <w:b w:val="0"/>
          <w:sz w:val="19"/>
        </w:rPr>
        <w:t>모멘텀 기반 동적 자산배분 전략</w:t>
      </w:r>
    </w:p>
    <w:p>
      <w:pPr>
        <w:pStyle w:val="ListBullet"/>
        <w:spacing w:before="0" w:after="40" w:line="252" w:lineRule="auto"/>
      </w:pPr>
      <w:r>
        <w:rPr>
          <w:rFonts w:ascii="Malgun Gothic" w:hAnsi="Malgun Gothic" w:eastAsia="Malgun Gothic"/>
          <w:b w:val="0"/>
          <w:sz w:val="19"/>
        </w:rPr>
        <w:t>HSI 기반 위험자산 비중 조절 전략</w:t>
      </w:r>
    </w:p>
    <w:p>
      <w:pPr>
        <w:spacing w:before="160" w:after="80" w:line="252" w:lineRule="auto"/>
      </w:pPr>
      <w:r>
        <w:rPr>
          <w:rFonts w:ascii="Malgun Gothic" w:hAnsi="Malgun Gothic" w:eastAsia="Malgun Gothic"/>
          <w:b/>
          <w:color w:val="1F4E79"/>
          <w:sz w:val="26"/>
        </w:rPr>
        <w:t>9. 성과 평가 기준</w:t>
      </w:r>
    </w:p>
    <w:p>
      <w:pPr>
        <w:pStyle w:val="ListBullet"/>
        <w:spacing w:before="0" w:after="40" w:line="252" w:lineRule="auto"/>
      </w:pPr>
      <w:r>
        <w:rPr>
          <w:rFonts w:ascii="Malgun Gothic" w:hAnsi="Malgun Gothic" w:eastAsia="Malgun Gothic"/>
          <w:b w:val="0"/>
          <w:sz w:val="19"/>
        </w:rPr>
        <w:t>누적수익률</w:t>
      </w:r>
    </w:p>
    <w:p>
      <w:pPr>
        <w:pStyle w:val="ListBullet"/>
        <w:spacing w:before="0" w:after="40" w:line="252" w:lineRule="auto"/>
      </w:pPr>
      <w:r>
        <w:rPr>
          <w:rFonts w:ascii="Malgun Gothic" w:hAnsi="Malgun Gothic" w:eastAsia="Malgun Gothic"/>
          <w:b w:val="0"/>
          <w:sz w:val="19"/>
        </w:rPr>
        <w:t>CAGR</w:t>
      </w:r>
    </w:p>
    <w:p>
      <w:pPr>
        <w:pStyle w:val="ListBullet"/>
        <w:spacing w:before="0" w:after="40" w:line="252" w:lineRule="auto"/>
      </w:pPr>
      <w:r>
        <w:rPr>
          <w:rFonts w:ascii="Malgun Gothic" w:hAnsi="Malgun Gothic" w:eastAsia="Malgun Gothic"/>
          <w:b w:val="0"/>
          <w:sz w:val="19"/>
        </w:rPr>
        <w:t>MDD</w:t>
      </w:r>
    </w:p>
    <w:p>
      <w:pPr>
        <w:pStyle w:val="ListBullet"/>
        <w:spacing w:before="0" w:after="40" w:line="252" w:lineRule="auto"/>
      </w:pPr>
      <w:r>
        <w:rPr>
          <w:rFonts w:ascii="Malgun Gothic" w:hAnsi="Malgun Gothic" w:eastAsia="Malgun Gothic"/>
          <w:b w:val="0"/>
          <w:sz w:val="19"/>
        </w:rPr>
        <w:t>Sharpe Ratio</w:t>
      </w:r>
    </w:p>
    <w:p>
      <w:pPr>
        <w:pStyle w:val="ListBullet"/>
        <w:spacing w:before="0" w:after="40" w:line="252" w:lineRule="auto"/>
      </w:pPr>
      <w:r>
        <w:rPr>
          <w:rFonts w:ascii="Malgun Gothic" w:hAnsi="Malgun Gothic" w:eastAsia="Malgun Gothic"/>
          <w:b w:val="0"/>
          <w:sz w:val="19"/>
        </w:rPr>
        <w:t>Volatility</w:t>
      </w:r>
    </w:p>
    <w:p>
      <w:pPr>
        <w:pStyle w:val="ListBullet"/>
        <w:spacing w:before="0" w:after="40" w:line="252" w:lineRule="auto"/>
      </w:pPr>
      <w:r>
        <w:rPr>
          <w:rFonts w:ascii="Malgun Gothic" w:hAnsi="Malgun Gothic" w:eastAsia="Malgun Gothic"/>
          <w:b w:val="0"/>
          <w:sz w:val="19"/>
        </w:rPr>
        <w:t>승률 또는 월간 양의 수익률 비율</w:t>
      </w:r>
    </w:p>
    <w:p>
      <w:pPr>
        <w:pStyle w:val="ListBullet"/>
        <w:spacing w:before="0" w:after="40" w:line="252" w:lineRule="auto"/>
      </w:pPr>
      <w:r>
        <w:rPr>
          <w:rFonts w:ascii="Malgun Gothic" w:hAnsi="Malgun Gothic" w:eastAsia="Malgun Gothic"/>
          <w:b w:val="0"/>
          <w:sz w:val="19"/>
        </w:rPr>
        <w:t>위기 구간 방어력</w:t>
      </w:r>
    </w:p>
    <w:p>
      <w:pPr>
        <w:pStyle w:val="ListBullet"/>
        <w:spacing w:before="0" w:after="40" w:line="252" w:lineRule="auto"/>
      </w:pPr>
      <w:r>
        <w:rPr>
          <w:rFonts w:ascii="Malgun Gothic" w:hAnsi="Malgun Gothic" w:eastAsia="Malgun Gothic"/>
          <w:b w:val="0"/>
          <w:sz w:val="19"/>
        </w:rPr>
        <w:t>리밸런싱 이후 Equity Curve</w:t>
      </w:r>
    </w:p>
    <w:p>
      <w:pPr>
        <w:pStyle w:val="ListBullet"/>
        <w:spacing w:before="0" w:after="40" w:line="252" w:lineRule="auto"/>
      </w:pPr>
      <w:r>
        <w:rPr>
          <w:rFonts w:ascii="Malgun Gothic" w:hAnsi="Malgun Gothic" w:eastAsia="Malgun Gothic"/>
          <w:b w:val="0"/>
          <w:sz w:val="19"/>
        </w:rPr>
        <w:t>벤치마크 대비 초과성과</w:t>
      </w:r>
    </w:p>
    <w:p>
      <w:pPr>
        <w:spacing w:before="160" w:after="80" w:line="252" w:lineRule="auto"/>
      </w:pPr>
      <w:r>
        <w:rPr>
          <w:rFonts w:ascii="Malgun Gothic" w:hAnsi="Malgun Gothic" w:eastAsia="Malgun Gothic"/>
          <w:b/>
          <w:color w:val="1F4E79"/>
          <w:sz w:val="26"/>
        </w:rPr>
        <w:t>10. 역할 배분</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center"/>
            <w:shd w:fill="D9EAF7"/>
          </w:tcPr>
          <w:p>
            <w:pPr>
              <w:spacing w:before="0" w:after="0" w:line="240" w:lineRule="auto"/>
            </w:pPr>
            <w:r>
              <w:rPr>
                <w:rFonts w:ascii="Malgun Gothic" w:hAnsi="Malgun Gothic" w:eastAsia="Malgun Gothic"/>
                <w:b/>
                <w:sz w:val="17"/>
              </w:rPr>
              <w:t>담당 영역</w:t>
            </w:r>
          </w:p>
        </w:tc>
        <w:tc>
          <w:tcPr>
            <w:tcW w:type="dxa" w:w="3552"/>
            <w:vAlign w:val="center"/>
            <w:shd w:fill="D9EAF7"/>
          </w:tcPr>
          <w:p>
            <w:pPr>
              <w:spacing w:before="0" w:after="0" w:line="240" w:lineRule="auto"/>
            </w:pPr>
            <w:r>
              <w:rPr>
                <w:rFonts w:ascii="Malgun Gothic" w:hAnsi="Malgun Gothic" w:eastAsia="Malgun Gothic"/>
                <w:b/>
                <w:sz w:val="17"/>
              </w:rPr>
              <w:t>담당자</w:t>
            </w:r>
          </w:p>
        </w:tc>
        <w:tc>
          <w:tcPr>
            <w:tcW w:type="dxa" w:w="3552"/>
            <w:vAlign w:val="center"/>
            <w:shd w:fill="D9EAF7"/>
          </w:tcPr>
          <w:p>
            <w:pPr>
              <w:spacing w:before="0" w:after="0" w:line="240" w:lineRule="auto"/>
            </w:pPr>
            <w:r>
              <w:rPr>
                <w:rFonts w:ascii="Malgun Gothic" w:hAnsi="Malgun Gothic" w:eastAsia="Malgun Gothic"/>
                <w:b/>
                <w:sz w:val="17"/>
              </w:rPr>
              <w:t>주요 업무</w:t>
            </w:r>
          </w:p>
        </w:tc>
      </w:tr>
      <w:tr>
        <w:tc>
          <w:tcPr>
            <w:tcW w:type="dxa" w:w="3552"/>
            <w:vAlign w:val="center"/>
          </w:tcPr>
          <w:p>
            <w:pPr>
              <w:spacing w:before="0" w:after="0" w:line="240" w:lineRule="auto"/>
            </w:pPr>
            <w:r>
              <w:rPr>
                <w:rFonts w:ascii="Malgun Gothic" w:hAnsi="Malgun Gothic" w:eastAsia="Malgun Gothic"/>
                <w:b w:val="0"/>
                <w:sz w:val="17"/>
              </w:rPr>
              <w:t>프로젝트 총괄 및 기획 정리</w:t>
            </w:r>
          </w:p>
        </w:tc>
        <w:tc>
          <w:tcPr>
            <w:tcW w:type="dxa" w:w="3552"/>
            <w:vAlign w:val="center"/>
          </w:tcPr>
          <w:p>
            <w:pPr>
              <w:spacing w:before="0" w:after="0" w:line="240" w:lineRule="auto"/>
            </w:pPr>
            <w:r>
              <w:rPr>
                <w:rFonts w:ascii="Malgun Gothic" w:hAnsi="Malgun Gothic" w:eastAsia="Malgun Gothic"/>
                <w:b w:val="0"/>
                <w:sz w:val="17"/>
              </w:rPr>
              <w:t>권보성</w:t>
            </w:r>
          </w:p>
        </w:tc>
        <w:tc>
          <w:tcPr>
            <w:tcW w:type="dxa" w:w="3552"/>
            <w:vAlign w:val="center"/>
          </w:tcPr>
          <w:p>
            <w:pPr>
              <w:spacing w:before="0" w:after="0" w:line="240" w:lineRule="auto"/>
            </w:pPr>
            <w:r>
              <w:rPr>
                <w:rFonts w:ascii="Malgun Gothic" w:hAnsi="Malgun Gothic" w:eastAsia="Malgun Gothic"/>
                <w:b w:val="0"/>
                <w:sz w:val="17"/>
              </w:rPr>
              <w:t>One Page Proposal 정리, 기획서 작성, 발표 흐름 정리</w:t>
            </w:r>
          </w:p>
        </w:tc>
      </w:tr>
      <w:tr>
        <w:tc>
          <w:tcPr>
            <w:tcW w:type="dxa" w:w="3552"/>
            <w:vAlign w:val="center"/>
          </w:tcPr>
          <w:p>
            <w:pPr>
              <w:spacing w:before="0" w:after="0" w:line="240" w:lineRule="auto"/>
            </w:pPr>
            <w:r>
              <w:rPr>
                <w:rFonts w:ascii="Malgun Gothic" w:hAnsi="Malgun Gothic" w:eastAsia="Malgun Gothic"/>
                <w:b w:val="0"/>
                <w:sz w:val="17"/>
              </w:rPr>
              <w:t>HSI 설계 및 신호 로직</w:t>
            </w:r>
          </w:p>
        </w:tc>
        <w:tc>
          <w:tcPr>
            <w:tcW w:type="dxa" w:w="3552"/>
            <w:vAlign w:val="center"/>
          </w:tcPr>
          <w:p>
            <w:pPr>
              <w:spacing w:before="0" w:after="0" w:line="240" w:lineRule="auto"/>
            </w:pPr>
            <w:r>
              <w:rPr>
                <w:rFonts w:ascii="Malgun Gothic" w:hAnsi="Malgun Gothic" w:eastAsia="Malgun Gothic"/>
                <w:b w:val="0"/>
                <w:sz w:val="17"/>
              </w:rPr>
              <w:t>김근형</w:t>
            </w:r>
          </w:p>
        </w:tc>
        <w:tc>
          <w:tcPr>
            <w:tcW w:type="dxa" w:w="3552"/>
            <w:vAlign w:val="center"/>
          </w:tcPr>
          <w:p>
            <w:pPr>
              <w:spacing w:before="0" w:after="0" w:line="240" w:lineRule="auto"/>
            </w:pPr>
            <w:r>
              <w:rPr>
                <w:rFonts w:ascii="Malgun Gothic" w:hAnsi="Malgun Gothic" w:eastAsia="Malgun Gothic"/>
                <w:b w:val="0"/>
                <w:sz w:val="17"/>
              </w:rPr>
              <w:t>HSI 기준표 정리, market timing 신호 설계, HSI 상태 해석</w:t>
            </w:r>
          </w:p>
        </w:tc>
      </w:tr>
      <w:tr>
        <w:tc>
          <w:tcPr>
            <w:tcW w:type="dxa" w:w="3552"/>
            <w:vAlign w:val="center"/>
          </w:tcPr>
          <w:p>
            <w:pPr>
              <w:spacing w:before="0" w:after="0" w:line="240" w:lineRule="auto"/>
            </w:pPr>
            <w:r>
              <w:rPr>
                <w:rFonts w:ascii="Malgun Gothic" w:hAnsi="Malgun Gothic" w:eastAsia="Malgun Gothic"/>
                <w:b w:val="0"/>
                <w:sz w:val="17"/>
              </w:rPr>
              <w:t>전략 검증 및 모델 방향 검토</w:t>
            </w:r>
          </w:p>
        </w:tc>
        <w:tc>
          <w:tcPr>
            <w:tcW w:type="dxa" w:w="3552"/>
            <w:vAlign w:val="center"/>
          </w:tcPr>
          <w:p>
            <w:pPr>
              <w:spacing w:before="0" w:after="0" w:line="240" w:lineRule="auto"/>
            </w:pPr>
            <w:r>
              <w:rPr>
                <w:rFonts w:ascii="Malgun Gothic" w:hAnsi="Malgun Gothic" w:eastAsia="Malgun Gothic"/>
                <w:b w:val="0"/>
                <w:sz w:val="17"/>
              </w:rPr>
              <w:t>김민호</w:t>
            </w:r>
          </w:p>
        </w:tc>
        <w:tc>
          <w:tcPr>
            <w:tcW w:type="dxa" w:w="3552"/>
            <w:vAlign w:val="center"/>
          </w:tcPr>
          <w:p>
            <w:pPr>
              <w:spacing w:before="0" w:after="0" w:line="240" w:lineRule="auto"/>
            </w:pPr>
            <w:r>
              <w:rPr>
                <w:rFonts w:ascii="Malgun Gothic" w:hAnsi="Malgun Gothic" w:eastAsia="Malgun Gothic"/>
                <w:b w:val="0"/>
                <w:sz w:val="17"/>
              </w:rPr>
              <w:t>HSI 가설 검토, 파라미터 가중치/검증 방식 의견 제시, 전략 비교 방향 검토</w:t>
            </w:r>
          </w:p>
        </w:tc>
      </w:tr>
      <w:tr>
        <w:tc>
          <w:tcPr>
            <w:tcW w:type="dxa" w:w="3552"/>
            <w:vAlign w:val="center"/>
          </w:tcPr>
          <w:p>
            <w:pPr>
              <w:spacing w:before="0" w:after="0" w:line="240" w:lineRule="auto"/>
            </w:pPr>
            <w:r>
              <w:rPr>
                <w:rFonts w:ascii="Malgun Gothic" w:hAnsi="Malgun Gothic" w:eastAsia="Malgun Gothic"/>
                <w:b w:val="0"/>
                <w:sz w:val="17"/>
              </w:rPr>
              <w:t>데이터 확인 및 문서 보완</w:t>
            </w:r>
          </w:p>
        </w:tc>
        <w:tc>
          <w:tcPr>
            <w:tcW w:type="dxa" w:w="3552"/>
            <w:vAlign w:val="center"/>
          </w:tcPr>
          <w:p>
            <w:pPr>
              <w:spacing w:before="0" w:after="0" w:line="240" w:lineRule="auto"/>
            </w:pPr>
            <w:r>
              <w:rPr>
                <w:rFonts w:ascii="Malgun Gothic" w:hAnsi="Malgun Gothic" w:eastAsia="Malgun Gothic"/>
                <w:b w:val="0"/>
                <w:sz w:val="17"/>
              </w:rPr>
              <w:t>추주원</w:t>
            </w:r>
          </w:p>
        </w:tc>
        <w:tc>
          <w:tcPr>
            <w:tcW w:type="dxa" w:w="3552"/>
            <w:vAlign w:val="center"/>
          </w:tcPr>
          <w:p>
            <w:pPr>
              <w:spacing w:before="0" w:after="0" w:line="240" w:lineRule="auto"/>
            </w:pPr>
            <w:r>
              <w:rPr>
                <w:rFonts w:ascii="Malgun Gothic" w:hAnsi="Malgun Gothic" w:eastAsia="Malgun Gothic"/>
                <w:b w:val="0"/>
                <w:sz w:val="17"/>
              </w:rPr>
              <w:t>제공 데이터 확인, 샘플 데이터 활용 가능성 검토, 자료 정리 및 피드백</w:t>
            </w:r>
          </w:p>
        </w:tc>
      </w:tr>
    </w:tbl>
    <w:p/>
    <w:p>
      <w:pPr>
        <w:spacing w:before="80" w:after="60" w:line="252" w:lineRule="auto"/>
      </w:pPr>
      <w:r>
        <w:rPr>
          <w:rFonts w:ascii="Malgun Gothic" w:hAnsi="Malgun Gothic" w:eastAsia="Malgun Gothic"/>
          <w:b/>
          <w:color w:val="444444"/>
          <w:sz w:val="22"/>
        </w:rPr>
        <w:t>10.1 세부 역할</w:t>
      </w:r>
    </w:p>
    <w:p>
      <w:pPr>
        <w:spacing w:before="0" w:after="80" w:line="259" w:lineRule="auto"/>
      </w:pPr>
      <w:r>
        <w:rPr>
          <w:rFonts w:ascii="Malgun Gothic" w:hAnsi="Malgun Gothic" w:eastAsia="Malgun Gothic"/>
          <w:b/>
          <w:sz w:val="20"/>
        </w:rPr>
        <w:t>데이터 담당:</w:t>
      </w:r>
      <w:r>
        <w:rPr>
          <w:rFonts w:ascii="Malgun Gothic" w:hAnsi="Malgun Gothic" w:eastAsia="Malgun Gothic"/>
          <w:b w:val="0"/>
          <w:sz w:val="20"/>
        </w:rPr>
        <w:t xml:space="preserve"> ETF 가격 데이터 구조 확인, ETF명 및 자산군 매핑표 작성, 결측치 및 기간 확인</w:t>
      </w:r>
    </w:p>
    <w:p>
      <w:pPr>
        <w:spacing w:before="0" w:after="80" w:line="259" w:lineRule="auto"/>
      </w:pPr>
      <w:r>
        <w:rPr>
          <w:rFonts w:ascii="Malgun Gothic" w:hAnsi="Malgun Gothic" w:eastAsia="Malgun Gothic"/>
          <w:b/>
          <w:sz w:val="20"/>
        </w:rPr>
        <w:t>전략 담당:</w:t>
      </w:r>
      <w:r>
        <w:rPr>
          <w:rFonts w:ascii="Malgun Gothic" w:hAnsi="Malgun Gothic" w:eastAsia="Malgun Gothic"/>
          <w:b w:val="0"/>
          <w:sz w:val="20"/>
        </w:rPr>
        <w:t xml:space="preserve"> Equal Weight, GMV, MDP, Risk Parity, DAA 등 비교 전략 정리</w:t>
      </w:r>
    </w:p>
    <w:p>
      <w:pPr>
        <w:spacing w:before="0" w:after="80" w:line="259" w:lineRule="auto"/>
      </w:pPr>
      <w:r>
        <w:rPr>
          <w:rFonts w:ascii="Malgun Gothic" w:hAnsi="Malgun Gothic" w:eastAsia="Malgun Gothic"/>
          <w:b/>
          <w:sz w:val="20"/>
        </w:rPr>
        <w:t>신호 담당:</w:t>
      </w:r>
      <w:r>
        <w:rPr>
          <w:rFonts w:ascii="Malgun Gothic" w:hAnsi="Malgun Gothic" w:eastAsia="Malgun Gothic"/>
          <w:b w:val="0"/>
          <w:sz w:val="20"/>
        </w:rPr>
        <w:t xml:space="preserve"> 모멘텀, 이동평균, 변동성, 상대강도, HSI 후보 지표 정리</w:t>
      </w:r>
    </w:p>
    <w:p>
      <w:pPr>
        <w:spacing w:before="0" w:after="80" w:line="259" w:lineRule="auto"/>
      </w:pPr>
      <w:r>
        <w:rPr>
          <w:rFonts w:ascii="Malgun Gothic" w:hAnsi="Malgun Gothic" w:eastAsia="Malgun Gothic"/>
          <w:b/>
          <w:sz w:val="20"/>
        </w:rPr>
        <w:t>백테스트 담당:</w:t>
      </w:r>
      <w:r>
        <w:rPr>
          <w:rFonts w:ascii="Malgun Gothic" w:hAnsi="Malgun Gothic" w:eastAsia="Malgun Gothic"/>
          <w:b w:val="0"/>
          <w:sz w:val="20"/>
        </w:rPr>
        <w:t xml:space="preserve"> 성과지표 계산, Equity Curve 작성, 위기 구간 성과 비교</w:t>
      </w:r>
    </w:p>
    <w:p>
      <w:pPr>
        <w:spacing w:before="0" w:after="80" w:line="259" w:lineRule="auto"/>
      </w:pPr>
      <w:r>
        <w:rPr>
          <w:rFonts w:ascii="Malgun Gothic" w:hAnsi="Malgun Gothic" w:eastAsia="Malgun Gothic"/>
          <w:b/>
          <w:sz w:val="20"/>
        </w:rPr>
        <w:t>발표 담당:</w:t>
      </w:r>
      <w:r>
        <w:rPr>
          <w:rFonts w:ascii="Malgun Gothic" w:hAnsi="Malgun Gothic" w:eastAsia="Malgun Gothic"/>
          <w:b w:val="0"/>
          <w:sz w:val="20"/>
        </w:rPr>
        <w:t xml:space="preserve"> PPT 목차 구성, HSI 모래시계 모형 설명, 결과 요약</w:t>
      </w:r>
    </w:p>
    <w:p>
      <w:pPr>
        <w:spacing w:before="160" w:after="80" w:line="252" w:lineRule="auto"/>
      </w:pPr>
      <w:r>
        <w:rPr>
          <w:rFonts w:ascii="Malgun Gothic" w:hAnsi="Malgun Gothic" w:eastAsia="Malgun Gothic"/>
          <w:b/>
          <w:color w:val="1F4E79"/>
          <w:sz w:val="26"/>
        </w:rPr>
        <w:t>11. 프로젝트 일정</w:t>
      </w:r>
    </w:p>
    <w:p>
      <w:pPr>
        <w:spacing w:before="0" w:after="80" w:line="259" w:lineRule="auto"/>
      </w:pPr>
      <w:r>
        <w:rPr>
          <w:rFonts w:ascii="Malgun Gothic" w:hAnsi="Malgun Gothic" w:eastAsia="Malgun Gothic"/>
          <w:b w:val="0"/>
          <w:sz w:val="20"/>
        </w:rPr>
        <w:t>프로젝트 기간이 길지 않기 때문에 모든 작업을 순차적으로 진행하기보다, 데이터 정리, 전략 구현, HSI 신호 설계, 백테스트 설계, 발표자료 구성을 병렬로 진행한다. 특히 데이터 담당과 전략 담당은 초반부터 동시에 작업하고, 백테스트 담당은 전략 코드가 완성될 때까지 기다리지 않고 성과지표 산식과 시각화 틀을 먼저 준비한다.</w:t>
      </w:r>
    </w:p>
    <w:p>
      <w:pPr>
        <w:spacing w:before="0" w:after="80" w:line="259" w:lineRule="auto"/>
      </w:pPr>
      <w:r>
        <w:rPr>
          <w:rFonts w:ascii="Malgun Gothic" w:hAnsi="Malgun Gothic" w:eastAsia="Malgun Gothic"/>
          <w:b w:val="0"/>
          <w:sz w:val="20"/>
        </w:rPr>
        <w:t>일정은 실제 작업 가능일 기준으로 작성한다. 주말인 6/27~6/28, 7/4~7/5, 7/11~7/12는 제외하고, 노션 페이지에 명시된 휴강일인 7/10(금)도 작업일에서 제외한다. 요청에서 언급된 6/10은 프로젝트 기간 밖 날짜이므로 일정표에는 반영하지 않는다.</w:t>
      </w:r>
    </w:p>
    <w:p>
      <w:pPr>
        <w:spacing w:before="80" w:after="60" w:line="252" w:lineRule="auto"/>
      </w:pPr>
      <w:r>
        <w:rPr>
          <w:rFonts w:ascii="Malgun Gothic" w:hAnsi="Malgun Gothic" w:eastAsia="Malgun Gothic"/>
          <w:b/>
          <w:color w:val="444444"/>
          <w:sz w:val="22"/>
        </w:rPr>
        <w:t>11.1 간트 차트</w:t>
      </w:r>
    </w:p>
    <w:tbl>
      <w:tblPr>
        <w:tblStyle w:val="TableGrid"/>
        <w:tblW w:type="auto" w:w="0"/>
        <w:jc w:val="center"/>
        <w:tblLook w:firstColumn="1" w:firstRow="1" w:lastColumn="0" w:lastRow="0" w:noHBand="0" w:noVBand="1" w:val="04A0"/>
      </w:tblPr>
      <w:tblGrid>
        <w:gridCol w:w="1332"/>
        <w:gridCol w:w="1332"/>
        <w:gridCol w:w="1332"/>
        <w:gridCol w:w="1332"/>
        <w:gridCol w:w="1332"/>
        <w:gridCol w:w="1332"/>
        <w:gridCol w:w="1332"/>
        <w:gridCol w:w="1332"/>
      </w:tblGrid>
      <w:tr>
        <w:tc>
          <w:tcPr>
            <w:tcW w:type="dxa" w:w="1332"/>
            <w:vAlign w:val="center"/>
            <w:shd w:fill="D9EAF7"/>
          </w:tcPr>
          <w:p>
            <w:pPr>
              <w:spacing w:before="0" w:after="0" w:line="240" w:lineRule="auto"/>
            </w:pPr>
            <w:r>
              <w:rPr>
                <w:rFonts w:ascii="Malgun Gothic" w:hAnsi="Malgun Gothic" w:eastAsia="Malgun Gothic"/>
                <w:b/>
                <w:sz w:val="14"/>
              </w:rPr>
              <w:t>작업</w:t>
            </w:r>
          </w:p>
        </w:tc>
        <w:tc>
          <w:tcPr>
            <w:tcW w:type="dxa" w:w="1332"/>
            <w:vAlign w:val="center"/>
            <w:shd w:fill="D9EAF7"/>
          </w:tcPr>
          <w:p>
            <w:pPr>
              <w:spacing w:before="0" w:after="0" w:line="240" w:lineRule="auto"/>
            </w:pPr>
            <w:r>
              <w:rPr>
                <w:rFonts w:ascii="Malgun Gothic" w:hAnsi="Malgun Gothic" w:eastAsia="Malgun Gothic"/>
                <w:b/>
                <w:sz w:val="14"/>
              </w:rPr>
              <w:t>담당</w:t>
            </w:r>
          </w:p>
        </w:tc>
        <w:tc>
          <w:tcPr>
            <w:tcW w:type="dxa" w:w="1332"/>
            <w:vAlign w:val="center"/>
            <w:shd w:fill="D9EAF7"/>
          </w:tcPr>
          <w:p>
            <w:pPr>
              <w:spacing w:before="0" w:after="0" w:line="240" w:lineRule="auto"/>
            </w:pPr>
            <w:r>
              <w:rPr>
                <w:rFonts w:ascii="Malgun Gothic" w:hAnsi="Malgun Gothic" w:eastAsia="Malgun Gothic"/>
                <w:b/>
                <w:sz w:val="14"/>
              </w:rPr>
              <w:t>6/24~6/25</w:t>
            </w:r>
          </w:p>
        </w:tc>
        <w:tc>
          <w:tcPr>
            <w:tcW w:type="dxa" w:w="1332"/>
            <w:vAlign w:val="center"/>
            <w:shd w:fill="D9EAF7"/>
          </w:tcPr>
          <w:p>
            <w:pPr>
              <w:spacing w:before="0" w:after="0" w:line="240" w:lineRule="auto"/>
            </w:pPr>
            <w:r>
              <w:rPr>
                <w:rFonts w:ascii="Malgun Gothic" w:hAnsi="Malgun Gothic" w:eastAsia="Malgun Gothic"/>
                <w:b/>
                <w:sz w:val="14"/>
              </w:rPr>
              <w:t>6/26</w:t>
            </w:r>
          </w:p>
        </w:tc>
        <w:tc>
          <w:tcPr>
            <w:tcW w:type="dxa" w:w="1332"/>
            <w:vAlign w:val="center"/>
            <w:shd w:fill="D9EAF7"/>
          </w:tcPr>
          <w:p>
            <w:pPr>
              <w:spacing w:before="0" w:after="0" w:line="240" w:lineRule="auto"/>
            </w:pPr>
            <w:r>
              <w:rPr>
                <w:rFonts w:ascii="Malgun Gothic" w:hAnsi="Malgun Gothic" w:eastAsia="Malgun Gothic"/>
                <w:b/>
                <w:sz w:val="14"/>
              </w:rPr>
              <w:t>6/29~7/03</w:t>
            </w:r>
          </w:p>
        </w:tc>
        <w:tc>
          <w:tcPr>
            <w:tcW w:type="dxa" w:w="1332"/>
            <w:vAlign w:val="center"/>
            <w:shd w:fill="D9EAF7"/>
          </w:tcPr>
          <w:p>
            <w:pPr>
              <w:spacing w:before="0" w:after="0" w:line="240" w:lineRule="auto"/>
            </w:pPr>
            <w:r>
              <w:rPr>
                <w:rFonts w:ascii="Malgun Gothic" w:hAnsi="Malgun Gothic" w:eastAsia="Malgun Gothic"/>
                <w:b/>
                <w:sz w:val="14"/>
              </w:rPr>
              <w:t>7/06~7/09</w:t>
            </w:r>
          </w:p>
        </w:tc>
        <w:tc>
          <w:tcPr>
            <w:tcW w:type="dxa" w:w="1332"/>
            <w:vAlign w:val="center"/>
            <w:shd w:fill="D9EAF7"/>
          </w:tcPr>
          <w:p>
            <w:pPr>
              <w:spacing w:before="0" w:after="0" w:line="240" w:lineRule="auto"/>
            </w:pPr>
            <w:r>
              <w:rPr>
                <w:rFonts w:ascii="Malgun Gothic" w:hAnsi="Malgun Gothic" w:eastAsia="Malgun Gothic"/>
                <w:b/>
                <w:sz w:val="14"/>
              </w:rPr>
              <w:t>7/10</w:t>
            </w:r>
          </w:p>
        </w:tc>
        <w:tc>
          <w:tcPr>
            <w:tcW w:type="dxa" w:w="1332"/>
            <w:vAlign w:val="center"/>
            <w:shd w:fill="D9EAF7"/>
          </w:tcPr>
          <w:p>
            <w:pPr>
              <w:spacing w:before="0" w:after="0" w:line="240" w:lineRule="auto"/>
            </w:pPr>
            <w:r>
              <w:rPr>
                <w:rFonts w:ascii="Malgun Gothic" w:hAnsi="Malgun Gothic" w:eastAsia="Malgun Gothic"/>
                <w:b/>
                <w:sz w:val="14"/>
              </w:rPr>
              <w:t>7/13</w:t>
            </w:r>
          </w:p>
        </w:tc>
      </w:tr>
      <w:tr>
        <w:tc>
          <w:tcPr>
            <w:tcW w:type="dxa" w:w="1332"/>
            <w:vAlign w:val="center"/>
          </w:tcPr>
          <w:p>
            <w:pPr>
              <w:spacing w:before="0" w:after="0" w:line="240" w:lineRule="auto"/>
            </w:pPr>
            <w:r>
              <w:rPr>
                <w:rFonts w:ascii="Malgun Gothic" w:hAnsi="Malgun Gothic" w:eastAsia="Malgun Gothic"/>
                <w:b w:val="0"/>
                <w:sz w:val="14"/>
              </w:rPr>
              <w:t>프로젝트 방향 확정 및 기획서 작성</w:t>
            </w:r>
          </w:p>
        </w:tc>
        <w:tc>
          <w:tcPr>
            <w:tcW w:type="dxa" w:w="1332"/>
            <w:vAlign w:val="center"/>
          </w:tcPr>
          <w:p>
            <w:pPr>
              <w:spacing w:before="0" w:after="0" w:line="240" w:lineRule="auto"/>
            </w:pPr>
            <w:r>
              <w:rPr>
                <w:rFonts w:ascii="Malgun Gothic" w:hAnsi="Malgun Gothic" w:eastAsia="Malgun Gothic"/>
                <w:b w:val="0"/>
                <w:sz w:val="14"/>
              </w:rPr>
              <w:t>권보성</w:t>
            </w:r>
          </w:p>
        </w:tc>
        <w:tc>
          <w:tcPr>
            <w:tcW w:type="dxa" w:w="1332"/>
            <w:vAlign w:val="center"/>
          </w:tcPr>
          <w:p>
            <w:pPr>
              <w:spacing w:before="0" w:after="0" w:line="240" w:lineRule="auto"/>
            </w:pPr>
            <w:r>
              <w:rPr>
                <w:rFonts w:ascii="Malgun Gothic" w:hAnsi="Malgun Gothic" w:eastAsia="Malgun Gothic"/>
                <w:b w:val="0"/>
                <w:sz w:val="14"/>
              </w:rPr>
              <w:t>■</w:t>
            </w:r>
          </w:p>
        </w:tc>
        <w:tc>
          <w:tcPr>
            <w:tcW w:type="dxa" w:w="1332"/>
            <w:vAlign w:val="center"/>
          </w:tcPr>
          <w:p>
            <w:pPr>
              <w:spacing w:before="0" w:after="0" w:line="240" w:lineRule="auto"/>
            </w:pPr>
            <w:r>
              <w:rPr>
                <w:rFonts w:ascii="Malgun Gothic" w:hAnsi="Malgun Gothic" w:eastAsia="Malgun Gothic"/>
                <w:b w:val="0"/>
                <w:sz w:val="14"/>
              </w:rPr>
              <w:t>■</w:t>
            </w:r>
          </w:p>
        </w:tc>
        <w:tc>
          <w:tcPr>
            <w:tcW w:type="dxa" w:w="1332"/>
            <w:vAlign w:val="center"/>
          </w:tcPr>
          <w:p>
            <w:pPr>
              <w:spacing w:before="0" w:after="0" w:line="240" w:lineRule="auto"/>
            </w:pPr>
            <w:r>
              <w:rPr>
                <w:rFonts w:ascii="Malgun Gothic" w:hAnsi="Malgun Gothic" w:eastAsia="Malgun Gothic"/>
                <w:b w:val="0"/>
                <w:sz w:val="14"/>
              </w:rPr>
            </w:r>
          </w:p>
        </w:tc>
        <w:tc>
          <w:tcPr>
            <w:tcW w:type="dxa" w:w="1332"/>
            <w:vAlign w:val="center"/>
          </w:tcPr>
          <w:p>
            <w:pPr>
              <w:spacing w:before="0" w:after="0" w:line="240" w:lineRule="auto"/>
            </w:pPr>
            <w:r>
              <w:rPr>
                <w:rFonts w:ascii="Malgun Gothic" w:hAnsi="Malgun Gothic" w:eastAsia="Malgun Gothic"/>
                <w:b w:val="0"/>
                <w:sz w:val="14"/>
              </w:rPr>
            </w:r>
          </w:p>
        </w:tc>
        <w:tc>
          <w:tcPr>
            <w:tcW w:type="dxa" w:w="1332"/>
            <w:vAlign w:val="center"/>
            <w:shd w:fill="FCE4D6"/>
          </w:tcPr>
          <w:p>
            <w:pPr>
              <w:spacing w:before="0" w:after="0" w:line="240" w:lineRule="auto"/>
            </w:pPr>
            <w:r>
              <w:rPr>
                <w:rFonts w:ascii="Malgun Gothic" w:hAnsi="Malgun Gothic" w:eastAsia="Malgun Gothic"/>
                <w:b w:val="0"/>
                <w:sz w:val="14"/>
              </w:rPr>
              <w:t>휴일</w:t>
            </w:r>
          </w:p>
        </w:tc>
        <w:tc>
          <w:tcPr>
            <w:tcW w:type="dxa" w:w="1332"/>
            <w:vAlign w:val="center"/>
          </w:tcPr>
          <w:p>
            <w:pPr>
              <w:spacing w:before="0" w:after="0" w:line="240" w:lineRule="auto"/>
            </w:pPr>
            <w:r>
              <w:rPr>
                <w:rFonts w:ascii="Malgun Gothic" w:hAnsi="Malgun Gothic" w:eastAsia="Malgun Gothic"/>
                <w:b w:val="0"/>
                <w:sz w:val="14"/>
              </w:rPr>
            </w:r>
          </w:p>
        </w:tc>
      </w:tr>
      <w:tr>
        <w:tc>
          <w:tcPr>
            <w:tcW w:type="dxa" w:w="1332"/>
            <w:vAlign w:val="center"/>
          </w:tcPr>
          <w:p>
            <w:pPr>
              <w:spacing w:before="0" w:after="0" w:line="240" w:lineRule="auto"/>
            </w:pPr>
            <w:r>
              <w:rPr>
                <w:rFonts w:ascii="Malgun Gothic" w:hAnsi="Malgun Gothic" w:eastAsia="Malgun Gothic"/>
                <w:b w:val="0"/>
                <w:sz w:val="14"/>
              </w:rPr>
              <w:t>노션 요구사항 반영 및 발표 흐름 정리</w:t>
            </w:r>
          </w:p>
        </w:tc>
        <w:tc>
          <w:tcPr>
            <w:tcW w:type="dxa" w:w="1332"/>
            <w:vAlign w:val="center"/>
          </w:tcPr>
          <w:p>
            <w:pPr>
              <w:spacing w:before="0" w:after="0" w:line="240" w:lineRule="auto"/>
            </w:pPr>
            <w:r>
              <w:rPr>
                <w:rFonts w:ascii="Malgun Gothic" w:hAnsi="Malgun Gothic" w:eastAsia="Malgun Gothic"/>
                <w:b w:val="0"/>
                <w:sz w:val="14"/>
              </w:rPr>
              <w:t>권보성</w:t>
            </w:r>
          </w:p>
        </w:tc>
        <w:tc>
          <w:tcPr>
            <w:tcW w:type="dxa" w:w="1332"/>
            <w:vAlign w:val="center"/>
          </w:tcPr>
          <w:p>
            <w:pPr>
              <w:spacing w:before="0" w:after="0" w:line="240" w:lineRule="auto"/>
            </w:pPr>
            <w:r>
              <w:rPr>
                <w:rFonts w:ascii="Malgun Gothic" w:hAnsi="Malgun Gothic" w:eastAsia="Malgun Gothic"/>
                <w:b w:val="0"/>
                <w:sz w:val="14"/>
              </w:rPr>
              <w:t>■</w:t>
            </w:r>
          </w:p>
        </w:tc>
        <w:tc>
          <w:tcPr>
            <w:tcW w:type="dxa" w:w="1332"/>
            <w:vAlign w:val="center"/>
          </w:tcPr>
          <w:p>
            <w:pPr>
              <w:spacing w:before="0" w:after="0" w:line="240" w:lineRule="auto"/>
            </w:pPr>
            <w:r>
              <w:rPr>
                <w:rFonts w:ascii="Malgun Gothic" w:hAnsi="Malgun Gothic" w:eastAsia="Malgun Gothic"/>
                <w:b w:val="0"/>
                <w:sz w:val="14"/>
              </w:rPr>
              <w:t>■</w:t>
            </w:r>
          </w:p>
        </w:tc>
        <w:tc>
          <w:tcPr>
            <w:tcW w:type="dxa" w:w="1332"/>
            <w:vAlign w:val="center"/>
          </w:tcPr>
          <w:p>
            <w:pPr>
              <w:spacing w:before="0" w:after="0" w:line="240" w:lineRule="auto"/>
            </w:pPr>
            <w:r>
              <w:rPr>
                <w:rFonts w:ascii="Malgun Gothic" w:hAnsi="Malgun Gothic" w:eastAsia="Malgun Gothic"/>
                <w:b w:val="0"/>
                <w:sz w:val="14"/>
              </w:rPr>
              <w:t>■</w:t>
            </w:r>
          </w:p>
        </w:tc>
        <w:tc>
          <w:tcPr>
            <w:tcW w:type="dxa" w:w="1332"/>
            <w:vAlign w:val="center"/>
          </w:tcPr>
          <w:p>
            <w:pPr>
              <w:spacing w:before="0" w:after="0" w:line="240" w:lineRule="auto"/>
            </w:pPr>
            <w:r>
              <w:rPr>
                <w:rFonts w:ascii="Malgun Gothic" w:hAnsi="Malgun Gothic" w:eastAsia="Malgun Gothic"/>
                <w:b w:val="0"/>
                <w:sz w:val="14"/>
              </w:rPr>
              <w:t>■</w:t>
            </w:r>
          </w:p>
        </w:tc>
        <w:tc>
          <w:tcPr>
            <w:tcW w:type="dxa" w:w="1332"/>
            <w:vAlign w:val="center"/>
            <w:shd w:fill="FCE4D6"/>
          </w:tcPr>
          <w:p>
            <w:pPr>
              <w:spacing w:before="0" w:after="0" w:line="240" w:lineRule="auto"/>
            </w:pPr>
            <w:r>
              <w:rPr>
                <w:rFonts w:ascii="Malgun Gothic" w:hAnsi="Malgun Gothic" w:eastAsia="Malgun Gothic"/>
                <w:b w:val="0"/>
                <w:sz w:val="14"/>
              </w:rPr>
              <w:t>휴일</w:t>
            </w:r>
          </w:p>
        </w:tc>
        <w:tc>
          <w:tcPr>
            <w:tcW w:type="dxa" w:w="1332"/>
            <w:vAlign w:val="center"/>
          </w:tcPr>
          <w:p>
            <w:pPr>
              <w:spacing w:before="0" w:after="0" w:line="240" w:lineRule="auto"/>
            </w:pPr>
            <w:r>
              <w:rPr>
                <w:rFonts w:ascii="Malgun Gothic" w:hAnsi="Malgun Gothic" w:eastAsia="Malgun Gothic"/>
                <w:b w:val="0"/>
                <w:sz w:val="14"/>
              </w:rPr>
            </w:r>
          </w:p>
        </w:tc>
      </w:tr>
      <w:tr>
        <w:tc>
          <w:tcPr>
            <w:tcW w:type="dxa" w:w="1332"/>
            <w:vAlign w:val="center"/>
          </w:tcPr>
          <w:p>
            <w:pPr>
              <w:spacing w:before="0" w:after="0" w:line="240" w:lineRule="auto"/>
            </w:pPr>
            <w:r>
              <w:rPr>
                <w:rFonts w:ascii="Malgun Gothic" w:hAnsi="Malgun Gothic" w:eastAsia="Malgun Gothic"/>
                <w:b w:val="0"/>
                <w:sz w:val="14"/>
              </w:rPr>
              <w:t>ETF 데이터 구조 확인 및 전처리</w:t>
            </w:r>
          </w:p>
        </w:tc>
        <w:tc>
          <w:tcPr>
            <w:tcW w:type="dxa" w:w="1332"/>
            <w:vAlign w:val="center"/>
          </w:tcPr>
          <w:p>
            <w:pPr>
              <w:spacing w:before="0" w:after="0" w:line="240" w:lineRule="auto"/>
            </w:pPr>
            <w:r>
              <w:rPr>
                <w:rFonts w:ascii="Malgun Gothic" w:hAnsi="Malgun Gothic" w:eastAsia="Malgun Gothic"/>
                <w:b w:val="0"/>
                <w:sz w:val="14"/>
              </w:rPr>
              <w:t>추주원</w:t>
            </w:r>
          </w:p>
        </w:tc>
        <w:tc>
          <w:tcPr>
            <w:tcW w:type="dxa" w:w="1332"/>
            <w:vAlign w:val="center"/>
          </w:tcPr>
          <w:p>
            <w:pPr>
              <w:spacing w:before="0" w:after="0" w:line="240" w:lineRule="auto"/>
            </w:pPr>
            <w:r>
              <w:rPr>
                <w:rFonts w:ascii="Malgun Gothic" w:hAnsi="Malgun Gothic" w:eastAsia="Malgun Gothic"/>
                <w:b w:val="0"/>
                <w:sz w:val="14"/>
              </w:rPr>
            </w:r>
          </w:p>
        </w:tc>
        <w:tc>
          <w:tcPr>
            <w:tcW w:type="dxa" w:w="1332"/>
            <w:vAlign w:val="center"/>
          </w:tcPr>
          <w:p>
            <w:pPr>
              <w:spacing w:before="0" w:after="0" w:line="240" w:lineRule="auto"/>
            </w:pPr>
            <w:r>
              <w:rPr>
                <w:rFonts w:ascii="Malgun Gothic" w:hAnsi="Malgun Gothic" w:eastAsia="Malgun Gothic"/>
                <w:b w:val="0"/>
                <w:sz w:val="14"/>
              </w:rPr>
              <w:t>■</w:t>
            </w:r>
          </w:p>
        </w:tc>
        <w:tc>
          <w:tcPr>
            <w:tcW w:type="dxa" w:w="1332"/>
            <w:vAlign w:val="center"/>
          </w:tcPr>
          <w:p>
            <w:pPr>
              <w:spacing w:before="0" w:after="0" w:line="240" w:lineRule="auto"/>
            </w:pPr>
            <w:r>
              <w:rPr>
                <w:rFonts w:ascii="Malgun Gothic" w:hAnsi="Malgun Gothic" w:eastAsia="Malgun Gothic"/>
                <w:b w:val="0"/>
                <w:sz w:val="14"/>
              </w:rPr>
              <w:t>■</w:t>
            </w:r>
          </w:p>
        </w:tc>
        <w:tc>
          <w:tcPr>
            <w:tcW w:type="dxa" w:w="1332"/>
            <w:vAlign w:val="center"/>
          </w:tcPr>
          <w:p>
            <w:pPr>
              <w:spacing w:before="0" w:after="0" w:line="240" w:lineRule="auto"/>
            </w:pPr>
            <w:r>
              <w:rPr>
                <w:rFonts w:ascii="Malgun Gothic" w:hAnsi="Malgun Gothic" w:eastAsia="Malgun Gothic"/>
                <w:b w:val="0"/>
                <w:sz w:val="14"/>
              </w:rPr>
            </w:r>
          </w:p>
        </w:tc>
        <w:tc>
          <w:tcPr>
            <w:tcW w:type="dxa" w:w="1332"/>
            <w:vAlign w:val="center"/>
            <w:shd w:fill="FCE4D6"/>
          </w:tcPr>
          <w:p>
            <w:pPr>
              <w:spacing w:before="0" w:after="0" w:line="240" w:lineRule="auto"/>
            </w:pPr>
            <w:r>
              <w:rPr>
                <w:rFonts w:ascii="Malgun Gothic" w:hAnsi="Malgun Gothic" w:eastAsia="Malgun Gothic"/>
                <w:b w:val="0"/>
                <w:sz w:val="14"/>
              </w:rPr>
              <w:t>휴일</w:t>
            </w:r>
          </w:p>
        </w:tc>
        <w:tc>
          <w:tcPr>
            <w:tcW w:type="dxa" w:w="1332"/>
            <w:vAlign w:val="center"/>
          </w:tcPr>
          <w:p>
            <w:pPr>
              <w:spacing w:before="0" w:after="0" w:line="240" w:lineRule="auto"/>
            </w:pPr>
            <w:r>
              <w:rPr>
                <w:rFonts w:ascii="Malgun Gothic" w:hAnsi="Malgun Gothic" w:eastAsia="Malgun Gothic"/>
                <w:b w:val="0"/>
                <w:sz w:val="14"/>
              </w:rPr>
            </w:r>
          </w:p>
        </w:tc>
      </w:tr>
      <w:tr>
        <w:tc>
          <w:tcPr>
            <w:tcW w:type="dxa" w:w="1332"/>
            <w:vAlign w:val="center"/>
          </w:tcPr>
          <w:p>
            <w:pPr>
              <w:spacing w:before="0" w:after="0" w:line="240" w:lineRule="auto"/>
            </w:pPr>
            <w:r>
              <w:rPr>
                <w:rFonts w:ascii="Malgun Gothic" w:hAnsi="Malgun Gothic" w:eastAsia="Malgun Gothic"/>
                <w:b w:val="0"/>
                <w:sz w:val="14"/>
              </w:rPr>
              <w:t>ETF 코드별 자산군 분류</w:t>
            </w:r>
          </w:p>
        </w:tc>
        <w:tc>
          <w:tcPr>
            <w:tcW w:type="dxa" w:w="1332"/>
            <w:vAlign w:val="center"/>
          </w:tcPr>
          <w:p>
            <w:pPr>
              <w:spacing w:before="0" w:after="0" w:line="240" w:lineRule="auto"/>
            </w:pPr>
            <w:r>
              <w:rPr>
                <w:rFonts w:ascii="Malgun Gothic" w:hAnsi="Malgun Gothic" w:eastAsia="Malgun Gothic"/>
                <w:b w:val="0"/>
                <w:sz w:val="14"/>
              </w:rPr>
              <w:t>추주원, 권보성</w:t>
            </w:r>
          </w:p>
        </w:tc>
        <w:tc>
          <w:tcPr>
            <w:tcW w:type="dxa" w:w="1332"/>
            <w:vAlign w:val="center"/>
          </w:tcPr>
          <w:p>
            <w:pPr>
              <w:spacing w:before="0" w:after="0" w:line="240" w:lineRule="auto"/>
            </w:pPr>
            <w:r>
              <w:rPr>
                <w:rFonts w:ascii="Malgun Gothic" w:hAnsi="Malgun Gothic" w:eastAsia="Malgun Gothic"/>
                <w:b w:val="0"/>
                <w:sz w:val="14"/>
              </w:rPr>
            </w:r>
          </w:p>
        </w:tc>
        <w:tc>
          <w:tcPr>
            <w:tcW w:type="dxa" w:w="1332"/>
            <w:vAlign w:val="center"/>
          </w:tcPr>
          <w:p>
            <w:pPr>
              <w:spacing w:before="0" w:after="0" w:line="240" w:lineRule="auto"/>
            </w:pPr>
            <w:r>
              <w:rPr>
                <w:rFonts w:ascii="Malgun Gothic" w:hAnsi="Malgun Gothic" w:eastAsia="Malgun Gothic"/>
                <w:b w:val="0"/>
                <w:sz w:val="14"/>
              </w:rPr>
              <w:t>■</w:t>
            </w:r>
          </w:p>
        </w:tc>
        <w:tc>
          <w:tcPr>
            <w:tcW w:type="dxa" w:w="1332"/>
            <w:vAlign w:val="center"/>
          </w:tcPr>
          <w:p>
            <w:pPr>
              <w:spacing w:before="0" w:after="0" w:line="240" w:lineRule="auto"/>
            </w:pPr>
            <w:r>
              <w:rPr>
                <w:rFonts w:ascii="Malgun Gothic" w:hAnsi="Malgun Gothic" w:eastAsia="Malgun Gothic"/>
                <w:b w:val="0"/>
                <w:sz w:val="14"/>
              </w:rPr>
              <w:t>■</w:t>
            </w:r>
          </w:p>
        </w:tc>
        <w:tc>
          <w:tcPr>
            <w:tcW w:type="dxa" w:w="1332"/>
            <w:vAlign w:val="center"/>
          </w:tcPr>
          <w:p>
            <w:pPr>
              <w:spacing w:before="0" w:after="0" w:line="240" w:lineRule="auto"/>
            </w:pPr>
            <w:r>
              <w:rPr>
                <w:rFonts w:ascii="Malgun Gothic" w:hAnsi="Malgun Gothic" w:eastAsia="Malgun Gothic"/>
                <w:b w:val="0"/>
                <w:sz w:val="14"/>
              </w:rPr>
            </w:r>
          </w:p>
        </w:tc>
        <w:tc>
          <w:tcPr>
            <w:tcW w:type="dxa" w:w="1332"/>
            <w:vAlign w:val="center"/>
            <w:shd w:fill="FCE4D6"/>
          </w:tcPr>
          <w:p>
            <w:pPr>
              <w:spacing w:before="0" w:after="0" w:line="240" w:lineRule="auto"/>
            </w:pPr>
            <w:r>
              <w:rPr>
                <w:rFonts w:ascii="Malgun Gothic" w:hAnsi="Malgun Gothic" w:eastAsia="Malgun Gothic"/>
                <w:b w:val="0"/>
                <w:sz w:val="14"/>
              </w:rPr>
              <w:t>휴일</w:t>
            </w:r>
          </w:p>
        </w:tc>
        <w:tc>
          <w:tcPr>
            <w:tcW w:type="dxa" w:w="1332"/>
            <w:vAlign w:val="center"/>
          </w:tcPr>
          <w:p>
            <w:pPr>
              <w:spacing w:before="0" w:after="0" w:line="240" w:lineRule="auto"/>
            </w:pPr>
            <w:r>
              <w:rPr>
                <w:rFonts w:ascii="Malgun Gothic" w:hAnsi="Malgun Gothic" w:eastAsia="Malgun Gothic"/>
                <w:b w:val="0"/>
                <w:sz w:val="14"/>
              </w:rPr>
            </w:r>
          </w:p>
        </w:tc>
      </w:tr>
      <w:tr>
        <w:tc>
          <w:tcPr>
            <w:tcW w:type="dxa" w:w="1332"/>
            <w:vAlign w:val="center"/>
          </w:tcPr>
          <w:p>
            <w:pPr>
              <w:spacing w:before="0" w:after="0" w:line="240" w:lineRule="auto"/>
            </w:pPr>
            <w:r>
              <w:rPr>
                <w:rFonts w:ascii="Malgun Gothic" w:hAnsi="Malgun Gothic" w:eastAsia="Malgun Gothic"/>
                <w:b w:val="0"/>
                <w:sz w:val="14"/>
              </w:rPr>
              <w:t>비교 전략 정리(Equal Weight, GMV, MDP, Risk Parity)</w:t>
            </w:r>
          </w:p>
        </w:tc>
        <w:tc>
          <w:tcPr>
            <w:tcW w:type="dxa" w:w="1332"/>
            <w:vAlign w:val="center"/>
          </w:tcPr>
          <w:p>
            <w:pPr>
              <w:spacing w:before="0" w:after="0" w:line="240" w:lineRule="auto"/>
            </w:pPr>
            <w:r>
              <w:rPr>
                <w:rFonts w:ascii="Malgun Gothic" w:hAnsi="Malgun Gothic" w:eastAsia="Malgun Gothic"/>
                <w:b w:val="0"/>
                <w:sz w:val="14"/>
              </w:rPr>
              <w:t>김민호</w:t>
            </w:r>
          </w:p>
        </w:tc>
        <w:tc>
          <w:tcPr>
            <w:tcW w:type="dxa" w:w="1332"/>
            <w:vAlign w:val="center"/>
          </w:tcPr>
          <w:p>
            <w:pPr>
              <w:spacing w:before="0" w:after="0" w:line="240" w:lineRule="auto"/>
            </w:pPr>
            <w:r>
              <w:rPr>
                <w:rFonts w:ascii="Malgun Gothic" w:hAnsi="Malgun Gothic" w:eastAsia="Malgun Gothic"/>
                <w:b w:val="0"/>
                <w:sz w:val="14"/>
              </w:rPr>
            </w:r>
          </w:p>
        </w:tc>
        <w:tc>
          <w:tcPr>
            <w:tcW w:type="dxa" w:w="1332"/>
            <w:vAlign w:val="center"/>
          </w:tcPr>
          <w:p>
            <w:pPr>
              <w:spacing w:before="0" w:after="0" w:line="240" w:lineRule="auto"/>
            </w:pPr>
            <w:r>
              <w:rPr>
                <w:rFonts w:ascii="Malgun Gothic" w:hAnsi="Malgun Gothic" w:eastAsia="Malgun Gothic"/>
                <w:b w:val="0"/>
                <w:sz w:val="14"/>
              </w:rPr>
              <w:t>■</w:t>
            </w:r>
          </w:p>
        </w:tc>
        <w:tc>
          <w:tcPr>
            <w:tcW w:type="dxa" w:w="1332"/>
            <w:vAlign w:val="center"/>
          </w:tcPr>
          <w:p>
            <w:pPr>
              <w:spacing w:before="0" w:after="0" w:line="240" w:lineRule="auto"/>
            </w:pPr>
            <w:r>
              <w:rPr>
                <w:rFonts w:ascii="Malgun Gothic" w:hAnsi="Malgun Gothic" w:eastAsia="Malgun Gothic"/>
                <w:b w:val="0"/>
                <w:sz w:val="14"/>
              </w:rPr>
              <w:t>■</w:t>
            </w:r>
          </w:p>
        </w:tc>
        <w:tc>
          <w:tcPr>
            <w:tcW w:type="dxa" w:w="1332"/>
            <w:vAlign w:val="center"/>
          </w:tcPr>
          <w:p>
            <w:pPr>
              <w:spacing w:before="0" w:after="0" w:line="240" w:lineRule="auto"/>
            </w:pPr>
            <w:r>
              <w:rPr>
                <w:rFonts w:ascii="Malgun Gothic" w:hAnsi="Malgun Gothic" w:eastAsia="Malgun Gothic"/>
                <w:b w:val="0"/>
                <w:sz w:val="14"/>
              </w:rPr>
            </w:r>
          </w:p>
        </w:tc>
        <w:tc>
          <w:tcPr>
            <w:tcW w:type="dxa" w:w="1332"/>
            <w:vAlign w:val="center"/>
            <w:shd w:fill="FCE4D6"/>
          </w:tcPr>
          <w:p>
            <w:pPr>
              <w:spacing w:before="0" w:after="0" w:line="240" w:lineRule="auto"/>
            </w:pPr>
            <w:r>
              <w:rPr>
                <w:rFonts w:ascii="Malgun Gothic" w:hAnsi="Malgun Gothic" w:eastAsia="Malgun Gothic"/>
                <w:b w:val="0"/>
                <w:sz w:val="14"/>
              </w:rPr>
              <w:t>휴일</w:t>
            </w:r>
          </w:p>
        </w:tc>
        <w:tc>
          <w:tcPr>
            <w:tcW w:type="dxa" w:w="1332"/>
            <w:vAlign w:val="center"/>
          </w:tcPr>
          <w:p>
            <w:pPr>
              <w:spacing w:before="0" w:after="0" w:line="240" w:lineRule="auto"/>
            </w:pPr>
            <w:r>
              <w:rPr>
                <w:rFonts w:ascii="Malgun Gothic" w:hAnsi="Malgun Gothic" w:eastAsia="Malgun Gothic"/>
                <w:b w:val="0"/>
                <w:sz w:val="14"/>
              </w:rPr>
            </w:r>
          </w:p>
        </w:tc>
      </w:tr>
      <w:tr>
        <w:tc>
          <w:tcPr>
            <w:tcW w:type="dxa" w:w="1332"/>
            <w:vAlign w:val="center"/>
          </w:tcPr>
          <w:p>
            <w:pPr>
              <w:spacing w:before="0" w:after="0" w:line="240" w:lineRule="auto"/>
            </w:pPr>
            <w:r>
              <w:rPr>
                <w:rFonts w:ascii="Malgun Gothic" w:hAnsi="Malgun Gothic" w:eastAsia="Malgun Gothic"/>
                <w:b w:val="0"/>
                <w:sz w:val="14"/>
              </w:rPr>
              <w:t>HSI 기준표 및 상태 분류 로직 정리</w:t>
            </w:r>
          </w:p>
        </w:tc>
        <w:tc>
          <w:tcPr>
            <w:tcW w:type="dxa" w:w="1332"/>
            <w:vAlign w:val="center"/>
          </w:tcPr>
          <w:p>
            <w:pPr>
              <w:spacing w:before="0" w:after="0" w:line="240" w:lineRule="auto"/>
            </w:pPr>
            <w:r>
              <w:rPr>
                <w:rFonts w:ascii="Malgun Gothic" w:hAnsi="Malgun Gothic" w:eastAsia="Malgun Gothic"/>
                <w:b w:val="0"/>
                <w:sz w:val="14"/>
              </w:rPr>
              <w:t>김근형</w:t>
            </w:r>
          </w:p>
        </w:tc>
        <w:tc>
          <w:tcPr>
            <w:tcW w:type="dxa" w:w="1332"/>
            <w:vAlign w:val="center"/>
          </w:tcPr>
          <w:p>
            <w:pPr>
              <w:spacing w:before="0" w:after="0" w:line="240" w:lineRule="auto"/>
            </w:pPr>
            <w:r>
              <w:rPr>
                <w:rFonts w:ascii="Malgun Gothic" w:hAnsi="Malgun Gothic" w:eastAsia="Malgun Gothic"/>
                <w:b w:val="0"/>
                <w:sz w:val="14"/>
              </w:rPr>
              <w:t>■</w:t>
            </w:r>
          </w:p>
        </w:tc>
        <w:tc>
          <w:tcPr>
            <w:tcW w:type="dxa" w:w="1332"/>
            <w:vAlign w:val="center"/>
          </w:tcPr>
          <w:p>
            <w:pPr>
              <w:spacing w:before="0" w:after="0" w:line="240" w:lineRule="auto"/>
            </w:pPr>
            <w:r>
              <w:rPr>
                <w:rFonts w:ascii="Malgun Gothic" w:hAnsi="Malgun Gothic" w:eastAsia="Malgun Gothic"/>
                <w:b w:val="0"/>
                <w:sz w:val="14"/>
              </w:rPr>
              <w:t>■</w:t>
            </w:r>
          </w:p>
        </w:tc>
        <w:tc>
          <w:tcPr>
            <w:tcW w:type="dxa" w:w="1332"/>
            <w:vAlign w:val="center"/>
          </w:tcPr>
          <w:p>
            <w:pPr>
              <w:spacing w:before="0" w:after="0" w:line="240" w:lineRule="auto"/>
            </w:pPr>
            <w:r>
              <w:rPr>
                <w:rFonts w:ascii="Malgun Gothic" w:hAnsi="Malgun Gothic" w:eastAsia="Malgun Gothic"/>
                <w:b w:val="0"/>
                <w:sz w:val="14"/>
              </w:rPr>
              <w:t>■</w:t>
            </w:r>
          </w:p>
        </w:tc>
        <w:tc>
          <w:tcPr>
            <w:tcW w:type="dxa" w:w="1332"/>
            <w:vAlign w:val="center"/>
          </w:tcPr>
          <w:p>
            <w:pPr>
              <w:spacing w:before="0" w:after="0" w:line="240" w:lineRule="auto"/>
            </w:pPr>
            <w:r>
              <w:rPr>
                <w:rFonts w:ascii="Malgun Gothic" w:hAnsi="Malgun Gothic" w:eastAsia="Malgun Gothic"/>
                <w:b w:val="0"/>
                <w:sz w:val="14"/>
              </w:rPr>
            </w:r>
          </w:p>
        </w:tc>
        <w:tc>
          <w:tcPr>
            <w:tcW w:type="dxa" w:w="1332"/>
            <w:vAlign w:val="center"/>
            <w:shd w:fill="FCE4D6"/>
          </w:tcPr>
          <w:p>
            <w:pPr>
              <w:spacing w:before="0" w:after="0" w:line="240" w:lineRule="auto"/>
            </w:pPr>
            <w:r>
              <w:rPr>
                <w:rFonts w:ascii="Malgun Gothic" w:hAnsi="Malgun Gothic" w:eastAsia="Malgun Gothic"/>
                <w:b w:val="0"/>
                <w:sz w:val="14"/>
              </w:rPr>
              <w:t>휴일</w:t>
            </w:r>
          </w:p>
        </w:tc>
        <w:tc>
          <w:tcPr>
            <w:tcW w:type="dxa" w:w="1332"/>
            <w:vAlign w:val="center"/>
          </w:tcPr>
          <w:p>
            <w:pPr>
              <w:spacing w:before="0" w:after="0" w:line="240" w:lineRule="auto"/>
            </w:pPr>
            <w:r>
              <w:rPr>
                <w:rFonts w:ascii="Malgun Gothic" w:hAnsi="Malgun Gothic" w:eastAsia="Malgun Gothic"/>
                <w:b w:val="0"/>
                <w:sz w:val="14"/>
              </w:rPr>
            </w:r>
          </w:p>
        </w:tc>
      </w:tr>
      <w:tr>
        <w:tc>
          <w:tcPr>
            <w:tcW w:type="dxa" w:w="1332"/>
            <w:vAlign w:val="center"/>
          </w:tcPr>
          <w:p>
            <w:pPr>
              <w:spacing w:before="0" w:after="0" w:line="240" w:lineRule="auto"/>
            </w:pPr>
            <w:r>
              <w:rPr>
                <w:rFonts w:ascii="Malgun Gothic" w:hAnsi="Malgun Gothic" w:eastAsia="Malgun Gothic"/>
                <w:b w:val="0"/>
                <w:sz w:val="14"/>
              </w:rPr>
              <w:t>HSI 기반 위험/기회 구간 해석</w:t>
            </w:r>
          </w:p>
        </w:tc>
        <w:tc>
          <w:tcPr>
            <w:tcW w:type="dxa" w:w="1332"/>
            <w:vAlign w:val="center"/>
          </w:tcPr>
          <w:p>
            <w:pPr>
              <w:spacing w:before="0" w:after="0" w:line="240" w:lineRule="auto"/>
            </w:pPr>
            <w:r>
              <w:rPr>
                <w:rFonts w:ascii="Malgun Gothic" w:hAnsi="Malgun Gothic" w:eastAsia="Malgun Gothic"/>
                <w:b w:val="0"/>
                <w:sz w:val="14"/>
              </w:rPr>
              <w:t>김근형, 김민호</w:t>
            </w:r>
          </w:p>
        </w:tc>
        <w:tc>
          <w:tcPr>
            <w:tcW w:type="dxa" w:w="1332"/>
            <w:vAlign w:val="center"/>
          </w:tcPr>
          <w:p>
            <w:pPr>
              <w:spacing w:before="0" w:after="0" w:line="240" w:lineRule="auto"/>
            </w:pPr>
            <w:r>
              <w:rPr>
                <w:rFonts w:ascii="Malgun Gothic" w:hAnsi="Malgun Gothic" w:eastAsia="Malgun Gothic"/>
                <w:b w:val="0"/>
                <w:sz w:val="14"/>
              </w:rPr>
            </w:r>
          </w:p>
        </w:tc>
        <w:tc>
          <w:tcPr>
            <w:tcW w:type="dxa" w:w="1332"/>
            <w:vAlign w:val="center"/>
          </w:tcPr>
          <w:p>
            <w:pPr>
              <w:spacing w:before="0" w:after="0" w:line="240" w:lineRule="auto"/>
            </w:pPr>
            <w:r>
              <w:rPr>
                <w:rFonts w:ascii="Malgun Gothic" w:hAnsi="Malgun Gothic" w:eastAsia="Malgun Gothic"/>
                <w:b w:val="0"/>
                <w:sz w:val="14"/>
              </w:rPr>
            </w:r>
          </w:p>
        </w:tc>
        <w:tc>
          <w:tcPr>
            <w:tcW w:type="dxa" w:w="1332"/>
            <w:vAlign w:val="center"/>
          </w:tcPr>
          <w:p>
            <w:pPr>
              <w:spacing w:before="0" w:after="0" w:line="240" w:lineRule="auto"/>
            </w:pPr>
            <w:r>
              <w:rPr>
                <w:rFonts w:ascii="Malgun Gothic" w:hAnsi="Malgun Gothic" w:eastAsia="Malgun Gothic"/>
                <w:b w:val="0"/>
                <w:sz w:val="14"/>
              </w:rPr>
              <w:t>■</w:t>
            </w:r>
          </w:p>
        </w:tc>
        <w:tc>
          <w:tcPr>
            <w:tcW w:type="dxa" w:w="1332"/>
            <w:vAlign w:val="center"/>
          </w:tcPr>
          <w:p>
            <w:pPr>
              <w:spacing w:before="0" w:after="0" w:line="240" w:lineRule="auto"/>
            </w:pPr>
            <w:r>
              <w:rPr>
                <w:rFonts w:ascii="Malgun Gothic" w:hAnsi="Malgun Gothic" w:eastAsia="Malgun Gothic"/>
                <w:b w:val="0"/>
                <w:sz w:val="14"/>
              </w:rPr>
              <w:t>■</w:t>
            </w:r>
          </w:p>
        </w:tc>
        <w:tc>
          <w:tcPr>
            <w:tcW w:type="dxa" w:w="1332"/>
            <w:vAlign w:val="center"/>
            <w:shd w:fill="FCE4D6"/>
          </w:tcPr>
          <w:p>
            <w:pPr>
              <w:spacing w:before="0" w:after="0" w:line="240" w:lineRule="auto"/>
            </w:pPr>
            <w:r>
              <w:rPr>
                <w:rFonts w:ascii="Malgun Gothic" w:hAnsi="Malgun Gothic" w:eastAsia="Malgun Gothic"/>
                <w:b w:val="0"/>
                <w:sz w:val="14"/>
              </w:rPr>
              <w:t>휴일</w:t>
            </w:r>
          </w:p>
        </w:tc>
        <w:tc>
          <w:tcPr>
            <w:tcW w:type="dxa" w:w="1332"/>
            <w:vAlign w:val="center"/>
          </w:tcPr>
          <w:p>
            <w:pPr>
              <w:spacing w:before="0" w:after="0" w:line="240" w:lineRule="auto"/>
            </w:pPr>
            <w:r>
              <w:rPr>
                <w:rFonts w:ascii="Malgun Gothic" w:hAnsi="Malgun Gothic" w:eastAsia="Malgun Gothic"/>
                <w:b w:val="0"/>
                <w:sz w:val="14"/>
              </w:rPr>
            </w:r>
          </w:p>
        </w:tc>
      </w:tr>
      <w:tr>
        <w:tc>
          <w:tcPr>
            <w:tcW w:type="dxa" w:w="1332"/>
            <w:vAlign w:val="center"/>
          </w:tcPr>
          <w:p>
            <w:pPr>
              <w:spacing w:before="0" w:after="0" w:line="240" w:lineRule="auto"/>
            </w:pPr>
            <w:r>
              <w:rPr>
                <w:rFonts w:ascii="Malgun Gothic" w:hAnsi="Malgun Gothic" w:eastAsia="Malgun Gothic"/>
                <w:b w:val="0"/>
                <w:sz w:val="14"/>
              </w:rPr>
              <w:t>리밸런싱 및 비중 조절 규칙 설계</w:t>
            </w:r>
          </w:p>
        </w:tc>
        <w:tc>
          <w:tcPr>
            <w:tcW w:type="dxa" w:w="1332"/>
            <w:vAlign w:val="center"/>
          </w:tcPr>
          <w:p>
            <w:pPr>
              <w:spacing w:before="0" w:after="0" w:line="240" w:lineRule="auto"/>
            </w:pPr>
            <w:r>
              <w:rPr>
                <w:rFonts w:ascii="Malgun Gothic" w:hAnsi="Malgun Gothic" w:eastAsia="Malgun Gothic"/>
                <w:b w:val="0"/>
                <w:sz w:val="14"/>
              </w:rPr>
              <w:t>김민호, 김근형</w:t>
            </w:r>
          </w:p>
        </w:tc>
        <w:tc>
          <w:tcPr>
            <w:tcW w:type="dxa" w:w="1332"/>
            <w:vAlign w:val="center"/>
          </w:tcPr>
          <w:p>
            <w:pPr>
              <w:spacing w:before="0" w:after="0" w:line="240" w:lineRule="auto"/>
            </w:pPr>
            <w:r>
              <w:rPr>
                <w:rFonts w:ascii="Malgun Gothic" w:hAnsi="Malgun Gothic" w:eastAsia="Malgun Gothic"/>
                <w:b w:val="0"/>
                <w:sz w:val="14"/>
              </w:rPr>
            </w:r>
          </w:p>
        </w:tc>
        <w:tc>
          <w:tcPr>
            <w:tcW w:type="dxa" w:w="1332"/>
            <w:vAlign w:val="center"/>
          </w:tcPr>
          <w:p>
            <w:pPr>
              <w:spacing w:before="0" w:after="0" w:line="240" w:lineRule="auto"/>
            </w:pPr>
            <w:r>
              <w:rPr>
                <w:rFonts w:ascii="Malgun Gothic" w:hAnsi="Malgun Gothic" w:eastAsia="Malgun Gothic"/>
                <w:b w:val="0"/>
                <w:sz w:val="14"/>
              </w:rPr>
            </w:r>
          </w:p>
        </w:tc>
        <w:tc>
          <w:tcPr>
            <w:tcW w:type="dxa" w:w="1332"/>
            <w:vAlign w:val="center"/>
          </w:tcPr>
          <w:p>
            <w:pPr>
              <w:spacing w:before="0" w:after="0" w:line="240" w:lineRule="auto"/>
            </w:pPr>
            <w:r>
              <w:rPr>
                <w:rFonts w:ascii="Malgun Gothic" w:hAnsi="Malgun Gothic" w:eastAsia="Malgun Gothic"/>
                <w:b w:val="0"/>
                <w:sz w:val="14"/>
              </w:rPr>
              <w:t>■</w:t>
            </w:r>
          </w:p>
        </w:tc>
        <w:tc>
          <w:tcPr>
            <w:tcW w:type="dxa" w:w="1332"/>
            <w:vAlign w:val="center"/>
          </w:tcPr>
          <w:p>
            <w:pPr>
              <w:spacing w:before="0" w:after="0" w:line="240" w:lineRule="auto"/>
            </w:pPr>
            <w:r>
              <w:rPr>
                <w:rFonts w:ascii="Malgun Gothic" w:hAnsi="Malgun Gothic" w:eastAsia="Malgun Gothic"/>
                <w:b w:val="0"/>
                <w:sz w:val="14"/>
              </w:rPr>
              <w:t>■</w:t>
            </w:r>
          </w:p>
        </w:tc>
        <w:tc>
          <w:tcPr>
            <w:tcW w:type="dxa" w:w="1332"/>
            <w:vAlign w:val="center"/>
            <w:shd w:fill="FCE4D6"/>
          </w:tcPr>
          <w:p>
            <w:pPr>
              <w:spacing w:before="0" w:after="0" w:line="240" w:lineRule="auto"/>
            </w:pPr>
            <w:r>
              <w:rPr>
                <w:rFonts w:ascii="Malgun Gothic" w:hAnsi="Malgun Gothic" w:eastAsia="Malgun Gothic"/>
                <w:b w:val="0"/>
                <w:sz w:val="14"/>
              </w:rPr>
              <w:t>휴일</w:t>
            </w:r>
          </w:p>
        </w:tc>
        <w:tc>
          <w:tcPr>
            <w:tcW w:type="dxa" w:w="1332"/>
            <w:vAlign w:val="center"/>
          </w:tcPr>
          <w:p>
            <w:pPr>
              <w:spacing w:before="0" w:after="0" w:line="240" w:lineRule="auto"/>
            </w:pPr>
            <w:r>
              <w:rPr>
                <w:rFonts w:ascii="Malgun Gothic" w:hAnsi="Malgun Gothic" w:eastAsia="Malgun Gothic"/>
                <w:b w:val="0"/>
                <w:sz w:val="14"/>
              </w:rPr>
            </w:r>
          </w:p>
        </w:tc>
      </w:tr>
      <w:tr>
        <w:tc>
          <w:tcPr>
            <w:tcW w:type="dxa" w:w="1332"/>
            <w:vAlign w:val="center"/>
          </w:tcPr>
          <w:p>
            <w:pPr>
              <w:spacing w:before="0" w:after="0" w:line="240" w:lineRule="auto"/>
            </w:pPr>
            <w:r>
              <w:rPr>
                <w:rFonts w:ascii="Malgun Gothic" w:hAnsi="Malgun Gothic" w:eastAsia="Malgun Gothic"/>
                <w:b w:val="0"/>
                <w:sz w:val="14"/>
              </w:rPr>
              <w:t>백테스트 코드 및 성과지표 계산</w:t>
            </w:r>
          </w:p>
        </w:tc>
        <w:tc>
          <w:tcPr>
            <w:tcW w:type="dxa" w:w="1332"/>
            <w:vAlign w:val="center"/>
          </w:tcPr>
          <w:p>
            <w:pPr>
              <w:spacing w:before="0" w:after="0" w:line="240" w:lineRule="auto"/>
            </w:pPr>
            <w:r>
              <w:rPr>
                <w:rFonts w:ascii="Malgun Gothic" w:hAnsi="Malgun Gothic" w:eastAsia="Malgun Gothic"/>
                <w:b w:val="0"/>
                <w:sz w:val="14"/>
              </w:rPr>
              <w:t>김민호, 추주원</w:t>
            </w:r>
          </w:p>
        </w:tc>
        <w:tc>
          <w:tcPr>
            <w:tcW w:type="dxa" w:w="1332"/>
            <w:vAlign w:val="center"/>
          </w:tcPr>
          <w:p>
            <w:pPr>
              <w:spacing w:before="0" w:after="0" w:line="240" w:lineRule="auto"/>
            </w:pPr>
            <w:r>
              <w:rPr>
                <w:rFonts w:ascii="Malgun Gothic" w:hAnsi="Malgun Gothic" w:eastAsia="Malgun Gothic"/>
                <w:b w:val="0"/>
                <w:sz w:val="14"/>
              </w:rPr>
            </w:r>
          </w:p>
        </w:tc>
        <w:tc>
          <w:tcPr>
            <w:tcW w:type="dxa" w:w="1332"/>
            <w:vAlign w:val="center"/>
          </w:tcPr>
          <w:p>
            <w:pPr>
              <w:spacing w:before="0" w:after="0" w:line="240" w:lineRule="auto"/>
            </w:pPr>
            <w:r>
              <w:rPr>
                <w:rFonts w:ascii="Malgun Gothic" w:hAnsi="Malgun Gothic" w:eastAsia="Malgun Gothic"/>
                <w:b w:val="0"/>
                <w:sz w:val="14"/>
              </w:rPr>
            </w:r>
          </w:p>
        </w:tc>
        <w:tc>
          <w:tcPr>
            <w:tcW w:type="dxa" w:w="1332"/>
            <w:vAlign w:val="center"/>
          </w:tcPr>
          <w:p>
            <w:pPr>
              <w:spacing w:before="0" w:after="0" w:line="240" w:lineRule="auto"/>
            </w:pPr>
            <w:r>
              <w:rPr>
                <w:rFonts w:ascii="Malgun Gothic" w:hAnsi="Malgun Gothic" w:eastAsia="Malgun Gothic"/>
                <w:b w:val="0"/>
                <w:sz w:val="14"/>
              </w:rPr>
              <w:t>■</w:t>
            </w:r>
          </w:p>
        </w:tc>
        <w:tc>
          <w:tcPr>
            <w:tcW w:type="dxa" w:w="1332"/>
            <w:vAlign w:val="center"/>
          </w:tcPr>
          <w:p>
            <w:pPr>
              <w:spacing w:before="0" w:after="0" w:line="240" w:lineRule="auto"/>
            </w:pPr>
            <w:r>
              <w:rPr>
                <w:rFonts w:ascii="Malgun Gothic" w:hAnsi="Malgun Gothic" w:eastAsia="Malgun Gothic"/>
                <w:b w:val="0"/>
                <w:sz w:val="14"/>
              </w:rPr>
              <w:t>■</w:t>
            </w:r>
          </w:p>
        </w:tc>
        <w:tc>
          <w:tcPr>
            <w:tcW w:type="dxa" w:w="1332"/>
            <w:vAlign w:val="center"/>
            <w:shd w:fill="FCE4D6"/>
          </w:tcPr>
          <w:p>
            <w:pPr>
              <w:spacing w:before="0" w:after="0" w:line="240" w:lineRule="auto"/>
            </w:pPr>
            <w:r>
              <w:rPr>
                <w:rFonts w:ascii="Malgun Gothic" w:hAnsi="Malgun Gothic" w:eastAsia="Malgun Gothic"/>
                <w:b w:val="0"/>
                <w:sz w:val="14"/>
              </w:rPr>
              <w:t>휴일</w:t>
            </w:r>
          </w:p>
        </w:tc>
        <w:tc>
          <w:tcPr>
            <w:tcW w:type="dxa" w:w="1332"/>
            <w:vAlign w:val="center"/>
          </w:tcPr>
          <w:p>
            <w:pPr>
              <w:spacing w:before="0" w:after="0" w:line="240" w:lineRule="auto"/>
            </w:pPr>
            <w:r>
              <w:rPr>
                <w:rFonts w:ascii="Malgun Gothic" w:hAnsi="Malgun Gothic" w:eastAsia="Malgun Gothic"/>
                <w:b w:val="0"/>
                <w:sz w:val="14"/>
              </w:rPr>
            </w:r>
          </w:p>
        </w:tc>
      </w:tr>
      <w:tr>
        <w:tc>
          <w:tcPr>
            <w:tcW w:type="dxa" w:w="1332"/>
            <w:vAlign w:val="center"/>
          </w:tcPr>
          <w:p>
            <w:pPr>
              <w:spacing w:before="0" w:after="0" w:line="240" w:lineRule="auto"/>
            </w:pPr>
            <w:r>
              <w:rPr>
                <w:rFonts w:ascii="Malgun Gothic" w:hAnsi="Malgun Gothic" w:eastAsia="Malgun Gothic"/>
                <w:b w:val="0"/>
                <w:sz w:val="14"/>
              </w:rPr>
              <w:t>결과 표 및 그래프 시각화</w:t>
            </w:r>
          </w:p>
        </w:tc>
        <w:tc>
          <w:tcPr>
            <w:tcW w:type="dxa" w:w="1332"/>
            <w:vAlign w:val="center"/>
          </w:tcPr>
          <w:p>
            <w:pPr>
              <w:spacing w:before="0" w:after="0" w:line="240" w:lineRule="auto"/>
            </w:pPr>
            <w:r>
              <w:rPr>
                <w:rFonts w:ascii="Malgun Gothic" w:hAnsi="Malgun Gothic" w:eastAsia="Malgun Gothic"/>
                <w:b w:val="0"/>
                <w:sz w:val="14"/>
              </w:rPr>
              <w:t>권보성, 추주원</w:t>
            </w:r>
          </w:p>
        </w:tc>
        <w:tc>
          <w:tcPr>
            <w:tcW w:type="dxa" w:w="1332"/>
            <w:vAlign w:val="center"/>
          </w:tcPr>
          <w:p>
            <w:pPr>
              <w:spacing w:before="0" w:after="0" w:line="240" w:lineRule="auto"/>
            </w:pPr>
            <w:r>
              <w:rPr>
                <w:rFonts w:ascii="Malgun Gothic" w:hAnsi="Malgun Gothic" w:eastAsia="Malgun Gothic"/>
                <w:b w:val="0"/>
                <w:sz w:val="14"/>
              </w:rPr>
            </w:r>
          </w:p>
        </w:tc>
        <w:tc>
          <w:tcPr>
            <w:tcW w:type="dxa" w:w="1332"/>
            <w:vAlign w:val="center"/>
          </w:tcPr>
          <w:p>
            <w:pPr>
              <w:spacing w:before="0" w:after="0" w:line="240" w:lineRule="auto"/>
            </w:pPr>
            <w:r>
              <w:rPr>
                <w:rFonts w:ascii="Malgun Gothic" w:hAnsi="Malgun Gothic" w:eastAsia="Malgun Gothic"/>
                <w:b w:val="0"/>
                <w:sz w:val="14"/>
              </w:rPr>
            </w:r>
          </w:p>
        </w:tc>
        <w:tc>
          <w:tcPr>
            <w:tcW w:type="dxa" w:w="1332"/>
            <w:vAlign w:val="center"/>
          </w:tcPr>
          <w:p>
            <w:pPr>
              <w:spacing w:before="0" w:after="0" w:line="240" w:lineRule="auto"/>
            </w:pPr>
            <w:r>
              <w:rPr>
                <w:rFonts w:ascii="Malgun Gothic" w:hAnsi="Malgun Gothic" w:eastAsia="Malgun Gothic"/>
                <w:b w:val="0"/>
                <w:sz w:val="14"/>
              </w:rPr>
            </w:r>
          </w:p>
        </w:tc>
        <w:tc>
          <w:tcPr>
            <w:tcW w:type="dxa" w:w="1332"/>
            <w:vAlign w:val="center"/>
          </w:tcPr>
          <w:p>
            <w:pPr>
              <w:spacing w:before="0" w:after="0" w:line="240" w:lineRule="auto"/>
            </w:pPr>
            <w:r>
              <w:rPr>
                <w:rFonts w:ascii="Malgun Gothic" w:hAnsi="Malgun Gothic" w:eastAsia="Malgun Gothic"/>
                <w:b w:val="0"/>
                <w:sz w:val="14"/>
              </w:rPr>
              <w:t>■</w:t>
            </w:r>
          </w:p>
        </w:tc>
        <w:tc>
          <w:tcPr>
            <w:tcW w:type="dxa" w:w="1332"/>
            <w:vAlign w:val="center"/>
            <w:shd w:fill="FCE4D6"/>
          </w:tcPr>
          <w:p>
            <w:pPr>
              <w:spacing w:before="0" w:after="0" w:line="240" w:lineRule="auto"/>
            </w:pPr>
            <w:r>
              <w:rPr>
                <w:rFonts w:ascii="Malgun Gothic" w:hAnsi="Malgun Gothic" w:eastAsia="Malgun Gothic"/>
                <w:b w:val="0"/>
                <w:sz w:val="14"/>
              </w:rPr>
              <w:t>휴일</w:t>
            </w:r>
          </w:p>
        </w:tc>
        <w:tc>
          <w:tcPr>
            <w:tcW w:type="dxa" w:w="1332"/>
            <w:vAlign w:val="center"/>
          </w:tcPr>
          <w:p>
            <w:pPr>
              <w:spacing w:before="0" w:after="0" w:line="240" w:lineRule="auto"/>
            </w:pPr>
            <w:r>
              <w:rPr>
                <w:rFonts w:ascii="Malgun Gothic" w:hAnsi="Malgun Gothic" w:eastAsia="Malgun Gothic"/>
                <w:b w:val="0"/>
                <w:sz w:val="14"/>
              </w:rPr>
            </w:r>
          </w:p>
        </w:tc>
      </w:tr>
      <w:tr>
        <w:tc>
          <w:tcPr>
            <w:tcW w:type="dxa" w:w="1332"/>
            <w:vAlign w:val="center"/>
          </w:tcPr>
          <w:p>
            <w:pPr>
              <w:spacing w:before="0" w:after="0" w:line="240" w:lineRule="auto"/>
            </w:pPr>
            <w:r>
              <w:rPr>
                <w:rFonts w:ascii="Malgun Gothic" w:hAnsi="Malgun Gothic" w:eastAsia="Malgun Gothic"/>
                <w:b w:val="0"/>
                <w:sz w:val="14"/>
              </w:rPr>
              <w:t>한계점 및 해석 정리</w:t>
            </w:r>
          </w:p>
        </w:tc>
        <w:tc>
          <w:tcPr>
            <w:tcW w:type="dxa" w:w="1332"/>
            <w:vAlign w:val="center"/>
          </w:tcPr>
          <w:p>
            <w:pPr>
              <w:spacing w:before="0" w:after="0" w:line="240" w:lineRule="auto"/>
            </w:pPr>
            <w:r>
              <w:rPr>
                <w:rFonts w:ascii="Malgun Gothic" w:hAnsi="Malgun Gothic" w:eastAsia="Malgun Gothic"/>
                <w:b w:val="0"/>
                <w:sz w:val="14"/>
              </w:rPr>
              <w:t>권보성, 김근형</w:t>
            </w:r>
          </w:p>
        </w:tc>
        <w:tc>
          <w:tcPr>
            <w:tcW w:type="dxa" w:w="1332"/>
            <w:vAlign w:val="center"/>
          </w:tcPr>
          <w:p>
            <w:pPr>
              <w:spacing w:before="0" w:after="0" w:line="240" w:lineRule="auto"/>
            </w:pPr>
            <w:r>
              <w:rPr>
                <w:rFonts w:ascii="Malgun Gothic" w:hAnsi="Malgun Gothic" w:eastAsia="Malgun Gothic"/>
                <w:b w:val="0"/>
                <w:sz w:val="14"/>
              </w:rPr>
            </w:r>
          </w:p>
        </w:tc>
        <w:tc>
          <w:tcPr>
            <w:tcW w:type="dxa" w:w="1332"/>
            <w:vAlign w:val="center"/>
          </w:tcPr>
          <w:p>
            <w:pPr>
              <w:spacing w:before="0" w:after="0" w:line="240" w:lineRule="auto"/>
            </w:pPr>
            <w:r>
              <w:rPr>
                <w:rFonts w:ascii="Malgun Gothic" w:hAnsi="Malgun Gothic" w:eastAsia="Malgun Gothic"/>
                <w:b w:val="0"/>
                <w:sz w:val="14"/>
              </w:rPr>
            </w:r>
          </w:p>
        </w:tc>
        <w:tc>
          <w:tcPr>
            <w:tcW w:type="dxa" w:w="1332"/>
            <w:vAlign w:val="center"/>
          </w:tcPr>
          <w:p>
            <w:pPr>
              <w:spacing w:before="0" w:after="0" w:line="240" w:lineRule="auto"/>
            </w:pPr>
            <w:r>
              <w:rPr>
                <w:rFonts w:ascii="Malgun Gothic" w:hAnsi="Malgun Gothic" w:eastAsia="Malgun Gothic"/>
                <w:b w:val="0"/>
                <w:sz w:val="14"/>
              </w:rPr>
            </w:r>
          </w:p>
        </w:tc>
        <w:tc>
          <w:tcPr>
            <w:tcW w:type="dxa" w:w="1332"/>
            <w:vAlign w:val="center"/>
          </w:tcPr>
          <w:p>
            <w:pPr>
              <w:spacing w:before="0" w:after="0" w:line="240" w:lineRule="auto"/>
            </w:pPr>
            <w:r>
              <w:rPr>
                <w:rFonts w:ascii="Malgun Gothic" w:hAnsi="Malgun Gothic" w:eastAsia="Malgun Gothic"/>
                <w:b w:val="0"/>
                <w:sz w:val="14"/>
              </w:rPr>
              <w:t>■</w:t>
            </w:r>
          </w:p>
        </w:tc>
        <w:tc>
          <w:tcPr>
            <w:tcW w:type="dxa" w:w="1332"/>
            <w:vAlign w:val="center"/>
            <w:shd w:fill="FCE4D6"/>
          </w:tcPr>
          <w:p>
            <w:pPr>
              <w:spacing w:before="0" w:after="0" w:line="240" w:lineRule="auto"/>
            </w:pPr>
            <w:r>
              <w:rPr>
                <w:rFonts w:ascii="Malgun Gothic" w:hAnsi="Malgun Gothic" w:eastAsia="Malgun Gothic"/>
                <w:b w:val="0"/>
                <w:sz w:val="14"/>
              </w:rPr>
              <w:t>휴일</w:t>
            </w:r>
          </w:p>
        </w:tc>
        <w:tc>
          <w:tcPr>
            <w:tcW w:type="dxa" w:w="1332"/>
            <w:vAlign w:val="center"/>
          </w:tcPr>
          <w:p>
            <w:pPr>
              <w:spacing w:before="0" w:after="0" w:line="240" w:lineRule="auto"/>
            </w:pPr>
            <w:r>
              <w:rPr>
                <w:rFonts w:ascii="Malgun Gothic" w:hAnsi="Malgun Gothic" w:eastAsia="Malgun Gothic"/>
                <w:b w:val="0"/>
                <w:sz w:val="14"/>
              </w:rPr>
            </w:r>
          </w:p>
        </w:tc>
      </w:tr>
      <w:tr>
        <w:tc>
          <w:tcPr>
            <w:tcW w:type="dxa" w:w="1332"/>
            <w:vAlign w:val="center"/>
          </w:tcPr>
          <w:p>
            <w:pPr>
              <w:spacing w:before="0" w:after="0" w:line="240" w:lineRule="auto"/>
            </w:pPr>
            <w:r>
              <w:rPr>
                <w:rFonts w:ascii="Malgun Gothic" w:hAnsi="Malgun Gothic" w:eastAsia="Malgun Gothic"/>
                <w:b w:val="0"/>
                <w:sz w:val="14"/>
              </w:rPr>
              <w:t>최종 발표 PPT 제작</w:t>
            </w:r>
          </w:p>
        </w:tc>
        <w:tc>
          <w:tcPr>
            <w:tcW w:type="dxa" w:w="1332"/>
            <w:vAlign w:val="center"/>
          </w:tcPr>
          <w:p>
            <w:pPr>
              <w:spacing w:before="0" w:after="0" w:line="240" w:lineRule="auto"/>
            </w:pPr>
            <w:r>
              <w:rPr>
                <w:rFonts w:ascii="Malgun Gothic" w:hAnsi="Malgun Gothic" w:eastAsia="Malgun Gothic"/>
                <w:b w:val="0"/>
                <w:sz w:val="14"/>
              </w:rPr>
              <w:t>권보성, 전체</w:t>
            </w:r>
          </w:p>
        </w:tc>
        <w:tc>
          <w:tcPr>
            <w:tcW w:type="dxa" w:w="1332"/>
            <w:vAlign w:val="center"/>
          </w:tcPr>
          <w:p>
            <w:pPr>
              <w:spacing w:before="0" w:after="0" w:line="240" w:lineRule="auto"/>
            </w:pPr>
            <w:r>
              <w:rPr>
                <w:rFonts w:ascii="Malgun Gothic" w:hAnsi="Malgun Gothic" w:eastAsia="Malgun Gothic"/>
                <w:b w:val="0"/>
                <w:sz w:val="14"/>
              </w:rPr>
            </w:r>
          </w:p>
        </w:tc>
        <w:tc>
          <w:tcPr>
            <w:tcW w:type="dxa" w:w="1332"/>
            <w:vAlign w:val="center"/>
          </w:tcPr>
          <w:p>
            <w:pPr>
              <w:spacing w:before="0" w:after="0" w:line="240" w:lineRule="auto"/>
            </w:pPr>
            <w:r>
              <w:rPr>
                <w:rFonts w:ascii="Malgun Gothic" w:hAnsi="Malgun Gothic" w:eastAsia="Malgun Gothic"/>
                <w:b w:val="0"/>
                <w:sz w:val="14"/>
              </w:rPr>
            </w:r>
          </w:p>
        </w:tc>
        <w:tc>
          <w:tcPr>
            <w:tcW w:type="dxa" w:w="1332"/>
            <w:vAlign w:val="center"/>
          </w:tcPr>
          <w:p>
            <w:pPr>
              <w:spacing w:before="0" w:after="0" w:line="240" w:lineRule="auto"/>
            </w:pPr>
            <w:r>
              <w:rPr>
                <w:rFonts w:ascii="Malgun Gothic" w:hAnsi="Malgun Gothic" w:eastAsia="Malgun Gothic"/>
                <w:b w:val="0"/>
                <w:sz w:val="14"/>
              </w:rPr>
            </w:r>
          </w:p>
        </w:tc>
        <w:tc>
          <w:tcPr>
            <w:tcW w:type="dxa" w:w="1332"/>
            <w:vAlign w:val="center"/>
          </w:tcPr>
          <w:p>
            <w:pPr>
              <w:spacing w:before="0" w:after="0" w:line="240" w:lineRule="auto"/>
            </w:pPr>
            <w:r>
              <w:rPr>
                <w:rFonts w:ascii="Malgun Gothic" w:hAnsi="Malgun Gothic" w:eastAsia="Malgun Gothic"/>
                <w:b w:val="0"/>
                <w:sz w:val="14"/>
              </w:rPr>
              <w:t>■</w:t>
            </w:r>
          </w:p>
        </w:tc>
        <w:tc>
          <w:tcPr>
            <w:tcW w:type="dxa" w:w="1332"/>
            <w:vAlign w:val="center"/>
            <w:shd w:fill="FCE4D6"/>
          </w:tcPr>
          <w:p>
            <w:pPr>
              <w:spacing w:before="0" w:after="0" w:line="240" w:lineRule="auto"/>
            </w:pPr>
            <w:r>
              <w:rPr>
                <w:rFonts w:ascii="Malgun Gothic" w:hAnsi="Malgun Gothic" w:eastAsia="Malgun Gothic"/>
                <w:b w:val="0"/>
                <w:sz w:val="14"/>
              </w:rPr>
              <w:t>휴일</w:t>
            </w:r>
          </w:p>
        </w:tc>
        <w:tc>
          <w:tcPr>
            <w:tcW w:type="dxa" w:w="1332"/>
            <w:vAlign w:val="center"/>
          </w:tcPr>
          <w:p>
            <w:pPr>
              <w:spacing w:before="0" w:after="0" w:line="240" w:lineRule="auto"/>
            </w:pPr>
            <w:r>
              <w:rPr>
                <w:rFonts w:ascii="Malgun Gothic" w:hAnsi="Malgun Gothic" w:eastAsia="Malgun Gothic"/>
                <w:b w:val="0"/>
                <w:sz w:val="14"/>
              </w:rPr>
            </w:r>
          </w:p>
        </w:tc>
      </w:tr>
      <w:tr>
        <w:tc>
          <w:tcPr>
            <w:tcW w:type="dxa" w:w="1332"/>
            <w:vAlign w:val="center"/>
          </w:tcPr>
          <w:p>
            <w:pPr>
              <w:spacing w:before="0" w:after="0" w:line="240" w:lineRule="auto"/>
            </w:pPr>
            <w:r>
              <w:rPr>
                <w:rFonts w:ascii="Malgun Gothic" w:hAnsi="Malgun Gothic" w:eastAsia="Malgun Gothic"/>
                <w:b w:val="0"/>
                <w:sz w:val="14"/>
              </w:rPr>
              <w:t>최종 리허설 및 발표</w:t>
            </w:r>
          </w:p>
        </w:tc>
        <w:tc>
          <w:tcPr>
            <w:tcW w:type="dxa" w:w="1332"/>
            <w:vAlign w:val="center"/>
          </w:tcPr>
          <w:p>
            <w:pPr>
              <w:spacing w:before="0" w:after="0" w:line="240" w:lineRule="auto"/>
            </w:pPr>
            <w:r>
              <w:rPr>
                <w:rFonts w:ascii="Malgun Gothic" w:hAnsi="Malgun Gothic" w:eastAsia="Malgun Gothic"/>
                <w:b w:val="0"/>
                <w:sz w:val="14"/>
              </w:rPr>
              <w:t>전체</w:t>
            </w:r>
          </w:p>
        </w:tc>
        <w:tc>
          <w:tcPr>
            <w:tcW w:type="dxa" w:w="1332"/>
            <w:vAlign w:val="center"/>
          </w:tcPr>
          <w:p>
            <w:pPr>
              <w:spacing w:before="0" w:after="0" w:line="240" w:lineRule="auto"/>
            </w:pPr>
            <w:r>
              <w:rPr>
                <w:rFonts w:ascii="Malgun Gothic" w:hAnsi="Malgun Gothic" w:eastAsia="Malgun Gothic"/>
                <w:b w:val="0"/>
                <w:sz w:val="14"/>
              </w:rPr>
            </w:r>
          </w:p>
        </w:tc>
        <w:tc>
          <w:tcPr>
            <w:tcW w:type="dxa" w:w="1332"/>
            <w:vAlign w:val="center"/>
          </w:tcPr>
          <w:p>
            <w:pPr>
              <w:spacing w:before="0" w:after="0" w:line="240" w:lineRule="auto"/>
            </w:pPr>
            <w:r>
              <w:rPr>
                <w:rFonts w:ascii="Malgun Gothic" w:hAnsi="Malgun Gothic" w:eastAsia="Malgun Gothic"/>
                <w:b w:val="0"/>
                <w:sz w:val="14"/>
              </w:rPr>
            </w:r>
          </w:p>
        </w:tc>
        <w:tc>
          <w:tcPr>
            <w:tcW w:type="dxa" w:w="1332"/>
            <w:vAlign w:val="center"/>
          </w:tcPr>
          <w:p>
            <w:pPr>
              <w:spacing w:before="0" w:after="0" w:line="240" w:lineRule="auto"/>
            </w:pPr>
            <w:r>
              <w:rPr>
                <w:rFonts w:ascii="Malgun Gothic" w:hAnsi="Malgun Gothic" w:eastAsia="Malgun Gothic"/>
                <w:b w:val="0"/>
                <w:sz w:val="14"/>
              </w:rPr>
            </w:r>
          </w:p>
        </w:tc>
        <w:tc>
          <w:tcPr>
            <w:tcW w:type="dxa" w:w="1332"/>
            <w:vAlign w:val="center"/>
          </w:tcPr>
          <w:p>
            <w:pPr>
              <w:spacing w:before="0" w:after="0" w:line="240" w:lineRule="auto"/>
            </w:pPr>
            <w:r>
              <w:rPr>
                <w:rFonts w:ascii="Malgun Gothic" w:hAnsi="Malgun Gothic" w:eastAsia="Malgun Gothic"/>
                <w:b w:val="0"/>
                <w:sz w:val="14"/>
              </w:rPr>
              <w:t>■</w:t>
            </w:r>
          </w:p>
        </w:tc>
        <w:tc>
          <w:tcPr>
            <w:tcW w:type="dxa" w:w="1332"/>
            <w:vAlign w:val="center"/>
            <w:shd w:fill="FCE4D6"/>
          </w:tcPr>
          <w:p>
            <w:pPr>
              <w:spacing w:before="0" w:after="0" w:line="240" w:lineRule="auto"/>
            </w:pPr>
            <w:r>
              <w:rPr>
                <w:rFonts w:ascii="Malgun Gothic" w:hAnsi="Malgun Gothic" w:eastAsia="Malgun Gothic"/>
                <w:b w:val="0"/>
                <w:sz w:val="14"/>
              </w:rPr>
              <w:t>휴일</w:t>
            </w:r>
          </w:p>
        </w:tc>
        <w:tc>
          <w:tcPr>
            <w:tcW w:type="dxa" w:w="1332"/>
            <w:vAlign w:val="center"/>
          </w:tcPr>
          <w:p>
            <w:pPr>
              <w:spacing w:before="0" w:after="0" w:line="240" w:lineRule="auto"/>
            </w:pPr>
            <w:r>
              <w:rPr>
                <w:rFonts w:ascii="Malgun Gothic" w:hAnsi="Malgun Gothic" w:eastAsia="Malgun Gothic"/>
                <w:b w:val="0"/>
                <w:sz w:val="14"/>
              </w:rPr>
              <w:t>■</w:t>
            </w:r>
          </w:p>
        </w:tc>
      </w:tr>
    </w:tbl>
    <w:p/>
    <w:p>
      <w:pPr>
        <w:spacing w:before="80" w:after="60" w:line="252" w:lineRule="auto"/>
      </w:pPr>
      <w:r>
        <w:rPr>
          <w:rFonts w:ascii="Malgun Gothic" w:hAnsi="Malgun Gothic" w:eastAsia="Malgun Gothic"/>
          <w:b/>
          <w:color w:val="444444"/>
          <w:sz w:val="22"/>
        </w:rPr>
        <w:t>11.2 병렬 작업 배분 원칙</w:t>
      </w:r>
    </w:p>
    <w:p>
      <w:pPr>
        <w:pStyle w:val="ListBullet"/>
        <w:spacing w:before="0" w:after="40" w:line="252" w:lineRule="auto"/>
      </w:pPr>
      <w:r>
        <w:rPr>
          <w:rFonts w:ascii="Malgun Gothic" w:hAnsi="Malgun Gothic" w:eastAsia="Malgun Gothic"/>
          <w:b w:val="0"/>
          <w:sz w:val="19"/>
        </w:rPr>
        <w:t>권보성은 기획서, 발표 흐름, 결과 해석 정리를 맡되 데이터 분류와 시각화 보조를 함께 진행한다.</w:t>
      </w:r>
    </w:p>
    <w:p>
      <w:pPr>
        <w:pStyle w:val="ListBullet"/>
        <w:spacing w:before="0" w:after="40" w:line="252" w:lineRule="auto"/>
      </w:pPr>
      <w:r>
        <w:rPr>
          <w:rFonts w:ascii="Malgun Gothic" w:hAnsi="Malgun Gothic" w:eastAsia="Malgun Gothic"/>
          <w:b w:val="0"/>
          <w:sz w:val="19"/>
        </w:rPr>
        <w:t>김근형은 HSI 기준표, 상태 분류 로직, HSI 해석 문장을 담당한다.</w:t>
      </w:r>
    </w:p>
    <w:p>
      <w:pPr>
        <w:pStyle w:val="ListBullet"/>
        <w:spacing w:before="0" w:after="40" w:line="252" w:lineRule="auto"/>
      </w:pPr>
      <w:r>
        <w:rPr>
          <w:rFonts w:ascii="Malgun Gothic" w:hAnsi="Malgun Gothic" w:eastAsia="Malgun Gothic"/>
          <w:b w:val="0"/>
          <w:sz w:val="19"/>
        </w:rPr>
        <w:t>김민호는 비교 전략, 파라미터 검증, 백테스트 평가 구조를 담당한다.</w:t>
      </w:r>
    </w:p>
    <w:p>
      <w:pPr>
        <w:pStyle w:val="ListBullet"/>
        <w:spacing w:before="0" w:after="40" w:line="252" w:lineRule="auto"/>
      </w:pPr>
      <w:r>
        <w:rPr>
          <w:rFonts w:ascii="Malgun Gothic" w:hAnsi="Malgun Gothic" w:eastAsia="Malgun Gothic"/>
          <w:b w:val="0"/>
          <w:sz w:val="19"/>
        </w:rPr>
        <w:t>추주원은 데이터 구조 확인, ETF 자산군 분류, 결과 표 정리와 시각화 보조를 담당한다.</w:t>
      </w:r>
    </w:p>
    <w:p>
      <w:pPr>
        <w:pStyle w:val="ListBullet"/>
        <w:spacing w:before="0" w:after="40" w:line="252" w:lineRule="auto"/>
      </w:pPr>
      <w:r>
        <w:rPr>
          <w:rFonts w:ascii="Malgun Gothic" w:hAnsi="Malgun Gothic" w:eastAsia="Malgun Gothic"/>
          <w:b w:val="0"/>
          <w:sz w:val="19"/>
        </w:rPr>
        <w:t>백테스트 단계에서는 전략 구현 담당과 데이터 담당이 동시에 결과를 확인하고, 발표 담당은 최종 결과가 나오기 전부터 PPT 목차와 시각 자료 배치를 준비한다.</w:t>
      </w:r>
    </w:p>
    <w:p>
      <w:pPr>
        <w:spacing w:before="80" w:after="60" w:line="252" w:lineRule="auto"/>
      </w:pPr>
      <w:r>
        <w:rPr>
          <w:rFonts w:ascii="Malgun Gothic" w:hAnsi="Malgun Gothic" w:eastAsia="Malgun Gothic"/>
          <w:b/>
          <w:color w:val="444444"/>
          <w:sz w:val="22"/>
        </w:rPr>
        <w:t>11.3 단계별 마일스톤</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center"/>
            <w:shd w:fill="D9EAF7"/>
          </w:tcPr>
          <w:p>
            <w:pPr>
              <w:spacing w:before="0" w:after="0" w:line="240" w:lineRule="auto"/>
            </w:pPr>
            <w:r>
              <w:rPr>
                <w:rFonts w:ascii="Malgun Gothic" w:hAnsi="Malgun Gothic" w:eastAsia="Malgun Gothic"/>
                <w:b/>
                <w:sz w:val="17"/>
              </w:rPr>
              <w:t>마일스톤</w:t>
            </w:r>
          </w:p>
        </w:tc>
        <w:tc>
          <w:tcPr>
            <w:tcW w:type="dxa" w:w="3552"/>
            <w:vAlign w:val="center"/>
            <w:shd w:fill="D9EAF7"/>
          </w:tcPr>
          <w:p>
            <w:pPr>
              <w:spacing w:before="0" w:after="0" w:line="240" w:lineRule="auto"/>
            </w:pPr>
            <w:r>
              <w:rPr>
                <w:rFonts w:ascii="Malgun Gothic" w:hAnsi="Malgun Gothic" w:eastAsia="Malgun Gothic"/>
                <w:b/>
                <w:sz w:val="17"/>
              </w:rPr>
              <w:t>목표일</w:t>
            </w:r>
          </w:p>
        </w:tc>
        <w:tc>
          <w:tcPr>
            <w:tcW w:type="dxa" w:w="3552"/>
            <w:vAlign w:val="center"/>
            <w:shd w:fill="D9EAF7"/>
          </w:tcPr>
          <w:p>
            <w:pPr>
              <w:spacing w:before="0" w:after="0" w:line="240" w:lineRule="auto"/>
            </w:pPr>
            <w:r>
              <w:rPr>
                <w:rFonts w:ascii="Malgun Gothic" w:hAnsi="Malgun Gothic" w:eastAsia="Malgun Gothic"/>
                <w:b/>
                <w:sz w:val="17"/>
              </w:rPr>
              <w:t>완료 기준</w:t>
            </w:r>
          </w:p>
        </w:tc>
      </w:tr>
      <w:tr>
        <w:tc>
          <w:tcPr>
            <w:tcW w:type="dxa" w:w="3552"/>
            <w:vAlign w:val="center"/>
          </w:tcPr>
          <w:p>
            <w:pPr>
              <w:spacing w:before="0" w:after="0" w:line="240" w:lineRule="auto"/>
            </w:pPr>
            <w:r>
              <w:rPr>
                <w:rFonts w:ascii="Malgun Gothic" w:hAnsi="Malgun Gothic" w:eastAsia="Malgun Gothic"/>
                <w:b w:val="0"/>
                <w:sz w:val="17"/>
              </w:rPr>
              <w:t>기획안 확정</w:t>
            </w:r>
          </w:p>
        </w:tc>
        <w:tc>
          <w:tcPr>
            <w:tcW w:type="dxa" w:w="3552"/>
            <w:vAlign w:val="center"/>
          </w:tcPr>
          <w:p>
            <w:pPr>
              <w:spacing w:before="0" w:after="0" w:line="240" w:lineRule="auto"/>
            </w:pPr>
            <w:r>
              <w:rPr>
                <w:rFonts w:ascii="Malgun Gothic" w:hAnsi="Malgun Gothic" w:eastAsia="Malgun Gothic"/>
                <w:b w:val="0"/>
                <w:sz w:val="17"/>
              </w:rPr>
              <w:t>6/25</w:t>
            </w:r>
          </w:p>
        </w:tc>
        <w:tc>
          <w:tcPr>
            <w:tcW w:type="dxa" w:w="3552"/>
            <w:vAlign w:val="center"/>
          </w:tcPr>
          <w:p>
            <w:pPr>
              <w:spacing w:before="0" w:after="0" w:line="240" w:lineRule="auto"/>
            </w:pPr>
            <w:r>
              <w:rPr>
                <w:rFonts w:ascii="Malgun Gothic" w:hAnsi="Malgun Gothic" w:eastAsia="Malgun Gothic"/>
                <w:b w:val="0"/>
                <w:sz w:val="17"/>
              </w:rPr>
              <w:t>프로젝트 제목, 핵심 가설, 역할 배분 확정</w:t>
            </w:r>
          </w:p>
        </w:tc>
      </w:tr>
      <w:tr>
        <w:tc>
          <w:tcPr>
            <w:tcW w:type="dxa" w:w="3552"/>
            <w:vAlign w:val="center"/>
          </w:tcPr>
          <w:p>
            <w:pPr>
              <w:spacing w:before="0" w:after="0" w:line="240" w:lineRule="auto"/>
            </w:pPr>
            <w:r>
              <w:rPr>
                <w:rFonts w:ascii="Malgun Gothic" w:hAnsi="Malgun Gothic" w:eastAsia="Malgun Gothic"/>
                <w:b w:val="0"/>
                <w:sz w:val="17"/>
              </w:rPr>
              <w:t>데이터 준비 완료</w:t>
            </w:r>
          </w:p>
        </w:tc>
        <w:tc>
          <w:tcPr>
            <w:tcW w:type="dxa" w:w="3552"/>
            <w:vAlign w:val="center"/>
          </w:tcPr>
          <w:p>
            <w:pPr>
              <w:spacing w:before="0" w:after="0" w:line="240" w:lineRule="auto"/>
            </w:pPr>
            <w:r>
              <w:rPr>
                <w:rFonts w:ascii="Malgun Gothic" w:hAnsi="Malgun Gothic" w:eastAsia="Malgun Gothic"/>
                <w:b w:val="0"/>
                <w:sz w:val="17"/>
              </w:rPr>
              <w:t>6/26</w:t>
            </w:r>
          </w:p>
        </w:tc>
        <w:tc>
          <w:tcPr>
            <w:tcW w:type="dxa" w:w="3552"/>
            <w:vAlign w:val="center"/>
          </w:tcPr>
          <w:p>
            <w:pPr>
              <w:spacing w:before="0" w:after="0" w:line="240" w:lineRule="auto"/>
            </w:pPr>
            <w:r>
              <w:rPr>
                <w:rFonts w:ascii="Malgun Gothic" w:hAnsi="Malgun Gothic" w:eastAsia="Malgun Gothic"/>
                <w:b w:val="0"/>
                <w:sz w:val="17"/>
              </w:rPr>
              <w:t>ETF 가격 데이터, ETF 자산군 분류표 초안, 벤치마크 후보 정리</w:t>
            </w:r>
          </w:p>
        </w:tc>
      </w:tr>
      <w:tr>
        <w:tc>
          <w:tcPr>
            <w:tcW w:type="dxa" w:w="3552"/>
            <w:vAlign w:val="center"/>
          </w:tcPr>
          <w:p>
            <w:pPr>
              <w:spacing w:before="0" w:after="0" w:line="240" w:lineRule="auto"/>
            </w:pPr>
            <w:r>
              <w:rPr>
                <w:rFonts w:ascii="Malgun Gothic" w:hAnsi="Malgun Gothic" w:eastAsia="Malgun Gothic"/>
                <w:b w:val="0"/>
                <w:sz w:val="17"/>
              </w:rPr>
              <w:t>전략 로직 초안 완료</w:t>
            </w:r>
          </w:p>
        </w:tc>
        <w:tc>
          <w:tcPr>
            <w:tcW w:type="dxa" w:w="3552"/>
            <w:vAlign w:val="center"/>
          </w:tcPr>
          <w:p>
            <w:pPr>
              <w:spacing w:before="0" w:after="0" w:line="240" w:lineRule="auto"/>
            </w:pPr>
            <w:r>
              <w:rPr>
                <w:rFonts w:ascii="Malgun Gothic" w:hAnsi="Malgun Gothic" w:eastAsia="Malgun Gothic"/>
                <w:b w:val="0"/>
                <w:sz w:val="17"/>
              </w:rPr>
              <w:t>7/03</w:t>
            </w:r>
          </w:p>
        </w:tc>
        <w:tc>
          <w:tcPr>
            <w:tcW w:type="dxa" w:w="3552"/>
            <w:vAlign w:val="center"/>
          </w:tcPr>
          <w:p>
            <w:pPr>
              <w:spacing w:before="0" w:after="0" w:line="240" w:lineRule="auto"/>
            </w:pPr>
            <w:r>
              <w:rPr>
                <w:rFonts w:ascii="Malgun Gothic" w:hAnsi="Malgun Gothic" w:eastAsia="Malgun Gothic"/>
                <w:b w:val="0"/>
                <w:sz w:val="17"/>
              </w:rPr>
              <w:t>비교 전략과 HSI 기반 비중 조절 규칙 초안 구현</w:t>
            </w:r>
          </w:p>
        </w:tc>
      </w:tr>
      <w:tr>
        <w:tc>
          <w:tcPr>
            <w:tcW w:type="dxa" w:w="3552"/>
            <w:vAlign w:val="center"/>
          </w:tcPr>
          <w:p>
            <w:pPr>
              <w:spacing w:before="0" w:after="0" w:line="240" w:lineRule="auto"/>
            </w:pPr>
            <w:r>
              <w:rPr>
                <w:rFonts w:ascii="Malgun Gothic" w:hAnsi="Malgun Gothic" w:eastAsia="Malgun Gothic"/>
                <w:b w:val="0"/>
                <w:sz w:val="17"/>
              </w:rPr>
              <w:t>백테스트 결과 1차 도출</w:t>
            </w:r>
          </w:p>
        </w:tc>
        <w:tc>
          <w:tcPr>
            <w:tcW w:type="dxa" w:w="3552"/>
            <w:vAlign w:val="center"/>
          </w:tcPr>
          <w:p>
            <w:pPr>
              <w:spacing w:before="0" w:after="0" w:line="240" w:lineRule="auto"/>
            </w:pPr>
            <w:r>
              <w:rPr>
                <w:rFonts w:ascii="Malgun Gothic" w:hAnsi="Malgun Gothic" w:eastAsia="Malgun Gothic"/>
                <w:b w:val="0"/>
                <w:sz w:val="17"/>
              </w:rPr>
              <w:t>7/09</w:t>
            </w:r>
          </w:p>
        </w:tc>
        <w:tc>
          <w:tcPr>
            <w:tcW w:type="dxa" w:w="3552"/>
            <w:vAlign w:val="center"/>
          </w:tcPr>
          <w:p>
            <w:pPr>
              <w:spacing w:before="0" w:after="0" w:line="240" w:lineRule="auto"/>
            </w:pPr>
            <w:r>
              <w:rPr>
                <w:rFonts w:ascii="Malgun Gothic" w:hAnsi="Malgun Gothic" w:eastAsia="Malgun Gothic"/>
                <w:b w:val="0"/>
                <w:sz w:val="17"/>
              </w:rPr>
              <w:t>성과지표, Equity Curve, 위기 구간 비교 결과 생성</w:t>
            </w:r>
          </w:p>
        </w:tc>
      </w:tr>
      <w:tr>
        <w:tc>
          <w:tcPr>
            <w:tcW w:type="dxa" w:w="3552"/>
            <w:vAlign w:val="center"/>
          </w:tcPr>
          <w:p>
            <w:pPr>
              <w:spacing w:before="0" w:after="0" w:line="240" w:lineRule="auto"/>
            </w:pPr>
            <w:r>
              <w:rPr>
                <w:rFonts w:ascii="Malgun Gothic" w:hAnsi="Malgun Gothic" w:eastAsia="Malgun Gothic"/>
                <w:b w:val="0"/>
                <w:sz w:val="17"/>
              </w:rPr>
              <w:t>발표자료 초안 완료</w:t>
            </w:r>
          </w:p>
        </w:tc>
        <w:tc>
          <w:tcPr>
            <w:tcW w:type="dxa" w:w="3552"/>
            <w:vAlign w:val="center"/>
          </w:tcPr>
          <w:p>
            <w:pPr>
              <w:spacing w:before="0" w:after="0" w:line="240" w:lineRule="auto"/>
            </w:pPr>
            <w:r>
              <w:rPr>
                <w:rFonts w:ascii="Malgun Gothic" w:hAnsi="Malgun Gothic" w:eastAsia="Malgun Gothic"/>
                <w:b w:val="0"/>
                <w:sz w:val="17"/>
              </w:rPr>
              <w:t>7/09</w:t>
            </w:r>
          </w:p>
        </w:tc>
        <w:tc>
          <w:tcPr>
            <w:tcW w:type="dxa" w:w="3552"/>
            <w:vAlign w:val="center"/>
          </w:tcPr>
          <w:p>
            <w:pPr>
              <w:spacing w:before="0" w:after="0" w:line="240" w:lineRule="auto"/>
            </w:pPr>
            <w:r>
              <w:rPr>
                <w:rFonts w:ascii="Malgun Gothic" w:hAnsi="Malgun Gothic" w:eastAsia="Malgun Gothic"/>
                <w:b w:val="0"/>
                <w:sz w:val="17"/>
              </w:rPr>
              <w:t>PPT, 결과 해석, 한계 및 개선점 정리</w:t>
            </w:r>
          </w:p>
        </w:tc>
      </w:tr>
      <w:tr>
        <w:tc>
          <w:tcPr>
            <w:tcW w:type="dxa" w:w="3552"/>
            <w:vAlign w:val="center"/>
          </w:tcPr>
          <w:p>
            <w:pPr>
              <w:spacing w:before="0" w:after="0" w:line="240" w:lineRule="auto"/>
            </w:pPr>
            <w:r>
              <w:rPr>
                <w:rFonts w:ascii="Malgun Gothic" w:hAnsi="Malgun Gothic" w:eastAsia="Malgun Gothic"/>
                <w:b w:val="0"/>
                <w:sz w:val="17"/>
              </w:rPr>
              <w:t>최종 발표</w:t>
            </w:r>
          </w:p>
        </w:tc>
        <w:tc>
          <w:tcPr>
            <w:tcW w:type="dxa" w:w="3552"/>
            <w:vAlign w:val="center"/>
          </w:tcPr>
          <w:p>
            <w:pPr>
              <w:spacing w:before="0" w:after="0" w:line="240" w:lineRule="auto"/>
            </w:pPr>
            <w:r>
              <w:rPr>
                <w:rFonts w:ascii="Malgun Gothic" w:hAnsi="Malgun Gothic" w:eastAsia="Malgun Gothic"/>
                <w:b w:val="0"/>
                <w:sz w:val="17"/>
              </w:rPr>
              <w:t>7/13</w:t>
            </w:r>
          </w:p>
        </w:tc>
        <w:tc>
          <w:tcPr>
            <w:tcW w:type="dxa" w:w="3552"/>
            <w:vAlign w:val="center"/>
          </w:tcPr>
          <w:p>
            <w:pPr>
              <w:spacing w:before="0" w:after="0" w:line="240" w:lineRule="auto"/>
            </w:pPr>
            <w:r>
              <w:rPr>
                <w:rFonts w:ascii="Malgun Gothic" w:hAnsi="Malgun Gothic" w:eastAsia="Malgun Gothic"/>
                <w:b w:val="0"/>
                <w:sz w:val="17"/>
              </w:rPr>
              <w:t>발표 및 피드백 수렴</w:t>
            </w:r>
          </w:p>
        </w:tc>
      </w:tr>
    </w:tbl>
    <w:p/>
    <w:p>
      <w:pPr>
        <w:spacing w:before="160" w:after="80" w:line="252" w:lineRule="auto"/>
      </w:pPr>
      <w:r>
        <w:rPr>
          <w:rFonts w:ascii="Malgun Gothic" w:hAnsi="Malgun Gothic" w:eastAsia="Malgun Gothic"/>
          <w:b/>
          <w:color w:val="1F4E79"/>
          <w:sz w:val="26"/>
        </w:rPr>
        <w:t>12. 기대 결과물</w:t>
      </w:r>
    </w:p>
    <w:p>
      <w:pPr>
        <w:pStyle w:val="ListBullet"/>
        <w:spacing w:before="0" w:after="40" w:line="252" w:lineRule="auto"/>
      </w:pPr>
      <w:r>
        <w:rPr>
          <w:rFonts w:ascii="Malgun Gothic" w:hAnsi="Malgun Gothic" w:eastAsia="Malgun Gothic"/>
          <w:b w:val="0"/>
          <w:sz w:val="19"/>
        </w:rPr>
        <w:t>프로젝트 기획서</w:t>
      </w:r>
    </w:p>
    <w:p>
      <w:pPr>
        <w:pStyle w:val="ListBullet"/>
        <w:spacing w:before="0" w:after="40" w:line="252" w:lineRule="auto"/>
      </w:pPr>
      <w:r>
        <w:rPr>
          <w:rFonts w:ascii="Malgun Gothic" w:hAnsi="Malgun Gothic" w:eastAsia="Malgun Gothic"/>
          <w:b w:val="0"/>
          <w:sz w:val="19"/>
        </w:rPr>
        <w:t>One Page Proposal</w:t>
      </w:r>
    </w:p>
    <w:p>
      <w:pPr>
        <w:pStyle w:val="ListBullet"/>
        <w:spacing w:before="0" w:after="40" w:line="252" w:lineRule="auto"/>
      </w:pPr>
      <w:r>
        <w:rPr>
          <w:rFonts w:ascii="Malgun Gothic" w:hAnsi="Malgun Gothic" w:eastAsia="Malgun Gothic"/>
          <w:b w:val="0"/>
          <w:sz w:val="19"/>
        </w:rPr>
        <w:t>ETF 자산군 분류표</w:t>
      </w:r>
    </w:p>
    <w:p>
      <w:pPr>
        <w:pStyle w:val="ListBullet"/>
        <w:spacing w:before="0" w:after="40" w:line="252" w:lineRule="auto"/>
      </w:pPr>
      <w:r>
        <w:rPr>
          <w:rFonts w:ascii="Malgun Gothic" w:hAnsi="Malgun Gothic" w:eastAsia="Malgun Gothic"/>
          <w:b w:val="0"/>
          <w:sz w:val="19"/>
        </w:rPr>
        <w:t>HSI 기준표 및 상태 분류 결과</w:t>
      </w:r>
    </w:p>
    <w:p>
      <w:pPr>
        <w:pStyle w:val="ListBullet"/>
        <w:spacing w:before="0" w:after="40" w:line="252" w:lineRule="auto"/>
      </w:pPr>
      <w:r>
        <w:rPr>
          <w:rFonts w:ascii="Malgun Gothic" w:hAnsi="Malgun Gothic" w:eastAsia="Malgun Gothic"/>
          <w:b w:val="0"/>
          <w:sz w:val="19"/>
        </w:rPr>
        <w:t>자산배분 전략별 백테스트 결과</w:t>
      </w:r>
    </w:p>
    <w:p>
      <w:pPr>
        <w:pStyle w:val="ListBullet"/>
        <w:spacing w:before="0" w:after="40" w:line="252" w:lineRule="auto"/>
      </w:pPr>
      <w:r>
        <w:rPr>
          <w:rFonts w:ascii="Malgun Gothic" w:hAnsi="Malgun Gothic" w:eastAsia="Malgun Gothic"/>
          <w:b w:val="0"/>
          <w:sz w:val="19"/>
        </w:rPr>
        <w:t>성과지표 요약표</w:t>
      </w:r>
    </w:p>
    <w:p>
      <w:pPr>
        <w:pStyle w:val="ListBullet"/>
        <w:spacing w:before="0" w:after="40" w:line="252" w:lineRule="auto"/>
      </w:pPr>
      <w:r>
        <w:rPr>
          <w:rFonts w:ascii="Malgun Gothic" w:hAnsi="Malgun Gothic" w:eastAsia="Malgun Gothic"/>
          <w:b w:val="0"/>
          <w:sz w:val="19"/>
        </w:rPr>
        <w:t>Equity Curve 및 주요 시각화 자료</w:t>
      </w:r>
    </w:p>
    <w:p>
      <w:pPr>
        <w:pStyle w:val="ListBullet"/>
        <w:spacing w:before="0" w:after="40" w:line="252" w:lineRule="auto"/>
      </w:pPr>
      <w:r>
        <w:rPr>
          <w:rFonts w:ascii="Malgun Gothic" w:hAnsi="Malgun Gothic" w:eastAsia="Malgun Gothic"/>
          <w:b w:val="0"/>
          <w:sz w:val="19"/>
        </w:rPr>
        <w:t>최종 발표 PPT</w:t>
      </w:r>
    </w:p>
    <w:p>
      <w:pPr>
        <w:pStyle w:val="ListBullet"/>
        <w:spacing w:before="0" w:after="40" w:line="252" w:lineRule="auto"/>
      </w:pPr>
      <w:r>
        <w:rPr>
          <w:rFonts w:ascii="Malgun Gothic" w:hAnsi="Malgun Gothic" w:eastAsia="Malgun Gothic"/>
          <w:b w:val="0"/>
          <w:sz w:val="19"/>
        </w:rPr>
        <w:t>분석 코드 및 GitHub 저장소</w:t>
      </w:r>
    </w:p>
    <w:p>
      <w:pPr>
        <w:spacing w:before="160" w:after="80" w:line="252" w:lineRule="auto"/>
      </w:pPr>
      <w:r>
        <w:rPr>
          <w:rFonts w:ascii="Malgun Gothic" w:hAnsi="Malgun Gothic" w:eastAsia="Malgun Gothic"/>
          <w:b/>
          <w:color w:val="1F4E79"/>
          <w:sz w:val="26"/>
        </w:rPr>
        <w:t>13. 기대 효과</w:t>
      </w:r>
    </w:p>
    <w:p>
      <w:pPr>
        <w:spacing w:before="0" w:after="80" w:line="259" w:lineRule="auto"/>
      </w:pPr>
      <w:r>
        <w:rPr>
          <w:rFonts w:ascii="Malgun Gothic" w:hAnsi="Malgun Gothic" w:eastAsia="Malgun Gothic"/>
          <w:b w:val="0"/>
          <w:sz w:val="20"/>
        </w:rPr>
        <w:t>본 프로젝트는 기존 자산배분 전략의 단순 비교에 그치지 않고, HSI라는 시각적이고 해석 가능한 market timing 보조지표를 활용한다. 이를 통해 시장 위험 신호가 강화되는 구간에서 위험자산 비중을 줄이는 전략이 실제로 MDD나 변동성 개선에 도움이 되는지 검증할 수 있다.</w:t>
      </w:r>
    </w:p>
    <w:p>
      <w:pPr>
        <w:spacing w:before="0" w:after="80" w:line="259" w:lineRule="auto"/>
      </w:pPr>
      <w:r>
        <w:rPr>
          <w:rFonts w:ascii="Malgun Gothic" w:hAnsi="Malgun Gothic" w:eastAsia="Malgun Gothic"/>
          <w:b w:val="0"/>
          <w:sz w:val="20"/>
        </w:rPr>
        <w:t>또한 HSI 모래시계 모형은 발표에서 직관적으로 설명하기 쉬워, 전략의 해석 가능성과 차별성을 높일 수 있다.</w:t>
      </w:r>
    </w:p>
    <w:p>
      <w:pPr>
        <w:spacing w:before="160" w:after="80" w:line="252" w:lineRule="auto"/>
      </w:pPr>
      <w:r>
        <w:rPr>
          <w:rFonts w:ascii="Malgun Gothic" w:hAnsi="Malgun Gothic" w:eastAsia="Malgun Gothic"/>
          <w:b/>
          <w:color w:val="1F4E79"/>
          <w:sz w:val="26"/>
        </w:rPr>
        <w:t>14. 한계 및 유의사항</w:t>
      </w:r>
    </w:p>
    <w:p>
      <w:pPr>
        <w:pStyle w:val="ListBullet"/>
        <w:spacing w:before="0" w:after="40" w:line="252" w:lineRule="auto"/>
      </w:pPr>
      <w:r>
        <w:rPr>
          <w:rFonts w:ascii="Malgun Gothic" w:hAnsi="Malgun Gothic" w:eastAsia="Malgun Gothic"/>
          <w:b w:val="0"/>
          <w:sz w:val="19"/>
        </w:rPr>
        <w:t>HSI는 아직 검증된 금융 이론 기반 지표가 아니라 프로젝트 내에서 정의한 실험적 보조지표이다.</w:t>
      </w:r>
    </w:p>
    <w:p>
      <w:pPr>
        <w:pStyle w:val="ListBullet"/>
        <w:spacing w:before="0" w:after="40" w:line="252" w:lineRule="auto"/>
      </w:pPr>
      <w:r>
        <w:rPr>
          <w:rFonts w:ascii="Malgun Gothic" w:hAnsi="Malgun Gothic" w:eastAsia="Malgun Gothic"/>
          <w:b w:val="0"/>
          <w:sz w:val="19"/>
        </w:rPr>
        <w:t>HSI가 미래 위험을 예측한다고 주장하지 않는다.</w:t>
      </w:r>
    </w:p>
    <w:p>
      <w:pPr>
        <w:pStyle w:val="ListBullet"/>
        <w:spacing w:before="0" w:after="40" w:line="252" w:lineRule="auto"/>
      </w:pPr>
      <w:r>
        <w:rPr>
          <w:rFonts w:ascii="Malgun Gothic" w:hAnsi="Malgun Gothic" w:eastAsia="Malgun Gothic"/>
          <w:b w:val="0"/>
          <w:sz w:val="19"/>
        </w:rPr>
        <w:t>ETF 자산군 분류가 부정확하면 리밸런싱 전략의 해석도 흔들릴 수 있다.</w:t>
      </w:r>
    </w:p>
    <w:p>
      <w:pPr>
        <w:pStyle w:val="ListBullet"/>
        <w:spacing w:before="0" w:after="40" w:line="252" w:lineRule="auto"/>
      </w:pPr>
      <w:r>
        <w:rPr>
          <w:rFonts w:ascii="Malgun Gothic" w:hAnsi="Malgun Gothic" w:eastAsia="Malgun Gothic"/>
          <w:b w:val="0"/>
          <w:sz w:val="19"/>
        </w:rPr>
        <w:t>백테스트 결과는 과거 데이터 기반 검증이며, 실제 투자 성과를 보장하지 않는다.</w:t>
      </w:r>
    </w:p>
    <w:p>
      <w:pPr>
        <w:pStyle w:val="ListBullet"/>
        <w:spacing w:before="0" w:after="40" w:line="252" w:lineRule="auto"/>
      </w:pPr>
      <w:r>
        <w:rPr>
          <w:rFonts w:ascii="Malgun Gothic" w:hAnsi="Malgun Gothic" w:eastAsia="Malgun Gothic"/>
          <w:b w:val="0"/>
          <w:sz w:val="19"/>
        </w:rPr>
        <w:t>HSI는 종목 selection 모델보다는 market timing 및 위험자산 비중 조절 보조지표로 제한해 사용하는 것이 적절하다.</w:t>
      </w:r>
    </w:p>
    <w:p>
      <w:pPr>
        <w:spacing w:before="160" w:after="80" w:line="252" w:lineRule="auto"/>
      </w:pPr>
      <w:r>
        <w:rPr>
          <w:rFonts w:ascii="Malgun Gothic" w:hAnsi="Malgun Gothic" w:eastAsia="Malgun Gothic"/>
          <w:b/>
          <w:color w:val="1F4E79"/>
          <w:sz w:val="26"/>
        </w:rPr>
        <w:t>15. 최종 결론</w:t>
      </w:r>
    </w:p>
    <w:p>
      <w:pPr>
        <w:spacing w:before="0" w:after="80" w:line="259" w:lineRule="auto"/>
      </w:pPr>
      <w:r>
        <w:rPr>
          <w:rFonts w:ascii="Malgun Gothic" w:hAnsi="Malgun Gothic" w:eastAsia="Malgun Gothic"/>
          <w:b w:val="0"/>
          <w:sz w:val="20"/>
        </w:rPr>
        <w:t>본 프로젝트는 한국 ETF 가격 데이터를 활용하여 HSI 기반 시장위험 신호를 만들고, 이를 자산배분 전략의 market timing 보조지표로 활용할 수 있는지 검증하는 것을 목표로 한다.</w:t>
      </w:r>
    </w:p>
    <w:p>
      <w:pPr>
        <w:spacing w:before="0" w:after="80" w:line="259" w:lineRule="auto"/>
      </w:pPr>
      <w:r>
        <w:rPr>
          <w:rFonts w:ascii="Malgun Gothic" w:hAnsi="Malgun Gothic" w:eastAsia="Malgun Gothic"/>
          <w:b w:val="0"/>
          <w:sz w:val="20"/>
        </w:rPr>
        <w:t xml:space="preserve">노션 프로젝트 요구사항인 투자전략 구상, 유니버스 선정, 비중 결정, 리밸런싱, 백테스트 검증을 모두 포함하며, 기존 전략과 비교 가능한 구조를 갖춘다. 따라서 현재 주어진 자료와 팀 회의 내용, 조원이 제시한 모래시계 모형을 모두 반영할 수 있는 가장 현실적인 기획안은 </w:t>
      </w:r>
      <w:r>
        <w:rPr>
          <w:rFonts w:ascii="Malgun Gothic" w:hAnsi="Malgun Gothic" w:eastAsia="Malgun Gothic"/>
          <w:b/>
          <w:sz w:val="20"/>
        </w:rPr>
        <w:t>HSI 기반 ETF 자산배분 전략 성과 비교 및 검증</w:t>
      </w:r>
      <w:r>
        <w:rPr>
          <w:rFonts w:ascii="Malgun Gothic" w:hAnsi="Malgun Gothic" w:eastAsia="Malgun Gothic"/>
          <w:b w:val="0"/>
          <w:sz w:val="20"/>
        </w:rPr>
        <w:t>이다.</w:t>
      </w:r>
    </w:p>
    <w:sectPr w:rsidR="00FC693F" w:rsidRPr="0006063C" w:rsidSect="00034616">
      <w:pgSz w:w="12240" w:h="15840"/>
      <w:pgMar w:top="936" w:right="792" w:bottom="936"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