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벤치마크(BM) 선정 방법론</w:t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— 무엇과 비교해야 우리 지수가 설명되는가 —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color w:val="888888"/>
          <w:sz w:val="16"/>
          <w:szCs w:val="16"/>
        </w:rPr>
        <w:t xml:space="preserve">2026-07-15 · AI퀀트 3기 커스텀 인덱스 프로젝트 · 회의 안건 1 결정 자료</w:t>
      </w:r>
    </w:p>
    <w:p>
      <w:pPr>
        <w:pStyle w:val="Heading1"/>
        <w:spacing w:after="90" w:before="22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0. 전제: BM의 역할 재확인</w:t>
      </w:r>
    </w:p>
    <w:p>
      <w:pPr>
        <w:spacing w:after="90"/>
      </w:pPr>
      <w:r>
        <w:rPr>
          <w:rFonts w:ascii="Malgun Gothic" w:cs="Malgun Gothic" w:eastAsia="Malgun Gothic" w:hAnsi="Malgun Gothic"/>
          <w:sz w:val="19"/>
          <w:szCs w:val="19"/>
        </w:rPr>
        <w:t xml:space="preserve">팀 지수는 추종 대상이 아니라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비교 기준</w:t>
      </w:r>
      <w:r>
        <w:rPr>
          <w:rFonts w:ascii="Malgun Gothic" w:cs="Malgun Gothic" w:eastAsia="Malgun Gothic" w:hAnsi="Malgun Gothic"/>
          <w:sz w:val="19"/>
          <w:szCs w:val="19"/>
        </w:rPr>
        <w:t xml:space="preserve">으로 BM을 사용한다. 따라서 BM이 답해줘야 할 질문에서 역산하는 것이 방법론이다. 질문은 두 개뿐이다.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“시장을 그냥 샀을 때보다 뭐가 다른가?”</w:t>
      </w:r>
      <w:r>
        <w:rPr>
          <w:rFonts w:ascii="Malgun Gothic" w:cs="Malgun Gothic" w:eastAsia="Malgun Gothic" w:hAnsi="Malgun Gothic"/>
          <w:sz w:val="19"/>
          <w:szCs w:val="19"/>
        </w:rPr>
        <w:t xml:space="preserve"> → 시장 BM (1차)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“이 테마를 기존 상품으로 샀을 때와 뭐가 다른가?”</w:t>
      </w:r>
      <w:r>
        <w:rPr>
          <w:rFonts w:ascii="Malgun Gothic" w:cs="Malgun Gothic" w:eastAsia="Malgun Gothic" w:hAnsi="Malgun Gothic"/>
          <w:sz w:val="19"/>
          <w:szCs w:val="19"/>
        </w:rPr>
        <w:t xml:space="preserve"> → 테마 참고 BM (2차)</w:t>
      </w:r>
    </w:p>
    <w:p>
      <w:pPr>
        <w:spacing w:after="90"/>
      </w:pPr>
      <w:r>
        <w:rPr>
          <w:rFonts w:ascii="Malgun Gothic" w:cs="Malgun Gothic" w:eastAsia="Malgun Gothic" w:hAnsi="Malgun Gothic"/>
          <w:sz w:val="19"/>
          <w:szCs w:val="19"/>
        </w:rPr>
        <w:t xml:space="preserve">두 질문은 용도가 달라 하나의 BM으로 합칠 수 없으므로, BM은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2층 구조</w:t>
      </w:r>
      <w:r>
        <w:rPr>
          <w:rFonts w:ascii="Malgun Gothic" w:cs="Malgun Gothic" w:eastAsia="Malgun Gothic" w:hAnsi="Malgun Gothic"/>
          <w:sz w:val="19"/>
          <w:szCs w:val="19"/>
        </w:rPr>
        <w:t xml:space="preserve">로 구성한다.</w:t>
      </w:r>
    </w:p>
    <w:p>
      <w:pPr>
        <w:pStyle w:val="Heading1"/>
        <w:spacing w:after="90" w:before="22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1. 선정 기준 — 게이트 방식</w:t>
      </w:r>
    </w:p>
    <w:p>
      <w:pPr>
        <w:spacing w:after="90"/>
      </w:pPr>
      <w:r>
        <w:rPr>
          <w:rFonts w:ascii="Malgun Gothic" w:cs="Malgun Gothic" w:eastAsia="Malgun Gothic" w:hAnsi="Malgun Gothic"/>
          <w:sz w:val="19"/>
          <w:szCs w:val="19"/>
        </w:rPr>
        <w:t xml:space="preserve">후보 BM이 통과해야 할 조건 (팀이 종목 게이트에 쓰는 논리를 그대로 적용):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900"/>
        <w:gridCol w:w="3200"/>
      </w:tblGrid>
      <w:tr>
        <w:trPr>
          <w:tblHeader/>
        </w:trPr>
        <w:tc>
          <w:tcPr>
            <w:tcW w:type="dxa" w:w="1500"/>
            <w:shd w:fill="DEEA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기준</w:t>
            </w:r>
          </w:p>
        </w:tc>
        <w:tc>
          <w:tcPr>
            <w:tcW w:type="dxa" w:w="4900"/>
            <w:shd w:fill="DEEA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내용</w:t>
            </w:r>
          </w:p>
        </w:tc>
        <w:tc>
          <w:tcPr>
            <w:tcW w:type="dxa" w:w="3200"/>
            <w:shd w:fill="DEEA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탈락 예시</w:t>
            </w:r>
          </w:p>
        </w:tc>
      </w:tr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데이터 확보</w:t>
            </w:r>
          </w:p>
        </w:tc>
        <w:tc>
          <w:tcPr>
            <w:tcW w:type="dxa" w:w="4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일별 지수값을 무료·안정적으로 수집 가능 (yfinance / KRX 정보데이터시스템)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유료 전용 지수</w:t>
            </w:r>
          </w:p>
        </w:tc>
      </w:tr>
      <w:tr>
        <w:tc>
          <w:tcPr>
            <w:tcW w:type="dxa" w:w="15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PR/TR 구분 존재</w:t>
            </w:r>
          </w:p>
        </w:tc>
        <w:tc>
          <w:tcPr>
            <w:tcW w:type="dxa" w:w="4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우리 지수 산출 형태와 같은 형태(가격지수/총수익지수)가 존재</w:t>
            </w:r>
          </w:p>
        </w:tc>
        <w:tc>
          <w:tcPr>
            <w:tcW w:type="dxa" w:w="32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TR 미제공 지수</w:t>
            </w:r>
          </w:p>
        </w:tc>
      </w:tr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대표성</w:t>
            </w:r>
          </w:p>
        </w:tc>
        <w:tc>
          <w:tcPr>
            <w:tcW w:type="dxa" w:w="4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우리 유니버스가 실제로 뽑히는 모집단을 대표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코스피 종목뿐인데 KOSDAQ 지수</w:t>
            </w:r>
          </w:p>
        </w:tc>
      </w:tr>
      <w:tr>
        <w:tc>
          <w:tcPr>
            <w:tcW w:type="dxa" w:w="15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투자가능성</w:t>
            </w:r>
          </w:p>
        </w:tc>
        <w:tc>
          <w:tcPr>
            <w:tcW w:type="dxa" w:w="4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실제 ETF 등으로 매수 가능한 기준 (비교의 실질성)</w:t>
            </w:r>
          </w:p>
        </w:tc>
        <w:tc>
          <w:tcPr>
            <w:tcW w:type="dxa" w:w="32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이론상만 존재하는 지수</w:t>
            </w:r>
          </w:p>
        </w:tc>
      </w:tr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기간 충분성</w:t>
            </w:r>
          </w:p>
        </w:tc>
        <w:tc>
          <w:tcPr>
            <w:tcW w:type="dxa" w:w="4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백테스트 구간 전체를 커버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신생 지수</w:t>
            </w:r>
          </w:p>
        </w:tc>
      </w:tr>
    </w:tbl>
    <w:p>
      <w:pPr>
        <w:pStyle w:val="Heading1"/>
        <w:spacing w:after="90" w:before="22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2. 1차 BM (시장) — 후보와 판단 포인트</w:t>
      </w:r>
    </w:p>
    <w:p>
      <w:pPr>
        <w:spacing w:after="9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국내: KOSPI 200 (권장) vs KOSPI. </w:t>
      </w:r>
      <w:r>
        <w:rPr>
          <w:rFonts w:ascii="Malgun Gothic" w:cs="Malgun Gothic" w:eastAsia="Malgun Gothic" w:hAnsi="Malgun Gothic"/>
          <w:sz w:val="19"/>
          <w:szCs w:val="19"/>
        </w:rPr>
        <w:t xml:space="preserve">유니버스가 코스피 대형·중형주(LS일렉트릭 등)이므로 KOSPI 200이 모집단 대표성에 더 가깝고, ETF·선물이 존재해 투자가능성도 충족한다. 유니버스에 KOSDAQ을 포함하기로 결정하면 KOSPI로 넓히는 것이 정합적이다.</w:t>
      </w:r>
    </w:p>
    <w:p>
      <w:pPr>
        <w:spacing w:after="9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미국: S&amp;P 500 (권장) vs NASDAQ 100. </w:t>
      </w:r>
      <w:r>
        <w:rPr>
          <w:rFonts w:ascii="Malgun Gothic" w:cs="Malgun Gothic" w:eastAsia="Malgun Gothic" w:hAnsi="Malgun Gothic"/>
          <w:sz w:val="19"/>
          <w:szCs w:val="19"/>
        </w:rPr>
        <w:t xml:space="preserve">유니버스에 NYSE 종목(ETN, APH, GEV)이 있으므로 NASDAQ 100은 모집단이 어긋난다. S&amp;P 500이 안전하다. 단, 테마가 성장주 편향이라 “초과분이 테마 효과인지 성장주 효과인지”라는 질문이 나올 수 있는데, 이는 3절의 테마 참고 BM이 방어한다.</w:t>
      </w:r>
    </w:p>
    <w:p>
      <w:pPr>
        <w:spacing w:after="9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통합: 합성 BM 구성. </w:t>
      </w:r>
      <w:r>
        <w:rPr>
          <w:rFonts w:ascii="Malgun Gothic" w:cs="Malgun Gothic" w:eastAsia="Malgun Gothic" w:hAnsi="Malgun Gothic"/>
          <w:sz w:val="19"/>
          <w:szCs w:val="19"/>
        </w:rPr>
        <w:t xml:space="preserve">기성 글로벌 지수(MSCI ACWI 등)는 한국·미국 외 국가가 섞여 모집단이 어긋난다. 따라서 다음과 같이 합성한다.</w:t>
      </w:r>
    </w:p>
    <w:p>
      <w:pPr>
        <w:spacing w:after="100" w:before="60"/>
        <w:jc w:val="center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통합 BM 수익률 = w_KR × 국내 BM 수익률 + w_US × 미국 BM 수익률</w:t>
      </w:r>
    </w:p>
    <w:p>
      <w:pPr>
        <w:spacing w:after="90"/>
      </w:pPr>
      <w:r>
        <w:rPr>
          <w:rFonts w:ascii="Malgun Gothic" w:cs="Malgun Gothic" w:eastAsia="Malgun Gothic" w:hAnsi="Malgun Gothic"/>
          <w:sz w:val="19"/>
          <w:szCs w:val="19"/>
        </w:rPr>
        <w:t xml:space="preserve">여기서 결정할 것은 두 가지다.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w (지역 비중): </w:t>
      </w:r>
      <w:r>
        <w:rPr>
          <w:rFonts w:ascii="Malgun Gothic" w:cs="Malgun Gothic" w:eastAsia="Malgun Gothic" w:hAnsi="Malgun Gothic"/>
          <w:sz w:val="19"/>
          <w:szCs w:val="19"/>
        </w:rPr>
        <w:t xml:space="preserve">우리 지수의 지역 비중과 동일하게 설정한다 (예: 지수가 50:50이면 BM도 50:50). 지수 비중이 리밸런싱마다 변하면 BM 비중도 같은 날 함께 리셋한다. 맞추지 않으면 지역배분 효과가 가짜 초과수익 또는 가짜 괴리로 측정된다.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기준통화: </w:t>
      </w:r>
      <w:r>
        <w:rPr>
          <w:rFonts w:ascii="Malgun Gothic" w:cs="Malgun Gothic" w:eastAsia="Malgun Gothic" w:hAnsi="Malgun Gothic"/>
          <w:sz w:val="19"/>
          <w:szCs w:val="19"/>
        </w:rPr>
        <w:t xml:space="preserve">원화 또는 달러 하나로 통일하고, 미국 BM 환산 시 우리 지수의 미국 종목과 같은 환율·같은 시점을 적용한다. 지수는 환헤지하지 않으면서 BM만 헤지(또는 반대)하면 환효과가 이중계상된다.</w:t>
      </w:r>
    </w:p>
    <w:p>
      <w:pPr>
        <w:pStyle w:val="Heading1"/>
        <w:spacing w:after="90" w:before="22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3. 2차 BM (테마 참고) — 감점 방어용</w:t>
      </w:r>
    </w:p>
    <w:p>
      <w:pPr>
        <w:spacing w:after="90"/>
      </w:pPr>
      <w:r>
        <w:rPr>
          <w:rFonts w:ascii="Malgun Gothic" w:cs="Malgun Gothic" w:eastAsia="Malgun Gothic" w:hAnsi="Malgun Gothic"/>
          <w:sz w:val="19"/>
          <w:szCs w:val="19"/>
        </w:rPr>
        <w:t xml:space="preserve">“기존 테마 상품 대비 무엇이 다른가”에 답하는 참고 지표로, 정식 BM이 아니라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비교 표 한 장</w:t>
      </w:r>
      <w:r>
        <w:rPr>
          <w:rFonts w:ascii="Malgun Gothic" w:cs="Malgun Gothic" w:eastAsia="Malgun Gothic" w:hAnsi="Malgun Gothic"/>
          <w:sz w:val="19"/>
          <w:szCs w:val="19"/>
        </w:rPr>
        <w:t xml:space="preserve">이면 충분하다: 우주 = ARKX 또는 ITA / AI = BOTZ·AIQ / 전력 인프라 = GRID. 발표의 “기성품과의 차별성” 슬라이드 재료가 되고, 강의자료의 테마지수 방법론(선행 사례 대비) 항목도 함께 커버한다.</w:t>
      </w:r>
    </w:p>
    <w:p>
      <w:pPr>
        <w:pStyle w:val="Heading1"/>
        <w:spacing w:after="90" w:before="22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4. 정합성 규칙 3개 — BM 확정과 한 세트로 기록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PR/TR 일치: </w:t>
      </w:r>
      <w:r>
        <w:rPr>
          <w:rFonts w:ascii="Malgun Gothic" w:cs="Malgun Gothic" w:eastAsia="Malgun Gothic" w:hAnsi="Malgun Gothic"/>
          <w:sz w:val="19"/>
          <w:szCs w:val="19"/>
        </w:rPr>
        <w:t xml:space="preserve">우리 지수를 TR로 산출하면 BM도 TR. 불일치 시 배당수익률만큼(연 1.5~2%p) 구조적 괴리가 생겨 모든 비교가 오염된다.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주별 정렬: </w:t>
      </w:r>
      <w:r>
        <w:rPr>
          <w:rFonts w:ascii="Malgun Gothic" w:cs="Malgun Gothic" w:eastAsia="Malgun Gothic" w:hAnsi="Malgun Gothic"/>
          <w:sz w:val="19"/>
          <w:szCs w:val="19"/>
        </w:rPr>
        <w:t xml:space="preserve">BM도 우리와 같은 “주 마지막 거래일” 규칙으로 주별화하고, 휴장일 처리 규칙을 공유한다.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동일 기간: </w:t>
      </w:r>
      <w:r>
        <w:rPr>
          <w:rFonts w:ascii="Malgun Gothic" w:cs="Malgun Gothic" w:eastAsia="Malgun Gothic" w:hAnsi="Malgun Gothic"/>
          <w:sz w:val="19"/>
          <w:szCs w:val="19"/>
        </w:rPr>
        <w:t xml:space="preserve">추적차이·상관계수 계산 구간은 지수와 BM이 정확히 같은 주 집합을 사용한다.</w:t>
      </w:r>
    </w:p>
    <w:p>
      <w:pPr>
        <w:pStyle w:val="Heading1"/>
        <w:spacing w:after="90" w:before="22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5. 회의 결정표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600"/>
        <w:gridCol w:w="4100"/>
      </w:tblGrid>
      <w:tr>
        <w:trPr>
          <w:tblHeader/>
        </w:trPr>
        <w:tc>
          <w:tcPr>
            <w:tcW w:type="dxa" w:w="1900"/>
            <w:shd w:fill="DEEA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결정 항목</w:t>
            </w:r>
          </w:p>
        </w:tc>
        <w:tc>
          <w:tcPr>
            <w:tcW w:type="dxa" w:w="3600"/>
            <w:shd w:fill="DEEA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권장안</w:t>
            </w:r>
          </w:p>
        </w:tc>
        <w:tc>
          <w:tcPr>
            <w:tcW w:type="dxa" w:w="4100"/>
            <w:shd w:fill="DEEA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대안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국내 BM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KOSPI 200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KOSPI (유니버스에 KOSDAQ 포함 시)</w:t>
            </w:r>
          </w:p>
        </w:tc>
      </w:tr>
      <w:tr>
        <w:tc>
          <w:tcPr>
            <w:tcW w:type="dxa" w:w="1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미국 BM</w:t>
            </w:r>
          </w:p>
        </w:tc>
        <w:tc>
          <w:tcPr>
            <w:tcW w:type="dxa" w:w="3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S&amp;P 500</w:t>
            </w:r>
          </w:p>
        </w:tc>
        <w:tc>
          <w:tcPr>
            <w:tcW w:type="dxa" w:w="41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NASDAQ 100 (성장주 대비 확인용은 참고 지표로만)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통합 BM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지수 지역비중 연동 합성 BM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고정 50:50 (더 단순하나 지역배분 효과가 괴리에 섞임)</w:t>
            </w:r>
          </w:p>
        </w:tc>
      </w:tr>
      <w:tr>
        <w:tc>
          <w:tcPr>
            <w:tcW w:type="dxa" w:w="1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기준통화</w:t>
            </w:r>
          </w:p>
        </w:tc>
        <w:tc>
          <w:tcPr>
            <w:tcW w:type="dxa" w:w="3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KRW (발표 대상이 국내)</w:t>
            </w:r>
          </w:p>
        </w:tc>
        <w:tc>
          <w:tcPr>
            <w:tcW w:type="dxa" w:w="41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USD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산출 형태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PR 기본 + 여유 시 TR 병행</w:t>
            </w:r>
          </w:p>
        </w:tc>
        <w:tc>
          <w:tcPr>
            <w:tcW w:type="dxa" w:w="4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테마 참고 BM</w:t>
            </w:r>
          </w:p>
        </w:tc>
        <w:tc>
          <w:tcPr>
            <w:tcW w:type="dxa" w:w="3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ARKX·AIQ·GRID 비교표 (참고용)</w:t>
            </w:r>
          </w:p>
        </w:tc>
        <w:tc>
          <w:tcPr>
            <w:tcW w:type="dxa" w:w="41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생략 (차별성 방어 약화)</w:t>
            </w:r>
          </w:p>
        </w:tc>
      </w:tr>
    </w:tbl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한 문장 기록 예시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“1차 BM은 KOSPI 200(국내)·S&amp;P 500(미국)으로 하고, 통합 성과는 지수의 지역비중을 적용한 원화 환산 합성 BM과 비교한다. PR 기준으로 산출·비교하며, 테마 ETF 3종(ARKX·AIQ·GRID)은 참고 비교표로만 사용한다.”</w:t>
            </w:r>
          </w:p>
        </w:tc>
      </w:tr>
    </w:tbl>
    <w:p>
      <w:pPr>
        <w:spacing w:after="90"/>
      </w:pPr>
    </w:p>
    <w:p>
      <w:pPr>
        <w:spacing w:after="90"/>
      </w:pPr>
      <w:r>
        <w:rPr>
          <w:rFonts w:ascii="Malgun Gothic" w:cs="Malgun Gothic" w:eastAsia="Malgun Gothic" w:hAnsi="Malgun Gothic"/>
          <w:sz w:val="19"/>
          <w:szCs w:val="19"/>
        </w:rPr>
        <w:t xml:space="preserve">이대로 확정하면 안건 1이 10~15분에 닫히고,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benchmark_candidates.xlsx</w:t>
      </w:r>
      <w:r>
        <w:rPr>
          <w:rFonts w:ascii="Malgun Gothic" w:cs="Malgun Gothic" w:eastAsia="Malgun Gothic" w:hAnsi="Malgun Gothic"/>
          <w:sz w:val="19"/>
          <w:szCs w:val="19"/>
        </w:rPr>
        <w:t xml:space="preserve">와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tracking_metrics.py</w:t>
      </w:r>
      <w:r>
        <w:rPr>
          <w:rFonts w:ascii="Malgun Gothic" w:cs="Malgun Gothic" w:eastAsia="Malgun Gothic" w:hAnsi="Malgun Gothic"/>
          <w:sz w:val="19"/>
          <w:szCs w:val="19"/>
        </w:rPr>
        <w:t xml:space="preserve"> 작업이 즉시 착수 가능해진다.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2026-07-15T04:53:11.039Z</dcterms:created>
  <dcterms:modified xsi:type="dcterms:W3CDTF">2026-07-15T04:53:11.042Z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