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864"/>
          <w:sz w:val="36"/>
          <w:szCs w:val="36"/>
        </w:rPr>
        <w:t xml:space="preserve">데이터 산출물 3종 작성 가이드라인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ADTV90 분포 · 당좌비율 분포 · 테마 노출도 근거표  |  작성 2026-07-15 (v1.1 예외 로직 반영)  |  AI퀀트 3차 프로젝트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 문서는 규칙 동결 전에 필요한 데이터 산출물 3종을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누가 맡아도 같은 결과가 나오도록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작성 방법을 명세한 가이드라인이다. 담당 분배는 각자 이 문서의 난이도·역량 요건(마지막 절)을 보고 판단한다.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864"/>
          <w:sz w:val="30"/>
          <w:szCs w:val="30"/>
        </w:rPr>
        <w:t xml:space="preserve">1. 수정 일정 (7/17 제헌절 휴일 반영)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날짜</w:t>
            </w:r>
          </w:p>
        </w:tc>
        <w:tc>
          <w:tcPr>
            <w:tcW w:type="dxa" w:w="75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7/16 (목)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초안 발표 (팀장 결석 · 평가 없음). 발표 후 피드백은 기록만 하고 결정하지 않음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7/17 (금)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제헌절 공휴일 — 작업 없음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7/20 (월)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산출물 3종 착수 (분배는 이 가이드라인 기준으로 각자 판단하여 확정)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7/21 (화)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산출물 3종 완료 + 교차검토 (작성자 외 1인)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7/22 (수)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회의: 테마 경계 정의 · ADTV 하한 · 당좌비율 하한 · 노출도 등급 기준 확정 → 규칙표 동결 절차 진입</w:t>
            </w:r>
          </w:p>
        </w:tc>
      </w:tr>
    </w:tbl>
    <w:p>
      <w:pPr>
        <w:spacing w:after="20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주의: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휴일로 인해 원래 목표(7/22 규칙표 v1.0 동결)가 빠듯해졌다. 7/21 완료가 하루라도 밀리면 동결이 7/23 이후로 밀리고 백테스트 기간이 줄어든다. 3종은 서로 독립이므로 반드시 병렬로 진행한다.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864"/>
          <w:sz w:val="30"/>
          <w:szCs w:val="30"/>
        </w:rPr>
        <w:t xml:space="preserve">2. 공통 원칙 (3종 모두 적용)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성격: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 산출물들은 하한·등급 기준이라는 숫자를 정하기 위한 분포·근거 확인용 재료다. 규칙을 정하기 전에 만들고, 규칙이 동결된 후에는 입력 데이터로 재사용된다.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금지 1가지: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산출 결과를 보고 Seed Basket 종목이 통과하도록 기준을 역조정하지 않는다. 결과가 예상과 달라도 그대로 보고한다 (규칙 우선 원칙, 7/15 확정).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대상 종목: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후보풀 전체 = 국내 후보풀 23종목(프로젝트3.md) + 미국 Seed 9종목. 미국 후보풀 문서가 아직 없으므로 미국은 Seed 9로 시작하고, 후보풀 확장 시 같은 방법으로 추가한다.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기준일 명시: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모든 파일에 계산 기준일(as-of date)을 적는다. 기준일이 다르면 값이 달라서 비교가 불가능해진다.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데이터 사전 기록: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출처 · 통화 · 단위 · 조정 여부를 파일 안에 함께 적는다 (7/15 확정된 데이터 사전 원칙).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교차검토: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작성자 외 1인이 검수하고 검수자·검수일을 파일에 기록한다. 3인이므로 자연 순환된다.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팀 폴더에 저장. 파일명은 산출물명_기준일 형식 (예: adtv90_distribution_20260720.xlsx).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864"/>
          <w:sz w:val="30"/>
          <w:szCs w:val="30"/>
        </w:rPr>
        <w:t xml:space="preserve">3. 산출물 ① adtv90_distribution — 유동성 분포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목적: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한국·미국 시장별 ADTV90 하한을 정하기 위한 분포 자료. 시장별로 통화·규모가 다르므로 하나의 절대금액을 공통 적용하지 않는다 (7/15 확정).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계산 규칙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관측창: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최근 90거래일 (달력일 아님). 기준일에서 거슬러 올라간 실거래일 90개.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공식: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ADTV90 = 90거래일 일별 거래대금의 평균. 거래소 제공 거래대금을 우선 사용하고, 없으면 비조정 종가 × 실제 거래량으로 계산한다.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조정종가 사용 금지: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거래대금은 실제 거래된 금액이므로 반드시 비조정 종가를 쓴다. yfinance는 auto_adjust=False로 받아 Close(비조정)와 Volume을 사용한다. 국내는 KRX 정보데이터시스템 또는 pykrx의 거래대금 컬럼을 우선한다.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시즈닝 연동: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유효 관측치가 90개 미만인 종목(예: SPCX)은 ADTV90을 계산하지 않고 NA + 사유를 기록한다. 시즈닝 게이트와 유동성 게이트는 별개 규칙이다.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통화 분리: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KRW와 USD를 환산하지 않고 각자 통화로 둔다. 하한도 시장별로 따로 정한다.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산출 형식 (xlsx 또는 csv, 시트 2개)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시트 1 — 종목별 값: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열</w:t>
            </w:r>
          </w:p>
        </w:tc>
        <w:tc>
          <w:tcPr>
            <w:tcW w:type="dxa" w:w="71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ticker / name / market / theme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종목 식별 정보, 시장(KR/US), 소속 테마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as_of_date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계산 기준일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adtv90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계산값 (KRW 또는 USD)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currency / unit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통화, 단위 (원 / 백만원 / USD 등 명시)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valid_obs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유효 관측치 수 (90 미만이면 adtv90은 NA)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데이터 출처 (KRX / yfinance 등)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시트 2 — 시장별 분위수: 시장별(KR/US)로 후보풀 종목의 5 / 10 / 25 / 50 / 75 백분위수. 하한 후보 논의는 이 표에서 출발한다.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완료 기준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후보풀 32종목 전체가 한 행씩 존재 (NA 포함)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기준일·통화·단위·출처가 파일 안에 기록됨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분위수 표가 시장별로 분리됨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864"/>
          <w:sz w:val="30"/>
          <w:szCs w:val="30"/>
        </w:rPr>
        <w:t xml:space="preserve">4. 산출물 ② quick_ratio_distribution — 당좌비율 분포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목적: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재무건전성 게이트의 하한(0.5? 1.0?)을 정하기 위한 분포 자료. 하한은 분포와 테마별 특성을 확인한 뒤 백테스트 전에 확정한다 (7/15 확정).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계산 규칙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정의 고정: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당좌비율 = (유동자산 − 재고자산) ÷ 유동부채. 다른 정의(현금성자산 기준 등)를 쓰면 반드시 명시한다. 정의가 섞이면 분포 비교가 무의미해진다.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출처: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국내 = DART 최근 분기·반기보고서 재무상태표. 미국 = EDGAR 10-Q/10-K. yfinance의 quickRatio는 정의가 다를 수 있으므로 참고용으로만 쓰고, 최소한 경계 종목은 원공시로 검증한다.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Point-in-Time 원칙: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기준일 시점에 이미 공시된 최신 보고서만 사용한다. 회계 기준일과 공시일을 모두 기록한다 — 백테스트에서 미래 재무정보 참조를 막는 핵심 장치다.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업종 예외: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금융회사·리츠는 적용 제외 명세를 확인한다 (현 후보풀에는 해당 없음 예상 — 확인 후 '해당 없음'을 기록).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수주산업 메모: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방산 등 수주산업은 운전자본 구조상 당좌비율이 낮게 나올 수 있다 (7/15 논의). 우주/방산 테마의 분포가 다른 테마보다 낮으면 그 사실을 메모로 남긴다 — 테마별 하한 차등 논의의 재료가 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산출 형식 (xlsx)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열</w:t>
            </w:r>
          </w:p>
        </w:tc>
        <w:tc>
          <w:tcPr>
            <w:tcW w:type="dxa" w:w="71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ticker / name / market / theme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종목 식별 정보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fiscal_date / filing_date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회계 기준일 / 공시일 (PIT 검증용, 둘 다 필수)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quick_assets / current_liab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당좌자산, 유동부채 (통화·단위 명시)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quick_ratio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계산값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source_url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DART/EDGAR 원문 링크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+ 요약: 전체 및 테마별 분위수(25/50/75)와 0.5 · 1.0 미만 종목 수.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완료 기준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32종목 전체에 회계 기준일·공시일·출처 링크가 채워짐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정의(재고자산 차감 방식)가 파일에 명시됨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테마별 분포 요약과 수주산업 메모 포함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864"/>
          <w:sz w:val="30"/>
          <w:szCs w:val="30"/>
        </w:rPr>
        <w:t xml:space="preserve">5. 산출물 ③ theme_exposure_table — 테마 노출도 근거표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목적: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종목선정 규칙의 1번 게이트인 테마 노출도 판정의 근거 기록. "이 종목이 왜 이 테마인가"에 문서로 답하는 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구조: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노출도 규칙은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판정 로직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(테마 경계 정의 + 등급 기준)과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방어 로직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(예외 처리 목록)으로 구성한다. 예외는 사전에 열거된 닫힌 목록만 인정하며, 모든 예외의 기본 처리는 보류 또는 하향(fail-closed)이다 — 예외가 특정 종목의 구제 통로가 되는 것을 차단하기 위함이다.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선행 조건 0 — 테마 경계 정의 (7/22 회의 1번 안건)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등급 판정 전에 각 테마가 어떤 사업·제품까지 포함하는지 열거형으로 정의한다. 경계 정의 없이 등급부터 매기면 판정자마다 다른 테마 지도를 들고 채점하게 된다. 최소한 아래 경계 질문 4개는 회의에서 닫는다: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우주·방산: 지상 방산(현대로템의 전차 등)을 포함하는가, 우주개발 관련으로 한정하는가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에너지·전력: 발전 유틸리티(한국전력)와 수소연료전지(두산퓨얼셀)를 기기·인프라와 같은 테마로 보는가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AI·로보틱스: AI 플랫폼 서비스(NAVER)와 IT서비스(삼성SDS·LG CNS)를 AI 시스템·로봇 제조와 같은 테마로 보는가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공통: 밸류체인 공급자(부품·소재·전선)는 어느 단계까지 포함하는가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선행 조건 1 — 등급 정의 초안 (7/22 회의에서 확정)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판정은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2트랙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이다: 테마 매출비중이 공시로 확인되면 수치 기준(A트랙), 비율이 공개되지 않은 기업은 숫자를 임의로 만들지 않고 정성 기준(B트랙)으로 분류한다.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660"/>
      </w:tblGrid>
      <w:tr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등급</w:t>
            </w:r>
          </w:p>
        </w:tc>
        <w:tc>
          <w:tcPr>
            <w:tcW w:type="dxa" w:w="3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A트랙 — 매출비중 공시 시</w:t>
            </w:r>
          </w:p>
        </w:tc>
        <w:tc>
          <w:tcPr>
            <w:tcW w:type="dxa" w:w="36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B트랙 — 비율 미공시 시 (정성)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직접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테마 관련 매출 비중 50% 이상 (세그먼트 매출 기준)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테마 사업이 공시 문서상 주력 사업으로 명시됨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핵심지원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테마 매출 20~50%, 또는 밸류체인 핵심 공급자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테마 밸류체인 공급이 주요 사업부문 중 하나로 공시됨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제한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테마 매출 20% 미만이거나 부수 사업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테마 관련 사업이 언급되나 주력·주요 부문이 아님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근거부족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공시 문서로 테마 사업 자체를 확인할 수 없음 → 편입 불가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B트랙 안전핀 2개: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① 불확실하면 낮은 등급(보수 우선). ② 근거 신뢰도 '하'(IR·제품 자료뿐)만으로는 '직접'을 부여할 수 없다 — '직접'은 신뢰도 '중' 이상 근거가 필요하다.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근거 자료 위계와 신뢰도 (7/15 확정 원칙 + 신뢰도 기록)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사업보고서·10-K 세그먼트 매출 &gt; 수주공시 &gt; 제품·IR 자료. 기사 단독 인용으로는 편입할 수 없다. 근거는 원문 링크로 남기고, 근거 신뢰도를 별도 열에 기록한다: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신뢰도</w:t>
            </w:r>
          </w:p>
        </w:tc>
        <w:tc>
          <w:tcPr>
            <w:tcW w:type="dxa" w:w="75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근거 유형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상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사업보고서·10-K/10-Q의 세그먼트 매출 (감사·공시 대상 수치)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중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수주공시·계약공시 (공시 대상이나 매출비중 환산에 추정 개입)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하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제품 카탈로그·IR 자료·회사 홈페이지 (자체 홍보성, 검증 안 됨)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방어 로직 — 예외 처리 닫힌 목록 (E1~E6)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아래 목록에 없는 예외는 인정하지 않는다 ("기타 예외는 판정자 재량" 조항 금지). 예외가 발동되면 근거표의 exception_applied 열에 번호와 사유를 기록한다. 어떤 예외도 등급을 올려주지 않는다 — 내리거나 보류시키기만 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c>
          <w:tcPr>
            <w:tcW w:type="dxa" w:w="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예외 상황</w:t>
            </w:r>
          </w:p>
        </w:tc>
        <w:tc>
          <w:tcPr>
            <w:tcW w:type="dxa" w:w="44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처리 규칙 (전부 fail-closed)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테마 매출을 공시로 확인 불가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근거 위계 순차 적용(세그먼트→수주공시→IR), 전부 실패 시 근거부족 = 편입 불가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세그먼트 매출이 있으나 테마와 1:1 대응 안 됨 (효성중공업 건설 혼재형)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보수적 추정(테마 매출 하한값) 사용 + 추정 근거 기록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복수 테마 해당 (APH형)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매출 비중 큰 테마 1개 배정, 비중 확인 불가 시 판정 보류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순수 지주회사 (한화·LS형)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연결 세그먼트 기준 판정, 테마 사업이 간접 보유뿐이면 '제한' 이하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판정 시점에 분할·합병·매각 공시 진행 중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판정 보류, 완료 후 차기 정기변경에서 재판정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교차검토자와 등급 이견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낮은 등급 채택(보수 우선), 3인 합의 시에만 상향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산출 형식 (xlsx)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열</w:t>
            </w:r>
          </w:p>
        </w:tc>
        <w:tc>
          <w:tcPr>
            <w:tcW w:type="dxa" w:w="71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ticker / name / market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종목 식별 정보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theme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판정 테마 (우주·방산 / AI·로보틱스 / 에너지·전력)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grade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직접 / 핵심지원 / 제한 / 근거부족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track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A(매출비중 공시) / B(정성 판정)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evidence / source_url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근거 요약 + 사업보고서·공시 원문 링크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evidence_confidence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근거 신뢰도 상/중/하 ('직접' 등급은 '중' 이상 필수)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revenue_exposure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테마 관련 매출 비중 — 공시 기반일 때만 기입, 임의 추정 금지 (B트랙은 공란)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multi_theme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복수 테마 해당 시 대표 테마와 판정 사유 (예: APH — 에너지 vs AI)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exception_applied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발동된 예외 번호(E1~E6)와 사유, 없으면 공란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rater / rate_date / reviewer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판정자 / 판정일 / 교차검토자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작성 순서 — 경계 사례부터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판정이 쉬운 종목이 아니라 어려운 종목부터 한다. 아래 11종목의 판정 논리가 서면 나머지는 자동으로 따라오고, 등급 기준의 결함도 여기서 드러난다: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미국 4: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효성중공업(전력기기+건설 혼재 — 국내지만 동일 유형), APH(부품 공급자 + AI/에너지 중복), TER(테스트 장비 + 협동로봇 UR 혼재), ATI(특수소재 공급자)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국내 7: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한화(지주), LS(지주+전선), NAVER(AI 매출 비중?), 삼성에스디에스(IT서비스 전반), 한국전력(발전 유틸리티 — 기기·인프라와 성격 상이), 현대로템(지상 방산 — '우주개발' 포함 여부), 두산퓨얼셀(수소 — 테마 정의 확장 여부)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주의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판정과 편입은 분리한다 — SPCX는 노출도 '직접'이라도 시즈닝 게이트로 보류 중. 근거표에는 기록하되 편입 여부는 게이트가 정한다.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Seed Basket 종목이라는 이유로 등급을 후하게 주지 않는다. 근거부족이면 근거부족으로 적는다.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선행 확인: 국내 우주 3 · AI 3의 Seed Basket 선택 기록이 아직 로컬에 없다. 근거표 착수 전에 팀 폴더에 기록한다.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395"/>
          <w:sz w:val="24"/>
          <w:szCs w:val="24"/>
        </w:rPr>
        <w:t xml:space="preserve">완료 기준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후보풀 32종목 전체 판정 완료, 근거부족 포함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모든 행에 원문 링크 존재 (기사 단독 없음)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경계 사례 11종목에 판정 논리 서술 존재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중복 테마 규칙(E3)이 APH 사례로 실제 적용됨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모든 행에 트랙(A/B)·근거 신뢰도 기입, '직접' 등급 중 신뢰도 '하'인 행 없음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예외 발동 행에 E번호·사유 기록, E1~E6 밖의 임의 예외 없음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864"/>
          <w:sz w:val="30"/>
          <w:szCs w:val="30"/>
        </w:rPr>
        <w:t xml:space="preserve">6. 분배 판단 참고표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각자 아래를 보고 맡을 산출물을 판단한다. 기준은 잘하는 것보다 7/21까지 끝낼 수 있는 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500"/>
        <w:gridCol w:w="3760"/>
      </w:tblGrid>
      <w:t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산출물</w:t>
            </w:r>
          </w:p>
        </w:tc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성격</w:t>
            </w:r>
          </w:p>
        </w:tc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예상 공수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필요 역량 / 선행 조건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① ADTV90 분포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코드 작업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반나절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파이썬·yfinance(또는 pykrx) 경험. 선행 조건 없음 — 즉시 착수 가능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② 당좌비율 분포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공시 조회 + 정리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1일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DART·EDGAR 재무제표 읽기. 선행 조건 없음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③ 노출도 근거표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공시 독해 + 판정 서술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1.5~2일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사업보고서 세그먼트 분석. 선행: 국내 우주·AI Seed 3+3 기록, 테마 경계 정의·등급 기준(2트랙) 합의</w:t>
            </w:r>
          </w:p>
        </w:tc>
      </w:tr>
    </w:tbl>
    <w:p>
      <w:pPr>
        <w:spacing w:after="30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공수가 가장 큰 ③을 맡는 사람은 ①·②를 맡지 않는 것을 권장한다. ③의 경계 사례 11종목은 판정 부담이 크므로, 교차검토자가 사실상 공동 판정자 역할을 하게 된다.</w:t>
      </w:r>
    </w:p>
    <w:p>
      <w:pPr>
        <w:pBdr>
          <w:top w:val="single" w:color="BFBFBF" w:sz="4"/>
        </w:pBdr>
        <w:spacing w:after="0" w:before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08080"/>
          <w:sz w:val="18"/>
          <w:szCs w:val="18"/>
        </w:rPr>
        <w:t xml:space="preserve">본 가이드라인은 2026-07-15 회의에서 확정된 원칙(90거래일 시즈닝, 규칙 우선, 데이터 사전, PIT)과 판정/방어 로직 구분 제안, 테마 경계·2트랙 판정·근거 신뢰도 제안을 반영함. 문의: 권보성(팀장)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2026-07-15T08:53:02.302Z</dcterms:created>
  <dcterms:modified xsi:type="dcterms:W3CDTF">2026-07-15T08:53:02.303Z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