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NanumSquare" w:hAnsi="NanumSquare" w:eastAsia="NanumSquare"/>
          <w:b/>
          <w:color w:val="2F75B5"/>
          <w:sz w:val="25"/>
        </w:rPr>
        <w:t>규칙 기반 패시브 커스텀 인덱스 인디케이터 개발</w:t>
      </w:r>
    </w:p>
    <w:p>
      <w:pPr>
        <w:spacing w:before="360"/>
        <w:jc w:val="center"/>
      </w:pPr>
      <w:r>
        <w:rPr>
          <w:rFonts w:ascii="NanumSquare" w:hAnsi="NanumSquare" w:eastAsia="NanumSquare"/>
          <w:b/>
          <w:color w:val="1F4E78"/>
          <w:sz w:val="46"/>
        </w:rPr>
        <w:t>수정 및 앞으로 할 일·회의안건</w:t>
      </w:r>
    </w:p>
    <w:p>
      <w:pPr>
        <w:spacing w:before="160"/>
        <w:jc w:val="center"/>
      </w:pPr>
      <w:r>
        <w:rPr>
          <w:rFonts w:ascii="NanumSquare" w:hAnsi="NanumSquare" w:eastAsia="NanumSquare"/>
          <w:b w:val="0"/>
          <w:color w:val="666666"/>
          <w:sz w:val="23"/>
        </w:rPr>
        <w:t>미결 구조를 의존관계 순서대로 결정하고 담당 작업으로 전환하는 실행문서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EA9C1"/>
          <w:left w:val="single" w:sz="6" w:space="0" w:color="8EA9C1"/>
          <w:bottom w:val="single" w:sz="6" w:space="0" w:color="8EA9C1"/>
          <w:right w:val="single" w:sz="6" w:space="0" w:color="8EA9C1"/>
          <w:insideH w:val="single" w:sz="6" w:space="0" w:color="8EA9C1"/>
          <w:insideV w:val="single" w:sz="6" w:space="0" w:color="8EA9C1"/>
        </w:tblBorders>
      </w:tblPr>
      <w:tblGrid>
        <w:gridCol w:w="5074"/>
        <w:gridCol w:w="5074"/>
      </w:tblGrid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9EAF7"/>
          </w:tcPr>
          <w:p>
            <w:r>
              <w:rPr>
                <w:rFonts w:ascii="NanumSquare" w:hAnsi="NanumSquare" w:eastAsia="NanumSquare"/>
                <w:b/>
                <w:color w:val="1F4E78"/>
                <w:sz w:val="19"/>
              </w:rPr>
              <w:t>설명형 부제</w:t>
            </w:r>
          </w:p>
        </w:tc>
        <w:tc>
          <w:tcPr>
            <w:tcW w:type="dxa" w:w="5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1F1F"/>
                <w:sz w:val="19"/>
              </w:rPr>
              <w:t>공식 공시와 사전 정의한 구성규칙을 활용한 한·미 테마형 패시브 커스텀 인덱스 개발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9EAF7"/>
          </w:tcPr>
          <w:p>
            <w:r>
              <w:rPr>
                <w:rFonts w:ascii="NanumSquare" w:hAnsi="NanumSquare" w:eastAsia="NanumSquare"/>
                <w:b/>
                <w:color w:val="1F4E78"/>
                <w:sz w:val="19"/>
              </w:rPr>
              <w:t>작성 기준일</w:t>
            </w:r>
          </w:p>
        </w:tc>
        <w:tc>
          <w:tcPr>
            <w:tcW w:type="dxa" w:w="5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1F1F"/>
                <w:sz w:val="19"/>
              </w:rPr>
              <w:t>2026-07-19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9EAF7"/>
          </w:tcPr>
          <w:p>
            <w:r>
              <w:rPr>
                <w:rFonts w:ascii="NanumSquare" w:hAnsi="NanumSquare" w:eastAsia="NanumSquare"/>
                <w:b/>
                <w:color w:val="1F4E78"/>
                <w:sz w:val="19"/>
              </w:rPr>
              <w:t>문서 상태</w:t>
            </w:r>
          </w:p>
        </w:tc>
        <w:tc>
          <w:tcPr>
            <w:tcW w:type="dxa" w:w="5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1F1F"/>
                <w:sz w:val="19"/>
              </w:rPr>
              <w:t>차기 회의 사용본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9EAF7"/>
          </w:tcPr>
          <w:p>
            <w:r>
              <w:rPr>
                <w:rFonts w:ascii="NanumSquare" w:hAnsi="NanumSquare" w:eastAsia="NanumSquare"/>
                <w:b/>
                <w:color w:val="1F4E78"/>
                <w:sz w:val="19"/>
              </w:rPr>
              <w:t>통합 기준</w:t>
            </w:r>
          </w:p>
        </w:tc>
        <w:tc>
          <w:tcPr>
            <w:tcW w:type="dxa" w:w="5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1F1F"/>
                <w:sz w:val="19"/>
              </w:rPr>
              <w:t>7월 16일 회의·학습자료 6개 + 7월 19일 통합문서 3개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9D18E"/>
          <w:left w:val="single" w:sz="5" w:space="0" w:color="A9D18E"/>
          <w:bottom w:val="single" w:sz="5" w:space="0" w:color="A9D18E"/>
          <w:right w:val="single" w:sz="5" w:space="0" w:color="A9D18E"/>
          <w:insideH w:val="single" w:sz="5" w:space="0" w:color="A9D18E"/>
          <w:insideV w:val="single" w:sz="5" w:space="0" w:color="A9D18E"/>
        </w:tblBorders>
      </w:tblPr>
      <w:tblGrid>
        <w:gridCol w:w="10148"/>
      </w:tblGrid>
      <w:tr>
        <w:tc>
          <w:tcPr>
            <w:tcW w:type="dxa" w:w="10148"/>
            <w:shd w:fill="F1F8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>공통 기준: 정량값은 프로젝트 전체를 규정하는 단일 방법론이 아니라 시즈닝·유동성·재무자료 등 구성규칙의 일부이다. 테마 관련성은 공식 공시의 사업내용·제품·서비스·매출·수주 근거로 별도 판정한다.</w:t>
            </w:r>
          </w:p>
        </w:tc>
      </w:tr>
    </w:tbl>
    <w:p>
      <w:r>
        <w:br w:type="page"/>
      </w:r>
    </w:p>
    <w:p>
      <w:pPr>
        <w:pStyle w:val="Heading1"/>
      </w:pPr>
      <w:r>
        <w:t>0. 회의 목적과 운영 원칙</w:t>
      </w:r>
    </w:p>
    <w:p>
      <w:r>
        <w:rPr>
          <w:rFonts w:ascii="NanumSquare" w:hAnsi="NanumSquare" w:eastAsia="NanumSquare"/>
          <w:b w:val="0"/>
          <w:color w:val="1F1F1F"/>
          <w:sz w:val="21"/>
        </w:rPr>
        <w:t>이번 회의는 아이디어를 넓히거나 성과수치를 먼저 확인하는 자리가 아니다. 현재 미결인 구성규칙을 앞 단계부터 순서대로 결정하고, 각 결정이 다음 단계의 입력이 되도록 담당·기한·완료조건을 지정하는 자리이다.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회의 시작 5분 동안 [F 사실]·[W 문구]·[R 규칙]·[V 추가확인]을 구분한다.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각 안건은 근거와 당위성 → 결정질문 → 체크리스트 → 산출물 → 완료기준 순서로 처리한다.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자료가 없는 항목은 임의의 숫자로 채우지 않고 필요한 자료와 담당자를 남긴다.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성과를 확인하기 전에 규칙버전·효력발생일·결정사유를 저장한다.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v1.0은 표본 적용·교차검토·코드 적용시험·팀 승인 후에만 사용한다.</w:t>
      </w:r>
    </w:p>
    <w:p>
      <w:pPr>
        <w:pStyle w:val="Heading1"/>
      </w:pPr>
      <w:r>
        <w:t>1. 회의 시작 전 준비와 5분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6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체크</w:t>
            </w:r>
          </w:p>
        </w:tc>
        <w:tc>
          <w:tcPr>
            <w:tcW w:type="dxa" w:w="419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준비 항목</w:t>
            </w:r>
          </w:p>
        </w:tc>
        <w:tc>
          <w:tcPr>
            <w:tcW w:type="dxa" w:w="476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회의에서의 역할</w:t>
            </w:r>
          </w:p>
        </w:tc>
      </w:tr>
      <w:t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□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지난 회의 핵심 흐름 3~5문장</w:t>
            </w:r>
          </w:p>
        </w:tc>
        <w:tc>
          <w:tcPr>
            <w:tcW w:type="dxa" w:w="476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공통 이해와 서로 다른 해석을 먼저 확인</w:t>
            </w:r>
          </w:p>
        </w:tc>
      </w:tr>
      <w:t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□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확정·잠정·미결·보류 항목 각 1개 이상</w:t>
            </w:r>
          </w:p>
        </w:tc>
        <w:tc>
          <w:tcPr>
            <w:tcW w:type="dxa" w:w="476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후보안이 확정안처럼 사용되는 문제 방지</w:t>
            </w:r>
          </w:p>
        </w:tc>
      </w:tr>
      <w:t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□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모르는 용어·수치·공시표·판정 이유 1개 이상</w:t>
            </w:r>
          </w:p>
        </w:tc>
        <w:tc>
          <w:tcPr>
            <w:tcW w:type="dxa" w:w="476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억지 결론 대신 질문과 후속검증으로 연결</w:t>
            </w:r>
          </w:p>
        </w:tc>
      </w:tr>
      <w:t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□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추가 확인 원문·데이터·코드 목록</w:t>
            </w:r>
          </w:p>
        </w:tc>
        <w:tc>
          <w:tcPr>
            <w:tcW w:type="dxa" w:w="476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담당·기한·완료조건을 지정</w:t>
            </w:r>
          </w:p>
        </w:tc>
      </w:tr>
      <w:t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□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이번 회의에서 반드시 결정할 질문 1~2개</w:t>
            </w:r>
          </w:p>
        </w:tc>
        <w:tc>
          <w:tcPr>
            <w:tcW w:type="dxa" w:w="476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회의 종료 시 답변 또는 명시적 보류 상태 기록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85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표시</w:t>
            </w:r>
          </w:p>
        </w:tc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 대상</w:t>
            </w:r>
          </w:p>
        </w:tc>
        <w:tc>
          <w:tcPr>
            <w:tcW w:type="dxa" w:w="481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7"/>
              </w:rPr>
              <w:t>[F]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사실관계·수치·자료성격 오류</w:t>
            </w:r>
          </w:p>
        </w:tc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즉시 정정하고 원출처와 기준일 기록</w:t>
            </w:r>
          </w:p>
        </w:tc>
      </w:tr>
      <w:t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7"/>
              </w:rPr>
              <w:t>[W]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의미는 같지만 오해를 낳는 표현</w:t>
            </w:r>
          </w:p>
        </w:tc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보고서·회의록 표현만 수정</w:t>
            </w:r>
          </w:p>
        </w:tc>
      </w:tr>
      <w:t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7"/>
              </w:rPr>
              <w:t>[R]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편입·유지·제외·가중·산출에 영향을 주는 규칙</w:t>
            </w:r>
          </w:p>
        </w:tc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의결 또는 명시적 보류</w:t>
            </w:r>
          </w:p>
        </w:tc>
      </w:tr>
      <w:t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7"/>
              </w:rPr>
              <w:t>[V]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원문·연결범위·세부매출·시점 등 추가확인 필요</w:t>
            </w:r>
          </w:p>
        </w:tc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담당·기한·완료조건 지정</w:t>
            </w:r>
          </w:p>
        </w:tc>
      </w:tr>
    </w:tbl>
    <w:p>
      <w:pPr>
        <w:pStyle w:val="Heading1"/>
      </w:pPr>
      <w:r>
        <w:t>2. 회의 전 필수 준비자료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623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체크</w:t>
            </w:r>
          </w:p>
        </w:tc>
        <w:tc>
          <w:tcPr>
            <w:tcW w:type="dxa" w:w="317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준비자료</w:t>
            </w:r>
          </w:p>
        </w:tc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필요한 이유</w:t>
            </w:r>
          </w:p>
        </w:tc>
        <w:tc>
          <w:tcPr>
            <w:tcW w:type="dxa" w:w="187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담당·상태</w:t>
            </w:r>
          </w:p>
        </w:tc>
      </w:tr>
      <w:tr>
        <w:tc>
          <w:tcPr>
            <w:tcW w:type="dxa" w:w="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</w:t>
            </w:r>
          </w:p>
        </w:tc>
        <w:tc>
          <w:tcPr>
            <w:tcW w:type="dxa" w:w="317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과제 원문·평가기준·Custom-Index 강의자료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최종 5개 인디케이터와 필수 산출물을 오해하지 않기 위해 필요</w:t>
            </w:r>
          </w:p>
        </w:tc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확인 필요</w:t>
            </w:r>
          </w:p>
        </w:tc>
      </w:tr>
      <w:tr>
        <w:tc>
          <w:tcPr>
            <w:tcW w:type="dxa" w:w="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</w:t>
            </w:r>
          </w:p>
        </w:tc>
        <w:tc>
          <w:tcPr>
            <w:tcW w:type="dxa" w:w="317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인디케이터 후보·산식·입력자료·담당자 진행상태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지표의 개수보다 역할과 구현 가능성을 판단</w:t>
            </w:r>
          </w:p>
        </w:tc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팀 취합</w:t>
            </w:r>
          </w:p>
        </w:tc>
      </w:tr>
      <w:tr>
        <w:tc>
          <w:tcPr>
            <w:tcW w:type="dxa" w:w="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</w:t>
            </w:r>
          </w:p>
        </w:tc>
        <w:tc>
          <w:tcPr>
            <w:tcW w:type="dxa" w:w="317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Seed Basket과 한국·미국 경계사례 근거표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테마 판정의 담당자 간 일치 여부 확인</w:t>
            </w:r>
          </w:p>
        </w:tc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조사 담당</w:t>
            </w:r>
          </w:p>
        </w:tc>
      </w:tr>
      <w:tr>
        <w:tc>
          <w:tcPr>
            <w:tcW w:type="dxa" w:w="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</w:t>
            </w:r>
          </w:p>
        </w:tc>
        <w:tc>
          <w:tcPr>
            <w:tcW w:type="dxa" w:w="317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시장별 ADTV90·시가총액·재무자료 분포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하한을 수익률이나 인상으로 정하지 않기 위해 필요</w:t>
            </w:r>
          </w:p>
        </w:tc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데이터 담당</w:t>
            </w:r>
          </w:p>
        </w:tc>
      </w:tr>
      <w:tr>
        <w:tc>
          <w:tcPr>
            <w:tcW w:type="dxa" w:w="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</w:t>
            </w:r>
          </w:p>
        </w:tc>
        <w:tc>
          <w:tcPr>
            <w:tcW w:type="dxa" w:w="317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BM·PR/TR·환율·기업행사 비교표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지수와 BM의 기준 불일치 방지</w:t>
            </w:r>
          </w:p>
        </w:tc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산출 담당</w:t>
            </w:r>
          </w:p>
        </w:tc>
      </w:tr>
      <w:tr>
        <w:tc>
          <w:tcPr>
            <w:tcW w:type="dxa" w:w="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</w:t>
            </w:r>
          </w:p>
        </w:tc>
        <w:tc>
          <w:tcPr>
            <w:tcW w:type="dxa" w:w="317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최신 규칙·문서상태·결정로그·코드 산출물 목록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검토본·승인본과 과거 제안·현재 채택안 구분</w:t>
            </w:r>
          </w:p>
        </w:tc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문서/개발 담당</w:t>
            </w:r>
          </w:p>
        </w:tc>
      </w:tr>
    </w:tbl>
    <w:p>
      <w:pPr>
        <w:pStyle w:val="Heading1"/>
      </w:pPr>
      <w:r>
        <w:t>주요 안건과 수정이력의 연결</w:t>
      </w:r>
    </w:p>
    <w:p>
      <w:r>
        <w:rPr>
          <w:rFonts w:ascii="NanumSquare" w:hAnsi="NanumSquare" w:eastAsia="NanumSquare"/>
          <w:b w:val="0"/>
          <w:color w:val="1F1F1F"/>
          <w:sz w:val="21"/>
        </w:rPr>
        <w:t>회의에서는 과거 논의를 다시 처음부터 반복하지 않는다. 이미 정리된 방향과 아직 남은 결정의 경계를 확인하고, 이번 회의에서 실제로 닫을 항목만 논의한다.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안건</w:t>
            </w:r>
          </w:p>
        </w:tc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이미 정리된 방향</w:t>
            </w:r>
          </w:p>
        </w:tc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이번 회의에서 남은 결정</w:t>
            </w:r>
          </w:p>
        </w:tc>
      </w:tr>
      <w:t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ADTV90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거래량보다 거래대금을 사용하고 90유효거래일 시즈닝을 둔다.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한국·미국 하한, 편입·유지 버퍼, 이전상장 전 거래일 연결</w:t>
            </w:r>
          </w:p>
        </w:tc>
      </w:tr>
      <w:t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MACD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매매·편입 게이트가 아닌 12/26/9주 진단값으로 사용한다.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최종 5개 인디케이터에 진단용 지표를 포함할지</w:t>
            </w:r>
          </w:p>
        </w:tc>
      </w:tr>
      <w:t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당좌비율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재무조건 후보로 남긴다.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업종, 하한, 공시시차, 결측·예외</w:t>
            </w:r>
          </w:p>
        </w:tc>
      </w:tr>
      <w:t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테마 노출도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사업 역할과 공식 숫자 공개상태를 분리하고 NA를 추정하지 않는다.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직접·핵심지원 중 어디까지 구성후보인지, 경계사례 승인</w:t>
            </w:r>
          </w:p>
        </w:tc>
      </w:tr>
      <w:t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테마 가중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테마 간 1:1:1은 확정한다.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지역비중·종목가중·상한·초과분 재분배</w:t>
            </w:r>
          </w:p>
        </w:tc>
      </w:tr>
      <w:t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PIT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회계기준일·공시일·관측일·선정일·적용일을 분리한다.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정정공시, 적용지연, 시장 휴장일</w:t>
            </w:r>
          </w:p>
        </w:tc>
      </w:tr>
      <w:t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규칙 승인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성과를 보기 전에 규칙버전과 효력발생일을 저장한다.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적용시험 표본·코드검산·승인자·완료조건</w:t>
            </w:r>
          </w:p>
        </w:tc>
      </w:tr>
    </w:tbl>
    <w:p>
      <w:pPr>
        <w:pStyle w:val="Heading1"/>
      </w:pPr>
      <w:r>
        <w:t>3. 결정안건과 실행 체크리스트</w:t>
      </w:r>
    </w:p>
    <w:p>
      <w:pPr>
        <w:pStyle w:val="Heading2"/>
      </w:pPr>
      <w:r>
        <w:t>A. 최종 5개 인디케이터와 역할 확정 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정확한 5개가 정해지지 않으면 적격성·선정·가중·진단의 입력이 섞이고 불필요한 계산이 구현될 수 있다.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정확한 5개 이름은 무엇인가?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각 지표의 주역할은 적격성·순위·가중·진단 중 무엇인가?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테마 노출도는 5개 안에 포함되는가, 별도 적격성 자료인가?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MACD처럼 진단만 하는 값도 과제 인디케이터로 인정할 것인가?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과제 원문과 강의자료의 필수 산출물을 대조한다.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각 후보의 입력·산식·주기·출력·자료 이용일·결측처리를 정의표로 작성한다.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두 개 이상 역할을 가진 지표는 주역할을 하나 명시한다.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선정·가중에 사용하지 않는 진단값의 한계를 문서화한다.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5개 인디케이터 정의표 v0.x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이름·역할·입력·산식·주기·출력·이용일·결측처리가 모두 기록되고 팀 합의됨</w:t>
            </w:r>
          </w:p>
        </w:tc>
      </w:tr>
    </w:tbl>
    <w:p>
      <w:pPr>
        <w:pStyle w:val="Heading2"/>
      </w:pPr>
      <w:r>
        <w:t>B. 기준일별 시장 유니버스와 종목유형 규칙 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현재 상장목록만 사용하면 신규상장·상장폐지 종목이 과거 후보군에서 빠져 생존편향이 발생한다. 테마 판정 전에 시장 출입문을 닫아야 한다.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한국·미국의 포함 거래소와 보통주 정의는?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ETF·ETN·우선주·REIT·SPAC·ADR·KONEX·장기정지를 어떻게 처리할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이전상장·종목코드·회사명 변경을 어떻게 연결할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과거 기준일 상장상태의 원출처는 무엇인가?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시장별 기본 필드와 제외사유 코드를 확정한다.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listing_date·transfer_date·delisting_date·security_type·status_as_of를 기록한다.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Seed Basket에 규칙을 시험하고 예외를 기록한다.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신규상장·이전상장의 시즈닝 시작일 후보를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시장 유니버스·제외 규칙표 및 상태 데이터 사전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임의 기준일에서 각 종목의 시장 적격성을 같은 사유코드로 재현할 수 있음</w:t>
            </w:r>
          </w:p>
        </w:tc>
      </w:tr>
    </w:tbl>
    <w:p>
      <w:pPr>
        <w:pStyle w:val="Heading2"/>
      </w:pPr>
      <w:r>
        <w:t>C. 자료 이용시점과 Point-in-time 규칙 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회계기준일과 실제 공시일을 혼동하면 미래정보가 과거 판정에 사용된다. 모든 재무·공시 조건에 공통으로 적용되는 선행규칙이다.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관측일 당시 이용 가능한 최신 공시를 어떻게 선택하는가?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정정·중복공시 우선순위는?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분기 누적값을 단독분기로 바꾸는 비교가능성 조건은?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공시일과 실제 적용일 사이 지연은?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fiscal_date·filing_date·observation_date·selection_date·effective_date를 분리한다.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정정공시의 원본·정정본 연결규칙을 만든다.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연결/별도·단위·통화·누적/단독 여부를 기록한다.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대표 과거 시점에서 사용 가능 공시를 수동 점검한다.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자료 사용 기준표와 PIT 선택 규칙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미래 공시 미사용 사례와 정정공시 처리 예시가 통과함</w:t>
            </w:r>
          </w:p>
        </w:tc>
      </w:tr>
    </w:tbl>
    <w:p>
      <w:pPr>
        <w:pStyle w:val="Heading2"/>
      </w:pPr>
      <w:r>
        <w:t>D. 테마 범위·역할·근거·결측 적용시험 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테마 관련성이 흔들리면 구성종목이 담당자마다 달라진다. 공식자료의 존재와 프로젝트 테마에 정확히 대응하는 공식 숫자는 별도 판단해야 한다.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직접·핵심지원·제한 중 어디까지 구성후보인가?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공식 비율이 없어도 B등급 근거로 핵심지원을 인정할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역할등급과 정량상태를 어떤 열로 분리할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의견 불일치 시 누가 어떤 근거로 승인하는가?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role_grade·quant_status·evidence_grade·eligibility·missing_code를 확정한다.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매출비중으로 직접·핵심지원을 자동 결정하지 않는다.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한국·미국 경계사례를 두 명이 독립 판정한다.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공식 세그먼트와 테마가 불일치하면 비율을 NA로 처리한다.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접수번호·공시일·원문 위치·판정사유를 기록한다.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테마 적격성 적용시험표와 불일치 검토로그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경계사례가 같은 기준으로 재판정되고 승인사유가 남음</w:t>
            </w:r>
          </w:p>
        </w:tc>
      </w:tr>
    </w:tbl>
    <w:p>
      <w:pPr>
        <w:pStyle w:val="Heading2"/>
      </w:pPr>
      <w:r>
        <w:t>E. 복수 테마와 그룹 중복노출 처리  [P0]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한 기업이 여러 테마에 해당하거나 모회사·상장 자회사가 함께 들어오면 숨은 중복비중이 생길 수 있다.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동일 종목은 통합지수에서 한 번만 보유하는가?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primary_theme·secondary_theme 우선순위는?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연결 모회사와 상장 자회사를 동시에 편입할 때 무엇을 기록하는가?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테마 1:1:1을 유지하며 중복기업 비중을 어떻게 배분하는가?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동일 종목 1회 보유 원칙의 적용범위를 정한다.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공식 비교가능 매출→직접성→반복 공급근거 순의 대표테마 우선순위를 검토한다.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group_overlap_flag와 관련 상장사 정보를 기록한다.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중복 처리 전후 테마·지역·종목 비중 합계를 검산한다.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복수 테마·그룹 중복 처리 규칙 v0.x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같은 표본을 반복 적용해도 중복보유와 비중합계 결과가 동일함</w:t>
            </w:r>
          </w:p>
        </w:tc>
      </w:tr>
    </w:tbl>
    <w:p>
      <w:pPr>
        <w:pStyle w:val="Heading2"/>
      </w:pPr>
      <w:r>
        <w:t>F. 시즈닝·ADTV90·재무자료 규칙  [P1]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시즈닝과 유동성은 테마성보다 편입 가능성과 자료 충분성을 확인한다. 재무자료는 업종별 의미와 공시시차가 달라 분포와 적용대상을 먼저 확인해야 한다.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90일은 유효거래일인가?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시장별 ADTV90 하한과 버퍼는?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당좌비율 또는 대체 재무조건을 최종 5개에 포함하는가?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자료 미공개·계정불일치 시 관찰 또는 제외 중 무엇인가?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종목별 유효거래일 수와 ADTV90을 계산한다.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한국·미국별 분포·결측·극단값을 확인한다.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하한 후보의 후보군 영향을 비교하되 수익률로 최적화하지 않는다.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재무항목의 시장·업종별 분포와 이용가능일을 확인한다.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결측사유를 코드화하고 임의 대체를 금지한다.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시장별 분포표와 시즈닝·유동성·재무 규칙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하한·적용일·결측·버퍼·예외가 승인되고 예제 판정이 재현됨</w:t>
            </w:r>
          </w:p>
        </w:tc>
      </w:tr>
    </w:tbl>
    <w:p>
      <w:pPr>
        <w:pStyle w:val="Heading2"/>
      </w:pPr>
      <w:r>
        <w:t>G. 편입·유지·제외·종목 수·버퍼  [P1]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적격성 규칙을 통과한 뒤 어떤 종목을 실제 구성종목으로 남길지 정하지 않으면 가중과 지수 산출을 진행할 수 없다.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테마별 고정 종목 수인가, 적격종목 전부인가?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신규 편입과 기존 유지의 경계를 다르게 둘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제한등급은 관찰만 할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최소 구성종목 수 미달 시 예외처리는?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편입·유지·제외 판정표와 사유코드를 만든다.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버퍼 적용 전후 구성변화와 회전율을 비교한다.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Seed Basket에 적용해 예상치 못한 예외를 기록한다.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성과가 아니라 재현성과 회전율 안정성으로 후보안을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구성종목 판정규칙 v0.x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임의 기준일에 구성종목·상태·제외사유가 재현되고 최소종목 예외가 정의됨</w:t>
            </w:r>
          </w:p>
        </w:tc>
      </w:tr>
    </w:tbl>
    <w:p>
      <w:pPr>
        <w:pStyle w:val="Heading2"/>
      </w:pPr>
      <w:r>
        <w:t>H. 지역·테마·종목 가중과 상한·재분배  [P1]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테마 노출도와 지수비중은 별개의 설계 결정이다. 같은 구성종목도 가중식에 따라 집중도와 지수성과가 달라진다.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한국·미국 지역비중 50:50은 채택안인가 검토안인가?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테마 내부는 동일가중·유동주식 시총가중 등 무엇인가?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노출도는 적격성에만 사용할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종목·산업 상한과 초과분 재분배 순서는?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테마 1:1:1을 각 1/3로 정규화한다.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지역 50:50과 종목 동일가중은 확정 전 검토안으로 표시한다.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후보 가중식별 예제와 집중도를 비교한다.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상한·재분배 반복 후 총비중 100%를 검산한다.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가중·상한·재분배 규칙표와 예제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모든 종목비중 합계가 100%이고 동일 입력에서 같은 결과가 나옴</w:t>
            </w:r>
          </w:p>
        </w:tc>
      </w:tr>
    </w:tbl>
    <w:p>
      <w:pPr>
        <w:pStyle w:val="Heading2"/>
      </w:pPr>
      <w:r>
        <w:t>I. 관측·선정·적용일과 정기·수시변경  [P1]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자료 cutoff와 실제 반영일을 분리하지 않으면 미래정보 누수와 거래 불가능한 가정이 발생한다.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주별 관측·분기말 선정·다음 거래주 적용을 확정할 것인가?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한·미 휴장일이 다를 때 공통 기준일은?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수시변경 사유와 적용시점은?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변경 전후 지수연결은 어떻게 하는가?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리밸런싱 달력표를 작성한다.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시장별 마지막 유효거래일과 환율기준일을 정한다.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상폐·합병·분사 등 수시변경 예외를 작성한다.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한 분기 예시를 따라가며 공시·가격 cutoff를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리밸런싱 달력과 정기·수시변경 규칙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예시 분기에서 미래자료 없이 관측→선정→적용이 재현됨</w:t>
            </w:r>
          </w:p>
        </w:tc>
      </w:tr>
    </w:tbl>
    <w:p>
      <w:pPr>
        <w:pStyle w:val="Heading2"/>
      </w:pPr>
      <w:r>
        <w:t>J. 지수 산출·BM·환율·기업행사  [P1]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구성종목이 같아도 PR/TR·환율·배당·기업행사 처리에 따라 지수값이 달라진다.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공식 지수는 PR 또는 TR 중 무엇인가?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원화 환산 기준시각과 환율 원천은?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배당·분할·병합·합병·분사·상폐 처리는?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BM의 기준통화·PR/TR·지역비중은?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지수와 BM의 기준통화·수익유형·환율을 표로 맞춘다.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기준일·기준값·일별 수익률·지수연결식을 정한다.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기업행사별 예제와 휴장일·결측 처리규칙을 만든다.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짧은 표본을 수기로 계산한다.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지수 산출 규칙과 BM 기준표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수기·코드 결과가 일치하고 변경 전후 지수값이 끊기지 않음</w:t>
            </w:r>
          </w:p>
        </w:tc>
      </w:tr>
    </w:tbl>
    <w:p>
      <w:pPr>
        <w:pStyle w:val="Heading2"/>
      </w:pPr>
      <w:r>
        <w:t>K. 재현성·산출 정합성·버전 승인  [P1]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0148"/>
      </w:tblGrid>
      <w:tr>
        <w:tc>
          <w:tcPr>
            <w:tcW w:type="dxa" w:w="10148"/>
            <w:shd w:fill="FFF8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 xml:space="preserve">근거와 당위성 </w:t>
            </w:r>
            <w:r>
              <w:rPr>
                <w:rFonts w:ascii="NanumSquare" w:hAnsi="NanumSquare" w:eastAsia="NanumSquare"/>
                <w:b w:val="0"/>
                <w:color w:val="1F1F1F"/>
                <w:sz w:val="20"/>
              </w:rPr>
              <w:t>최종 제출의 핵심 증거는 많은 검증명이 아니라 동일 규칙으로 같은 결과를 다시 얻을 수 있다는 사실이다.</w:t>
            </w:r>
          </w:p>
        </w:tc>
      </w:tr>
    </w:tbl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회의에서 결정할 질문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대표 과거 검토일은 언제인가?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누가 독립 재현을 수행하는가?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불일치를 원자료·규칙·코드·반올림 중 어디서 추적하는가?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• 검토본·적용시험본·승인본의 승인조건은?</w:t>
      </w:r>
    </w:p>
    <w:p>
      <w:pPr>
        <w:pStyle w:val="Heading3"/>
      </w:pPr>
      <w:r>
        <w:rPr>
          <w:rFonts w:ascii="NanumSquare" w:hAnsi="NanumSquare" w:eastAsia="NanumSquare"/>
          <w:b w:val="0"/>
          <w:color w:val="1F1F1F"/>
          <w:sz w:val="21"/>
        </w:rPr>
        <w:t>실행 체크리스트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대표 검토일 원자료 스냅샷을 보존한다.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원자료→판정→구성종목→비중→지수값을 단계별 저장한다.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다른 담당자가 독립 재산출한다.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결정로그에 대안·기각사유·담당자·날짜를 기록한다.</w:t>
      </w:r>
    </w:p>
    <w:p>
      <w:pPr>
        <w:ind w:left="255" w:hanging="170"/>
      </w:pPr>
      <w:r>
        <w:rPr>
          <w:rFonts w:ascii="NanumSquare" w:hAnsi="NanumSquare" w:eastAsia="NanumSquare"/>
          <w:b w:val="0"/>
          <w:color w:val="1F1F1F"/>
          <w:sz w:val="20"/>
        </w:rPr>
        <w:t>□ 문서와 코드 설정의 rule_version을 일치시킨다.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필수 산출물</w:t>
            </w:r>
          </w:p>
        </w:tc>
        <w:tc>
          <w:tcPr>
            <w:tcW w:type="dxa" w:w="68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대표 검토일 재현 패키지·QA 로그·버전로그</w:t>
            </w:r>
          </w:p>
        </w:tc>
        <w:tc>
          <w:tcPr>
            <w:tcW w:type="dxa" w:w="68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구성종목·비중·지수값이 허용오차 내 일치하고 원인추적 가능</w:t>
            </w:r>
          </w:p>
        </w:tc>
      </w:tr>
    </w:tbl>
    <w:p>
      <w:pPr>
        <w:pStyle w:val="Heading1"/>
      </w:pPr>
      <w:r>
        <w:t>4. 회의 종료 전 결정로그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680"/>
            <w:shd w:fill="1F4E7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안건</w:t>
            </w:r>
          </w:p>
        </w:tc>
        <w:tc>
          <w:tcPr>
            <w:tcW w:type="dxa" w:w="907"/>
            <w:shd w:fill="1F4E7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상태</w:t>
            </w:r>
          </w:p>
        </w:tc>
        <w:tc>
          <w:tcPr>
            <w:tcW w:type="dxa" w:w="3175"/>
            <w:shd w:fill="1F4E7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결정 내용</w:t>
            </w:r>
          </w:p>
        </w:tc>
        <w:tc>
          <w:tcPr>
            <w:tcW w:type="dxa" w:w="2381"/>
            <w:shd w:fill="1F4E7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필요자료·담당</w:t>
            </w:r>
          </w:p>
        </w:tc>
        <w:tc>
          <w:tcPr>
            <w:tcW w:type="dxa" w:w="1134"/>
            <w:shd w:fill="1F4E7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기한</w:t>
            </w:r>
          </w:p>
        </w:tc>
        <w:tc>
          <w:tcPr>
            <w:tcW w:type="dxa" w:w="1927"/>
            <w:shd w:fill="1F4E7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반영 위치</w:t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F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I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J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  <w:tr>
        <w:tc>
          <w:tcPr>
            <w:tcW w:type="dxa" w:w="6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K</w:t>
            </w:r>
          </w:p>
        </w:tc>
        <w:tc>
          <w:tcPr>
            <w:tcW w:type="dxa" w:w="90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3175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2381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13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  <w:tc>
          <w:tcPr>
            <w:tcW w:type="dxa" w:w="1927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</w:r>
          </w:p>
        </w:tc>
      </w:tr>
    </w:tbl>
    <w:p>
      <w:pPr>
        <w:pStyle w:val="Heading1"/>
      </w:pPr>
      <w:r>
        <w:t>5. 회의 종료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481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종료 확인 1</w:t>
            </w:r>
          </w:p>
        </w:tc>
        <w:tc>
          <w:tcPr>
            <w:tcW w:type="dxa" w:w="481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종료 확인 2</w:t>
            </w:r>
          </w:p>
        </w:tc>
      </w:tr>
      <w:tr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 모든 P0 안건은 확정 또는 명시적 보류 상태와 필요한 자료·담당·기한을 가진다.</w:t>
              <w:br/>
              <w:t>□ 새 합의는 결과 확인 전에 규칙버전과 효력발생일이 기록된다.</w:t>
            </w:r>
          </w:p>
        </w:tc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 P1 안건은 선행자료와 담당자가 지정되어 다음 작업을 즉시 시작할 수 있다.</w:t>
              <w:br/>
              <w:t>□ 회의록·진도확인 문서·회의안·코드 설정이 같은 결정로그를 참조한다.</w:t>
            </w:r>
          </w:p>
        </w:tc>
      </w:tr>
      <w:tr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 다음 회의에서 다시 검토할 항목은 완료조건이 문장으로 적혀 있다.</w:t>
            </w:r>
          </w:p>
        </w:tc>
        <w:tc>
          <w:tcPr>
            <w:tcW w:type="dxa" w:w="481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666666"/>
        <w:sz w:val="17"/>
      </w:rPr>
      <w:t>규칙 기반 패시브 커스텀 인덱스 인디케이터 개발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Square" w:hAnsi="NanumSquare" w:eastAsia="NanumSquare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 w:line="252" w:lineRule="auto"/>
    </w:pPr>
    <w:rPr>
      <w:rFonts w:ascii="NanumSquare" w:hAnsi="NanumSquare" w:eastAsia="NanumSquare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