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Square Bold" w:hAnsi="NanumSquare Bold" w:eastAsia="NanumSquare Bold"/>
          <w:b/>
          <w:color w:val="1F4E79"/>
          <w:sz w:val="42"/>
        </w:rPr>
        <w:t>한·미 우주·AI·에너지 테마형 지수 구성·산출 룰북</w:t>
      </w:r>
    </w:p>
    <w:p>
      <w:pPr>
        <w:pStyle w:val="Subtitle"/>
        <w:jc w:val="center"/>
      </w:pPr>
      <w:r>
        <w:rPr>
          <w:rFonts w:ascii="NanumSquare" w:hAnsi="NanumSquare" w:eastAsia="NanumSquare"/>
          <w:b w:val="0"/>
          <w:color w:val="666666"/>
          <w:sz w:val="22"/>
        </w:rPr>
        <w:t>2026-07-20 최종 회의내용 반영본</w:t>
      </w:r>
    </w:p>
    <w:p>
      <w:pPr>
        <w:jc w:val="center"/>
      </w:pPr>
      <w:r>
        <w:rPr>
          <w:rFonts w:ascii="NanumSquare Bold" w:hAnsi="NanumSquare Bold" w:eastAsia="NanumSquare Bold"/>
          <w:b/>
          <w:color w:val="666666"/>
          <w:sz w:val="17"/>
        </w:rPr>
        <w:t>v0.3 검토본 · 적용시험과 팀 승인 전에는 확정본이 아님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54"/>
        <w:gridCol w:w="7087"/>
      </w:tblGrid>
      <w:tr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7"/>
              </w:rPr>
              <w:t>공식 프로젝트명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한·미 우주·AI·에너지 테마형 지수 (구명: 규칙 기반 패시브 커스텀 인덱스 인디케이터 개발)</w:t>
            </w:r>
          </w:p>
        </w:tc>
      </w:tr>
      <w:tr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7"/>
              </w:rPr>
              <w:t>세부 대상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한국·미국 상장기업의 우주·방산, AI·로보틱스, 에너지·전력 인프라</w:t>
            </w:r>
          </w:p>
        </w:tc>
      </w:tr>
      <w:tr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7"/>
              </w:rPr>
              <w:t>문서 역할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지수 목적·자료·적격성·선정·가중·변경·BM·환율·산출·기록기준을 연결하는 적용 전 룰북</w:t>
            </w:r>
          </w:p>
        </w:tc>
      </w:tr>
      <w:tr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7"/>
              </w:rPr>
              <w:t>문서 상태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v0.3 검토본. 실제 종목 적용·코드시험·팀 승인 후 버전 승격</w:t>
            </w:r>
          </w:p>
        </w:tc>
      </w:tr>
      <w:tr>
        <w:tc>
          <w:tcPr>
            <w:tcW w:type="dxa" w:w="215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7"/>
              </w:rPr>
              <w:t>최근 반영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공식 합성 BM, v1 PR, 원화·무헤지, 근사 TR 기각, 테마 ETF 비교군, 시즈닝·ADTV90 확정 명세(8.1)와 일별 상태코드 4종</w:t>
            </w:r>
          </w:p>
        </w:tc>
      </w:tr>
    </w:tbl>
    <w:p/>
    <w:p>
      <w:pPr>
        <w:pStyle w:val="Heading1"/>
      </w:pPr>
      <w:r>
        <w:t>0. 문서 목적과 적용범위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목적: </w:t>
            </w:r>
            <w:r>
              <w:rPr>
                <w:rFonts w:ascii="NanumSquare" w:hAnsi="NanumSquare" w:eastAsia="NanumSquare"/>
                <w:b w:val="0"/>
                <w:sz w:val="18"/>
              </w:rPr>
              <w:t>공식적으로 공개되어 당시 이용 가능했던 자료와 사전에 정한 규칙을 이용하여 구성종목·비중·일별 지수값을 반복 산출하고, 같은 입력에서 같은 결과가 나오는지를 확인한다.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본 룰북은 특정 종목의 투자매력이나 매매시점을 평가하지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실제 ETF 등록·상장·인가·법률검토와 고객자금 운용은 범위에서 제외한다.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성과가 좋아 보인다는 이유만으로 사후에 규칙과 경계값을 변경하지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팀에서 확정하지 않은 항목은 미결안으로 남기며 임의의 숫자로 채우지 않는다.</w:t>
      </w:r>
    </w:p>
    <w:p>
      <w:pPr>
        <w:pStyle w:val="Heading1"/>
      </w:pPr>
      <w:r>
        <w:t>1. 프로젝트 정체성과 목표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한·미 3개 테마를 동일한 자료·시점·구성규칙으로 측정한다.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공식 공시자료를 이용해 실제 사업 관련성을 확인한다.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구성종목·비중·지수값을 문서와 코드에서 같은 순서로 재현한다.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시중 ETF와 시장 BM의 구성·노출도·성과특성을 비교한다.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알파 극대화보다 투명성·재현성·추종가능성을 우선한다.</w:t>
      </w:r>
    </w:p>
    <w:p>
      <w:pPr>
        <w:pStyle w:val="Heading1"/>
      </w:pPr>
      <w:r>
        <w:t>2. 테마 구조와 선정근거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테마</w:t>
            </w:r>
          </w:p>
        </w:tc>
        <w:tc>
          <w:tcPr>
            <w:tcW w:type="dxa" w:w="430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기본 범위</w:t>
            </w:r>
          </w:p>
        </w:tc>
        <w:tc>
          <w:tcPr>
            <w:tcW w:type="dxa" w:w="317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선정근거의 방향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우주·방산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발사체·위성·우주시스템·군용항공·미사일·레이더·방공·지상방산과 전용 핵심부품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한·미 중대형 상장기업, 공시로 제품·수주·사업역할 확인 가능</w:t>
            </w:r>
          </w:p>
        </w:tc>
      </w:tr>
      <w:tr>
        <w:trPr>
          <w:cantSplit/>
        </w:trPr>
        <w:tc>
          <w:tcPr>
            <w:tcW w:type="dxa" w:w="175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AI·로보틱스</w:t>
            </w:r>
          </w:p>
        </w:tc>
        <w:tc>
          <w:tcPr>
            <w:tcW w:type="dxa" w:w="4309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 소프트웨어·플랫폼·산업·협동로봇·자동화와 AI 데이터센터 전용 네트워크·연결·시험·전력지원</w:t>
            </w:r>
          </w:p>
        </w:tc>
        <w:tc>
          <w:tcPr>
            <w:tcW w:type="dxa" w:w="3175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실제 AI 수요와 제품·서비스의 연결을 공식자료로 확인 가능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에너지·전력 인프라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발전설비·송배전·전력망·변압기·차단기·ESS·UPS·전력관리와 전용 케이블·센서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AI·산업·전력수요를 지원하는 기반산업이며 거래·공시자료 확보 가능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표현원칙: </w:t>
            </w:r>
            <w:r>
              <w:rPr>
                <w:rFonts w:ascii="NanumSquare" w:hAnsi="NanumSquare" w:eastAsia="NanumSquare"/>
                <w:b w:val="0"/>
                <w:sz w:val="18"/>
              </w:rPr>
              <w:t>테마 선정근거는 “유망·핫·폭발적 성장”보다 데이터·유동성·투자가능성, 밸류체인 연결성과 공시 판정 가능성을 중심으로 설명한다.</w:t>
            </w:r>
          </w:p>
        </w:tc>
      </w:tr>
    </w:tbl>
    <w:p/>
    <w:p>
      <w:pPr>
        <w:pStyle w:val="Heading1"/>
      </w:pPr>
      <w:r>
        <w:t>3. 문서와 판정상태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154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표현</w:t>
            </w:r>
          </w:p>
        </w:tc>
        <w:tc>
          <w:tcPr>
            <w:tcW w:type="dxa" w:w="708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정리안</w:t>
            </w:r>
          </w:p>
        </w:tc>
        <w:tc>
          <w:tcPr>
            <w:tcW w:type="dxa" w:w="70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현재 자료와 최근 합의에서 비교적 안정적으로 정리된 내용</w:t>
            </w:r>
          </w:p>
        </w:tc>
      </w:tr>
      <w:tr>
        <w:trPr>
          <w:cantSplit/>
        </w:trPr>
        <w:tc>
          <w:tcPr>
            <w:tcW w:type="dxa" w:w="215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검토안</w:t>
            </w:r>
          </w:p>
        </w:tc>
        <w:tc>
          <w:tcPr>
            <w:tcW w:type="dxa" w:w="70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조사·구현을 진행하기 위한 기본구조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미결안</w:t>
            </w:r>
          </w:p>
        </w:tc>
        <w:tc>
          <w:tcPr>
            <w:tcW w:type="dxa" w:w="70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팀 결정 또는 추가자료가 필요한 내용</w:t>
            </w:r>
          </w:p>
        </w:tc>
      </w:tr>
      <w:tr>
        <w:trPr>
          <w:cantSplit/>
        </w:trPr>
        <w:tc>
          <w:tcPr>
            <w:tcW w:type="dxa" w:w="215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적용시험본</w:t>
            </w:r>
          </w:p>
        </w:tc>
        <w:tc>
          <w:tcPr>
            <w:tcW w:type="dxa" w:w="70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일부 종목·기간에 실제 적용해 보는 규칙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승인본</w:t>
            </w:r>
          </w:p>
        </w:tc>
        <w:tc>
          <w:tcPr>
            <w:tcW w:type="dxa" w:w="70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팀 검토와 적용시험을 통과한 기준</w:t>
            </w:r>
          </w:p>
        </w:tc>
      </w:tr>
      <w:tr>
        <w:trPr>
          <w:cantSplit/>
        </w:trPr>
        <w:tc>
          <w:tcPr>
            <w:tcW w:type="dxa" w:w="215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후속 검토</w:t>
            </w:r>
          </w:p>
        </w:tc>
        <w:tc>
          <w:tcPr>
            <w:tcW w:type="dxa" w:w="70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현재 제출범위 밖에서 추가 확인할 내용</w:t>
            </w:r>
          </w:p>
        </w:tc>
      </w:tr>
    </w:tbl>
    <w:p/>
    <w:p>
      <w:pPr>
        <w:pStyle w:val="Heading1"/>
      </w:pPr>
      <w:r>
        <w:t>4. 전체 작은 사슬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EB6C6"/>
          <w:start w:val="single" w:sz="4" w:space="0" w:color="9EB6C6"/>
          <w:bottom w:val="single" w:sz="4" w:space="0" w:color="9EB6C6"/>
          <w:end w:val="single" w:sz="4" w:space="0" w:color="9EB6C6"/>
          <w:insideH w:val="single" w:sz="4" w:space="0" w:color="9EB6C6"/>
          <w:insideV w:val="single" w:sz="4" w:space="0" w:color="9EB6C6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3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원자료</w:t>
            </w:r>
          </w:p>
        </w:tc>
        <w:tc>
          <w:tcPr>
            <w:tcW w:type="dxa" w:w="103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이용시점</w:t>
            </w:r>
          </w:p>
        </w:tc>
        <w:tc>
          <w:tcPr>
            <w:tcW w:type="dxa" w:w="103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적격성</w:t>
            </w:r>
          </w:p>
        </w:tc>
        <w:tc>
          <w:tcPr>
            <w:tcW w:type="dxa" w:w="103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인디케이터</w:t>
            </w:r>
          </w:p>
        </w:tc>
        <w:tc>
          <w:tcPr>
            <w:tcW w:type="dxa" w:w="103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구성판정</w:t>
            </w:r>
          </w:p>
        </w:tc>
        <w:tc>
          <w:tcPr>
            <w:tcW w:type="dxa" w:w="103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가중</w:t>
            </w:r>
          </w:p>
        </w:tc>
        <w:tc>
          <w:tcPr>
            <w:tcW w:type="dxa" w:w="103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적용일</w:t>
            </w:r>
          </w:p>
        </w:tc>
        <w:tc>
          <w:tcPr>
            <w:tcW w:type="dxa" w:w="103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PR 지수</w:t>
            </w:r>
          </w:p>
        </w:tc>
        <w:tc>
          <w:tcPr>
            <w:tcW w:type="dxa" w:w="103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QA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각 단계는 입력자료, 적용규칙, 확인결과, 판정상태, 판정사유와 다음 전달자료를 남긴다.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단계 판정은 다음 단계로 전달할지를 결정하고, 판정기록은 왜 그런 결정이 나왔는지를 보존한다.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한 단계가 테마 관련성·유동성·재무상태·가격상태를 동시에 판단하지 않도록 역할을 분리한다.</w:t>
      </w:r>
    </w:p>
    <w:p>
      <w:pPr>
        <w:pStyle w:val="Heading1"/>
      </w:pPr>
      <w:r>
        <w:t>5. 자료 원칙과 point-in-time</w:t>
      </w:r>
    </w:p>
    <w:p>
      <w:pPr>
        <w:pStyle w:val="Heading2"/>
      </w:pPr>
      <w:r>
        <w:t>5.1 자료 우선순위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1. </w:t>
      </w:r>
      <w:r>
        <w:rPr>
          <w:rFonts w:ascii="NanumSquare" w:hAnsi="NanumSquare" w:eastAsia="NanumSquare"/>
          <w:b w:val="0"/>
          <w:sz w:val="18"/>
        </w:rPr>
        <w:t>감사·검토 재무제표의 주석과 외부고객 매출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2. </w:t>
      </w:r>
      <w:r>
        <w:rPr>
          <w:rFonts w:ascii="NanumSquare" w:hAnsi="NanumSquare" w:eastAsia="NanumSquare"/>
          <w:b w:val="0"/>
          <w:sz w:val="18"/>
        </w:rPr>
        <w:t>사업보고서·10-K·분기보고서의 사업내용·제품·사업부문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3. </w:t>
      </w:r>
      <w:r>
        <w:rPr>
          <w:rFonts w:ascii="NanumSquare" w:hAnsi="NanumSquare" w:eastAsia="NanumSquare"/>
          <w:b w:val="0"/>
          <w:sz w:val="18"/>
        </w:rPr>
        <w:t>공식 계약·수주·고객·생산시설·연구개발 공시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4. </w:t>
      </w:r>
      <w:r>
        <w:rPr>
          <w:rFonts w:ascii="NanumSquare" w:hAnsi="NanumSquare" w:eastAsia="NanumSquare"/>
          <w:b w:val="0"/>
          <w:sz w:val="18"/>
        </w:rPr>
        <w:t>기업 공식 IR과 홈페이지 자료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5. </w:t>
      </w:r>
      <w:r>
        <w:rPr>
          <w:rFonts w:ascii="NanumSquare" w:hAnsi="NanumSquare" w:eastAsia="NanumSquare"/>
          <w:b w:val="0"/>
          <w:sz w:val="18"/>
        </w:rPr>
        <w:t>ETF 구성종목·언론·외부리서치는 후보 탐색과 원문 위치 확인에만 사용</w:t>
      </w:r>
    </w:p>
    <w:p>
      <w:pPr>
        <w:pStyle w:val="Heading2"/>
      </w:pPr>
      <w:r>
        <w:t>5.2 날짜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EB6C6"/>
          <w:start w:val="single" w:sz="4" w:space="0" w:color="9EB6C6"/>
          <w:bottom w:val="single" w:sz="4" w:space="0" w:color="9EB6C6"/>
          <w:end w:val="single" w:sz="4" w:space="0" w:color="9EB6C6"/>
          <w:insideH w:val="single" w:sz="4" w:space="0" w:color="9EB6C6"/>
          <w:insideV w:val="single" w:sz="4" w:space="0" w:color="9EB6C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회계기간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공시일</w:t>
            </w:r>
          </w:p>
        </w:tc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이용가능일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자료마감일</w:t>
            </w:r>
          </w:p>
        </w:tc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선정일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효력발생일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선정일 또는 자료마감일 이전에 이용 가능했던 자료만 사용한다.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정확한 공시시각을 구하기 어려우면 보수적인 이용 가능일 규칙을 적용하고 기록한다.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가격·재무·공시·환율의 기준일을 서로 다른 열로 관리한다.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[미결안] 날짜 필드 명칭은 표준 5필드(fiscal_date·filing_date·observation_date·selection_date·effective_date)와 데이터 사전에서 통일한다.</w:t>
      </w:r>
    </w:p>
    <w:p>
      <w:pPr>
        <w:pStyle w:val="Heading1"/>
      </w:pPr>
      <w:r>
        <w:t>6. 기초 유니버스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1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03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기본안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한국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KRX KOSPI·KOSDAQ 상장 보통주 [미결안 — 7/14 결정은 코스피 한정. 코스닥 포함 여부 재확인 필요]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미국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NYSE·NASDAQ·NYSE American 상장 보통주 [미결안 — 7/14 결정은 나스닥·NYSE. NYSE American 추가 여부 확인 필요]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기본 제외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KONEX, 우선주, ADR, 리츠, ETF, ETN, SPAC, 장기거래정지 및 규칙상 제외증권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신규상장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상장 후 유효거래일 90일 시즈닝 적용 (확정, 8.1 참조)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Seed Basket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조사·계산구조 시험을 위한 예비 후보군이며 최종 구성종목이 아님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추가후보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HWM·GE·CRDO·GOOG·VRT·BE 등은 기존 후보의 교체안이 아니라 별도 탐색후보로 관리</w:t>
            </w:r>
          </w:p>
        </w:tc>
      </w:tr>
    </w:tbl>
    <w:p/>
    <w:p>
      <w:pPr>
        <w:pStyle w:val="Heading1"/>
      </w:pPr>
      <w:r>
        <w:t>7. 공시자료 기반 테마 적격성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EB6C6"/>
          <w:start w:val="single" w:sz="4" w:space="0" w:color="9EB6C6"/>
          <w:bottom w:val="single" w:sz="4" w:space="0" w:color="9EB6C6"/>
          <w:end w:val="single" w:sz="4" w:space="0" w:color="9EB6C6"/>
          <w:insideH w:val="single" w:sz="4" w:space="0" w:color="9EB6C6"/>
          <w:insideV w:val="single" w:sz="4" w:space="0" w:color="9EB6C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T0 공식자료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T1 실제사업</w:t>
            </w:r>
          </w:p>
        </w:tc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T2 사업역할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T3 정량상태</w:t>
            </w:r>
          </w:p>
        </w:tc>
        <w:tc>
          <w:tcPr>
            <w:tcW w:type="dxa" w:w="1559"/>
            <w:shd w:fill="D9EAF7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T4 테마적격</w:t>
            </w:r>
          </w:p>
        </w:tc>
        <w:tc>
          <w:tcPr>
            <w:tcW w:type="dxa" w:w="1559"/>
            <w:shd w:fill="EEF5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1F4E79"/>
                <w:sz w:val="16"/>
              </w:rPr>
              <w:t>T5 구성단계 전달</w:t>
            </w:r>
          </w:p>
        </w:tc>
      </w:tr>
    </w:tbl>
    <w:p/>
    <w:p>
      <w:pPr>
        <w:pStyle w:val="Heading2"/>
      </w:pPr>
      <w:r>
        <w:t>7.1 사업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1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703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판정방향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직접사업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테마의 최종 제품·서비스·전용 시스템을 직접 개발·생산·제공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핵심지원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 제품에 필수적이며 반복 공급되는 전용 부품·소재·장비·인프라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제한적 관련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관련성은 있으나 일반사업과 구별이 약하거나 반복성이 낮음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근거부족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공식자료에서 현재 사업수행을 확인하기 어려움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 제외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목표 테마의 범위와 연결되지 않음</w:t>
            </w:r>
          </w:p>
        </w:tc>
      </w:tr>
    </w:tbl>
    <w:p/>
    <w:p>
      <w:pPr>
        <w:pStyle w:val="Heading2"/>
      </w:pPr>
      <w:r>
        <w:t>7.2 정량 노출상태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1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703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공식 비중 확인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동일 범위·기간·단위의 테마 매출과 전체매출로 계산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부분 정량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공식적으로 분리 가능한 최소확인 노출만 기록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혼재 사업부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테마·비테마가 함께 있어 전체 비중은 NA, 확인 가능한 최소값은 별도 기록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수치 미공개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사업 역할은 판정할 수 있으나 비중은 NA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NA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임의추정하지 않음. 0과 구분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핵심원칙: </w:t>
            </w:r>
            <w:r>
              <w:rPr>
                <w:rFonts w:ascii="NanumSquare" w:hAnsi="NanumSquare" w:eastAsia="NanumSquare"/>
                <w:b w:val="0"/>
                <w:sz w:val="18"/>
              </w:rPr>
              <w:t>사업 역할과 매출비중은 별도 축이다. 직접사업이라고 전체 매출비중이 자동으로 높다고 보지 않고, 비중이 없다고 사업이 없다고 보지 않는다.</w:t>
            </w:r>
          </w:p>
        </w:tc>
      </w:tr>
    </w:tbl>
    <w:p/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[미결안] 7.1 사업 역할 5단계와 7.2 정량 노출상태 구분은 기존 확정 필드(role_grade 4단계, quant_status 3단계)의 확장안이다. 적격성 출력상태(통과 후보/관찰/제외 vs 통과/후보/관찰/배제)와 함께 데이터 사전에서 단일안으로 확정한다.</w:t>
      </w:r>
    </w:p>
    <w:p>
      <w:pPr>
        <w:pStyle w:val="Heading2"/>
      </w:pPr>
      <w:r>
        <w:t>7.3 판정기록 기본 필드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1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기본 필드</w:t>
            </w:r>
          </w:p>
        </w:tc>
        <w:tc>
          <w:tcPr>
            <w:tcW w:type="dxa" w:w="703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기록내용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회사·종목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회사명, 티커·종목코드, 시장, 국가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주테마, 부테마, 후보출처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자료시점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회계기간, 공시일, 이용 가능일, 선정일, 효력발생일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근거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보고서명, 표·주석·장·절, 원문 요약</w:t>
            </w:r>
          </w:p>
        </w:tc>
      </w:tr>
      <w:tr>
        <w:trPr>
          <w:cantSplit/>
        </w:trPr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판정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사업 역할, 정량상태, 테마 적격상태, 판정사유</w:t>
            </w:r>
          </w:p>
        </w:tc>
      </w:tr>
      <w:tr>
        <w:trPr>
          <w:cantSplit/>
        </w:trPr>
        <w:tc>
          <w:tcPr>
            <w:tcW w:type="dxa" w:w="221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검토</w:t>
            </w:r>
          </w:p>
        </w:tc>
        <w:tc>
          <w:tcPr>
            <w:tcW w:type="dxa" w:w="703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조사자, 교차검토자, 검토일, 수정이력</w:t>
            </w:r>
          </w:p>
        </w:tc>
      </w:tr>
    </w:tbl>
    <w:p/>
    <w:p>
      <w:pPr>
        <w:pStyle w:val="Heading1"/>
      </w:pPr>
      <w:r>
        <w:t>8. 인디케이터와 역할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현재 상태: </w:t>
            </w:r>
            <w:r>
              <w:rPr>
                <w:rFonts w:ascii="NanumSquare" w:hAnsi="NanumSquare" w:eastAsia="NanumSquare"/>
                <w:b w:val="0"/>
                <w:sz w:val="18"/>
              </w:rPr>
              <w:t>정확한 최종 5개 인디케이터는 미결이다. 숫자를 맞추기 위해 역할이 겹치는 값을 억지로 확정하지 않는다.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2778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06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사용하지 않는 범위</w:t>
            </w:r>
          </w:p>
        </w:tc>
        <w:tc>
          <w:tcPr>
            <w:tcW w:type="dxa" w:w="153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테마 매출·역할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테마 관련성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주가전망·유동성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핵심 구조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상장 후 유효거래일 90일 시즈닝</w:t>
            </w:r>
          </w:p>
        </w:tc>
        <w:tc>
          <w:tcPr>
            <w:tcW w:type="dxa" w:w="2778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적격성(자료 충분성)</w:t>
            </w:r>
          </w:p>
        </w:tc>
        <w:tc>
          <w:tcPr>
            <w:tcW w:type="dxa" w:w="306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기업 품질</w:t>
            </w:r>
          </w:p>
        </w:tc>
        <w:tc>
          <w:tcPr>
            <w:tcW w:type="dxa" w:w="153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확정 (07-20 팀 합의, 8.1)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ADTV90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유동성 적격성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테마점수·수익률예측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정의 확정(07-20)·하한 미결 (Q1 후보, 절차 8.1)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TTM 순이익</w:t>
            </w:r>
          </w:p>
        </w:tc>
        <w:tc>
          <w:tcPr>
            <w:tcW w:type="dxa" w:w="2778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재무상태 후보</w:t>
            </w:r>
          </w:p>
        </w:tc>
        <w:tc>
          <w:tcPr>
            <w:tcW w:type="dxa" w:w="306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테마역할</w:t>
            </w:r>
          </w:p>
        </w:tc>
        <w:tc>
          <w:tcPr>
            <w:tcW w:type="dxa" w:w="153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상정 (07-20 신규 제안 — 기존 논의 이력 없음 확인. A·J 미결 처리 후 논의)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당좌비율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단기 재무위험 보조진단 후보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테마역할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미결안</w:t>
            </w:r>
          </w:p>
        </w:tc>
      </w:tr>
      <w:tr>
        <w:trPr>
          <w:cantSplit/>
        </w:trPr>
        <w:tc>
          <w:tcPr>
            <w:tcW w:type="dxa" w:w="181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MACD 12·26·9주</w:t>
            </w:r>
          </w:p>
        </w:tc>
        <w:tc>
          <w:tcPr>
            <w:tcW w:type="dxa" w:w="2778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중기 가격상태 진단</w:t>
            </w:r>
          </w:p>
        </w:tc>
        <w:tc>
          <w:tcPr>
            <w:tcW w:type="dxa" w:w="306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편입·유지·제외 게이트</w:t>
            </w:r>
          </w:p>
        </w:tc>
        <w:tc>
          <w:tcPr>
            <w:tcW w:type="dxa" w:w="153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진단용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주별 수익률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가격변화·성과 계산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사업 적격성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역할 확정 필요</w:t>
            </w:r>
          </w:p>
        </w:tc>
      </w:tr>
    </w:tbl>
    <w:p>
      <w:pPr>
        <w:pStyle w:val="Heading2"/>
      </w:pPr>
      <w:r>
        <w:t>8.1 확정 계산명세 (2026-07-20 팀 합의)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시즈닝 — 명칭 "상장 후 유효거래일 90일 시즈닝". 임계값 90유효거래일 이상, 역할 적격성(자료 충분성). 유효거래일 = 정상 개장일 + 상장 중 + 거래정지 아님(시장 상태로만 정의, 종목의 상장 시장 달력 기준). 정상 개장일의 실제 무거래일은 시즈닝 일수에 포함하며, 데이터 유무는 정의에 넣지 않는다. 90일 미만이면 해당 기준일에서 적격성 미충족이고, 이후 충족 시 재판정 가능하다.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ADTV90 — 상장 중인 최근 90 시장개장일의 실현 거래대금 평균. 역할 적격성(유동성). 실제 무거래일(ZERO_VOLUME)과 거래정지일(TRADING_HALT)은 거래대금 0으로 반영하고, 자료 결측(DATA_MISSING)은 0으로 채우지 않고 NA로 유지한다(분모 = 90 − NA일수). 거래대금 원천: 한국은 KRX 제공 일별 거래대금, 미국은 원종가×원거래량 근사(수정주가는 수익률 계산 전용). 기준일 현재 거래정지 상태의 적격성 처리는 유니버스 단계의 시장상태 규칙에서 결정한다.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진단·참고 필드 — halt_days_90(관측창 내 거래정지일수)·na_days_90(관측창 내 결측일수)을 데이터 사전에 병기한다. 이 값들은 인디케이터가 아니며 편입·유지·제외·가중에 직접 사용하지 않는다. ADTV90이 낮은 원인(평소 거래 부족 vs 정지) 구분과 실거래일 기준 역산(ADTV90×90÷(90−halt_days_90))에 사용한다.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일별 상태코드 4종 — ZERO_VOLUME(실제 무거래), TRADING_HALT(개별 종목 거래정지), MARKET_CLOSED(시장 전체 휴장), DATA_MISSING(원천자료 결측). 원천 상태와 계산 반영값을 분리 기록해 처리방식이 변경되어도 원천에서 재계산할 수 있게 한다. 공시 도메인 결측코드(M1~M7)와는 별도 체계다. [미결] TRADING_HALT의 일 단위 판정 기준(종일 정지만 해당, 장중 일시정지 제외 여부)은 데이터 사전에서 확정한다.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ADTV90 하한 설정 절차 — 시장별(한국·미국 분리) ADTV90 분포를 P5·P10·P25(Q1)·P50·P75로 산출하고, Q1을 하한 후보로 통과·제외 종목 수와 테마별 잔존 종목 수를 확인한 뒤 팀 검토를 거쳐 최종 하한을 고정 절대금액으로 승인한다(성과 결과에 따른 사후 조정 금지). 분포 모집단은 시장별 전체 유니버스(보통주·시즈닝 통과 종목)이며, 분포 계산은 위 확정 정의(정지 포함)로 수행하고 기준일은 대표 과거 검토일과 동일하게 지정한다.</w:t>
      </w:r>
    </w:p>
    <w:p/>
    <w:p>
      <w:pPr>
        <w:pStyle w:val="Heading1"/>
      </w:pPr>
      <w:r>
        <w:t>9. 구성종목 판정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테마 적격 후보는 시장·증권유형·시즈닝·유동성·재무조건을 추가로 통과해야 최종 구성후보가 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테마 적격상태와 최종 편입·유지·제외 상태를 구분한다.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신규 편입과 기존 유지의 경계를 다르게 둘지, 버퍼를 적용할지는 미결이다.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결측은 미공개·혼재 사업부·기간불일치·범위불일치·시점미도래·원문확인필요로 구분한다.</w:t>
      </w:r>
    </w:p>
    <w:p>
      <w:pPr>
        <w:pStyle w:val="Heading1"/>
      </w:pPr>
      <w:r>
        <w:t>10. 가중과 중복처리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86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현재 규칙·상태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 간 비중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우주·방산 : AI·로보틱스 : 에너지·전력 인프라 = 1:1:1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지역비중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한국·미국 수치 미결. 공식 합성 BM은 동일 비중으로 연동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 내부 가중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동일가중·유동주식 시가총액가중·노출도 틸팅 후보, 미결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종목 상한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미결. 초과분 재분배 방법과 함께 확정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복수 테마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통합지수에서 한 종목을 한 번만 보유하고 주·부테마를 기록하는 기본안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모회사·자회사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상장 모회사와 상장 자회사의 동일 사업노출 중복 가능성을 기록하고 상한·제외 규칙 검토</w:t>
            </w:r>
          </w:p>
        </w:tc>
      </w:tr>
    </w:tbl>
    <w:p/>
    <w:p>
      <w:pPr>
        <w:pStyle w:val="Heading1"/>
      </w:pPr>
      <w:r>
        <w:t>11. 관측·선정·적용과 변경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6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관측주기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주별 기본안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정기변경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분기 단위 확정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선정일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분기말 후보이나 정확한 거래일 규칙 미결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효력발생일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다음 거래주 후보이나 한·미 휴장일 규칙 미결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수시변경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상장폐지·합병·장기정지 등 처리 미결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규칙변경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성과 확인 후 사후 변경 금지. 변경 사유·승인일·효력일·버전 기록</w:t>
            </w:r>
          </w:p>
        </w:tc>
      </w:tr>
    </w:tbl>
    <w:p/>
    <w:p>
      <w:pPr>
        <w:pStyle w:val="Heading1"/>
      </w:pPr>
      <w:r>
        <w:t>12. 공식 BM·PR/TR·환율</w:t>
      </w:r>
    </w:p>
    <w:p>
      <w:pPr>
        <w:pStyle w:val="Heading2"/>
      </w:pPr>
      <w:r>
        <w:t>12.1 공식 합성 시장 BM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결정: </w:t>
            </w:r>
            <w:r>
              <w:rPr>
                <w:rFonts w:ascii="NanumSquare" w:hAnsi="NanumSquare" w:eastAsia="NanumSquare"/>
                <w:b w:val="0"/>
                <w:sz w:val="18"/>
              </w:rPr>
              <w:t>공식 BM은 KOSPI 200 PR과 Russell 3000 PR을 결합한 합성 시장 벤치마크로 한다. 지역가중은 지수의 한국·미국 지역비중과 동일하게 연동한다.</w:t>
            </w:r>
          </w:p>
        </w:tc>
      </w:tr>
    </w:tbl>
    <w:p/>
    <w:p>
      <w:pPr>
        <w:pStyle w:val="Heading2"/>
      </w:pPr>
      <w:r>
        <w:t>12.2 수익유형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608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633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지수 v1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PR</w:t>
            </w:r>
          </w:p>
        </w:tc>
      </w:tr>
      <w:tr>
        <w:trPr>
          <w:cantSplit/>
        </w:trPr>
        <w:tc>
          <w:tcPr>
            <w:tcW w:type="dxa" w:w="2608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공식 합성 BM v1</w:t>
            </w:r>
          </w:p>
        </w:tc>
        <w:tc>
          <w:tcPr>
            <w:tcW w:type="dxa" w:w="663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PR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근사 TR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PR에 평균 배당수익률을 더하는 추정방식은 사용하지 않음</w:t>
            </w:r>
          </w:p>
        </w:tc>
      </w:tr>
      <w:tr>
        <w:trPr>
          <w:cantSplit/>
        </w:trPr>
        <w:tc>
          <w:tcPr>
            <w:tcW w:type="dxa" w:w="2608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후속 TR</w:t>
            </w:r>
          </w:p>
        </w:tc>
        <w:tc>
          <w:tcPr>
            <w:tcW w:type="dxa" w:w="6633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완전한 배당·재투자·기업행사·환율자료와 교차검산이 가능할 때 별도 버전 검토</w:t>
            </w:r>
          </w:p>
        </w:tc>
      </w:tr>
    </w:tbl>
    <w:p/>
    <w:p>
      <w:pPr>
        <w:pStyle w:val="Heading2"/>
      </w:pPr>
      <w:r>
        <w:t>12.3 기준통화와 환율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기준통화는 원화, 환헤지는 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미국 종목과 Russell 3000 PR은 동일한 원/달러 환율자료로 원화 환산한다.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ECOS의 정확한 통계표·계열명·계열코드·단위·원/달러 방향을 산출규칙 J에 기록한다.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한국·미국 휴장일 불일치, 환율 결측일, 선정일과 효력발생일의 적용값은 미결이다.</w:t>
      </w:r>
    </w:p>
    <w:p>
      <w:pPr>
        <w:pStyle w:val="Heading2"/>
      </w:pPr>
      <w:r>
        <w:t>12.4 비교군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ARKK·XLU 등 테마 ETF는 공식 BM이 아니다.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테마 ETF는 후보탐색, 외부 분류 비교, 구성·노출도·성과특성 비교에 활용한다.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ETF 포함 여부와 ETF 비중을 우리 지수의 테마 적격성·매출노출도로 간주하지 않는다.</w:t>
      </w:r>
    </w:p>
    <w:p>
      <w:pPr>
        <w:pStyle w:val="Heading1"/>
      </w:pPr>
      <w:r>
        <w:t>13. PR 지수 산출 기본구조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현재 범위: </w:t>
            </w:r>
            <w:r>
              <w:rPr>
                <w:rFonts w:ascii="NanumSquare" w:hAnsi="NanumSquare" w:eastAsia="NanumSquare"/>
                <w:b w:val="0"/>
                <w:sz w:val="18"/>
              </w:rPr>
              <w:t>아래는 산출 모듈을 연결하기 위한 구조이며, 기준지수값·휴장·기업행사·수시변경의 세부식은 산출규칙 J에서 확정한다.</w:t>
            </w:r>
          </w:p>
        </w:tc>
      </w:tr>
    </w:tbl>
    <w:p/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1. </w:t>
      </w:r>
      <w:r>
        <w:rPr>
          <w:rFonts w:ascii="NanumSquare" w:hAnsi="NanumSquare" w:eastAsia="NanumSquare"/>
          <w:b w:val="0"/>
          <w:sz w:val="18"/>
        </w:rPr>
        <w:t>효력발생일의 구성종목과 목표비중을 확정한다.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2. </w:t>
      </w:r>
      <w:r>
        <w:rPr>
          <w:rFonts w:ascii="NanumSquare" w:hAnsi="NanumSquare" w:eastAsia="NanumSquare"/>
          <w:b w:val="0"/>
          <w:sz w:val="18"/>
        </w:rPr>
        <w:t>한국 종목은 원화 가격을, 미국 종목은 동일 기준의 현지 가격과 원/달러 환율을 사용한다.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3. </w:t>
      </w:r>
      <w:r>
        <w:rPr>
          <w:rFonts w:ascii="NanumSquare" w:hAnsi="NanumSquare" w:eastAsia="NanumSquare"/>
          <w:b w:val="0"/>
          <w:sz w:val="18"/>
        </w:rPr>
        <w:t>미국 종목의 원화 수익률은 현지 가격변화와 환율변화를 함께 반영한다.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4. </w:t>
      </w:r>
      <w:r>
        <w:rPr>
          <w:rFonts w:ascii="NanumSquare" w:hAnsi="NanumSquare" w:eastAsia="NanumSquare"/>
          <w:b w:val="0"/>
          <w:sz w:val="18"/>
        </w:rPr>
        <w:t>구성종목의 원화 기준 가격수익률을 목표비중으로 결합한다.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5. </w:t>
      </w:r>
      <w:r>
        <w:rPr>
          <w:rFonts w:ascii="NanumSquare" w:hAnsi="NanumSquare" w:eastAsia="NanumSquare"/>
          <w:b w:val="0"/>
          <w:sz w:val="18"/>
        </w:rPr>
        <w:t>정기변경 전후 연결계수 또는 제수 조정을 적용하여 지수값의 인위적 단절을 막는다.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6. </w:t>
      </w:r>
      <w:r>
        <w:rPr>
          <w:rFonts w:ascii="NanumSquare" w:hAnsi="NanumSquare" w:eastAsia="NanumSquare"/>
          <w:b w:val="0"/>
          <w:sz w:val="18"/>
        </w:rPr>
        <w:t>공식 합성 BM도 같은 지역비중·통화·환율·휴장 처리로 계산한다.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계산원칙: </w:t>
            </w:r>
            <w:r>
              <w:rPr>
                <w:rFonts w:ascii="NanumSquare" w:hAnsi="NanumSquare" w:eastAsia="NanumSquare"/>
                <w:b w:val="0"/>
                <w:sz w:val="18"/>
              </w:rPr>
              <w:t>지수와 BM의 배당 포함 여부, 기준통화, 환율자료와 적용시점이 같아야 비교가 공정하다. v1에서는 모두 PR로 통일한다.</w:t>
            </w:r>
          </w:p>
        </w:tc>
      </w:tr>
    </w:tbl>
    <w:p/>
    <w:p>
      <w:pPr>
        <w:pStyle w:val="Heading1"/>
      </w:pPr>
      <w:r>
        <w:t>14. 검증과 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검증영역</w:t>
            </w:r>
          </w:p>
        </w:tc>
        <w:tc>
          <w:tcPr>
            <w:tcW w:type="dxa" w:w="686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필수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자료 이용시점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공시시차, 미래정보 혼입, 당시 유니버스와 생존편향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판정 재현성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동일 자료·규칙·기준일에서 동일 편입·유지·제외 결과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산출 정합성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비중합계 100%, 정기변경 전후 연결, 수기·코드 교차검산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투자가능성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시즈닝, ADTV90, 거래정지·상장폐지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구성결과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종목·테마·기업집단 집중도, 변경 종목 수, 매수·매도 회전율</w:t>
            </w:r>
          </w:p>
        </w:tc>
      </w:tr>
      <w:tr>
        <w:trPr>
          <w:cantSplit/>
        </w:trPr>
        <w:tc>
          <w:tcPr>
            <w:tcW w:type="dxa" w:w="2381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BM 일치</w:t>
            </w:r>
          </w:p>
        </w:tc>
        <w:tc>
          <w:tcPr>
            <w:tcW w:type="dxa" w:w="686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지역비중, PR, 원화·무헤지, 동일 환율과 휴장처리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start w:val="single" w:sz="4" w:space="0" w:color="B7C9D6"/>
          <w:bottom w:val="single" w:sz="4" w:space="0" w:color="B7C9D6"/>
          <w:end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638"/>
      </w:tblGrid>
      <w:tr>
        <w:tc>
          <w:tcPr>
            <w:tcW w:type="dxa" w:w="9638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 Bold" w:hAnsi="NanumSquare Bold" w:eastAsia="NanumSquare Bold"/>
                <w:b/>
                <w:color w:val="1F4E79"/>
                <w:sz w:val="18"/>
              </w:rPr>
              <w:t xml:space="preserve">후속 검토: </w:t>
            </w:r>
            <w:r>
              <w:rPr>
                <w:rFonts w:ascii="NanumSquare" w:hAnsi="NanumSquare" w:eastAsia="NanumSquare"/>
                <w:b w:val="0"/>
                <w:sz w:val="18"/>
              </w:rPr>
              <w:t>복수 OOS·워크포워드·롤링·Ablation·Placebo와 광범위한 민감도는 구성·산출 규칙과 장기자료가 완성된 뒤 검토한다.</w:t>
            </w:r>
          </w:p>
        </w:tc>
      </w:tr>
    </w:tbl>
    <w:p/>
    <w:p>
      <w:pPr>
        <w:pStyle w:val="Heading1"/>
      </w:pPr>
      <w:r>
        <w:t>15. AI 보조도구 사용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AI는 공시 탐색, 초벌 요약, 양식 입력과 후보자료 정리에 사용할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공식 원문, 수치, 재무범위, 회사·티커, 최종 판정은 사람이 확인한다.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조사자와 교차검토자를 기록하고, AI 산출문을 공식근거로 직접 인용하지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판정이 다른 경우 원문 위치와 적용규칙을 비교해 수정이력을 남긴다.</w:t>
      </w:r>
    </w:p>
    <w:p>
      <w:pPr>
        <w:pStyle w:val="Heading1"/>
      </w:pPr>
      <w:r>
        <w:t>16. 결정로그 — 2026-07-20</w:t>
      </w:r>
    </w:p>
    <w:p>
      <w:pPr>
        <w:pStyle w:val="ListBullet"/>
        <w:spacing w:after="40"/>
      </w:pPr>
      <w:r>
        <w:rPr>
          <w:rFonts w:ascii="NanumSquare" w:hAnsi="NanumSquare" w:eastAsia="NanumSquare"/>
        </w:rPr>
        <w:t xml:space="preserve">ID 운영: 본 표의 M-번호와 정리회의록의 D-번호는 260720_수정및앞으로할일(회의안건) 문서의 결정 체계를 잇는 임시 번호이며, 추후 팀 결정로그(단일 원본)로 통합해 ID를 재부여한다.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start w:val="single" w:sz="4" w:space="0" w:color="A6A6A6"/>
          <w:bottom w:val="single" w:sz="4" w:space="0" w:color="A6A6A6"/>
          <w:end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ID</w:t>
            </w:r>
          </w:p>
        </w:tc>
        <w:tc>
          <w:tcPr>
            <w:tcW w:type="dxa" w:w="6520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158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M-01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공식 BM = KOSPI 200 PR + Russell 3000 PR 합성 BM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결정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M-02</w:t>
            </w:r>
          </w:p>
        </w:tc>
        <w:tc>
          <w:tcPr>
            <w:tcW w:type="dxa" w:w="652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BM 지역가중 = 지수 지역가중과 동일</w:t>
            </w:r>
          </w:p>
        </w:tc>
        <w:tc>
          <w:tcPr>
            <w:tcW w:type="dxa" w:w="15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원칙 결정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M-03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지수·BM v1 = PR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결정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M-04</w:t>
            </w:r>
          </w:p>
        </w:tc>
        <w:tc>
          <w:tcPr>
            <w:tcW w:type="dxa" w:w="652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기준통화 원화·무헤지</w:t>
            </w:r>
          </w:p>
        </w:tc>
        <w:tc>
          <w:tcPr>
            <w:tcW w:type="dxa" w:w="15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결정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M-05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테마 ETF = 공식 BM이 아닌 비교군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결정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M-06</w:t>
            </w:r>
          </w:p>
        </w:tc>
        <w:tc>
          <w:tcPr>
            <w:tcW w:type="dxa" w:w="652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PR + 평균 배당수익률 근사 TR</w:t>
            </w:r>
          </w:p>
        </w:tc>
        <w:tc>
          <w:tcPr>
            <w:tcW w:type="dxa" w:w="15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기각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M-07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ECOS 계열·기준시각·휴장·결측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미결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M-08</w:t>
            </w:r>
          </w:p>
        </w:tc>
        <w:tc>
          <w:tcPr>
            <w:tcW w:type="dxa" w:w="6520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프로젝트 목표에서 초과수익·예측 표현 제거</w:t>
            </w:r>
          </w:p>
        </w:tc>
        <w:tc>
          <w:tcPr>
            <w:tcW w:type="dxa" w:w="1587"/>
            <w:shd w:fill="F7F9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결정</w:t>
            </w:r>
          </w:p>
        </w:tc>
      </w:tr>
    </w:tbl>
    <w:p/>
    <w:p>
      <w:pPr>
        <w:pStyle w:val="Heading1"/>
      </w:pPr>
      <w:r>
        <w:t>17. 승인 전 미결사항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정확한 5개 인디케이터와 각 역할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한국·미국 지역비중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테마별 구성종목 수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직접사업·핵심지원 허용범위와 정량값 없는 기업 처리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ADTV90 시장별 하한과 재무조건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편입·유지·제외·버퍼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테마 내부 가중·상한·초과분 재분배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관측일·선정일·효력발생일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ECOS 환율 계열과 휴장·결측 처리</w:t>
      </w:r>
    </w:p>
    <w:p>
      <w:pPr>
        <w:pStyle w:val="ListBullet"/>
        <w:spacing w:after="40"/>
      </w:pPr>
      <w:r>
        <w:rPr>
          <w:rFonts w:ascii="NanumSquare" w:hAnsi="NanumSquare" w:eastAsia="NanumSquare"/>
          <w:b w:val="0"/>
          <w:sz w:val="18"/>
        </w:rPr>
        <w:t>PR 산출식, 기준값, 기업행사와 수시변경</w:t>
      </w:r>
    </w:p>
    <w:p>
      <w:pPr>
        <w:pStyle w:val="Heading1"/>
      </w:pPr>
      <w:r>
        <w:t>18. 버전 승인기준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1. </w:t>
      </w:r>
      <w:r>
        <w:rPr>
          <w:rFonts w:ascii="NanumSquare" w:hAnsi="NanumSquare" w:eastAsia="NanumSquare"/>
          <w:b w:val="0"/>
          <w:sz w:val="18"/>
        </w:rPr>
        <w:t>미결사항이 결정사항 표에 기록된다.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2. </w:t>
      </w:r>
      <w:r>
        <w:rPr>
          <w:rFonts w:ascii="NanumSquare" w:hAnsi="NanumSquare" w:eastAsia="NanumSquare"/>
          <w:b w:val="0"/>
          <w:sz w:val="18"/>
        </w:rPr>
        <w:t>18개 후보종목 중 경계사례를 포함한 표본에 규칙을 적용한다.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3. </w:t>
      </w:r>
      <w:r>
        <w:rPr>
          <w:rFonts w:ascii="NanumSquare" w:hAnsi="NanumSquare" w:eastAsia="NanumSquare"/>
          <w:b w:val="0"/>
          <w:sz w:val="18"/>
        </w:rPr>
        <w:t>교차검토자가 판정과 계산을 확인한다.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4. </w:t>
      </w:r>
      <w:r>
        <w:rPr>
          <w:rFonts w:ascii="NanumSquare" w:hAnsi="NanumSquare" w:eastAsia="NanumSquare"/>
          <w:b w:val="0"/>
          <w:sz w:val="18"/>
        </w:rPr>
        <w:t>대표 검토일의 구성종목·비중·지수값을 수기와 코드로 재현한다.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5. </w:t>
      </w:r>
      <w:r>
        <w:rPr>
          <w:rFonts w:ascii="NanumSquare" w:hAnsi="NanumSquare" w:eastAsia="NanumSquare"/>
          <w:b w:val="0"/>
          <w:sz w:val="18"/>
        </w:rPr>
        <w:t>Mandate·룰북·방법론·코드 설정값이 같은 용어와 상태를 사용한다.</w:t>
      </w:r>
    </w:p>
    <w:p>
      <w:pPr>
        <w:spacing w:after="40"/>
        <w:ind w:left="227" w:hanging="227"/>
      </w:pPr>
      <w:r>
        <w:rPr>
          <w:rFonts w:ascii="NanumSquare Bold" w:hAnsi="NanumSquare Bold" w:eastAsia="NanumSquare Bold"/>
          <w:b/>
          <w:color w:val="1F4E79"/>
          <w:sz w:val="18"/>
        </w:rPr>
        <w:t xml:space="preserve">6. </w:t>
      </w:r>
      <w:r>
        <w:rPr>
          <w:rFonts w:ascii="NanumSquare" w:hAnsi="NanumSquare" w:eastAsia="NanumSquare"/>
          <w:b w:val="0"/>
          <w:sz w:val="18"/>
        </w:rPr>
        <w:t>팀 전원이 적용기준과 효력일에 동의한 뒤 승인버전을 부여한다.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6666"/>
        <w:sz w:val="14"/>
      </w:rPr>
      <w:t>2026-07-20 팀 검토자료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66666"/>
        <w:sz w:val="14"/>
      </w:rPr>
      <w:t>AI퀀트 3기 · 한·미 우주·AI·에너지 테마형 지수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Square Bold" w:hAnsi="NanumSquare Bold" w:eastAsia="NanumSquare Bold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Square" w:hAnsi="NanumSquare" w:eastAsia="NanumSquare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Note">
    <w:name w:val="Project Note"/>
    <w:pPr>
      <w:spacing w:before="80" w:after="120"/>
      <w:ind w:left="283" w:right="170"/>
    </w:pPr>
    <w:rPr>
      <w:rFonts w:ascii="NanumSquare" w:hAnsi="NanumSquare" w:eastAsia="NanumSquar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260720_규칙기반_패시브_커스텀인덱스_구성및산출_룰북_v0.2_최종회의반영본</dc:title>
  <dc:subject>규칙 기반 패시브 커스텀 인덱스 인디케이터 개발</dc:subject>
  <dc:creator>AI퀀트 3기 3조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