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인디케이터 역할 분류표</w:t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888888"/>
          <w:sz w:val="16"/>
          <w:szCs w:val="16"/>
        </w:rPr>
        <w:t xml:space="preserve">2026-07-15 회의 결정 기준 · indicator_role_matrix 초안 · AI퀀트 3기 커스텀 인덱스 프로젝트</w:t>
      </w:r>
    </w:p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1. 5개 인디케이터 확정 로스터 (제안)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700"/>
        <w:gridCol w:w="2300"/>
        <w:gridCol w:w="1500"/>
      </w:tblGrid>
      <w:tr>
        <w:trPr>
          <w:tblHeader/>
        </w:trPr>
        <w:tc>
          <w:tcPr>
            <w:tcW w:type="dxa" w:w="5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인디케이터</w:t>
            </w:r>
          </w:p>
        </w:tc>
        <w:tc>
          <w:tcPr>
            <w:tcW w:type="dxa" w:w="27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3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 사용</w:t>
            </w:r>
          </w:p>
        </w:tc>
        <w:tc>
          <w:tcPr>
            <w:tcW w:type="dxa" w:w="15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노출도 (직접·핵심지원·제한·근거부족)</w:t>
            </w:r>
          </w:p>
        </w:tc>
        <w:tc>
          <w:tcPr>
            <w:tcW w:type="dxa" w:w="2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적격성 게이트 + 가중 틸팅 후보</w:t>
            </w:r>
          </w:p>
        </w:tc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편입 자격 판정</w:t>
            </w:r>
          </w:p>
        </w:tc>
        <w:tc>
          <w:tcPr>
            <w:tcW w:type="dxa" w:w="1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근거표 작성 중</w:t>
            </w:r>
          </w:p>
        </w:tc>
      </w:tr>
      <w:tr>
        <w:tc>
          <w:tcPr>
            <w:tcW w:type="dxa" w:w="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ADTV90 (90거래일 평균 거래대금)</w:t>
            </w:r>
          </w:p>
        </w:tc>
        <w:tc>
          <w:tcPr>
            <w:tcW w:type="dxa" w:w="2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유동성 게이트 입력</w:t>
            </w:r>
          </w:p>
        </w:tc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ADTV90 ≥ 시장별 하한 L_m</w:t>
            </w:r>
          </w:p>
        </w:tc>
        <w:tc>
          <w:tcPr>
            <w:tcW w:type="dxa" w:w="1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하한 미정 (분포 확인 후)</w:t>
            </w:r>
          </w:p>
        </w:tc>
      </w:tr>
      <w:tr>
        <w:tc>
          <w:tcPr>
            <w:tcW w:type="dxa" w:w="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당좌비율 (당좌자산/유동부채, 공시 후 사용)</w:t>
            </w:r>
          </w:p>
        </w:tc>
        <w:tc>
          <w:tcPr>
            <w:tcW w:type="dxa" w:w="2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재무건전성 게이트 입력</w:t>
            </w:r>
          </w:p>
        </w:tc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당좌비율 ≥ 하한 (수치 미정)</w:t>
            </w:r>
          </w:p>
        </w:tc>
        <w:tc>
          <w:tcPr>
            <w:tcW w:type="dxa" w:w="1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게이트 수렴, 하한은 분포 확인 후</w:t>
            </w:r>
          </w:p>
        </w:tc>
      </w:tr>
      <w:tr>
        <w:tc>
          <w:tcPr>
            <w:tcW w:type="dxa" w:w="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MACD (주봉 12/26/9, 조정종가)</w:t>
            </w:r>
          </w:p>
        </w:tc>
        <w:tc>
          <w:tcPr>
            <w:tcW w:type="dxa" w:w="2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전용</w:t>
            </w:r>
          </w:p>
        </w:tc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 안 함 — Line·Signal·Osc 저장만</w:t>
            </w:r>
          </w:p>
        </w:tc>
        <w:tc>
          <w:tcPr>
            <w:tcW w:type="dxa" w:w="15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 확정</w:t>
            </w:r>
          </w:p>
        </w:tc>
      </w:tr>
      <w:tr>
        <w:tc>
          <w:tcPr>
            <w:tcW w:type="dxa" w:w="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추적차이·추적오차 (vs BM)</w:t>
            </w:r>
          </w:p>
        </w:tc>
        <w:tc>
          <w:tcPr>
            <w:tcW w:type="dxa" w:w="2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검증·진단</w:t>
            </w:r>
          </w:p>
        </w:tc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판정 아닌 평가</w:t>
            </w:r>
          </w:p>
        </w:tc>
        <w:tc>
          <w:tcPr>
            <w:tcW w:type="dxa" w:w="15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BM 확정 대기</w:t>
            </w:r>
          </w:p>
        </w:tc>
      </w:tr>
    </w:tbl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2. 층별 전체 분류 — 후보 포함</w:t>
      </w:r>
    </w:p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2.1 게이트 규칙 (합격/불합격 판정) — 인디케이터를 '사용하는' 규칙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600"/>
        <w:gridCol w:w="200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3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판정식</w:t>
            </w:r>
          </w:p>
        </w:tc>
        <w:tc>
          <w:tcPr>
            <w:tcW w:type="dxa" w:w="26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사용하는 값</w:t>
            </w:r>
          </w:p>
        </w:tc>
        <w:tc>
          <w:tcPr>
            <w:tcW w:type="dxa" w:w="20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시즈닝 게이트</w:t>
            </w:r>
          </w:p>
        </w:tc>
        <w:tc>
          <w:tcPr>
            <w:tcW w:type="dxa" w:w="3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유효 관측치 ≥ 90거래일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일별 거래자료 존재 여부</w:t>
            </w:r>
          </w:p>
        </w:tc>
        <w:tc>
          <w:tcPr>
            <w:tcW w:type="dxa" w:w="20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 확정 (N=90 엄격안)</w:t>
            </w:r>
          </w:p>
        </w:tc>
      </w:tr>
      <w:tr>
        <w:tc>
          <w:tcPr>
            <w:tcW w:type="dxa" w:w="1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유동성 게이트</w:t>
            </w:r>
          </w:p>
        </w:tc>
        <w:tc>
          <w:tcPr>
            <w:tcW w:type="dxa" w:w="3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ADTV90 ≥ L_m (시장별)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인디케이터 #2</w:t>
            </w:r>
          </w:p>
        </w:tc>
        <w:tc>
          <w:tcPr>
            <w:tcW w:type="dxa" w:w="20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L_m 미정</w:t>
            </w:r>
          </w:p>
        </w:tc>
      </w:tr>
      <w:tr>
        <w:tc>
          <w:tcPr>
            <w:tcW w:type="dxa" w:w="1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재무 게이트</w:t>
            </w:r>
          </w:p>
        </w:tc>
        <w:tc>
          <w:tcPr>
            <w:tcW w:type="dxa" w:w="3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당좌비율 ≥ 하한</w:t>
            </w:r>
          </w:p>
        </w:tc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인디케이터 #3</w:t>
            </w:r>
          </w:p>
        </w:tc>
        <w:tc>
          <w:tcPr>
            <w:tcW w:type="dxa" w:w="20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하한 미정, 금융·리츠 예외 명세 필요</w:t>
            </w:r>
          </w:p>
        </w:tc>
      </w:tr>
      <w:tr>
        <w:tc>
          <w:tcPr>
            <w:tcW w:type="dxa" w:w="1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테마 게이트</w:t>
            </w:r>
          </w:p>
        </w:tc>
        <w:tc>
          <w:tcPr>
            <w:tcW w:type="dxa" w:w="3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노출도 등급 ≥ 기준 (예: 직접·핵심지원만)</w:t>
            </w:r>
          </w:p>
        </w:tc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인디케이터 #1</w:t>
            </w:r>
          </w:p>
        </w:tc>
        <w:tc>
          <w:tcPr>
            <w:tcW w:type="dxa" w:w="20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등급 기준 미정</w:t>
            </w:r>
          </w:p>
        </w:tc>
      </w:tr>
    </w:tbl>
    <w:p>
      <w:pPr>
        <w:spacing w:after="9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용어 원칙: </w:t>
      </w:r>
      <w:r>
        <w:rPr>
          <w:rFonts w:ascii="Malgun Gothic" w:cs="Malgun Gothic" w:eastAsia="Malgun Gothic" w:hAnsi="Malgun Gothic"/>
          <w:sz w:val="18"/>
          <w:szCs w:val="18"/>
        </w:rPr>
        <w:t xml:space="preserve">“시즈닝은 인디케이터가 아니라 게이트”가 정확한 표현이다. 마찬가지로 ADTV90은 인디케이터, “ADTV90 ≥ 하한”은 게이트 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값과 규칙을 분리해서 부르는 것</w:t>
      </w:r>
      <w:r>
        <w:rPr>
          <w:rFonts w:ascii="Malgun Gothic" w:cs="Malgun Gothic" w:eastAsia="Malgun Gothic" w:hAnsi="Malgun Gothic"/>
          <w:sz w:val="18"/>
          <w:szCs w:val="18"/>
        </w:rPr>
        <w:t xml:space="preserve">이 팀이 확정한 용어 체계다.</w:t>
      </w:r>
    </w:p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2.2 순위·선정 층 — 현재 비어 있음 (의도된 상태)</w:t>
      </w:r>
    </w:p>
    <w:p>
      <w:pPr>
        <w:spacing w:after="90"/>
      </w:pPr>
      <w:r>
        <w:rPr>
          <w:rFonts w:ascii="Malgun Gothic" w:cs="Malgun Gothic" w:eastAsia="Malgun Gothic" w:hAnsi="Malgun Gothic"/>
          <w:sz w:val="18"/>
          <w:szCs w:val="18"/>
        </w:rPr>
        <w:t xml:space="preserve">패시브 확정 후 순위 지표를 두지 않기로 한 흐름이다. 선정은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“게이트 전부 통과 + 종목 수 규칙”</w:t>
      </w:r>
      <w:r>
        <w:rPr>
          <w:rFonts w:ascii="Malgun Gothic" w:cs="Malgun Gothic" w:eastAsia="Malgun Gothic" w:hAnsi="Malgun Gothic"/>
          <w:sz w:val="18"/>
          <w:szCs w:val="18"/>
        </w:rPr>
        <w:t xml:space="preserve">으로 결정된다. 통과 종목이 목표 종목 수를 초과할 때의 동점 처리 규칙(예: 시가총액 순)만 정하면 이 층은 규칙 하나로 완성된다.</w:t>
      </w:r>
    </w:p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2.3 가중 층 — 미정 (안건 잔존)</w:t>
      </w:r>
    </w:p>
    <w:p>
      <w:pPr>
        <w:spacing w:after="90"/>
      </w:pPr>
      <w:r>
        <w:rPr>
          <w:rFonts w:ascii="Malgun Gothic" w:cs="Malgun Gothic" w:eastAsia="Malgun Gothic" w:hAnsi="Malgun Gothic"/>
          <w:sz w:val="18"/>
          <w:szCs w:val="18"/>
        </w:rPr>
        <w:t xml:space="preserve">동일가중 / 유동시가총액가중 / 노출도 틸팅 중 미결. 노출도 틸팅 채택 시 인디케이터 #1이 게이트와 가중 두 역할을 겸하게 되므로, 그 경우 “중복 사용” 명세 한 줄이 필요하다.</w:t>
      </w:r>
    </w:p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2.4 진단 층 (판정 미사용 — 저장·관찰만)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700"/>
        <w:gridCol w:w="180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7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MACD (주봉 12/26/9)</w:t>
            </w:r>
          </w:p>
        </w:tc>
        <w:tc>
          <w:tcPr>
            <w:tcW w:type="dxa" w:w="57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Line·Signal·Osc 전부 저장. “Line≥0 = 중기추세 양호, Osc≥0 = 모멘텀 재강화”는 해석 가이드로만 기술하고, “판정에 사용하지 않는다” 딱지 필수</w:t>
            </w:r>
          </w:p>
        </w:tc>
        <w:tc>
          <w:tcPr>
            <w:tcW w:type="dxa" w:w="18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 확정</w:t>
            </w:r>
          </w:p>
        </w:tc>
      </w:tr>
      <w:tr>
        <w:tc>
          <w:tcPr>
            <w:tcW w:type="dxa" w:w="2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주별 수익률 (조정종가)</w:t>
            </w:r>
          </w:p>
        </w:tc>
        <w:tc>
          <w:tcPr>
            <w:tcW w:type="dxa" w:w="57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검증층 입력(추적오차 계산 재료) 권장 — 절대/상대 역할 논의 남음. 선정에 쓰면 모멘텀 랭킹(액티브)이 되므로 격리</w:t>
            </w:r>
          </w:p>
        </w:tc>
        <w:tc>
          <w:tcPr>
            <w:tcW w:type="dxa" w:w="18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◐ 안건 7</w:t>
            </w:r>
          </w:p>
        </w:tc>
      </w:tr>
    </w:tbl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2.5 검증 층 (지수 완성 후 평가)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00"/>
        <w:gridCol w:w="2200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1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BM 주별 수익률</w:t>
            </w:r>
          </w:p>
        </w:tc>
        <w:tc>
          <w:tcPr>
            <w:tcW w:type="dxa" w:w="5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비교 기준 (인디케이터가 아니라 기준 데이터)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BM 미정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추적차이 (TD)</w:t>
            </w:r>
          </w:p>
        </w:tc>
        <w:tc>
          <w:tcPr>
            <w:tcW w:type="dxa" w:w="5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전략 누적수익률 − BM 누적수익률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산식 확정, BM 대기</w:t>
            </w:r>
          </w:p>
        </w:tc>
      </w:tr>
      <w:tr>
        <w:tc>
          <w:tcPr>
            <w:tcW w:type="dxa" w:w="23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추적오차 (TE)</w:t>
            </w:r>
          </w:p>
        </w:tc>
        <w:tc>
          <w:tcPr>
            <w:tcW w:type="dxa" w:w="51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std(전략 주별수익률 − BM 주별수익률)</w:t>
            </w:r>
          </w:p>
        </w:tc>
        <w:tc>
          <w:tcPr>
            <w:tcW w:type="dxa" w:w="22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동일</w:t>
            </w:r>
          </w:p>
        </w:tc>
      </w:tr>
      <w:tr>
        <w:tc>
          <w:tcPr>
            <w:tcW w:type="dxa" w:w="23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상관계수·회전율</w:t>
            </w:r>
          </w:p>
        </w:tc>
        <w:tc>
          <w:tcPr>
            <w:tcW w:type="dxa" w:w="51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추종성·패시브 정합성 진단</w:t>
            </w:r>
          </w:p>
        </w:tc>
        <w:tc>
          <w:tcPr>
            <w:tcW w:type="dxa" w:w="22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☐ 동일</w:t>
            </w:r>
          </w:p>
        </w:tc>
      </w:tr>
    </w:tbl>
    <w:p>
      <w:pPr>
        <w:pStyle w:val="Heading2"/>
        <w:spacing w:after="70" w:before="160"/>
      </w:pPr>
      <w:r>
        <w:rPr>
          <w:rFonts w:ascii="Malgun Gothic" w:cs="Malgun Gothic" w:eastAsia="Malgun Gothic" w:hAnsi="Malgun Gothic"/>
          <w:b/>
          <w:bCs/>
          <w:color w:val="2E5496"/>
          <w:sz w:val="20"/>
          <w:szCs w:val="20"/>
        </w:rPr>
        <w:t xml:space="preserve">2.6 보류 (◇ 선택 실험 — 삭제 아님, 이력 보존)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shd w:fill="DEEAF6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보류 사유</w:t>
            </w:r>
          </w:p>
        </w:tc>
      </w:tr>
      <w:tr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부채비율</w:t>
            </w:r>
          </w:p>
        </w:tc>
        <w:tc>
          <w:tcPr>
            <w:tcW w:type="dxa" w:w="70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당좌비율과 정보 중복(같은 유동부채 사용), 수주산업 왜곡도 동일하게 받음</w:t>
            </w:r>
          </w:p>
        </w:tc>
      </w:tr>
      <w:tr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영업현금흐름</w:t>
            </w:r>
          </w:p>
        </w:tc>
        <w:tc>
          <w:tcPr>
            <w:tcW w:type="dxa" w:w="70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수주산업 변동성이 커 평활 규칙 추가 필요 — 핵심 완료 후 검토</w:t>
            </w:r>
          </w:p>
        </w:tc>
      </w:tr>
      <w:tr>
        <w:tc>
          <w:tcPr>
            <w:tcW w:type="dxa" w:w="26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뉴스·특허·공시문장</w:t>
            </w:r>
          </w:p>
        </w:tc>
        <w:tc>
          <w:tcPr>
            <w:tcW w:type="dxa" w:w="7000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보조 입력으로 초기부터 분류됨</w:t>
            </w:r>
          </w:p>
        </w:tc>
      </w:tr>
      <w:tr>
        <w:tc>
          <w:tcPr>
            <w:tcW w:type="dxa" w:w="26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MACD의 순위/가중 재분류</w:t>
            </w:r>
          </w:p>
        </w:tc>
        <w:tc>
          <w:tcPr>
            <w:tcW w:type="dxa" w:w="7000"/>
            <w:shd w:fill="F2F2F2" w:val="clear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백테스트 후 별도 변경이력으로만 검토</w:t>
            </w:r>
          </w:p>
        </w:tc>
      </w:tr>
    </w:tbl>
    <w:p>
      <w:pPr>
        <w:pStyle w:val="Heading1"/>
        <w:spacing w:after="90" w:before="22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3. 남은 결정과의 연결</w:t>
      </w:r>
    </w:p>
    <w:p>
      <w:pPr>
        <w:spacing w:after="9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 표에서 ☐/◐를 닫는 데 필요한 결정은 4개다: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① ADTV·당좌비율 하한 (분포 확인 후)  ② 테마 노출도 등급 기준  ③ 가중방식  ④ BM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이 중 ④가 검증층 전체의 선행 조건이므로 여전히 최우선이다.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당좌비율 게이트 주의사항 (수주산업 왜곡):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중공업·방산 등 수주산업은 유동부채에 선수금(계약부채)이 크게 잡혀 당좌비율이 낮게 나온다 — 부실이 아니라 수주 호조의 결과. 효성중공업·HD현대일렉트릭 등 유니버스 핵심 종목이 해당하므로, 하한은 “우량 판별”이 아니라 “위험 배제” 수준으로 보수적으로 설정하고, 방법론서 한계 항목에 왜곡 인지 사실을 기록한다.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2026-07-15T05:14:46.384Z</dcterms:created>
  <dcterms:modified xsi:type="dcterms:W3CDTF">2026-07-15T05:14:46.385Z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