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벤치마크(BM) 선정 방법론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무엇과 비교해야 우리 지수가 설명되는가 —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2026-07-15 · AI퀀트 3기 커스텀 인덱스 프로젝트 · 회의 안건 1 결정 자료 (v1.1 — 게이트 심사 결과 추가)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0. 전제: BM의 역할 재확인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 지수는 추종 대상이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비교 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BM을 사용한다. 따라서 BM이 답해줘야 할 질문에서 역산하는 것이 방법론이다. 질문은 두 개뿐이다.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“시장을 그냥 샀을 때보다 뭐가 다른가?”</w:t>
      </w:r>
      <w:r>
        <w:rPr>
          <w:rFonts w:ascii="Malgun Gothic" w:cs="Malgun Gothic" w:eastAsia="Malgun Gothic" w:hAnsi="Malgun Gothic"/>
          <w:sz w:val="19"/>
          <w:szCs w:val="19"/>
        </w:rPr>
        <w:t xml:space="preserve"> → 시장 BM (1차)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“이 테마를 기존 상품으로 샀을 때와 뭐가 다른가?”</w:t>
      </w:r>
      <w:r>
        <w:rPr>
          <w:rFonts w:ascii="Malgun Gothic" w:cs="Malgun Gothic" w:eastAsia="Malgun Gothic" w:hAnsi="Malgun Gothic"/>
          <w:sz w:val="19"/>
          <w:szCs w:val="19"/>
        </w:rPr>
        <w:t xml:space="preserve"> → 테마 참고 BM (2차)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두 질문은 용도가 달라 하나의 BM으로 합칠 수 없으므로, BM은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2층 구조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구성한다.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선정 기준 — 게이트 방식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후보 BM이 통과해야 할 조건 (팀이 종목 게이트에 쓰는 논리를 그대로 적용):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2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탈락 예시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확보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일별 지수값을 무료·안정적으로 수집 가능 (yfinance / KRX 정보데이터시스템)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유료 전용 지수</w:t>
            </w:r>
          </w:p>
        </w:tc>
      </w:tr>
      <w:t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PR/TR 구분 존재</w:t>
            </w:r>
          </w:p>
        </w:tc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우리 지수 산출 형태와 같은 형태(가격지수/총수익지수)가 존재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 미제공 지수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대표성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우리 유니버스가 실제로 뽑히는 모집단을 대표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코스피 종목뿐인데 KOSDAQ 지수</w:t>
            </w:r>
          </w:p>
        </w:tc>
      </w:tr>
      <w:t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투자가능성</w:t>
            </w:r>
          </w:p>
        </w:tc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 ETF 등으로 매수 가능한 기준 (비교의 실질성)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이론상만 존재하는 지수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기간 충분성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백테스트 구간 전체를 커버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신생 지수</w:t>
            </w:r>
          </w:p>
        </w:tc>
      </w:tr>
    </w:tbl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1차 BM (시장) — 후보와 판단 포인트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국내: KOSPI 200 (권장) vs KOSPI.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유니버스가 코스피 대형·중형주(LS일렉트릭 등)이므로 KOSPI 200이 모집단 대표성에 더 가깝고, ETF·선물이 존재해 투자가능성도 충족한다. 유니버스에 KOSDAQ을 포함하기로 결정하면 KOSPI로 넓히는 것이 정합적이다.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미국: S&amp;P 500 (권장) vs NASDAQ 100.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유니버스에 NYSE 종목(ETN, APH, GEV)이 있으므로 NASDAQ 100은 모집단이 어긋난다. S&amp;P 500이 안전하다. 단, 테마가 성장주 편향이라 “초과분이 테마 효과인지 성장주 효과인지”라는 질문이 나올 수 있는데, 이는 3절의 테마 참고 BM이 방어한다.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통합: 합성 BM 구성. </w:t>
      </w:r>
      <w:r>
        <w:rPr>
          <w:rFonts w:ascii="Malgun Gothic" w:cs="Malgun Gothic" w:eastAsia="Malgun Gothic" w:hAnsi="Malgun Gothic"/>
          <w:sz w:val="19"/>
          <w:szCs w:val="19"/>
        </w:rPr>
        <w:t xml:space="preserve">기성 글로벌 지수(MSCI ACWI 등)는 한국·미국 외 국가가 섞여 모집단이 어긋난다. 따라서 다음과 같이 합성한다.</w:t>
      </w:r>
    </w:p>
    <w:p>
      <w:pPr>
        <w:spacing w:after="100" w:before="60"/>
        <w:jc w:val="center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통합 BM 수익률 = w_KR × 국내 BM 수익률 + w_US × 미국 BM 수익률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여기서 결정할 것은 두 가지다.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w (지역 비중):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우리 지수의 지역 비중과 동일하게 설정한다 (예: 지수가 50:50이면 BM도 50:50). 지수 비중이 리밸런싱마다 변하면 BM 비중도 같은 날 함께 리셋한다. 맞추지 않으면 지역배분 효과가 가짜 초과수익 또는 가짜 괴리로 측정된다.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기준통화: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원화 또는 달러 하나로 통일하고, 미국 BM 환산 시 우리 지수의 미국 종목과 같은 환율·같은 시점을 적용한다. 지수는 환헤지하지 않으면서 BM만 헤지(또는 반대)하면 환효과가 이중계상된다.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2차 BM (테마 참고) — 감점 방어용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“기존 테마 상품 대비 무엇이 다른가”에 답하는 참고 지표로, 정식 BM이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비교 표 한 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이면 충분하다: 우주/방산 = ITA(또는 ARKX) / AI/로보틱스 = BOTZ·AIQ / 에너지·전력 인프라 = GRID. 발표의 “기성품과의 차별성” 슬라이드 재료가 되고, 강의자료의 테마지수 방법론(선행 사례 대비) 항목도 함께 커버한다.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정합성 규칙 3개 — BM 확정과 한 세트로 기록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PR/TR 일치: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우리 지수를 TR로 산출하면 BM도 TR. 불일치 시 배당수익률만큼(연 1.5~2%p) 구조적 괴리가 생겨 모든 비교가 오염된다.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주별 정렬: </w:t>
      </w:r>
      <w:r>
        <w:rPr>
          <w:rFonts w:ascii="Malgun Gothic" w:cs="Malgun Gothic" w:eastAsia="Malgun Gothic" w:hAnsi="Malgun Gothic"/>
          <w:sz w:val="19"/>
          <w:szCs w:val="19"/>
        </w:rPr>
        <w:t xml:space="preserve">BM도 우리와 같은 “주 마지막 거래일” 규칙으로 주별화하고, 휴장일 처리 규칙을 공유한다.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동일 기간: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추적차이·상관계수 계산 구간은 지수와 BM이 정확히 같은 주 집합을 사용한다.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회의 결정표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10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결정 항목</w:t>
            </w:r>
          </w:p>
        </w:tc>
        <w:tc>
          <w:tcPr>
            <w:tcW w:type="dxa" w:w="36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권장안</w:t>
            </w:r>
          </w:p>
        </w:tc>
        <w:tc>
          <w:tcPr>
            <w:tcW w:type="dxa" w:w="41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대안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국내 BM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KOSPI 200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KOSPI (유니버스에 KOSDAQ 포함 시)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미국 BM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4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NASDAQ 100 (성장주 대비 확인용은 참고 지표로만)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통합 BM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지수 지역비중 연동 합성 BM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고정 50:50 (더 단순하나 지역배분 효과가 괴리에 섞임)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기준통화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KRW (발표 대상이 국내)</w:t>
            </w:r>
          </w:p>
        </w:tc>
        <w:tc>
          <w:tcPr>
            <w:tcW w:type="dxa" w:w="4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 형태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 기본 + 여유 시 TR 병행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테마 참고 BM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ITA·BOTZ·GRID 비교표 (참고용)</w:t>
            </w:r>
          </w:p>
        </w:tc>
        <w:tc>
          <w:tcPr>
            <w:tcW w:type="dxa" w:w="4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생략 (차별성 방어 약화)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문장 기록 예시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“1차 BM은 KOSPI 200(국내)·S&amp;P 500(미국)으로 하고, 통합 성과는 지수의 지역비중을 적용한 원화 환산 합성 BM과 비교한다. PR 기준으로 산출·비교하며, 테마 ETF 3종(ITA·BOTZ·GRID)은 참고 비교표로만 사용한다.”</w:t>
            </w:r>
          </w:p>
        </w:tc>
      </w:tr>
    </w:tbl>
    <w:p>
      <w:pPr>
        <w:spacing w:after="90"/>
      </w:pP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이대로 확정하면 안건 1이 10~15분에 닫히고,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benchmark_candidates.xlsx</w:t>
      </w:r>
      <w:r>
        <w:rPr>
          <w:rFonts w:ascii="Malgun Gothic" w:cs="Malgun Gothic" w:eastAsia="Malgun Gothic" w:hAnsi="Malgun Gothic"/>
          <w:sz w:val="19"/>
          <w:szCs w:val="19"/>
        </w:rPr>
        <w:t xml:space="preserve">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tracking_metrics.py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작업이 즉시 착수 가능해진다.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[추가] 게이트 심사 결과 — 데이터 실측 확인 (2026-07-15)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아래 판정은 후보 전체를 yfinance에서 실제 조회하여 확인한 결과다 (조회일 2026-07-15).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benchmark_candidates.xlsx를 대체하는 심사 기록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사용 가능하다.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6.1 국내 BM 후보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750"/>
        <w:gridCol w:w="2650"/>
        <w:gridCol w:w="2550"/>
      </w:tblGrid>
      <w:tr>
        <w:trPr>
          <w:tblHeader/>
        </w:trPr>
        <w:tc>
          <w:tcPr>
            <w:tcW w:type="dxa" w:w="165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게이트</w:t>
            </w:r>
          </w:p>
        </w:tc>
        <w:tc>
          <w:tcPr>
            <w:tcW w:type="dxa" w:w="275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KOSPI 200</w:t>
            </w:r>
          </w:p>
        </w:tc>
        <w:tc>
          <w:tcPr>
            <w:tcW w:type="dxa" w:w="265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KOSPI</w:t>
            </w:r>
          </w:p>
        </w:tc>
        <w:tc>
          <w:tcPr>
            <w:tcW w:type="dxa" w:w="255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KRX 300</w:t>
            </w:r>
          </w:p>
        </w:tc>
      </w:tr>
      <w:tr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확보</w:t>
            </w:r>
          </w:p>
        </w:tc>
        <w:tc>
          <w:tcPr>
            <w:tcW w:type="dxa" w:w="2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^KS200, 1996~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^KS11, 1996~</w:t>
            </w:r>
          </w:p>
        </w:tc>
        <w:tc>
          <w:tcPr>
            <w:tcW w:type="dxa" w:w="2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yfinance 없음, KRX 수작업</w:t>
            </w:r>
          </w:p>
        </w:tc>
      </w:tr>
      <w:tr>
        <w:tc>
          <w:tcPr>
            <w:tcW w:type="dxa" w:w="1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PR/TR 존재</w:t>
            </w:r>
          </w:p>
        </w:tc>
        <w:tc>
          <w:tcPr>
            <w:tcW w:type="dxa" w:w="2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TR은 KRX 정보데이터시스템에서만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동일</w:t>
            </w:r>
          </w:p>
        </w:tc>
        <w:tc>
          <w:tcPr>
            <w:tcW w:type="dxa" w:w="25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동일</w:t>
            </w:r>
          </w:p>
        </w:tc>
      </w:tr>
      <w:tr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대표성</w:t>
            </w:r>
          </w:p>
        </w:tc>
        <w:tc>
          <w:tcPr>
            <w:tcW w:type="dxa" w:w="2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국내 3종목(LS일렉트릭·HD현대일렉트릭·효성중공업) 모두 구성종목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소형주까지 포함 — 모집단보다 넓음</w:t>
            </w:r>
          </w:p>
        </w:tc>
        <w:tc>
          <w:tcPr>
            <w:tcW w:type="dxa" w:w="2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대형·중형</w:t>
            </w:r>
          </w:p>
        </w:tc>
      </w:tr>
      <w:tr>
        <w:tc>
          <w:tcPr>
            <w:tcW w:type="dxa" w:w="1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투자가능성</w:t>
            </w:r>
          </w:p>
        </w:tc>
        <w:tc>
          <w:tcPr>
            <w:tcW w:type="dxa" w:w="2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KODEX 200 등 다수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ETF 존재</w:t>
            </w:r>
          </w:p>
        </w:tc>
        <w:tc>
          <w:tcPr>
            <w:tcW w:type="dxa" w:w="25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ETF 소수</w:t>
            </w:r>
          </w:p>
        </w:tc>
      </w:tr>
      <w:tr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기간 충분성</w:t>
            </w:r>
          </w:p>
        </w:tc>
        <w:tc>
          <w:tcPr>
            <w:tcW w:type="dxa" w:w="2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30년</w:t>
            </w:r>
          </w:p>
        </w:tc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30년</w:t>
            </w:r>
          </w:p>
        </w:tc>
        <w:tc>
          <w:tcPr>
            <w:tcW w:type="dxa" w:w="2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2018~</w:t>
            </w:r>
          </w:p>
        </w:tc>
      </w:tr>
      <w:tr>
        <w:tc>
          <w:tcPr>
            <w:tcW w:type="dxa" w:w="165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275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채택</w:t>
            </w:r>
          </w:p>
        </w:tc>
        <w:tc>
          <w:tcPr>
            <w:tcW w:type="dxa" w:w="265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차선</w:t>
            </w:r>
          </w:p>
        </w:tc>
        <w:tc>
          <w:tcPr>
            <w:tcW w:type="dxa" w:w="255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탈락 (데이터)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6.2 미국 BM 후보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900"/>
        <w:gridCol w:w="2100"/>
        <w:gridCol w:w="1800"/>
      </w:tblGrid>
      <w:tr>
        <w:trPr>
          <w:tblHeader/>
        </w:trPr>
        <w:tc>
          <w:tcPr>
            <w:tcW w:type="dxa" w:w="13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게이트</w:t>
            </w:r>
          </w:p>
        </w:tc>
        <w:tc>
          <w:tcPr>
            <w:tcW w:type="dxa" w:w="25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NASDAQ 100</w:t>
            </w:r>
          </w:p>
        </w:tc>
        <w:tc>
          <w:tcPr>
            <w:tcW w:type="dxa" w:w="21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Russell 3000</w:t>
            </w:r>
          </w:p>
        </w:tc>
        <w:tc>
          <w:tcPr>
            <w:tcW w:type="dxa" w:w="18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NYSE Comp./다우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확보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^GSPC, 1927~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^NDX, 1985~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^RUA, 1987~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PR/TR 존재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^SP500TR — TR까지 무료인 유일한 후보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TR 유료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TR 확보 어려움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대표성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대형 5종목(TER·ANET·APH·ETN·GEV) 구성, 중소형(ALAB·KTOS·ATI)·SPCX 비구성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NYSE 종목(ANET·ETN·APH·GEV) 배제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중소형까지 포함 — 가장 정확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나스닥 배제 / 30종목·가격가중</w:t>
            </w:r>
          </w:p>
        </w:tc>
      </w:tr>
      <w:tr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투자가능성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SPY/IVV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QQQ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IWV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기간 충분성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13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25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채택 (한계 기록)</w:t>
            </w:r>
          </w:p>
        </w:tc>
        <w:tc>
          <w:tcPr>
            <w:tcW w:type="dxa" w:w="19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탈락</w:t>
            </w:r>
          </w:p>
        </w:tc>
        <w:tc>
          <w:tcPr>
            <w:tcW w:type="dxa" w:w="21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차선 — 한계 보완용 참고</w:t>
            </w:r>
          </w:p>
        </w:tc>
        <w:tc>
          <w:tcPr>
            <w:tcW w:type="dxa" w:w="18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탈락</w:t>
            </w:r>
          </w:p>
        </w:tc>
      </w:tr>
    </w:tbl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한계 기록 문안: </w:t>
      </w:r>
      <w:r>
        <w:rPr>
          <w:rFonts w:ascii="Malgun Gothic" w:cs="Malgun Gothic" w:eastAsia="Malgun Gothic" w:hAnsi="Malgun Gothic"/>
          <w:sz w:val="19"/>
          <w:szCs w:val="19"/>
        </w:rPr>
        <w:t xml:space="preserve">“유니버스에 S&amp;P 500 비구성 중소형주 3종(ALAB·KTOS·ATI)이 포함된다. Russell 3000 대비 결과를 참고로 확인한다.” — 한계 공개 항목의 가점 재료.</w:t>
      </w:r>
    </w:p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6.3 통합 BM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200"/>
        <w:gridCol w:w="3750"/>
      </w:tblGrid>
      <w:tr>
        <w:trPr>
          <w:tblHeader/>
        </w:trPr>
        <w:tc>
          <w:tcPr>
            <w:tcW w:type="dxa" w:w="165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게이트</w:t>
            </w:r>
          </w:p>
        </w:tc>
        <w:tc>
          <w:tcPr>
            <w:tcW w:type="dxa" w:w="42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합성 BM (KOSPI200+S&amp;P500, 지수 비중 미러링)</w:t>
            </w:r>
          </w:p>
        </w:tc>
        <w:tc>
          <w:tcPr>
            <w:tcW w:type="dxa" w:w="375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MSCI ACWI</w:t>
            </w:r>
          </w:p>
        </w:tc>
      </w:tr>
      <w:tr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대표성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구성상 모집단과 정확히 일치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한국·미국 외 국가 포함</w:t>
            </w:r>
          </w:p>
        </w:tc>
      </w:tr>
      <w:tr>
        <w:tc>
          <w:tcPr>
            <w:tcW w:type="dxa" w:w="1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두 구성 지수에서 산출</w:t>
            </w:r>
          </w:p>
        </w:tc>
        <w:tc>
          <w:tcPr>
            <w:tcW w:type="dxa" w:w="3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ETF(ACWI, 2008~)라 보수 포함</w:t>
            </w:r>
          </w:p>
        </w:tc>
      </w:tr>
      <w:tr>
        <w:tc>
          <w:tcPr>
            <w:tcW w:type="dxa" w:w="165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42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채택</w:t>
            </w:r>
          </w:p>
        </w:tc>
        <w:tc>
          <w:tcPr>
            <w:tcW w:type="dxa" w:w="375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× 탈락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6.4 테마 참고 BM (2차) — 기간이 관건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430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테마</w:t>
            </w:r>
          </w:p>
        </w:tc>
        <w:tc>
          <w:tcPr>
            <w:tcW w:type="dxa" w:w="15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후보</w:t>
            </w:r>
          </w:p>
        </w:tc>
        <w:tc>
          <w:tcPr>
            <w:tcW w:type="dxa" w:w="1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시작</w:t>
            </w:r>
          </w:p>
        </w:tc>
        <w:tc>
          <w:tcPr>
            <w:tcW w:type="dxa" w:w="43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우주/방산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ITA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2006~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채택 — 테마 명칭 '우주/방산' 정정에 따라 ARKX보다 적합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우주/방산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ARKX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2021~</w:t>
            </w:r>
          </w:p>
        </w:tc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△ 기간 짧음 — 백테스트 구간이 2021 이후면 병행 참고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AI/로보틱스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BOTZ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2016~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채택 (AIQ는 2018~로 더 짧음)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에너지/전력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GRID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2009~</w:t>
            </w:r>
          </w:p>
        </w:tc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○ 채택</w:t>
            </w:r>
          </w:p>
        </w:tc>
      </w:tr>
    </w:tbl>
    <w:p>
      <w:pPr>
        <w:spacing w:after="60" w:before="1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6.5 최종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KOSPI 200 (국내) · S&amp;P 500 (미국) · 지수 비중 미러링 합성 (통합) · ITA/BOTZ/GRID (테마 참고) — 전 게이트 통과, 데이터 실측 확인 완료. 유의: KOSPI 200의 TR은 yfinance에 없어 TR 병행 산출 시 국내만 KRX 정보데이터시스템에서 별도 수집 필요. PR 기본 방침이면 확인된 소스만으로 전부 해결된다.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2026-07-15T05:33:06.857Z</dcterms:created>
  <dcterms:modified xsi:type="dcterms:W3CDTF">2026-07-15T05:33:06.857Z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