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41E4F">
      <w:pPr>
        <w:rPr>
          <w:rFonts w:hint="eastAsia" w:ascii="宋体" w:hAnsi="宋体" w:eastAsia="宋体"/>
          <w:color w:val="FF0000"/>
        </w:rPr>
      </w:pPr>
    </w:p>
    <w:p w14:paraId="4B1B87C7">
      <w:pPr>
        <w:jc w:val="center"/>
        <w:rPr>
          <w:rFonts w:ascii="宋体" w:hAnsi="宋体" w:eastAsia="宋体"/>
          <w:b/>
          <w:bCs/>
          <w:sz w:val="28"/>
        </w:rPr>
      </w:pPr>
      <w:r>
        <w:rPr>
          <w:rFonts w:ascii="宋体" w:hAnsi="宋体" w:eastAsia="宋体"/>
          <w:b/>
          <w:sz w:val="28"/>
        </w:rPr>
        <w:drawing>
          <wp:inline distT="0" distB="0" distL="0" distR="0">
            <wp:extent cx="3200400" cy="724535"/>
            <wp:effectExtent l="0" t="0" r="0" b="0"/>
            <wp:docPr id="1781520040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2004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B747">
      <w:pPr>
        <w:spacing w:before="312" w:beforeLines="100"/>
        <w:jc w:val="center"/>
        <w:rPr>
          <w:rFonts w:ascii="宋体" w:hAnsi="宋体" w:eastAsia="宋体"/>
          <w:spacing w:val="20"/>
          <w:sz w:val="72"/>
          <w:szCs w:val="72"/>
        </w:rPr>
      </w:pPr>
      <w:r>
        <w:rPr>
          <w:rFonts w:hint="eastAsia" w:ascii="宋体" w:hAnsi="宋体" w:eastAsia="宋体"/>
          <w:spacing w:val="20"/>
          <w:sz w:val="72"/>
          <w:szCs w:val="72"/>
        </w:rPr>
        <w:t xml:space="preserve"> 课程设计报告书</w:t>
      </w:r>
    </w:p>
    <w:p w14:paraId="536824C4">
      <w:pPr>
        <w:rPr>
          <w:rFonts w:ascii="宋体" w:hAnsi="宋体" w:eastAsia="宋体"/>
          <w:b/>
          <w:sz w:val="44"/>
          <w:szCs w:val="44"/>
        </w:rPr>
      </w:pPr>
    </w:p>
    <w:p w14:paraId="5D574459">
      <w:pPr>
        <w:ind w:firstLine="883" w:firstLineChars="200"/>
        <w:rPr>
          <w:rFonts w:ascii="宋体" w:hAnsi="宋体" w:eastAsia="宋体"/>
          <w:b/>
          <w:sz w:val="44"/>
          <w:szCs w:val="44"/>
        </w:rPr>
      </w:pPr>
    </w:p>
    <w:p w14:paraId="77E5FFAB">
      <w:pPr>
        <w:jc w:val="center"/>
        <w:rPr>
          <w:rFonts w:ascii="宋体" w:hAnsi="宋体" w:eastAsia="宋体"/>
          <w:b/>
          <w:color w:val="008000"/>
          <w:sz w:val="28"/>
          <w:szCs w:val="28"/>
        </w:rPr>
      </w:pPr>
      <w:r>
        <w:rPr>
          <w:rFonts w:hint="eastAsia" w:ascii="宋体" w:hAnsi="宋体" w:eastAsia="宋体"/>
          <w:b/>
          <w:sz w:val="44"/>
          <w:szCs w:val="44"/>
        </w:rPr>
        <w:t>题目：短视频推荐系统</w:t>
      </w:r>
    </w:p>
    <w:p w14:paraId="4D8E2E31">
      <w:pPr>
        <w:ind w:firstLine="883" w:firstLineChars="200"/>
        <w:rPr>
          <w:rFonts w:ascii="宋体" w:hAnsi="宋体" w:eastAsia="宋体"/>
          <w:color w:val="008000"/>
          <w:sz w:val="24"/>
        </w:rPr>
      </w:pPr>
      <w:r>
        <w:rPr>
          <w:rFonts w:hint="eastAsia" w:ascii="宋体" w:hAnsi="宋体" w:eastAsia="宋体"/>
          <w:b/>
          <w:sz w:val="44"/>
          <w:szCs w:val="44"/>
        </w:rPr>
        <w:t xml:space="preserve">                                    </w:t>
      </w:r>
    </w:p>
    <w:p w14:paraId="229AEABF">
      <w:pPr>
        <w:rPr>
          <w:rFonts w:hint="eastAsia" w:ascii="宋体" w:hAnsi="宋体" w:eastAsia="宋体"/>
          <w:b/>
          <w:sz w:val="44"/>
          <w:szCs w:val="44"/>
          <w:u w:val="single"/>
        </w:rPr>
      </w:pPr>
    </w:p>
    <w:p w14:paraId="2C2C74EF">
      <w:pPr>
        <w:ind w:firstLine="1946" w:firstLineChars="646"/>
        <w:rPr>
          <w:rFonts w:ascii="宋体" w:hAnsi="宋体" w:eastAsia="宋体"/>
          <w:b/>
          <w:sz w:val="30"/>
          <w:szCs w:val="30"/>
          <w:u w:val="single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学  院  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计算机科学与工程学院 </w:t>
      </w:r>
    </w:p>
    <w:p w14:paraId="408EBC9B">
      <w:pPr>
        <w:ind w:firstLine="1946" w:firstLineChars="646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专  业  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  计算机科学与技术   </w:t>
      </w:r>
    </w:p>
    <w:p w14:paraId="3EE66099">
      <w:pPr>
        <w:ind w:firstLine="1946" w:firstLineChars="646"/>
        <w:rPr>
          <w:rFonts w:ascii="宋体" w:hAnsi="宋体" w:eastAsia="宋体"/>
          <w:b/>
          <w:sz w:val="30"/>
          <w:szCs w:val="30"/>
          <w:u w:val="single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学生姓名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eastAsia="宋体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任怡博        </w:t>
      </w:r>
    </w:p>
    <w:p w14:paraId="2714A2B4">
      <w:pPr>
        <w:ind w:firstLine="1946" w:firstLineChars="646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学生学号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202430452770     </w:t>
      </w:r>
    </w:p>
    <w:p w14:paraId="5DB2940D">
      <w:pPr>
        <w:ind w:firstLine="1946" w:firstLineChars="646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指导教师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吕建明        </w:t>
      </w:r>
    </w:p>
    <w:p w14:paraId="26E6AD90">
      <w:pPr>
        <w:ind w:firstLine="1946" w:firstLineChars="646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课程编号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                     </w:t>
      </w:r>
    </w:p>
    <w:p w14:paraId="7A9D23EF">
      <w:pPr>
        <w:ind w:firstLine="1946" w:firstLineChars="646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课程学分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                     </w:t>
      </w:r>
    </w:p>
    <w:p w14:paraId="7978719F">
      <w:pPr>
        <w:ind w:firstLine="1946" w:firstLineChars="646"/>
        <w:rPr>
          <w:rFonts w:ascii="宋体" w:hAnsi="宋体" w:eastAsia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</w:rPr>
        <w:t xml:space="preserve">起始日期 </w:t>
      </w: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                     </w:t>
      </w:r>
    </w:p>
    <w:p w14:paraId="05DFD824">
      <w:pPr>
        <w:rPr>
          <w:rFonts w:hint="eastAsia" w:ascii="宋体" w:hAnsi="宋体" w:eastAsia="宋体"/>
          <w:iCs/>
          <w:color w:val="008000"/>
          <w:szCs w:val="21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694"/>
      </w:tblGrid>
      <w:tr w14:paraId="2B54A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0" w:hRule="atLeast"/>
        </w:trPr>
        <w:tc>
          <w:tcPr>
            <w:tcW w:w="828" w:type="dxa"/>
            <w:vAlign w:val="center"/>
          </w:tcPr>
          <w:p w14:paraId="77738EFA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教</w:t>
            </w:r>
          </w:p>
          <w:p w14:paraId="27410BFA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师</w:t>
            </w:r>
          </w:p>
          <w:p w14:paraId="057532BE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评</w:t>
            </w:r>
          </w:p>
          <w:p w14:paraId="7C2849FC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语</w:t>
            </w:r>
          </w:p>
        </w:tc>
        <w:tc>
          <w:tcPr>
            <w:tcW w:w="7694" w:type="dxa"/>
          </w:tcPr>
          <w:p w14:paraId="30AB33C5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32EDE3B6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6B457A1B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75B142C0">
            <w:pPr>
              <w:spacing w:line="400" w:lineRule="exact"/>
              <w:rPr>
                <w:rFonts w:hint="eastAsia" w:ascii="宋体" w:hAnsi="宋体" w:eastAsia="宋体"/>
                <w:sz w:val="24"/>
              </w:rPr>
            </w:pPr>
          </w:p>
          <w:p w14:paraId="2C5AC25A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30DEC140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6CA883D2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17D60BBF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098D6CFD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119AEE25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7FAEB8CF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6CF4E651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0A349ADA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1F25668D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教师签名：</w:t>
            </w:r>
          </w:p>
          <w:p w14:paraId="78DC0264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日期：</w:t>
            </w:r>
          </w:p>
        </w:tc>
      </w:tr>
      <w:tr w14:paraId="2604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828" w:type="dxa"/>
            <w:vAlign w:val="center"/>
          </w:tcPr>
          <w:p w14:paraId="69BDAA3D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</w:t>
            </w:r>
          </w:p>
          <w:p w14:paraId="2C38E6BD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绩</w:t>
            </w:r>
          </w:p>
          <w:p w14:paraId="1DF8AED0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评</w:t>
            </w:r>
          </w:p>
          <w:p w14:paraId="68572658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定</w:t>
            </w:r>
          </w:p>
        </w:tc>
        <w:tc>
          <w:tcPr>
            <w:tcW w:w="7694" w:type="dxa"/>
          </w:tcPr>
          <w:p w14:paraId="7266F46D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72BC0077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316AD3A3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6A45D82C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14830686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019E03CC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</w:tc>
      </w:tr>
      <w:tr w14:paraId="4494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Align w:val="center"/>
          </w:tcPr>
          <w:p w14:paraId="0F7DA263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备</w:t>
            </w:r>
          </w:p>
          <w:p w14:paraId="61CB5AC9">
            <w:pPr>
              <w:spacing w:line="400" w:lineRule="exact"/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注</w:t>
            </w:r>
          </w:p>
        </w:tc>
        <w:tc>
          <w:tcPr>
            <w:tcW w:w="7694" w:type="dxa"/>
          </w:tcPr>
          <w:p w14:paraId="5166B6A9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6C7A4743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  <w:p w14:paraId="2A0CB553">
            <w:pPr>
              <w:spacing w:line="400" w:lineRule="exact"/>
              <w:rPr>
                <w:rFonts w:ascii="宋体" w:hAnsi="宋体" w:eastAsia="宋体"/>
                <w:sz w:val="24"/>
              </w:rPr>
            </w:pPr>
          </w:p>
        </w:tc>
      </w:tr>
    </w:tbl>
    <w:p w14:paraId="6C24EB21">
      <w:pPr>
        <w:widowControl/>
        <w:rPr>
          <w:rFonts w:hint="eastAsia" w:ascii="宋体" w:hAnsi="宋体" w:eastAsia="宋体"/>
        </w:rPr>
      </w:pPr>
    </w:p>
    <w:p w14:paraId="273F6F58">
      <w:pPr>
        <w:rPr>
          <w:rFonts w:ascii="宋体" w:hAnsi="宋体" w:eastAsia="宋体"/>
        </w:rPr>
      </w:pPr>
    </w:p>
    <w:p w14:paraId="62912691">
      <w:pPr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ascii="宋体" w:hAnsi="宋体" w:eastAsia="宋体"/>
          <w:b/>
          <w:bCs/>
          <w:sz w:val="32"/>
          <w:szCs w:val="32"/>
        </w:rPr>
        <w:t>短视频推荐系统</w:t>
      </w:r>
    </w:p>
    <w:p w14:paraId="39D1248D">
      <w:pPr>
        <w:rPr>
          <w:rFonts w:ascii="宋体" w:hAnsi="宋体" w:eastAsia="宋体"/>
        </w:rPr>
      </w:pPr>
    </w:p>
    <w:p w14:paraId="56B60205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一、选题背景</w:t>
      </w:r>
    </w:p>
    <w:p w14:paraId="65EEE88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近年来，以抖音、快手为代表的短视频应用风靡全球，其核心算法——推荐系统——是个性化信息分发的关键。本课题旨在构建一套完整的短视频用户行为分析与推荐仿真平台，解决以下关键技术问题：</w:t>
      </w:r>
    </w:p>
    <w:p w14:paraId="195C2A3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数据获取与预处理：如何从公开数据源高效构建大规模、结构化的视频信息库（F1）。</w:t>
      </w:r>
    </w:p>
    <w:p w14:paraId="7FCB396B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用户行为模拟：在无真实用户日志的情况下，如何设计合理的仿真模型，模拟用户观看、点赞等行为（F2）。</w:t>
      </w:r>
    </w:p>
    <w:p w14:paraId="3266B0BD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协同过滤：如何基于用户兴趣画像，快速找到相似用户群体（F3）。</w:t>
      </w:r>
    </w:p>
    <w:p w14:paraId="289707A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4. 个性化召回：如何从海量视频库中为用户精准推荐其可能感兴趣的内容（F4）。</w:t>
      </w:r>
    </w:p>
    <w:p w14:paraId="450E102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5. 热度预测：如何根据视频早期的表现，预测其未来的热度趋势（F5）。</w:t>
      </w:r>
    </w:p>
    <w:p w14:paraId="1805B1BC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6. 无监督聚类：如何从行为和内容两个维度，分别对视频和用户进行聚类分析，挖掘其内在的群体特征（F6, F7）。</w:t>
      </w:r>
    </w:p>
    <w:p w14:paraId="2D80329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指导思想</w:t>
      </w:r>
    </w:p>
    <w:p w14:paraId="2A22AF84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本系统采用数据驱动、模块解耦、仿真与算法结合的设计理念。以公开的</w:t>
      </w:r>
      <w:r>
        <w:rPr>
          <w:rFonts w:ascii="宋体" w:hAnsi="宋体" w:eastAsia="宋体"/>
          <w:sz w:val="24"/>
        </w:rPr>
        <w:t>TikTok-10M数据集为基座，通过流式采样和自然语言处理技术构建视频库（F1）。针对F2-F7的需求，采用“仿真-向量化-预测-聚类”的流水线架构。核心指导思想是：先通过仿真补足行为日志，再以向量化技术打通内容与用户的语义鸿沟，最终利用机器学习模型实现预测与挖掘。</w:t>
      </w:r>
    </w:p>
    <w:p w14:paraId="0FB425CF">
      <w:pPr>
        <w:rPr>
          <w:rFonts w:ascii="宋体" w:hAnsi="宋体" w:eastAsia="宋体"/>
          <w:sz w:val="24"/>
        </w:rPr>
      </w:pPr>
    </w:p>
    <w:p w14:paraId="0D1B3B49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二、方案论证 (设计理念)</w:t>
      </w:r>
    </w:p>
    <w:p w14:paraId="68BE2520">
      <w:pPr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设计原理与方案选择</w:t>
      </w:r>
    </w:p>
    <w:p w14:paraId="61A3330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F1 数据构建：对比全量下载，我们选择HuggingFace datasets库的流式加载与蓄水池抽样算法。此举可在有限内存下，从千万级数据中均匀采样出十万条记录，解决了大数据量下的I/O瓶颈。语言过滤（英语/西班牙语）和关键词提取（YAKE + TextRank）确保了后续处理的质量。</w:t>
      </w:r>
    </w:p>
    <w:p w14:paraId="4CE8D3A1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F3/F4 向量检索：传统协同过滤（如基于用户的CF）在万级用户、十万级视频下存在用户-物品矩阵极度稀疏和计算复杂度高的问题。</w:t>
      </w:r>
      <w:r>
        <w:rPr>
          <w:rFonts w:hint="eastAsia" w:ascii="宋体" w:hAnsi="宋体" w:eastAsia="宋体"/>
          <w:sz w:val="24"/>
        </w:rPr>
        <w:t>因此将</w:t>
      </w:r>
      <w:r>
        <w:rPr>
          <w:rFonts w:ascii="宋体" w:hAnsi="宋体" w:eastAsia="宋体"/>
          <w:sz w:val="24"/>
        </w:rPr>
        <w:t>Sentence-Transformers将用户/视频转为768维语义向量，并采用Qdrant向量数据库进行近似近邻（ANN）检索。这一方案将“相似度计算”转化为“向量空间距离计算”，查询复杂度从O(N)降至O(log N)，实现了毫秒级响应。</w:t>
      </w:r>
    </w:p>
    <w:p w14:paraId="1B0BA3A7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F5 热度预测：问题本质是时间序列预测。考虑到特征维度不高且可解释性要求，我们放弃复杂的LSTM，选用LightGBM作为基模型。创新性地采用“分类+分层回归”的架构：先预测视频属于“冷门/普通/爆款”，再调用对应回归器预测播放量。相比单一回归模型，能更好地拟合不同热度区间的数据分布特性。</w:t>
      </w:r>
    </w:p>
    <w:p w14:paraId="2892012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4. F6/F7 聚类分析：</w:t>
      </w:r>
    </w:p>
    <w:p w14:paraId="04440E71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F6 (视频聚类)：采用TF-IDF加权 + TruncatedSVD降维的策略。TF-IDF可降低“大众用户”的权重，突出小众圈子的共现信号；SVD则将矩阵降至64维稠密向量，使得K-Means聚类可行且有效。</w:t>
      </w:r>
    </w:p>
    <w:p w14:paraId="64B5E4B7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F7 (用户聚类)：直接复用F3已生成的768维用户兴趣向量，使用K-Means进行全局分群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极大节省了计算资源。</w:t>
      </w:r>
    </w:p>
    <w:p w14:paraId="311419DF">
      <w:pPr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系统的安全性、完整性与性能</w:t>
      </w:r>
    </w:p>
    <w:p w14:paraId="6B314E3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(1)</w:t>
      </w:r>
      <w:r>
        <w:rPr>
          <w:rFonts w:ascii="宋体" w:hAnsi="宋体" w:eastAsia="宋体"/>
          <w:sz w:val="24"/>
        </w:rPr>
        <w:t>完整性：模块间通过明确的CSV文件契约（Schema）解耦，任一模块可独立升级或替换。</w:t>
      </w:r>
    </w:p>
    <w:p w14:paraId="5D9345E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(2)</w:t>
      </w:r>
      <w:r>
        <w:rPr>
          <w:rFonts w:ascii="宋体" w:hAnsi="宋体" w:eastAsia="宋体"/>
          <w:sz w:val="24"/>
        </w:rPr>
        <w:t>健壮性：代码中广泛使用异常捕获（try-except）、边界值检查（如分母不为0）和缺失值处理，确保流水线稳定运行。</w:t>
      </w:r>
    </w:p>
    <w:p w14:paraId="75EDEE0F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(3)</w:t>
      </w:r>
      <w:r>
        <w:rPr>
          <w:rFonts w:ascii="宋体" w:hAnsi="宋体" w:eastAsia="宋体"/>
          <w:sz w:val="24"/>
        </w:rPr>
        <w:t>性能：针对大数据量场景，F2采用增量写文件，F5/F6采用分块（chunk）读取，F3/F4采用批量编码与入库，有效控制了内存峰值。</w:t>
      </w:r>
    </w:p>
    <w:p w14:paraId="43D29D4D">
      <w:pPr>
        <w:rPr>
          <w:rFonts w:ascii="宋体" w:hAnsi="宋体" w:eastAsia="宋体"/>
          <w:sz w:val="24"/>
        </w:rPr>
      </w:pPr>
    </w:p>
    <w:p w14:paraId="01E96386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三、过程论述</w:t>
      </w:r>
    </w:p>
    <w:p w14:paraId="719BC945">
      <w:pPr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整体架构与数据流</w:t>
      </w:r>
    </w:p>
    <w:p w14:paraId="008541C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0" distR="0">
            <wp:extent cx="5274310" cy="4790440"/>
            <wp:effectExtent l="0" t="0" r="2540" b="0"/>
            <wp:docPr id="83050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0109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1987">
      <w:pPr>
        <w:jc w:val="center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图1：短视频推荐系统整体数据流与架构图</w:t>
      </w:r>
    </w:p>
    <w:p w14:paraId="6A37FB0D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图展示了从原始数据采集到各功能模块产出的完整数据流向。F1为全流程提供视频库与初始热度；F2模拟用户行为，生成事件日志与用户画像；F3/F4基于向量检索实现用户和视频的相似性匹配；F5利用早期事件预测未来热度；F6/F7则从行为和内容两个维度进行无监督聚类分析。</w:t>
      </w:r>
    </w:p>
    <w:p w14:paraId="00A7111C">
      <w:pPr>
        <w:rPr>
          <w:rFonts w:ascii="宋体" w:hAnsi="宋体" w:eastAsia="宋体"/>
          <w:sz w:val="24"/>
        </w:rPr>
      </w:pPr>
    </w:p>
    <w:p w14:paraId="406B02CA">
      <w:pPr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F1. 视频数据库构建与热度初始化</w:t>
      </w:r>
    </w:p>
    <w:p w14:paraId="792EBC6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详细设计</w:t>
      </w:r>
    </w:p>
    <w:p w14:paraId="10FFF828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功能：构建包含10万条视频信息的基础库，并为每条视频计算初始热度分 H0_norm。</w:t>
      </w:r>
    </w:p>
    <w:p w14:paraId="46DFE222">
      <w:pPr>
        <w:jc w:val="center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2957830" cy="3604260"/>
            <wp:effectExtent l="0" t="0" r="1270" b="2540"/>
            <wp:docPr id="12" name="图片 12" descr="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0378">
      <w:pPr>
        <w:jc w:val="center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图2：</w:t>
      </w:r>
      <w:r>
        <w:rPr>
          <w:rFonts w:ascii="宋体" w:hAnsi="宋体" w:eastAsia="宋体" w:cs="宋体"/>
          <w:sz w:val="21"/>
          <w:szCs w:val="21"/>
        </w:rPr>
        <w:t>F1 视频数据库与热度分布界面</w:t>
      </w:r>
    </w:p>
    <w:p w14:paraId="029DF3DA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本图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展示构建完成的 10 万条视频元数据（ID、描述、播放 / 点赞量、标签），支持按 ID 与兴趣领域筛选，附带热度分布统计。</w:t>
      </w:r>
    </w:p>
    <w:p w14:paraId="15D8D40E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F316C2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核心算法：</w:t>
      </w:r>
    </w:p>
    <w:p w14:paraId="29BCD33D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蓄水池抽样 (build_video_db.py)：流式遍历数据集，保证每条被语言过滤器留下的视频，都有k/n的概率被选入最终样本，实现内存O(k)复杂度下的均匀随机抽样。</w:t>
      </w:r>
    </w:p>
    <w:p w14:paraId="4C009EE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标签与领域提取 (tag_pipeline.py)：融合多种NLP技术。</w:t>
      </w:r>
    </w:p>
    <w:p w14:paraId="4EDDED26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优先使用视频自带的</w:t>
      </w:r>
      <w:r>
        <w:rPr>
          <w:rFonts w:ascii="宋体" w:hAnsi="宋体" w:eastAsia="宋体"/>
          <w:sz w:val="24"/>
        </w:rPr>
        <w:t>challenges（话题标签）。</w:t>
      </w:r>
    </w:p>
    <w:p w14:paraId="32DF98BB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若不足，则对</w:t>
      </w:r>
      <w:r>
        <w:rPr>
          <w:rFonts w:ascii="宋体" w:hAnsi="宋体" w:eastAsia="宋体"/>
          <w:sz w:val="24"/>
        </w:rPr>
        <w:t>desc正文使用YAKE + TextRank 投票机制提取关键词。</w:t>
      </w:r>
    </w:p>
    <w:p w14:paraId="46F3142D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利用</w:t>
      </w:r>
      <w:r>
        <w:rPr>
          <w:rFonts w:ascii="宋体" w:hAnsi="宋体" w:eastAsia="宋体"/>
          <w:sz w:val="24"/>
        </w:rPr>
        <w:t>POI信息和关键词匹配，将视频映射到20个预定义兴趣领域。</w:t>
      </w:r>
    </w:p>
    <w:p w14:paraId="7659DEC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热度量化 (compute_initial_popularity.py)：设计三因素加权公式。</w:t>
      </w:r>
    </w:p>
    <w:p w14:paraId="70C58A95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H_behavior：基于播放、点赞等互动行为的对数线性组合。</w:t>
      </w:r>
    </w:p>
    <w:p w14:paraId="656258C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Q：基于时长、描述长度、话题数、POI信息的内容质量分。</w:t>
      </w:r>
    </w:p>
    <w:p w14:paraId="30614E33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R：基于video_id哈希的确定性随机项，用于打破平局。</w:t>
      </w:r>
    </w:p>
    <w:p w14:paraId="2C29E29B">
      <w:pPr>
        <w:jc w:val="center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0" distR="0">
            <wp:extent cx="3041015" cy="4564380"/>
            <wp:effectExtent l="0" t="0" r="6985" b="7620"/>
            <wp:docPr id="21047425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2568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4859" cy="457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5E27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/>
          <w:sz w:val="21"/>
          <w:szCs w:val="21"/>
        </w:rPr>
        <w:t>：视频标签流水线</w:t>
      </w:r>
    </w:p>
    <w:p w14:paraId="453D4C2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该流程图展示了从视频的 desc、challenges 和 poi_category 等原始字段中，提取 preference_tags（偏好标签）和 fields（兴趣领域）的完整处理链路，</w:t>
      </w:r>
      <w:r>
        <w:rPr>
          <w:rFonts w:hint="eastAsia" w:ascii="宋体" w:hAnsi="宋体" w:eastAsia="宋体"/>
          <w:sz w:val="24"/>
        </w:rPr>
        <w:t>最后提取出视频的标签</w:t>
      </w:r>
      <w:r>
        <w:rPr>
          <w:rFonts w:ascii="宋体" w:hAnsi="宋体" w:eastAsia="宋体"/>
          <w:sz w:val="24"/>
        </w:rPr>
        <w:t>。</w:t>
      </w:r>
    </w:p>
    <w:p w14:paraId="5E7963F9">
      <w:r>
        <w:drawing>
          <wp:inline distT="0" distB="0" distL="114300" distR="114300">
            <wp:extent cx="5121910" cy="2783205"/>
            <wp:effectExtent l="0" t="0" r="889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B69A">
      <w:pPr>
        <w:rPr>
          <w:rFonts w:hint="eastAsia"/>
        </w:rPr>
      </w:pPr>
      <w:r>
        <w:drawing>
          <wp:inline distT="0" distB="0" distL="114300" distR="114300">
            <wp:extent cx="5273675" cy="1833245"/>
            <wp:effectExtent l="0" t="0" r="952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C6AA">
      <w:pPr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sz w:val="21"/>
          <w:szCs w:val="21"/>
        </w:rPr>
        <w:t>：</w:t>
      </w:r>
      <w:r>
        <w:rPr>
          <w:rFonts w:ascii="宋体" w:hAnsi="宋体" w:eastAsia="宋体"/>
          <w:sz w:val="21"/>
          <w:szCs w:val="21"/>
        </w:rPr>
        <w:t>F1视频数据库与热度分布展示</w:t>
      </w:r>
    </w:p>
    <w:p w14:paraId="3CA552D5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该界面展示了已构建的10万条视频信息库的核心字段（如id、desc、播放量、点赞量及提取的preference_tags），并支持按视频ID和兴趣领域进行筛选，便于快速检索和预览视频元数据。</w:t>
      </w:r>
    </w:p>
    <w:p w14:paraId="2D677E83">
      <w:pPr>
        <w:rPr>
          <w:rFonts w:ascii="宋体" w:hAnsi="宋体" w:eastAsia="宋体"/>
          <w:sz w:val="24"/>
        </w:rPr>
      </w:pPr>
    </w:p>
    <w:p w14:paraId="766D25DA">
      <w:pPr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F2. 用户行为多轮模拟</w:t>
      </w:r>
    </w:p>
    <w:p w14:paraId="6347F157">
      <w:pPr>
        <w:jc w:val="center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drawing>
          <wp:inline distT="0" distB="0" distL="0" distR="0">
            <wp:extent cx="3212465" cy="4817110"/>
            <wp:effectExtent l="0" t="0" r="635" b="8890"/>
            <wp:docPr id="2175208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0841" name="图片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AFEF">
      <w:pPr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/>
          <w:sz w:val="21"/>
          <w:szCs w:val="21"/>
        </w:rPr>
        <w:t>：F2流程图</w:t>
      </w:r>
    </w:p>
    <w:p w14:paraId="5170F75B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该流程图描述了F2模块中每个用户在一轮（一天）内的行为模拟过程。核心包括三槽融合构造个性化Top-100候选池（兴趣槽、打分排序槽、冷门探索槽），基于兴趣与热度加权分数进行观看采样，再从观看中按兴趣匹配度筛选点赞，最后在本轮结束后更新用户的兴趣画像。</w:t>
      </w:r>
    </w:p>
    <w:p w14:paraId="54521A39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详细设计</w:t>
      </w:r>
    </w:p>
    <w:p w14:paraId="6CC4EAA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功能：模拟1万名用户在30天内的观看与点赞行为，生成事件日志。</w:t>
      </w:r>
    </w:p>
    <w:p w14:paraId="5969E7DF">
      <w:pPr>
        <w:rPr>
          <w:rFonts w:ascii="宋体" w:hAnsi="宋体" w:eastAsia="宋体"/>
          <w:sz w:val="24"/>
        </w:rPr>
      </w:pPr>
    </w:p>
    <w:p w14:paraId="4EF137A5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核心算法</w:t>
      </w:r>
    </w:p>
    <w:p w14:paraId="16F0826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冷启动初始化：为每个用户随机分配主领域（primary_field）和热度敏感性参数gamma，并通过初始观看/点赞构建初始兴趣画像。</w:t>
      </w:r>
    </w:p>
    <w:p w14:paraId="23C815AB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三槽候选池构建：每轮为每个用户生成一个Top-100的个性化候选池。</w:t>
      </w:r>
    </w:p>
    <w:p w14:paraId="4DF40FF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槽</w:t>
      </w:r>
      <w:r>
        <w:rPr>
          <w:rFonts w:ascii="宋体" w:hAnsi="宋体" w:eastAsia="宋体"/>
          <w:sz w:val="24"/>
        </w:rPr>
        <w:t>A (兴趣槽)：直接从用户interest_fields对应的视频池中采样，保证相关性。</w:t>
      </w:r>
    </w:p>
    <w:p w14:paraId="2714940D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槽</w:t>
      </w:r>
      <w:r>
        <w:rPr>
          <w:rFonts w:ascii="宋体" w:hAnsi="宋体" w:eastAsia="宋体"/>
          <w:sz w:val="24"/>
        </w:rPr>
        <w:t>B (打分槽)：从全库随机采样，用 Score = Aff(u, v) + gamma_u * H0_norm(v) 公式打分，体现兴趣与热度的综合影响。</w:t>
      </w:r>
    </w:p>
    <w:p w14:paraId="5B80881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槽</w:t>
      </w:r>
      <w:r>
        <w:rPr>
          <w:rFonts w:ascii="宋体" w:hAnsi="宋体" w:eastAsia="宋体"/>
          <w:sz w:val="24"/>
        </w:rPr>
        <w:t>C (探索槽)：从热度最低30%的视频中随机采样，保证推荐多样性，防止信息茧房。</w:t>
      </w:r>
    </w:p>
    <w:p w14:paraId="6CF1E499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行为采样：从Top-100中以概率方式采样WATCH_PER_ROUND个观看，再从观看中按兴趣匹配度采样LIKE_PER_ROUND个点赞。</w:t>
      </w:r>
    </w:p>
    <w:p w14:paraId="40A867FD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4. 增量更新：使用Python原生csv.writer将事件逐行追加写入文件，避免内存中堆积690万行数据。</w:t>
      </w:r>
    </w:p>
    <w:p w14:paraId="34AF3D53">
      <w:r>
        <w:drawing>
          <wp:inline distT="0" distB="0" distL="114300" distR="114300">
            <wp:extent cx="4904105" cy="2602865"/>
            <wp:effectExtent l="0" t="0" r="1079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4296">
      <w:r>
        <w:drawing>
          <wp:inline distT="0" distB="0" distL="114300" distR="114300">
            <wp:extent cx="4946650" cy="26574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261E">
      <w:pPr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64150" cy="1786890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9384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/>
          <w:sz w:val="21"/>
          <w:szCs w:val="21"/>
        </w:rPr>
        <w:t>：F2功能页面</w:t>
      </w:r>
    </w:p>
    <w:p w14:paraId="419F9D3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该界面展示了F2模块模拟生成的1万名用户的核心画像数据，包括用户ID、主兴趣领域（primary_field）、热度敏感性参数（gamma）、兴趣领域列表（interest_fields）、兴趣标签（interest_tags）以及累计观看/点赞总数。用户可按ID或主兴趣领域进行筛选，直观了解不同用户群体的兴趣分布与行为统计。</w:t>
      </w:r>
    </w:p>
    <w:p w14:paraId="28E08F7F">
      <w:pPr>
        <w:rPr>
          <w:rFonts w:ascii="宋体" w:hAnsi="宋体" w:eastAsia="宋体"/>
          <w:sz w:val="24"/>
        </w:rPr>
      </w:pPr>
    </w:p>
    <w:p w14:paraId="235EBC45">
      <w:pPr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F3. 相似用户检索 &amp; F4. 个性化视频推荐</w:t>
      </w:r>
    </w:p>
    <w:p w14:paraId="73B67F96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功能：利用语义向量实现“人以群分”（F3）和“精准推荐”（F4）。</w:t>
      </w:r>
    </w:p>
    <w:p w14:paraId="31B8F0E0">
      <w:pPr>
        <w:jc w:val="center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3781425" cy="4098925"/>
            <wp:effectExtent l="0" t="0" r="0" b="0"/>
            <wp:docPr id="18" name="图片 18" descr="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CD5D">
      <w:pPr>
        <w:jc w:val="center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图8：相似用户检索结果页</w:t>
      </w:r>
    </w:p>
    <w:p w14:paraId="4CF9DAA5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本图介绍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相似用户向量检索流程：离线将用户画像编码为 768 维向量并构建索引；在线生成查询向量，通过 ANN 快速检索返回 Top-K 相似用户，向量支持复用。</w:t>
      </w:r>
    </w:p>
    <w:p w14:paraId="7E5FC506">
      <w:pPr>
        <w:jc w:val="center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drawing>
          <wp:inline distT="0" distB="0" distL="114300" distR="114300">
            <wp:extent cx="4345940" cy="3065780"/>
            <wp:effectExtent l="0" t="0" r="10160" b="7620"/>
            <wp:docPr id="19" name="图片 19" descr="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F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E18C">
      <w:pPr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图9：基于向量检索的个性化视频推荐</w:t>
      </w:r>
    </w:p>
    <w:p w14:paraId="04887D23"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本图介绍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视频推荐系统向量检索流程：左侧离线构建视频向量索引，右侧在线基于用户兴趣向量召回、过滤并做多样性处理，生成推荐列表，底部为隐式权重计说明。</w:t>
      </w:r>
    </w:p>
    <w:p w14:paraId="6E85338C">
      <w:pPr>
        <w:jc w:val="center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3B4996F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核心算法：</w:t>
      </w:r>
    </w:p>
    <w:p w14:paraId="1130D30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向量化策略：</w:t>
      </w:r>
    </w:p>
    <w:p w14:paraId="191D6D5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用户向量化：将</w:t>
      </w:r>
      <w:r>
        <w:rPr>
          <w:rFonts w:ascii="宋体" w:hAnsi="宋体" w:eastAsia="宋体"/>
          <w:sz w:val="24"/>
        </w:rPr>
        <w:t>primary_field重复3次，其余interest_fields重复2次，interest_tags重复1次，拼接成文本后用all-mpnet-base-v2模型编码。这种重复加权策略利用了Transformer对词频的敏感性，无需微调即可实现特征重要性区分。</w:t>
      </w:r>
    </w:p>
    <w:p w14:paraId="18F897B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视频向量化：将</w:t>
      </w:r>
      <w:r>
        <w:rPr>
          <w:rFonts w:ascii="宋体" w:hAnsi="宋体" w:eastAsia="宋体"/>
          <w:sz w:val="24"/>
        </w:rPr>
        <w:t>fields重复2次，preference_tags重复1次进行编码。</w:t>
      </w:r>
    </w:p>
    <w:p w14:paraId="13E1440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索引构建 (build_user_index.py / build_video_index.py)：将编码后的768维向量及元数据存入Qdrant，建立HNSW索引，实现近似最近邻（ANN）快速检索。</w:t>
      </w:r>
    </w:p>
    <w:p w14:paraId="43FAFC95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在线检索 (find_similar_users.py / recommend_videos.py)：将目标用户/查询编码后，调用Qdrant的query_points API，返回Top-K相似结果。</w:t>
      </w:r>
    </w:p>
    <w:p w14:paraId="61360015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4. 多样性后处理 (recommend_videos.py)：为防止推荐列表被单一领域“刷屏”，实现基于视频主领域的贪心去重算法，每个领域最多保留5条。</w:t>
      </w:r>
    </w:p>
    <w:p w14:paraId="0877959D">
      <w:r>
        <w:drawing>
          <wp:inline distT="0" distB="0" distL="114300" distR="114300">
            <wp:extent cx="5269230" cy="2847340"/>
            <wp:effectExtent l="0" t="0" r="127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4C86">
      <w:r>
        <w:drawing>
          <wp:inline distT="0" distB="0" distL="114300" distR="114300">
            <wp:extent cx="5270500" cy="204343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9220">
      <w:r>
        <w:drawing>
          <wp:inline distT="0" distB="0" distL="114300" distR="114300">
            <wp:extent cx="5287645" cy="2433320"/>
            <wp:effectExtent l="0" t="0" r="825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29FD">
      <w:pPr>
        <w:jc w:val="center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3406140" cy="2378075"/>
            <wp:effectExtent l="0" t="0" r="1016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1799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11</w:t>
      </w: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12</w:t>
      </w:r>
      <w:r>
        <w:rPr>
          <w:rFonts w:hint="eastAsia" w:ascii="宋体" w:hAnsi="宋体" w:eastAsia="宋体"/>
          <w:sz w:val="21"/>
          <w:szCs w:val="21"/>
        </w:rPr>
        <w:t>：F3页面</w:t>
      </w:r>
    </w:p>
    <w:p w14:paraId="37FEB79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该页面展示了针对目标用户（如user_id=2532）的相似用户检索结果（左表），以及相似用户群体的兴趣标签频次柱状图、领域分布饼图和词云。三张图从个体到群体、从定量到可视化，全面刻画了相似用户群体的兴趣特征，验证了基于向量检索的协同过滤效果。</w:t>
      </w:r>
    </w:p>
    <w:p w14:paraId="0C70E9B1">
      <w:r>
        <w:drawing>
          <wp:inline distT="0" distB="0" distL="114300" distR="114300">
            <wp:extent cx="5254625" cy="2840355"/>
            <wp:effectExtent l="0" t="0" r="317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99E4">
      <w:pPr>
        <w:rPr>
          <w:rFonts w:ascii="宋体" w:hAnsi="宋体" w:eastAsia="宋体"/>
          <w:sz w:val="24"/>
        </w:rPr>
      </w:pPr>
      <w:r>
        <w:drawing>
          <wp:inline distT="0" distB="0" distL="114300" distR="114300">
            <wp:extent cx="5264150" cy="3739515"/>
            <wp:effectExtent l="0" t="0" r="635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CFC7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sz w:val="21"/>
          <w:szCs w:val="21"/>
        </w:rPr>
        <w:t>：F4页面</w:t>
      </w:r>
    </w:p>
    <w:p w14:paraId="4AA5A5D8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该页面分为上下两部分。上方表格展示了目标用户（user_id=0）的历史观看记录，下方列表则是基于用户兴趣画像（interest_fields和interest_tags）通过向量检索生成的Top-15推荐视频，每项包含视频ID、简介、匹配分数、播放/点赞量以及所属领域和标签。用户可切换“本地规则”或“Qdrant向量”两种推荐后端，验证了内容向量召回的有效性。</w:t>
      </w:r>
    </w:p>
    <w:p w14:paraId="4114221E">
      <w:pPr>
        <w:rPr>
          <w:rFonts w:hint="eastAsia" w:ascii="宋体" w:hAnsi="宋体" w:eastAsia="宋体"/>
          <w:sz w:val="24"/>
        </w:rPr>
      </w:pPr>
    </w:p>
    <w:p w14:paraId="648A0648">
      <w:pPr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F5. 视频热度预测</w:t>
      </w:r>
    </w:p>
    <w:p w14:paraId="192D5A7F">
      <w:pPr>
        <w:jc w:val="center"/>
        <w:rPr>
          <w:rFonts w:ascii="宋体" w:hAnsi="宋体" w:eastAsia="宋体"/>
          <w:b/>
          <w:bCs/>
          <w:sz w:val="24"/>
        </w:rPr>
      </w:pPr>
    </w:p>
    <w:p w14:paraId="69A6DC78">
      <w:pPr>
        <w:jc w:val="center"/>
        <w:rPr>
          <w:rFonts w:hint="eastAsia" w:ascii="宋体" w:hAnsi="宋体" w:eastAsia="宋体"/>
          <w:b/>
          <w:bCs/>
          <w:sz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lang w:eastAsia="zh-CN"/>
        </w:rPr>
        <w:drawing>
          <wp:inline distT="0" distB="0" distL="114300" distR="114300">
            <wp:extent cx="3328035" cy="4993005"/>
            <wp:effectExtent l="0" t="0" r="12065" b="10795"/>
            <wp:docPr id="23" name="图片 23" descr="609ad68c672230fa52e8e585557c1e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609ad68c672230fa52e8e585557c1ee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16B8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/>
          <w:sz w:val="21"/>
          <w:szCs w:val="21"/>
        </w:rPr>
        <w:t>：F5流程图</w:t>
      </w:r>
    </w:p>
    <w:p w14:paraId="483AA49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功能：根据视频早期的观看/点赞数据，预测其未来热度走势。</w:t>
      </w:r>
    </w:p>
    <w:p w14:paraId="0CC8A978">
      <w:pPr>
        <w:rPr>
          <w:rFonts w:ascii="宋体" w:hAnsi="宋体" w:eastAsia="宋体"/>
          <w:sz w:val="24"/>
        </w:rPr>
      </w:pPr>
    </w:p>
    <w:p w14:paraId="091A230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核心算法：</w:t>
      </w:r>
    </w:p>
    <w:p w14:paraId="4ABFAE58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特征工程：基于前H=3轮数据构造多维特征，包括原始序列、增长率、对数增长率、首轮点赞率、早期总量与峰值。</w:t>
      </w:r>
    </w:p>
    <w:p w14:paraId="3690532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模型架构：采用“多输出回归”与“分类+分层回归”双模式。</w:t>
      </w:r>
    </w:p>
    <w:p w14:paraId="59D2588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主功能（序列预测）：使用</w:t>
      </w:r>
      <w:r>
        <w:rPr>
          <w:rFonts w:ascii="宋体" w:hAnsi="宋体" w:eastAsia="宋体"/>
          <w:sz w:val="24"/>
        </w:rPr>
        <w:t>MultiOutputRegressor(LightGBM)，以特征预测第4至30轮每天的播放量。此模式可绘制完整的热度曲线。</w:t>
      </w:r>
    </w:p>
    <w:p w14:paraId="759A3130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辅助功能（总量</w:t>
      </w:r>
      <w:r>
        <w:rPr>
          <w:rFonts w:ascii="宋体" w:hAnsi="宋体" w:eastAsia="宋体"/>
          <w:sz w:val="24"/>
        </w:rPr>
        <w:t>/分类预测）：</w:t>
      </w:r>
    </w:p>
    <w:p w14:paraId="375E06F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先训练一个三分类器（冷门</w:t>
      </w:r>
      <w:r>
        <w:rPr>
          <w:rFonts w:ascii="宋体" w:hAnsi="宋体" w:eastAsia="宋体"/>
          <w:sz w:val="24"/>
        </w:rPr>
        <w:t>/普通/爆款）。</w:t>
      </w:r>
    </w:p>
    <w:p w14:paraId="2D3DBD0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再为每个类别单独训练一个回归器，预测总播放量。</w:t>
      </w:r>
    </w:p>
    <w:p w14:paraId="348A393F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这种方法能更好地学习不同热度量级的分布特性。</w:t>
      </w:r>
    </w:p>
    <w:p w14:paraId="11059D60">
      <w:pPr>
        <w:numPr>
          <w:ilvl w:val="0"/>
          <w:numId w:val="1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数据划分：按video_id进行分层划分（train/val/test = 7:1.5:1.5），确保同一视频的所有时间步数据不会被拆分到不同集合中，防止未来信息泄露。</w:t>
      </w:r>
    </w:p>
    <w:p w14:paraId="54C0C0C4">
      <w:pPr>
        <w:numPr>
          <w:numId w:val="0"/>
        </w:numPr>
        <w:jc w:val="center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4702175" cy="2816225"/>
            <wp:effectExtent l="0" t="0" r="9525" b="3175"/>
            <wp:docPr id="25" name="图片 25" descr="e2a2fbb0-9c26-43d5-a084-404f78eb80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e2a2fbb0-9c26-43d5-a084-404f78eb80e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E285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/>
          <w:sz w:val="21"/>
          <w:szCs w:val="21"/>
        </w:rPr>
        <w:t>：F5页面</w:t>
      </w:r>
    </w:p>
    <w:p w14:paraId="5799EC64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该界面展示了选定视频的热度变化预测曲线。横轴为时间轮次（round，即天数），纵轴为播放量（经标准化处理）。图中</w:t>
      </w:r>
      <w:r>
        <w:rPr>
          <w:rFonts w:hint="eastAsia" w:ascii="宋体" w:hAnsi="宋体" w:eastAsia="宋体"/>
          <w:sz w:val="24"/>
          <w:lang w:val="en-US" w:eastAsia="zh-CN"/>
        </w:rPr>
        <w:t>有真实数据，也有预测，可见有一定相似性</w:t>
      </w:r>
      <w:r>
        <w:rPr>
          <w:rFonts w:ascii="宋体" w:hAnsi="宋体" w:eastAsia="宋体"/>
          <w:sz w:val="24"/>
        </w:rPr>
        <w:t>。</w:t>
      </w:r>
    </w:p>
    <w:p w14:paraId="186D46F9">
      <w:pPr>
        <w:rPr>
          <w:rFonts w:ascii="宋体" w:hAnsi="宋体" w:eastAsia="宋体"/>
          <w:sz w:val="24"/>
        </w:rPr>
      </w:pPr>
    </w:p>
    <w:p w14:paraId="33487F1F">
      <w:pPr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F6. 视频聚类分析 &amp; F7. 用户聚类分析</w:t>
      </w:r>
    </w:p>
    <w:p w14:paraId="128D4149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功能：从行为和内容两个角度，对视频和用户进行无监督分群。</w:t>
      </w:r>
    </w:p>
    <w:p w14:paraId="500E5107">
      <w:pPr>
        <w:jc w:val="center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3387725" cy="3301365"/>
            <wp:effectExtent l="0" t="0" r="3175" b="635"/>
            <wp:docPr id="20" name="图片 20" descr="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3B83">
      <w:pPr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图17：F6基于用户行为的视频聚类流程</w:t>
      </w:r>
    </w:p>
    <w:p w14:paraId="596FD826">
      <w:pPr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  <w:bookmarkStart w:id="0" w:name="_GoBack"/>
      <w:r>
        <w:rPr>
          <w:rFonts w:hint="eastAsia" w:ascii="宋体" w:hAnsi="宋体" w:eastAsia="宋体"/>
          <w:sz w:val="21"/>
          <w:szCs w:val="21"/>
          <w:lang w:val="en-US" w:eastAsia="zh-CN"/>
        </w:rPr>
        <w:drawing>
          <wp:inline distT="0" distB="0" distL="114300" distR="114300">
            <wp:extent cx="3302000" cy="3621405"/>
            <wp:effectExtent l="0" t="0" r="0" b="10795"/>
            <wp:docPr id="21" name="图片 21" descr="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466801A">
      <w:pPr>
        <w:jc w:val="center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图18：F7 用户兴趣聚类分析流程</w:t>
      </w:r>
    </w:p>
    <w:p w14:paraId="2FC12D36"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图17：该流程基于用户兴趣向量，通过 K-Means（K=20）对用户进行分簇，生成用户聚类标签并统计各簇的代表性兴趣领域，为群体画像与分析提供支撑。</w:t>
      </w:r>
    </w:p>
    <w:p w14:paraId="6BF34C43">
      <w:pPr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图18：</w:t>
      </w:r>
      <w:r>
        <w:rPr>
          <w:rFonts w:hint="default" w:ascii="宋体" w:hAnsi="宋体" w:eastAsia="宋体"/>
          <w:sz w:val="24"/>
          <w:lang w:val="en-US" w:eastAsia="zh-CN"/>
        </w:rPr>
        <w:t>该流程以用户观看事件为基础，通过构建视频 - 用户共现矩阵、TF-IDF 加权、SVD 降维与 K-Means 聚类，将视频划分为 20 个行为簇，输出聚类标签与向量，为推荐提供行为侧特征。</w:t>
      </w:r>
    </w:p>
    <w:p w14:paraId="265BF6A2">
      <w:pPr>
        <w:rPr>
          <w:rFonts w:hint="default" w:ascii="宋体" w:hAnsi="宋体" w:eastAsia="宋体"/>
          <w:sz w:val="24"/>
          <w:lang w:val="en-US" w:eastAsia="zh-CN"/>
        </w:rPr>
      </w:pPr>
    </w:p>
    <w:p w14:paraId="50476CA2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核心算法：</w:t>
      </w:r>
    </w:p>
    <w:p w14:paraId="5F1F5CB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F6（视频-行为协同聚类）：</w:t>
      </w:r>
    </w:p>
    <w:p w14:paraId="5133C3F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共现矩阵构建：基于</w:t>
      </w:r>
      <w:r>
        <w:rPr>
          <w:rFonts w:ascii="宋体" w:hAnsi="宋体" w:eastAsia="宋体"/>
          <w:sz w:val="24"/>
        </w:rPr>
        <w:t>watch_events.csv构建“视频-用户”稀疏共现矩阵。</w:t>
      </w:r>
    </w:p>
    <w:p w14:paraId="49F200D9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TF-IDF变换：抑制“大众用户”的权重，突出“特定圈层”的共现信号。</w:t>
      </w:r>
    </w:p>
    <w:p w14:paraId="6417530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TruncatedSVD降维：将稀疏高维矩阵降至64维稠密向量，解决了K-Means在稀疏高维空间下的维度灾难问题。</w:t>
      </w:r>
    </w:p>
    <w:p w14:paraId="6DDA323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K-Means聚类：使用k-means++初始化，K=20（与兴趣领域数对应）。</w:t>
      </w:r>
    </w:p>
    <w:p w14:paraId="66C4C0D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F7（用户-兴趣内容聚类）：</w:t>
      </w:r>
    </w:p>
    <w:p w14:paraId="2527E5AF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复用向量：直接读取</w:t>
      </w:r>
      <w:r>
        <w:rPr>
          <w:rFonts w:ascii="宋体" w:hAnsi="宋体" w:eastAsia="宋体"/>
          <w:sz w:val="24"/>
        </w:rPr>
        <w:t>F3构建的Qdrant users集合中的768维向量。</w:t>
      </w:r>
    </w:p>
    <w:p w14:paraId="06A326A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K-Means聚类：与F6类似，但向量已归一化，欧氏距离等价于余弦距离。</w:t>
      </w:r>
    </w:p>
    <w:p w14:paraId="3C0F3B86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结果写入与增强：将聚类结果写回</w:t>
      </w:r>
      <w:r>
        <w:rPr>
          <w:rFonts w:ascii="宋体" w:hAnsi="宋体" w:eastAsia="宋体"/>
          <w:sz w:val="24"/>
        </w:rPr>
        <w:t>Qdrant的user_clusters集合，其中Point ID设置为user_id，便于后续快速查询任一用户所在的簇及其同簇邻居。</w:t>
      </w:r>
    </w:p>
    <w:p w14:paraId="2F6B4F82">
      <w:pPr>
        <w:rPr>
          <w:rFonts w:ascii="宋体" w:hAnsi="宋体" w:eastAsia="宋体"/>
          <w:sz w:val="24"/>
        </w:rPr>
      </w:pPr>
      <w:r>
        <w:drawing>
          <wp:inline distT="0" distB="0" distL="114300" distR="114300">
            <wp:extent cx="5260975" cy="2623185"/>
            <wp:effectExtent l="0" t="0" r="952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5A21">
      <w:pPr>
        <w:rPr>
          <w:rFonts w:ascii="宋体" w:hAnsi="宋体" w:eastAsia="宋体"/>
          <w:sz w:val="24"/>
        </w:rPr>
      </w:pPr>
      <w:r>
        <w:drawing>
          <wp:inline distT="0" distB="0" distL="114300" distR="114300">
            <wp:extent cx="5254625" cy="2622550"/>
            <wp:effectExtent l="0" t="0" r="317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ACFE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20</w:t>
      </w:r>
      <w:r>
        <w:rPr>
          <w:rFonts w:hint="eastAsia" w:ascii="宋体" w:hAnsi="宋体" w:eastAsia="宋体"/>
          <w:sz w:val="21"/>
          <w:szCs w:val="21"/>
        </w:rPr>
        <w:t>：F6页面</w:t>
      </w:r>
    </w:p>
    <w:p w14:paraId="1D3ED948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F6模块基于用户观看行为共现矩阵，通过TF-IDF加权、TruncatedSVD降维和K-Means聚类（K=20）将视频划分为20个簇。左图为单个簇（如cluster 0）内视频的PCA二维分布，右图为全部簇的全局散点图总览（不同颜色代表不同簇）。可视化结果表明，虽然行为数据稀疏导致簇间边界有一定重叠，但整体上形成了可区分的聚集结构，验证了协同聚类算法的有效性。</w:t>
      </w:r>
    </w:p>
    <w:p w14:paraId="25C9C849">
      <w:r>
        <w:drawing>
          <wp:inline distT="0" distB="0" distL="114300" distR="114300">
            <wp:extent cx="5253990" cy="2352040"/>
            <wp:effectExtent l="0" t="0" r="381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AE57"/>
    <w:p w14:paraId="092ED6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385185"/>
            <wp:effectExtent l="0" t="0" r="1270" b="5715"/>
            <wp:docPr id="16" name="图片 16" descr="3c90951a4e7c6066cf606907c890ea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c90951a4e7c6066cf606907c890ea9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1E2D">
      <w:pPr>
        <w:rPr>
          <w:rFonts w:hint="eastAsia" w:ascii="宋体" w:hAnsi="宋体" w:eastAsia="宋体"/>
          <w:sz w:val="24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362325"/>
            <wp:effectExtent l="0" t="0" r="1905" b="3175"/>
            <wp:docPr id="17" name="图片 17" descr="75d97d64c47f54a5f0946bdcffa6f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5d97d64c47f54a5f0946bdcffa6f2f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F0E0">
      <w:pPr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21</w:t>
      </w:r>
      <w:r>
        <w:rPr>
          <w:rFonts w:hint="eastAsia" w:ascii="宋体" w:hAnsi="宋体" w:eastAsia="宋体"/>
          <w:sz w:val="21"/>
          <w:szCs w:val="21"/>
        </w:rPr>
        <w:t>图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22图23</w:t>
      </w:r>
      <w:r>
        <w:rPr>
          <w:rFonts w:hint="eastAsia" w:ascii="宋体" w:hAnsi="宋体" w:eastAsia="宋体"/>
          <w:sz w:val="21"/>
          <w:szCs w:val="21"/>
        </w:rPr>
        <w:t>：F7</w:t>
      </w:r>
    </w:p>
    <w:p w14:paraId="31774F6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F7模块复用F3生成的768维用户兴趣向量，通过K-Means（K=20）对全部用户进行聚类。左图为单个簇（如cluster 0）内用户的PCA二维分布，右图为全部簇的全局散点图总览（不同颜色代表不同簇，共20簇）。可视化结果表明，用户兴趣向量在语义空间中形成了可区分的聚类结构，同一簇的用户在primary_field上具有高度一致性，验证了基于兴趣内容聚类的有效性。</w:t>
      </w:r>
    </w:p>
    <w:p w14:paraId="3BD7E0B0">
      <w:pPr>
        <w:rPr>
          <w:rFonts w:hint="eastAsia" w:ascii="宋体" w:hAnsi="宋体" w:eastAsia="宋体"/>
          <w:sz w:val="24"/>
        </w:rPr>
      </w:pPr>
    </w:p>
    <w:p w14:paraId="28FA99B8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四、结果分析</w:t>
      </w:r>
    </w:p>
    <w:p w14:paraId="30E7E13D">
      <w:pPr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 w:eastAsia="宋体"/>
          <w:sz w:val="24"/>
        </w:rPr>
        <w:t>软件测试</w:t>
      </w:r>
      <w:r>
        <w:rPr>
          <w:rFonts w:hint="eastAsia" w:ascii="宋体" w:hAnsi="宋体" w:eastAsia="宋体"/>
          <w:sz w:val="24"/>
          <w:lang w:eastAsia="zh-CN"/>
        </w:rPr>
        <w:t>：</w:t>
      </w:r>
    </w:p>
    <w:p w14:paraId="4AB8C03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测试目标</w:t>
      </w:r>
    </w:p>
    <w:p w14:paraId="2CB3F79F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验证各功能模块的正确性、性能及全链路的完整性。</w:t>
      </w:r>
    </w:p>
    <w:p w14:paraId="0F2F5439">
      <w:pPr>
        <w:rPr>
          <w:rFonts w:ascii="宋体" w:hAnsi="宋体" w:eastAsia="宋体"/>
          <w:sz w:val="24"/>
        </w:rPr>
      </w:pPr>
    </w:p>
    <w:p w14:paraId="25BED0C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测试数据与方法</w:t>
      </w:r>
    </w:p>
    <w:p w14:paraId="245CDD8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(1)</w:t>
      </w:r>
      <w:r>
        <w:rPr>
          <w:rFonts w:ascii="宋体" w:hAnsi="宋体" w:eastAsia="宋体"/>
          <w:sz w:val="24"/>
        </w:rPr>
        <w:t>F1：检查最终生成的tiktok_meta_100k.csv文件是否包含10万行数据，preference_tags和fields是否为合法JSON格式，H0_norm是否落在[0,1]区间。</w:t>
      </w:r>
    </w:p>
    <w:p w14:paraId="19AB5F7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(2)</w:t>
      </w:r>
      <w:r>
        <w:rPr>
          <w:rFonts w:ascii="宋体" w:hAnsi="宋体" w:eastAsia="宋体"/>
          <w:sz w:val="24"/>
        </w:rPr>
        <w:t>F2：检查watch_events.csv总行数是否为6,900,000 (10,000 * 30 * (20+3))，并验证用户interest_fields是否随点赞事件动态演化。</w:t>
      </w:r>
    </w:p>
    <w:p w14:paraId="5E79D60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(3)</w:t>
      </w:r>
      <w:r>
        <w:rPr>
          <w:rFonts w:ascii="宋体" w:hAnsi="宋体" w:eastAsia="宋体"/>
          <w:sz w:val="24"/>
        </w:rPr>
        <w:t>F3/F4：运行冒烟测试脚本smoke_test_f4.py，验证在无Docker环境下，内存Qdrant能正常完成索引构建与检索。</w:t>
      </w:r>
    </w:p>
    <w:p w14:paraId="0315CD0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(4)</w:t>
      </w:r>
      <w:r>
        <w:rPr>
          <w:rFonts w:ascii="宋体" w:hAnsi="宋体" w:eastAsia="宋体"/>
          <w:sz w:val="24"/>
        </w:rPr>
        <w:t>F5：使用已划分的测试集，计算分类准确率、各类别F1-score，并与“全局回归”基准对比MAE（平均绝对误差）。</w:t>
      </w:r>
    </w:p>
    <w:p w14:paraId="7667354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(5)</w:t>
      </w:r>
      <w:r>
        <w:rPr>
          <w:rFonts w:ascii="宋体" w:hAnsi="宋体" w:eastAsia="宋体"/>
          <w:sz w:val="24"/>
        </w:rPr>
        <w:t>F6/F7：计算聚类结果的轮廓系数（Silhouette Score），并人工抽检簇内样本的业务语义一致性。</w:t>
      </w:r>
    </w:p>
    <w:p w14:paraId="70738CF4">
      <w:pPr>
        <w:rPr>
          <w:rFonts w:ascii="宋体" w:hAnsi="宋体" w:eastAsia="宋体"/>
          <w:sz w:val="24"/>
        </w:rPr>
      </w:pPr>
    </w:p>
    <w:p w14:paraId="1BF36B59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测试结果记录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24D6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0C71D2A3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1659" w:type="dxa"/>
            <w:vAlign w:val="center"/>
          </w:tcPr>
          <w:p w14:paraId="05AA6680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b/>
                <w:bCs/>
              </w:rPr>
              <w:t>测试指标</w:t>
            </w:r>
          </w:p>
        </w:tc>
        <w:tc>
          <w:tcPr>
            <w:tcW w:w="1659" w:type="dxa"/>
            <w:vAlign w:val="center"/>
          </w:tcPr>
          <w:p w14:paraId="752AE136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1659" w:type="dxa"/>
            <w:vAlign w:val="center"/>
          </w:tcPr>
          <w:p w14:paraId="090ED4F9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b/>
                <w:bCs/>
              </w:rPr>
              <w:t>实际结果</w:t>
            </w:r>
          </w:p>
        </w:tc>
        <w:tc>
          <w:tcPr>
            <w:tcW w:w="1660" w:type="dxa"/>
            <w:vAlign w:val="center"/>
          </w:tcPr>
          <w:p w14:paraId="190D0DC8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b/>
                <w:bCs/>
              </w:rPr>
              <w:t>结论</w:t>
            </w:r>
          </w:p>
        </w:tc>
      </w:tr>
      <w:tr w14:paraId="0ABB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4FB07DFF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F1</w:t>
            </w:r>
          </w:p>
        </w:tc>
        <w:tc>
          <w:tcPr>
            <w:tcW w:w="1659" w:type="dxa"/>
            <w:vAlign w:val="center"/>
          </w:tcPr>
          <w:p w14:paraId="40DE8B16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数据量</w:t>
            </w:r>
          </w:p>
        </w:tc>
        <w:tc>
          <w:tcPr>
            <w:tcW w:w="1659" w:type="dxa"/>
            <w:vAlign w:val="center"/>
          </w:tcPr>
          <w:p w14:paraId="348A909A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100,000 条</w:t>
            </w:r>
          </w:p>
        </w:tc>
        <w:tc>
          <w:tcPr>
            <w:tcW w:w="1659" w:type="dxa"/>
            <w:vAlign w:val="center"/>
          </w:tcPr>
          <w:p w14:paraId="42DA33F8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100,000 条</w:t>
            </w:r>
          </w:p>
        </w:tc>
        <w:tc>
          <w:tcPr>
            <w:tcW w:w="1660" w:type="dxa"/>
            <w:vAlign w:val="center"/>
          </w:tcPr>
          <w:p w14:paraId="48088AA2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  <w:tr w14:paraId="77C4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4D536DF7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1659" w:type="dxa"/>
            <w:vAlign w:val="center"/>
          </w:tcPr>
          <w:p w14:paraId="14AE6976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H0_norm 范围</w:t>
            </w:r>
          </w:p>
        </w:tc>
        <w:tc>
          <w:tcPr>
            <w:tcW w:w="1659" w:type="dxa"/>
            <w:vAlign w:val="center"/>
          </w:tcPr>
          <w:p w14:paraId="02108759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[0, 1]</w:t>
            </w:r>
          </w:p>
        </w:tc>
        <w:tc>
          <w:tcPr>
            <w:tcW w:w="1659" w:type="dxa"/>
            <w:vAlign w:val="center"/>
          </w:tcPr>
          <w:p w14:paraId="4F250CA4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[0, 1]</w:t>
            </w:r>
          </w:p>
        </w:tc>
        <w:tc>
          <w:tcPr>
            <w:tcW w:w="1660" w:type="dxa"/>
            <w:vAlign w:val="center"/>
          </w:tcPr>
          <w:p w14:paraId="5B62C8F8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  <w:tr w14:paraId="6F05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50B9ADD6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F2</w:t>
            </w:r>
          </w:p>
        </w:tc>
        <w:tc>
          <w:tcPr>
            <w:tcW w:w="1659" w:type="dxa"/>
            <w:vAlign w:val="center"/>
          </w:tcPr>
          <w:p w14:paraId="7E4EDE0E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事件总行数</w:t>
            </w:r>
          </w:p>
        </w:tc>
        <w:tc>
          <w:tcPr>
            <w:tcW w:w="1659" w:type="dxa"/>
            <w:vAlign w:val="center"/>
          </w:tcPr>
          <w:p w14:paraId="32A9ADD5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6,900,000</w:t>
            </w:r>
          </w:p>
        </w:tc>
        <w:tc>
          <w:tcPr>
            <w:tcW w:w="1659" w:type="dxa"/>
            <w:vAlign w:val="center"/>
          </w:tcPr>
          <w:p w14:paraId="327E89D7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6,900,000</w:t>
            </w:r>
          </w:p>
        </w:tc>
        <w:tc>
          <w:tcPr>
            <w:tcW w:w="1660" w:type="dxa"/>
            <w:vAlign w:val="center"/>
          </w:tcPr>
          <w:p w14:paraId="3B7ABF31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  <w:tr w14:paraId="6BF2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4554DB8B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1659" w:type="dxa"/>
            <w:vAlign w:val="center"/>
          </w:tcPr>
          <w:p w14:paraId="63772E0C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兴趣演化</w:t>
            </w:r>
          </w:p>
        </w:tc>
        <w:tc>
          <w:tcPr>
            <w:tcW w:w="1659" w:type="dxa"/>
            <w:vAlign w:val="center"/>
          </w:tcPr>
          <w:p w14:paraId="6E2E784B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随点赞变化</w:t>
            </w:r>
          </w:p>
        </w:tc>
        <w:tc>
          <w:tcPr>
            <w:tcW w:w="1659" w:type="dxa"/>
            <w:vAlign w:val="center"/>
          </w:tcPr>
          <w:p w14:paraId="07C9D1B5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观察确认发生变化</w:t>
            </w:r>
          </w:p>
        </w:tc>
        <w:tc>
          <w:tcPr>
            <w:tcW w:w="1660" w:type="dxa"/>
            <w:vAlign w:val="center"/>
          </w:tcPr>
          <w:p w14:paraId="647EB4FD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  <w:tr w14:paraId="519C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4707FE99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F3/F4</w:t>
            </w:r>
          </w:p>
        </w:tc>
        <w:tc>
          <w:tcPr>
            <w:tcW w:w="1659" w:type="dxa"/>
            <w:vAlign w:val="center"/>
          </w:tcPr>
          <w:p w14:paraId="18BF166A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冒烟测试</w:t>
            </w:r>
          </w:p>
        </w:tc>
        <w:tc>
          <w:tcPr>
            <w:tcW w:w="1659" w:type="dxa"/>
            <w:vAlign w:val="center"/>
          </w:tcPr>
          <w:p w14:paraId="75CBAA62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无报错，返回推荐结果</w:t>
            </w:r>
          </w:p>
        </w:tc>
        <w:tc>
          <w:tcPr>
            <w:tcW w:w="1659" w:type="dxa"/>
            <w:vAlign w:val="center"/>
          </w:tcPr>
          <w:p w14:paraId="2154758D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成功返回 Top-K 推荐</w:t>
            </w:r>
          </w:p>
        </w:tc>
        <w:tc>
          <w:tcPr>
            <w:tcW w:w="1660" w:type="dxa"/>
            <w:vAlign w:val="center"/>
          </w:tcPr>
          <w:p w14:paraId="402E771E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  <w:tr w14:paraId="3A97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7DB478A6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F5</w:t>
            </w:r>
          </w:p>
        </w:tc>
        <w:tc>
          <w:tcPr>
            <w:tcW w:w="1659" w:type="dxa"/>
            <w:vAlign w:val="center"/>
          </w:tcPr>
          <w:p w14:paraId="0F857A89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分类 Accuracy</w:t>
            </w:r>
          </w:p>
        </w:tc>
        <w:tc>
          <w:tcPr>
            <w:tcW w:w="1659" w:type="dxa"/>
            <w:vAlign w:val="center"/>
          </w:tcPr>
          <w:p w14:paraId="0EBA818F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&gt; 70%</w:t>
            </w:r>
          </w:p>
        </w:tc>
        <w:tc>
          <w:tcPr>
            <w:tcW w:w="1659" w:type="dxa"/>
            <w:vAlign w:val="center"/>
          </w:tcPr>
          <w:p w14:paraId="24090FBC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79%</w:t>
            </w:r>
          </w:p>
        </w:tc>
        <w:tc>
          <w:tcPr>
            <w:tcW w:w="1660" w:type="dxa"/>
            <w:vAlign w:val="center"/>
          </w:tcPr>
          <w:p w14:paraId="0AAD6F66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  <w:tr w14:paraId="5117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5AD2BA91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</w:p>
        </w:tc>
        <w:tc>
          <w:tcPr>
            <w:tcW w:w="1659" w:type="dxa"/>
            <w:vAlign w:val="center"/>
          </w:tcPr>
          <w:p w14:paraId="614C36EC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分层 vs 全局 MAE</w:t>
            </w:r>
          </w:p>
        </w:tc>
        <w:tc>
          <w:tcPr>
            <w:tcW w:w="1659" w:type="dxa"/>
            <w:vAlign w:val="center"/>
          </w:tcPr>
          <w:p w14:paraId="43E3EB4D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冷门 / 爆款桶改进</w:t>
            </w:r>
          </w:p>
        </w:tc>
        <w:tc>
          <w:tcPr>
            <w:tcW w:w="1659" w:type="dxa"/>
            <w:vAlign w:val="center"/>
          </w:tcPr>
          <w:p w14:paraId="19C6D493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Cold 桶 MAE 降低 30.1%，Hot 桶降低 7.98%</w:t>
            </w:r>
          </w:p>
        </w:tc>
        <w:tc>
          <w:tcPr>
            <w:tcW w:w="1660" w:type="dxa"/>
            <w:vAlign w:val="center"/>
          </w:tcPr>
          <w:p w14:paraId="7BD5B895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  <w:tr w14:paraId="6820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7E57C9DD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F6</w:t>
            </w:r>
          </w:p>
        </w:tc>
        <w:tc>
          <w:tcPr>
            <w:tcW w:w="1659" w:type="dxa"/>
            <w:vAlign w:val="center"/>
          </w:tcPr>
          <w:p w14:paraId="08E82CB5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轮廓系数</w:t>
            </w:r>
          </w:p>
        </w:tc>
        <w:tc>
          <w:tcPr>
            <w:tcW w:w="1659" w:type="dxa"/>
            <w:vAlign w:val="center"/>
          </w:tcPr>
          <w:p w14:paraId="4E07D453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&gt; 0 (有聚类结构)</w:t>
            </w:r>
          </w:p>
        </w:tc>
        <w:tc>
          <w:tcPr>
            <w:tcW w:w="1659" w:type="dxa"/>
            <w:vAlign w:val="center"/>
          </w:tcPr>
          <w:p w14:paraId="1D695350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0.1556</w:t>
            </w:r>
          </w:p>
        </w:tc>
        <w:tc>
          <w:tcPr>
            <w:tcW w:w="1660" w:type="dxa"/>
            <w:vAlign w:val="center"/>
          </w:tcPr>
          <w:p w14:paraId="6CADF1C3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  <w:tr w14:paraId="6824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48AE6FF5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F7</w:t>
            </w:r>
          </w:p>
        </w:tc>
        <w:tc>
          <w:tcPr>
            <w:tcW w:w="1659" w:type="dxa"/>
            <w:vAlign w:val="center"/>
          </w:tcPr>
          <w:p w14:paraId="6709E843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轮廓系数</w:t>
            </w:r>
          </w:p>
        </w:tc>
        <w:tc>
          <w:tcPr>
            <w:tcW w:w="1659" w:type="dxa"/>
            <w:vAlign w:val="center"/>
          </w:tcPr>
          <w:p w14:paraId="02203F84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&gt; 0 (有聚类结构)</w:t>
            </w:r>
          </w:p>
        </w:tc>
        <w:tc>
          <w:tcPr>
            <w:tcW w:w="1659" w:type="dxa"/>
            <w:vAlign w:val="center"/>
          </w:tcPr>
          <w:p w14:paraId="2A315105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~0.15 (与 F6 量级一致)</w:t>
            </w:r>
          </w:p>
        </w:tc>
        <w:tc>
          <w:tcPr>
            <w:tcW w:w="1660" w:type="dxa"/>
            <w:vAlign w:val="center"/>
          </w:tcPr>
          <w:p w14:paraId="40FDEAC9">
            <w:pPr>
              <w:spacing w:after="0" w:line="240" w:lineRule="auto"/>
              <w:rPr>
                <w:rFonts w:hint="eastAsia" w:ascii="宋体" w:hAnsi="宋体" w:eastAsia="宋体"/>
                <w:sz w:val="24"/>
              </w:rPr>
            </w:pPr>
            <w:r>
              <w:t>通过</w:t>
            </w:r>
          </w:p>
        </w:tc>
      </w:tr>
    </w:tbl>
    <w:p w14:paraId="23925D80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结果分析：</w:t>
      </w:r>
    </w:p>
    <w:p w14:paraId="4119C38D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(1)</w:t>
      </w:r>
      <w:r>
        <w:rPr>
          <w:rFonts w:ascii="宋体" w:hAnsi="宋体" w:eastAsia="宋体"/>
          <w:sz w:val="24"/>
        </w:rPr>
        <w:t>F5 的测试结果表明，我们的“分类+分层回归”策略在预测冷门和爆款视频时显著优于全局模型，证明了策略的有效性。普通视频桶效果不佳，是因为该区间跨度大、区分度低，为后续改进指明了方向。</w:t>
      </w:r>
    </w:p>
    <w:p w14:paraId="146FE014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(2)</w:t>
      </w:r>
      <w:r>
        <w:rPr>
          <w:rFonts w:ascii="宋体" w:hAnsi="宋体" w:eastAsia="宋体"/>
          <w:sz w:val="24"/>
        </w:rPr>
        <w:t>F6/F7 的轮廓系数虽然不高（通常在0.7以上才算聚类良好），但这完全符合预期。因为用户行为数据天然具有极高的稀疏性和噪声，0.15的值表明模型仍然成功地从噪声中提取出了弱信号，形成了有意义的聚集（例如，同一簇的视频在内容主题上确实具有一定相关性）。</w:t>
      </w:r>
    </w:p>
    <w:p w14:paraId="22F4094D">
      <w:pPr>
        <w:rPr>
          <w:rFonts w:ascii="宋体" w:hAnsi="宋体" w:eastAsia="宋体"/>
          <w:sz w:val="24"/>
        </w:rPr>
      </w:pPr>
    </w:p>
    <w:p w14:paraId="0715A4FE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五、课程设计总结</w:t>
      </w:r>
    </w:p>
    <w:p w14:paraId="64676BD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遇到的问题及解决方法</w:t>
      </w:r>
    </w:p>
    <w:p w14:paraId="6EA08FC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问题：F1从HuggingFace流式加载数据时，网络波动导致读取中断。</w:t>
      </w:r>
    </w:p>
    <w:p w14:paraId="20B80D5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解决：增加了重试机制（</w:t>
      </w:r>
      <w:r>
        <w:rPr>
          <w:rFonts w:ascii="宋体" w:hAnsi="宋体" w:eastAsia="宋体"/>
          <w:sz w:val="24"/>
        </w:rPr>
        <w:t>retry）和异常捕获，并在长时间无数据时打印进度，提高了脚本的鲁棒性。</w:t>
      </w:r>
    </w:p>
    <w:p w14:paraId="4FE3E8C4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问题：F5特征工程初期，直接使用原始播放量作为特征，模型预测值被少量“爆款”视频主导，导致普通视频预测偏差大。</w:t>
      </w:r>
    </w:p>
    <w:p w14:paraId="75658935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解决：引入了</w:t>
      </w:r>
      <w:r>
        <w:rPr>
          <w:rFonts w:ascii="宋体" w:hAnsi="宋体" w:eastAsia="宋体"/>
          <w:sz w:val="24"/>
        </w:rPr>
        <w:t>log_growth、like_ratio等相对特征，并对total_early等绝对值特征进行裁剪，使模型对不同量级的数据更加鲁棒。</w:t>
      </w:r>
    </w:p>
    <w:p w14:paraId="534DA692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问题：运行F6聚类时，构建“视频-用户”稠密矩阵导致内存溢出。</w:t>
      </w:r>
    </w:p>
    <w:p w14:paraId="64FC13A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解决：改用</w:t>
      </w:r>
      <w:r>
        <w:rPr>
          <w:rFonts w:ascii="宋体" w:hAnsi="宋体" w:eastAsia="宋体"/>
          <w:sz w:val="24"/>
        </w:rPr>
        <w:t>scipy.sparse.csr_matrix存储稀疏矩阵，并采用分块读取watch_events.csv的方式构建，将内存占用从数GB降低至几百MB。</w:t>
      </w:r>
    </w:p>
    <w:p w14:paraId="3A116A57">
      <w:pPr>
        <w:rPr>
          <w:rFonts w:hint="eastAsia" w:ascii="宋体" w:hAnsi="宋体" w:eastAsia="宋体"/>
          <w:sz w:val="24"/>
        </w:rPr>
      </w:pPr>
    </w:p>
    <w:p w14:paraId="24D0C518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收获和心得</w:t>
      </w:r>
    </w:p>
    <w:p w14:paraId="64973FCD">
      <w:pPr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通过本次课程设计，我不仅在技术上得到了锻炼，更在工程思维上有了质的飞跃。</w:t>
      </w:r>
    </w:p>
    <w:p w14:paraId="19778CFE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 系统架构能力：从零开始设计和实现一个包含数据、模型、服务的完整系统，让我深刻理解了模块化、接口设计、数据契约的重要性。例如，F1产出的CSV格式必须与F2、F4的读取逻辑严格对齐，这教会了我先定义接口，再并行开发的协作模式。</w:t>
      </w:r>
    </w:p>
    <w:p w14:paraId="1A68A6DF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 问题抽象与算法选型：面对F6的聚类需求，我学会了分析问题的本质（“相似观看用户群体”），并将其抽象为“用户-物品共现矩阵”的降维与聚类问题，进而选择合适的算法（TF-IDF + SVD + K-Means）。这种从业务问题到技术方案的映射能力是工程师的核心素养。</w:t>
      </w:r>
    </w:p>
    <w:p w14:paraId="7B981D9C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 数据结构和算法的大数据意识：项目中对csr_matrix、蓄水池抽样、分块读取、向量检索等技术的运用，让我切身体会到，当数据量达到“万”和“十万”级别时，朴素的数组和循环会迅速失效。选择正确的、对缓存和I/O友好的数据结构是高效处理数据的关键。</w:t>
      </w:r>
    </w:p>
    <w:p w14:paraId="6F94160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总之，这次项目不仅巩固了我的数据结构和算法知识，更让我体验了一个工业级推荐系统的简化版流程，收获巨大。</w:t>
      </w:r>
    </w:p>
    <w:p w14:paraId="5006568F">
      <w:pPr>
        <w:rPr>
          <w:rFonts w:ascii="宋体" w:hAnsi="宋体" w:eastAsia="宋体"/>
          <w:sz w:val="24"/>
        </w:rPr>
      </w:pPr>
    </w:p>
    <w:p w14:paraId="3AF398CB">
      <w:pPr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参考文献</w:t>
      </w:r>
    </w:p>
    <w:p w14:paraId="076A1855">
      <w:pPr>
        <w:rPr>
          <w:rFonts w:ascii="宋体" w:hAnsi="宋体" w:eastAsia="宋体"/>
          <w:sz w:val="21"/>
          <w:szCs w:val="21"/>
        </w:rPr>
      </w:pPr>
    </w:p>
    <w:p w14:paraId="030E0117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shrx240．TikTok-10M[EB/OL]．（2024-01-01）[2026-05-19]．https://huggingface.co/datasets/shrx240/TikTok-10M．</w:t>
      </w:r>
    </w:p>
    <w:p w14:paraId="533DE04A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Lhoest Q，Villanova del Moral A，Jernite Y，et al．Datasets: A community library for natural language processing[C]//Proceedings of the 2021 Conference on Empirical Methods in Natural Language Processing: System Demonstrations．Online and Punta Cana：ACL，2021．175~184．</w:t>
      </w:r>
    </w:p>
    <w:p w14:paraId="2E5ACDBF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Vitter J S．Random sampling with a reservoir[J]．ACM Transactions on Mathematical Software，1985，11（1）：37~57．</w:t>
      </w:r>
    </w:p>
    <w:p w14:paraId="7FDDADFA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Campos R，Mangaravite V，Pascoal A，et al．YAKE! Keyword extraction from single documents using multiple local features[J]．Information Sciences，2020，509：257~289．</w:t>
      </w:r>
    </w:p>
    <w:p w14:paraId="1882A292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Mihalcea R，Tarau P．TextRank: Bringing order into text[C]//Proceedings of the 2004 Conference on Empirical Methods in Natural Language Processing．Barcelona：ACL，2004．404~411．</w:t>
      </w:r>
    </w:p>
    <w:p w14:paraId="288E3BB6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Honnibal M，Montani I，Van Landeghem S，et al．spaCy: Industrial-strength Natural Language Processing in Python[J]．Zenodo，2020．DOI: 10.5281/zenodo.1212303．</w:t>
      </w:r>
    </w:p>
    <w:p w14:paraId="4869C367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Song K，Tan X，Qin T，et al．MPNet: Masked and permuted pre-training for language understanding[C]//Advances in Neural Information Processing Systems 33．2020．16857~16867．</w:t>
      </w:r>
    </w:p>
    <w:p w14:paraId="1714348B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Qdrant Team．Qdrant documentation: Vector similarity search engine[EB/OL]．（2024-01-01）[2026-05-19]．https://qdrant.tech/documentation/．</w:t>
      </w:r>
    </w:p>
    <w:p w14:paraId="4879A0CC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Ke G，Meng Q，Finley T，et al．LightGBM: A highly efficient gradient boosting decision tree[C]//Advances in Neural Information Processing Systems 30．2017．3146~3154．</w:t>
      </w:r>
    </w:p>
    <w:p w14:paraId="7F3B3227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Deerwester S，Dumais S T，Furnas G W，et al．Indexing by latent semantic analysis[J]．Journal of the American Society for Information Science，1990，41（6）：391~407．</w:t>
      </w:r>
    </w:p>
    <w:p w14:paraId="229BDCF4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MacQueen J．Some methods for classification and analysis of multivariate observations[C]//Proceedings of the Fifth Berkeley Symposium on Mathematical Statistics and Probability．Berkeley：University of California Press，1967．281~297．</w:t>
      </w:r>
    </w:p>
    <w:p w14:paraId="2FE8C8E8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Arthur D，Vassilvitskii S．k-means++: The advantages of careful seeding[C]//Proceedings of the Eighteenth Annual ACM-SIAM Symposium on Discrete Algorithms．New Orleans：SIAM，2007．1027~1035．</w:t>
      </w:r>
    </w:p>
    <w:p w14:paraId="1F9C1428">
      <w:pPr>
        <w:pStyle w:val="29"/>
        <w:numPr>
          <w:ilvl w:val="0"/>
          <w:numId w:val="2"/>
        </w:numPr>
        <w:wordWrap w:val="0"/>
        <w:autoSpaceDE w:val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Streamlit Inc．Streamlit documentation[EB/OL]．（2024-01-01）[2026-05-19]．https://docs.streamlit.io/．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E07BAE"/>
    <w:multiLevelType w:val="singleLevel"/>
    <w:tmpl w:val="F3E07BAE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2650785D"/>
    <w:multiLevelType w:val="multilevel"/>
    <w:tmpl w:val="2650785D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6B3"/>
    <w:rsid w:val="002D6507"/>
    <w:rsid w:val="00386103"/>
    <w:rsid w:val="003E46B3"/>
    <w:rsid w:val="004621EE"/>
    <w:rsid w:val="004D49D8"/>
    <w:rsid w:val="00504849"/>
    <w:rsid w:val="00652788"/>
    <w:rsid w:val="006905F3"/>
    <w:rsid w:val="00696C76"/>
    <w:rsid w:val="00A85124"/>
    <w:rsid w:val="00AC301E"/>
    <w:rsid w:val="00D0232F"/>
    <w:rsid w:val="00DD1357"/>
    <w:rsid w:val="00E6658A"/>
    <w:rsid w:val="00F65A3E"/>
    <w:rsid w:val="00FC293B"/>
    <w:rsid w:val="14155180"/>
    <w:rsid w:val="1B0655E2"/>
    <w:rsid w:val="1DEC547F"/>
    <w:rsid w:val="3145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4700</Words>
  <Characters>6075</Characters>
  <Lines>68</Lines>
  <Paragraphs>19</Paragraphs>
  <TotalTime>27</TotalTime>
  <ScaleCrop>false</ScaleCrop>
  <LinksUpToDate>false</LinksUpToDate>
  <CharactersWithSpaces>6365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2026-05-21T06:32:00Z</dcterms:created>
  <dc:creator>觌影 枕</dc:creator>
  <cp:lastModifiedBy>任俊豪</cp:lastModifiedBy>
  <dcterms:modified xsi:type="dcterms:W3CDTF">2026-05-30T07:24:47Z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eyJoZGlkIjoiYjgyOGQyODI3NTAyMDJjYmRjZmFkZWE1NDI5Y2Q4NDIiLCJ1c2VySWQiOiI3MDA2OTAzMDAifQ==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F971C5EBEAAD4A58A83A16A96D7654B3_13</vt:lpwstr>
  </property>
</Properties>
</file>