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ACORDUL nr. [___] PRIVIND PRELUCRAREA DATELOR CU CARACTER PERSONAL</w:t>
      </w:r>
    </w:p>
    <w:p>
      <w:pPr>
        <w:spacing w:after="120"/>
        <w:jc w:val="both"/>
      </w:pPr>
      <w:r>
        <w:rPr>
          <w:rFonts w:ascii="Times New Roman" w:cs="Times New Roman" w:eastAsia="Times New Roman" w:hAnsi="Times New Roman"/>
        </w:rPr>
        <w:t xml:space="preserve">la Contractul nr. [___] din [data] (în continuare — „Contractul de bază”)</w:t>
      </w:r>
    </w:p>
    <w:p>
      <w:pPr>
        <w:spacing w:after="120"/>
        <w:jc w:val="both"/>
      </w:pPr>
      <w:r>
        <w:rPr>
          <w:rFonts w:ascii="Times New Roman" w:cs="Times New Roman" w:eastAsia="Times New Roman" w:hAnsi="Times New Roman"/>
        </w:rPr>
        <w:t xml:space="preserve">mun. Chișinău, [data]</w:t>
      </w:r>
    </w:p>
    <w:p>
      <w:pPr>
        <w:spacing w:after="120"/>
        <w:jc w:val="both"/>
      </w:pPr>
      <w:r>
        <w:rPr>
          <w:rFonts w:ascii="Times New Roman" w:cs="Times New Roman" w:eastAsia="Times New Roman" w:hAnsi="Times New Roman"/>
          <w:b/>
          <w:bCs/>
        </w:rPr>
        <w:t xml:space="preserve">„LAROMVAL” SRL</w:t>
      </w:r>
      <w:r>
        <w:rPr>
          <w:rFonts w:ascii="Times New Roman" w:cs="Times New Roman" w:eastAsia="Times New Roman" w:hAnsi="Times New Roman"/>
        </w:rPr>
        <w:t xml:space="preserve">, IDNO 1005600005795, cu sediul juridic: MD-2062, mun. Chișinău, str. Dacia 32, of. 2, reprezentată de administratorul [nume, prenume], care acționează în baza Statutului (în continuare — </w:t>
      </w:r>
      <w:r>
        <w:rPr>
          <w:rFonts w:ascii="Times New Roman" w:cs="Times New Roman" w:eastAsia="Times New Roman" w:hAnsi="Times New Roman"/>
          <w:b/>
          <w:bCs/>
        </w:rPr>
        <w:t xml:space="preserve">„Operatorul”</w:t>
      </w:r>
      <w:r>
        <w:rPr>
          <w:rFonts w:ascii="Times New Roman" w:cs="Times New Roman" w:eastAsia="Times New Roman" w:hAnsi="Times New Roman"/>
        </w:rPr>
        <w:t xml:space="preserve">),</w:t>
      </w:r>
    </w:p>
    <w:p>
      <w:pPr>
        <w:spacing w:after="120"/>
        <w:jc w:val="both"/>
      </w:pPr>
      <w:r>
        <w:rPr>
          <w:rFonts w:ascii="Times New Roman" w:cs="Times New Roman" w:eastAsia="Times New Roman" w:hAnsi="Times New Roman"/>
        </w:rPr>
        <w:t xml:space="preserve">și</w:t>
      </w:r>
    </w:p>
    <w:p>
      <w:pPr>
        <w:spacing w:after="120"/>
        <w:jc w:val="both"/>
      </w:pPr>
      <w:r>
        <w:rPr>
          <w:rFonts w:ascii="Times New Roman" w:cs="Times New Roman" w:eastAsia="Times New Roman" w:hAnsi="Times New Roman"/>
          <w:b/>
          <w:bCs/>
        </w:rPr>
        <w:t xml:space="preserve">[denumirea]</w:t>
      </w:r>
      <w:r>
        <w:rPr>
          <w:rFonts w:ascii="Times New Roman" w:cs="Times New Roman" w:eastAsia="Times New Roman" w:hAnsi="Times New Roman"/>
        </w:rPr>
        <w:t xml:space="preserve">, IDNO [___], cu sediul juridic: [___], reprezentată de [funcția, nume, prenume], care acționează în baza [___] (în continuare — </w:t>
      </w:r>
      <w:r>
        <w:rPr>
          <w:rFonts w:ascii="Times New Roman" w:cs="Times New Roman" w:eastAsia="Times New Roman" w:hAnsi="Times New Roman"/>
          <w:b/>
          <w:bCs/>
        </w:rPr>
        <w:t xml:space="preserve">„Persoana împuternicită”</w:t>
      </w:r>
      <w:r>
        <w:rPr>
          <w:rFonts w:ascii="Times New Roman" w:cs="Times New Roman" w:eastAsia="Times New Roman" w:hAnsi="Times New Roman"/>
        </w:rPr>
        <w:t xml:space="preserve">),</w:t>
      </w:r>
    </w:p>
    <w:p>
      <w:pPr>
        <w:spacing w:after="120"/>
        <w:jc w:val="both"/>
      </w:pPr>
      <w:r>
        <w:rPr>
          <w:rFonts w:ascii="Times New Roman" w:cs="Times New Roman" w:eastAsia="Times New Roman" w:hAnsi="Times New Roman"/>
        </w:rPr>
        <w:t xml:space="preserve">denumite împreună „Părțile”, au încheiat prezentul Acord privind următoarele.</w:t>
      </w:r>
    </w:p>
    <w:p>
      <w:pPr>
        <w:keepNext/>
        <w:spacing w:after="120" w:before="240"/>
      </w:pPr>
      <w:r>
        <w:rPr>
          <w:rFonts w:ascii="Times New Roman" w:cs="Times New Roman" w:eastAsia="Times New Roman" w:hAnsi="Times New Roman"/>
          <w:b/>
          <w:bCs/>
        </w:rPr>
        <w:t xml:space="preserve">1. Noțiuni</w:t>
      </w:r>
    </w:p>
    <w:p>
      <w:pPr>
        <w:spacing w:after="120"/>
        <w:jc w:val="both"/>
      </w:pPr>
      <w:r>
        <w:rPr>
          <w:rFonts w:ascii="Times New Roman" w:cs="Times New Roman" w:eastAsia="Times New Roman" w:hAnsi="Times New Roman"/>
        </w:rPr>
        <w:t xml:space="preserve">1.1. Noțiunile „date cu caracter personal”, „prelucrare”, „operator”, „persoană împuternicită de operator”, „persoană vizată”, „încălcarea securității datelor cu caracter personal” au sensul prevăzut de Legea nr. 195/2024 privind protecția datelor cu caracter personal (în continuare — „Legea”).</w:t>
      </w:r>
    </w:p>
    <w:p>
      <w:pPr>
        <w:keepNext/>
        <w:spacing w:after="120" w:before="240"/>
      </w:pPr>
      <w:r>
        <w:rPr>
          <w:rFonts w:ascii="Times New Roman" w:cs="Times New Roman" w:eastAsia="Times New Roman" w:hAnsi="Times New Roman"/>
          <w:b/>
          <w:bCs/>
        </w:rPr>
        <w:t xml:space="preserve">2. Obiectul Acordului</w:t>
      </w:r>
    </w:p>
    <w:p>
      <w:pPr>
        <w:spacing w:after="120"/>
        <w:jc w:val="both"/>
      </w:pPr>
      <w:r>
        <w:rPr>
          <w:rFonts w:ascii="Times New Roman" w:cs="Times New Roman" w:eastAsia="Times New Roman" w:hAnsi="Times New Roman"/>
        </w:rPr>
        <w:t xml:space="preserve">2.1. Persoana împuternicită prelucrează date cu caracter personal în numele și din însărcinarea Operatorului, exclusiv în scopul executării Contractului de bază.</w:t>
      </w:r>
    </w:p>
    <w:p>
      <w:pPr>
        <w:spacing w:after="120"/>
        <w:jc w:val="both"/>
      </w:pPr>
      <w:r>
        <w:rPr>
          <w:rFonts w:ascii="Times New Roman" w:cs="Times New Roman" w:eastAsia="Times New Roman" w:hAnsi="Times New Roman"/>
        </w:rPr>
        <w:t xml:space="preserve">2.2. Obiectul, durata, natura și scopul prelucrării, tipurile de date cu caracter personal și categoriile de persoane vizate sunt indicate în </w:t>
      </w:r>
      <w:r>
        <w:rPr>
          <w:rFonts w:ascii="Times New Roman" w:cs="Times New Roman" w:eastAsia="Times New Roman" w:hAnsi="Times New Roman"/>
          <w:b/>
          <w:bCs/>
        </w:rPr>
        <w:t xml:space="preserve">Anexa 1</w:t>
      </w:r>
      <w:r>
        <w:rPr>
          <w:rFonts w:ascii="Times New Roman" w:cs="Times New Roman" w:eastAsia="Times New Roman" w:hAnsi="Times New Roman"/>
        </w:rPr>
        <w:t xml:space="preserve">.</w:t>
      </w:r>
    </w:p>
    <w:p>
      <w:pPr>
        <w:spacing w:after="120"/>
        <w:jc w:val="both"/>
      </w:pPr>
      <w:r>
        <w:rPr>
          <w:rFonts w:ascii="Times New Roman" w:cs="Times New Roman" w:eastAsia="Times New Roman" w:hAnsi="Times New Roman"/>
        </w:rPr>
        <w:t xml:space="preserve">2.3. Operatorul stabilește scopurile și mijloacele prelucrării. Persoana împuternicită nu are dreptul să prelucreze datele cu caracter personal în scopuri proprii.</w:t>
      </w:r>
    </w:p>
    <w:p>
      <w:pPr>
        <w:keepNext/>
        <w:spacing w:after="120" w:before="240"/>
      </w:pPr>
      <w:r>
        <w:rPr>
          <w:rFonts w:ascii="Times New Roman" w:cs="Times New Roman" w:eastAsia="Times New Roman" w:hAnsi="Times New Roman"/>
          <w:b/>
          <w:bCs/>
        </w:rPr>
        <w:t xml:space="preserve">3. Obligațiile Persoanei împuternicite</w:t>
      </w:r>
    </w:p>
    <w:p>
      <w:pPr>
        <w:spacing w:after="120"/>
        <w:jc w:val="both"/>
      </w:pPr>
      <w:r>
        <w:rPr>
          <w:rFonts w:ascii="Times New Roman" w:cs="Times New Roman" w:eastAsia="Times New Roman" w:hAnsi="Times New Roman"/>
        </w:rPr>
        <w:t xml:space="preserve">Persoana împuternicită se obligă:</w:t>
      </w:r>
    </w:p>
    <w:p>
      <w:pPr>
        <w:spacing w:after="120"/>
        <w:jc w:val="both"/>
      </w:pPr>
      <w:r>
        <w:rPr>
          <w:rFonts w:ascii="Times New Roman" w:cs="Times New Roman" w:eastAsia="Times New Roman" w:hAnsi="Times New Roman"/>
        </w:rPr>
        <w:t xml:space="preserve">3.1. </w:t>
      </w:r>
      <w:r>
        <w:rPr>
          <w:rFonts w:ascii="Times New Roman" w:cs="Times New Roman" w:eastAsia="Times New Roman" w:hAnsi="Times New Roman"/>
          <w:b/>
          <w:bCs/>
        </w:rPr>
        <w:t xml:space="preserve">Instrucțiuni.</w:t>
      </w:r>
      <w:r>
        <w:rPr>
          <w:rFonts w:ascii="Times New Roman" w:cs="Times New Roman" w:eastAsia="Times New Roman" w:hAnsi="Times New Roman"/>
        </w:rPr>
        <w:t xml:space="preserve"> Să prelucreze datele cu caracter personal numai pe baza instrucțiunilor documentate ale Operatorului (prezentul Acord, Contractul de bază, indicații scrise, inclusiv prin e-mail de la adresele indicate în capitolul 12), inclusiv în ceea ce privește transferul datelor către alte state — cu excepția cazurilor în care prelucrarea este impusă de lege; în acest caz, să informeze Operatorul înainte de începerea prelucrării, dacă legea nu interzice acest lucru.</w:t>
      </w:r>
    </w:p>
    <w:p>
      <w:pPr>
        <w:spacing w:after="120"/>
        <w:jc w:val="both"/>
      </w:pPr>
      <w:r>
        <w:rPr>
          <w:rFonts w:ascii="Times New Roman" w:cs="Times New Roman" w:eastAsia="Times New Roman" w:hAnsi="Times New Roman"/>
        </w:rPr>
        <w:t xml:space="preserve">3.2. </w:t>
      </w:r>
      <w:r>
        <w:rPr>
          <w:rFonts w:ascii="Times New Roman" w:cs="Times New Roman" w:eastAsia="Times New Roman" w:hAnsi="Times New Roman"/>
          <w:b/>
          <w:bCs/>
        </w:rPr>
        <w:t xml:space="preserve">Instrucțiuni ilegale.</w:t>
      </w:r>
      <w:r>
        <w:rPr>
          <w:rFonts w:ascii="Times New Roman" w:cs="Times New Roman" w:eastAsia="Times New Roman" w:hAnsi="Times New Roman"/>
        </w:rPr>
        <w:t xml:space="preserve"> Să informeze imediat Operatorul dacă, în opinia sa, o instrucțiune încalcă Legea.</w:t>
      </w:r>
    </w:p>
    <w:p>
      <w:pPr>
        <w:spacing w:after="120"/>
        <w:jc w:val="both"/>
      </w:pPr>
      <w:r>
        <w:rPr>
          <w:rFonts w:ascii="Times New Roman" w:cs="Times New Roman" w:eastAsia="Times New Roman" w:hAnsi="Times New Roman"/>
        </w:rPr>
        <w:t xml:space="preserve">3.3. </w:t>
      </w:r>
      <w:r>
        <w:rPr>
          <w:rFonts w:ascii="Times New Roman" w:cs="Times New Roman" w:eastAsia="Times New Roman" w:hAnsi="Times New Roman"/>
          <w:b/>
          <w:bCs/>
        </w:rPr>
        <w:t xml:space="preserve">Confidențialitate.</w:t>
      </w:r>
      <w:r>
        <w:rPr>
          <w:rFonts w:ascii="Times New Roman" w:cs="Times New Roman" w:eastAsia="Times New Roman" w:hAnsi="Times New Roman"/>
        </w:rPr>
        <w:t xml:space="preserve"> Să permită accesul la datele cu caracter personal doar angajaților și persoanelor pentru care acesta este necesar în vederea executării Contractului de bază și care și-au asumat un angajament de confidențialitate sau au o obligație legală de confidențialitate. Angajamentul rămâne în vigoare și după încetarea activității lor.</w:t>
      </w:r>
    </w:p>
    <w:p>
      <w:pPr>
        <w:spacing w:after="120"/>
        <w:jc w:val="both"/>
      </w:pPr>
      <w:r>
        <w:rPr>
          <w:rFonts w:ascii="Times New Roman" w:cs="Times New Roman" w:eastAsia="Times New Roman" w:hAnsi="Times New Roman"/>
        </w:rPr>
        <w:t xml:space="preserve">3.4. </w:t>
      </w:r>
      <w:r>
        <w:rPr>
          <w:rFonts w:ascii="Times New Roman" w:cs="Times New Roman" w:eastAsia="Times New Roman" w:hAnsi="Times New Roman"/>
          <w:b/>
          <w:bCs/>
        </w:rPr>
        <w:t xml:space="preserve">Securitate.</w:t>
      </w:r>
      <w:r>
        <w:rPr>
          <w:rFonts w:ascii="Times New Roman" w:cs="Times New Roman" w:eastAsia="Times New Roman" w:hAnsi="Times New Roman"/>
        </w:rPr>
        <w:t xml:space="preserve"> Să aplice măsuri tehnice și organizatorice corespunzătoare riscului (art. 32 din Lege), cel puțin cele indicate în </w:t>
      </w:r>
      <w:r>
        <w:rPr>
          <w:rFonts w:ascii="Times New Roman" w:cs="Times New Roman" w:eastAsia="Times New Roman" w:hAnsi="Times New Roman"/>
          <w:b/>
          <w:bCs/>
        </w:rPr>
        <w:t xml:space="preserve">Anexa 2</w:t>
      </w:r>
      <w:r>
        <w:rPr>
          <w:rFonts w:ascii="Times New Roman" w:cs="Times New Roman" w:eastAsia="Times New Roman" w:hAnsi="Times New Roman"/>
        </w:rPr>
        <w:t xml:space="preserve">.</w:t>
      </w:r>
    </w:p>
    <w:p>
      <w:pPr>
        <w:spacing w:after="120"/>
        <w:jc w:val="both"/>
      </w:pPr>
      <w:r>
        <w:rPr>
          <w:rFonts w:ascii="Times New Roman" w:cs="Times New Roman" w:eastAsia="Times New Roman" w:hAnsi="Times New Roman"/>
        </w:rPr>
        <w:t xml:space="preserve">3.5. </w:t>
      </w:r>
      <w:r>
        <w:rPr>
          <w:rFonts w:ascii="Times New Roman" w:cs="Times New Roman" w:eastAsia="Times New Roman" w:hAnsi="Times New Roman"/>
          <w:b/>
          <w:bCs/>
        </w:rPr>
        <w:t xml:space="preserve">Alte persoane împuternicite.</w:t>
      </w:r>
      <w:r>
        <w:rPr>
          <w:rFonts w:ascii="Times New Roman" w:cs="Times New Roman" w:eastAsia="Times New Roman" w:hAnsi="Times New Roman"/>
        </w:rPr>
        <w:t xml:space="preserve"> Să nu recurgă la o altă persoană împuternicită fără autorizarea prealabilă scrisă a Operatorului. Persoanele împuternicite autorizate la data semnării sunt enumerate în </w:t>
      </w:r>
      <w:r>
        <w:rPr>
          <w:rFonts w:ascii="Times New Roman" w:cs="Times New Roman" w:eastAsia="Times New Roman" w:hAnsi="Times New Roman"/>
          <w:b/>
          <w:bCs/>
        </w:rPr>
        <w:t xml:space="preserve">Anexa 3</w:t>
      </w:r>
      <w:r>
        <w:rPr>
          <w:rFonts w:ascii="Times New Roman" w:cs="Times New Roman" w:eastAsia="Times New Roman" w:hAnsi="Times New Roman"/>
        </w:rPr>
        <w:t xml:space="preserve">. Despre înlocuirea sau adăugarea planificată a unei alte persoane împuternicite, să informeze Operatorul în scris cu cel puțin [14] zile înainte; Operatorul are dreptul să obiecteze. Celeilalte persoane împuternicite i se impun obligații privind protecția datelor cel puțin la fel de stricte ca cele din prezentul Acord; pentru acțiunile acesteia, Persoana împuternicită răspunde față de Operator ca pentru propriile acțiuni.</w:t>
      </w:r>
    </w:p>
    <w:p>
      <w:pPr>
        <w:spacing w:after="120"/>
        <w:jc w:val="both"/>
      </w:pPr>
      <w:r>
        <w:rPr>
          <w:rFonts w:ascii="Times New Roman" w:cs="Times New Roman" w:eastAsia="Times New Roman" w:hAnsi="Times New Roman"/>
        </w:rPr>
        <w:t xml:space="preserve">3.6. </w:t>
      </w:r>
      <w:r>
        <w:rPr>
          <w:rFonts w:ascii="Times New Roman" w:cs="Times New Roman" w:eastAsia="Times New Roman" w:hAnsi="Times New Roman"/>
          <w:b/>
          <w:bCs/>
        </w:rPr>
        <w:t xml:space="preserve">Drepturile persoanelor vizate.</w:t>
      </w:r>
      <w:r>
        <w:rPr>
          <w:rFonts w:ascii="Times New Roman" w:cs="Times New Roman" w:eastAsia="Times New Roman" w:hAnsi="Times New Roman"/>
        </w:rPr>
        <w:t xml:space="preserve"> Să ajute Operatorul, prin măsuri adecvate, să răspundă cererilor persoanelor vizate (acces, rectificare, ștergere, restricționare, portabilitate, opoziție). O cerere primită direct de Persoana împuternicită se transmite Operatorului în termen de [3] zile lucrătoare, fără a răspunde pe fond.</w:t>
      </w:r>
    </w:p>
    <w:p>
      <w:pPr>
        <w:spacing w:after="120"/>
        <w:jc w:val="both"/>
      </w:pPr>
      <w:r>
        <w:rPr>
          <w:rFonts w:ascii="Times New Roman" w:cs="Times New Roman" w:eastAsia="Times New Roman" w:hAnsi="Times New Roman"/>
        </w:rPr>
        <w:t xml:space="preserve">3.7. </w:t>
      </w:r>
      <w:r>
        <w:rPr>
          <w:rFonts w:ascii="Times New Roman" w:cs="Times New Roman" w:eastAsia="Times New Roman" w:hAnsi="Times New Roman"/>
          <w:b/>
          <w:bCs/>
        </w:rPr>
        <w:t xml:space="preserve">Asistarea Operatorului.</w:t>
      </w:r>
      <w:r>
        <w:rPr>
          <w:rFonts w:ascii="Times New Roman" w:cs="Times New Roman" w:eastAsia="Times New Roman" w:hAnsi="Times New Roman"/>
        </w:rPr>
        <w:t xml:space="preserve"> Ținând cont de natura prelucrării și de informațiile de care dispune, să ajute Operatorul să își îndeplinească obligațiile privind securitatea prelucrării, notificarea încălcărilor, evaluarea impactului și consultarea prealabilă a CNPDCP (art. 32–36 din Lege).</w:t>
      </w:r>
    </w:p>
    <w:p>
      <w:pPr>
        <w:spacing w:after="120"/>
        <w:jc w:val="both"/>
      </w:pPr>
      <w:r>
        <w:rPr>
          <w:rFonts w:ascii="Times New Roman" w:cs="Times New Roman" w:eastAsia="Times New Roman" w:hAnsi="Times New Roman"/>
        </w:rPr>
        <w:t xml:space="preserve">3.8. </w:t>
      </w:r>
      <w:r>
        <w:rPr>
          <w:rFonts w:ascii="Times New Roman" w:cs="Times New Roman" w:eastAsia="Times New Roman" w:hAnsi="Times New Roman"/>
          <w:b/>
          <w:bCs/>
        </w:rPr>
        <w:t xml:space="preserve">Încălcarea securității datelor.</w:t>
      </w:r>
      <w:r>
        <w:rPr>
          <w:rFonts w:ascii="Times New Roman" w:cs="Times New Roman" w:eastAsia="Times New Roman" w:hAnsi="Times New Roman"/>
        </w:rPr>
        <w:t xml:space="preserve"> Să notifice Operatorul despre încălcarea securității datelor cu caracter personal fără întârzieri nejustificate și </w:t>
      </w:r>
      <w:r>
        <w:rPr>
          <w:rFonts w:ascii="Times New Roman" w:cs="Times New Roman" w:eastAsia="Times New Roman" w:hAnsi="Times New Roman"/>
          <w:b/>
          <w:bCs/>
        </w:rPr>
        <w:t xml:space="preserve">nu mai târziu de [24] de ore</w:t>
      </w:r>
      <w:r>
        <w:rPr>
          <w:rFonts w:ascii="Times New Roman" w:cs="Times New Roman" w:eastAsia="Times New Roman" w:hAnsi="Times New Roman"/>
        </w:rPr>
        <w:t xml:space="preserve"> de la momentul în care a luat cunoștință de aceasta — pentru ca Operatorul să poată notifica CNPDCP în termen de 72 de ore. Notificarea cuprinde: natura încălcării, categoriile și numărul aproximativ de persoane vizate și de înregistrări afectate, consecințele probabile, măsurile luate și propuse, datele de contact ale persoanei responsabile. Informațiile lipsă se comunică pe măsură ce devin disponibile.</w:t>
      </w:r>
    </w:p>
    <w:p>
      <w:pPr>
        <w:spacing w:after="120"/>
        <w:jc w:val="both"/>
      </w:pPr>
      <w:r>
        <w:rPr>
          <w:rFonts w:ascii="Times New Roman" w:cs="Times New Roman" w:eastAsia="Times New Roman" w:hAnsi="Times New Roman"/>
        </w:rPr>
        <w:t xml:space="preserve">3.9. </w:t>
      </w:r>
      <w:r>
        <w:rPr>
          <w:rFonts w:ascii="Times New Roman" w:cs="Times New Roman" w:eastAsia="Times New Roman" w:hAnsi="Times New Roman"/>
          <w:b/>
          <w:bCs/>
        </w:rPr>
        <w:t xml:space="preserve">Încetarea prelucrării.</w:t>
      </w:r>
      <w:r>
        <w:rPr>
          <w:rFonts w:ascii="Times New Roman" w:cs="Times New Roman" w:eastAsia="Times New Roman" w:hAnsi="Times New Roman"/>
        </w:rPr>
        <w:t xml:space="preserve"> La încetarea Contractului de bază sau la cererea Operatorului — la alegerea Operatorului, să șteargă datele cu caracter personal sau să le returneze, ștergând copiile, în termen de [30] de zile, și să confirme acest lucru în scris, dacă legea nu impune păstrarea datelor pentru o perioadă mai lungă.</w:t>
      </w:r>
    </w:p>
    <w:p>
      <w:pPr>
        <w:spacing w:after="120"/>
        <w:jc w:val="both"/>
      </w:pPr>
      <w:r>
        <w:rPr>
          <w:rFonts w:ascii="Times New Roman" w:cs="Times New Roman" w:eastAsia="Times New Roman" w:hAnsi="Times New Roman"/>
        </w:rPr>
        <w:t xml:space="preserve">3.10. </w:t>
      </w:r>
      <w:r>
        <w:rPr>
          <w:rFonts w:ascii="Times New Roman" w:cs="Times New Roman" w:eastAsia="Times New Roman" w:hAnsi="Times New Roman"/>
          <w:b/>
          <w:bCs/>
        </w:rPr>
        <w:t xml:space="preserve">Verificări.</w:t>
      </w:r>
      <w:r>
        <w:rPr>
          <w:rFonts w:ascii="Times New Roman" w:cs="Times New Roman" w:eastAsia="Times New Roman" w:hAnsi="Times New Roman"/>
        </w:rPr>
        <w:t xml:space="preserve"> Să pună la dispoziția Operatorului informațiile necesare pentru a demonstra respectarea prezentului Acord și să permită verificări (inclusiv sub formă de chestionar scris sau documente), efectuate de Operator sau de un auditor împuternicit de acesta, cu o notificare prealabilă de cel puțin [10] zile lucrătoare, nu mai des de [o] dată pe an, cu excepția cazurilor de încălcare a securității datelor sau a solicitării CNPDCP.</w:t>
      </w:r>
    </w:p>
    <w:p>
      <w:pPr>
        <w:spacing w:after="120"/>
        <w:jc w:val="both"/>
      </w:pPr>
      <w:r>
        <w:rPr>
          <w:rFonts w:ascii="Times New Roman" w:cs="Times New Roman" w:eastAsia="Times New Roman" w:hAnsi="Times New Roman"/>
        </w:rPr>
        <w:t xml:space="preserve">3.11. </w:t>
      </w:r>
      <w:r>
        <w:rPr>
          <w:rFonts w:ascii="Times New Roman" w:cs="Times New Roman" w:eastAsia="Times New Roman" w:hAnsi="Times New Roman"/>
          <w:b/>
          <w:bCs/>
        </w:rPr>
        <w:t xml:space="preserve">Evidența.</w:t>
      </w:r>
      <w:r>
        <w:rPr>
          <w:rFonts w:ascii="Times New Roman" w:cs="Times New Roman" w:eastAsia="Times New Roman" w:hAnsi="Times New Roman"/>
        </w:rPr>
        <w:t xml:space="preserve"> Să țină evidența categoriilor de activități de prelucrare efectuate în numele Operatorului, dacă acest lucru este impus de art. 30 din Lege.</w:t>
      </w:r>
    </w:p>
    <w:p>
      <w:pPr>
        <w:keepNext/>
        <w:spacing w:after="120" w:before="240"/>
      </w:pPr>
      <w:r>
        <w:rPr>
          <w:rFonts w:ascii="Times New Roman" w:cs="Times New Roman" w:eastAsia="Times New Roman" w:hAnsi="Times New Roman"/>
          <w:b/>
          <w:bCs/>
        </w:rPr>
        <w:t xml:space="preserve">4. Transferul datelor în străinătate</w:t>
      </w:r>
    </w:p>
    <w:p>
      <w:pPr>
        <w:spacing w:after="120"/>
        <w:jc w:val="both"/>
      </w:pPr>
      <w:r>
        <w:rPr>
          <w:rFonts w:ascii="Times New Roman" w:cs="Times New Roman" w:eastAsia="Times New Roman" w:hAnsi="Times New Roman"/>
        </w:rPr>
        <w:t xml:space="preserve">4.1. Persoana împuternicită stochează și prelucrează datele cu caracter personal în Republica Moldova și/sau în statele Spațiului Economic European.</w:t>
      </w:r>
    </w:p>
    <w:p>
      <w:pPr>
        <w:spacing w:after="120"/>
        <w:jc w:val="both"/>
      </w:pPr>
      <w:r>
        <w:rPr>
          <w:rFonts w:ascii="Times New Roman" w:cs="Times New Roman" w:eastAsia="Times New Roman" w:hAnsi="Times New Roman"/>
        </w:rPr>
        <w:t xml:space="preserve">4.2. Transferul datelor către alte state se face numai cu acordul prealabil scris al Operatorului și în prezența garanțiilor prevăzute la art. 44–50 din Lege (decizie privind caracterul adecvat, clauze contractuale standard etc.).</w:t>
      </w:r>
    </w:p>
    <w:p>
      <w:pPr>
        <w:keepNext/>
        <w:spacing w:after="120" w:before="240"/>
      </w:pPr>
      <w:r>
        <w:rPr>
          <w:rFonts w:ascii="Times New Roman" w:cs="Times New Roman" w:eastAsia="Times New Roman" w:hAnsi="Times New Roman"/>
          <w:b/>
          <w:bCs/>
        </w:rPr>
        <w:t xml:space="preserve">5. Obligațiile Operatorului</w:t>
      </w:r>
    </w:p>
    <w:p>
      <w:pPr>
        <w:spacing w:after="120"/>
        <w:jc w:val="both"/>
      </w:pPr>
      <w:r>
        <w:rPr>
          <w:rFonts w:ascii="Times New Roman" w:cs="Times New Roman" w:eastAsia="Times New Roman" w:hAnsi="Times New Roman"/>
        </w:rPr>
        <w:t xml:space="preserve">5.1. Operatorul răspunde de existența temeiului legal al prelucrării și de informarea persoanelor vizate.</w:t>
      </w:r>
    </w:p>
    <w:p>
      <w:pPr>
        <w:spacing w:after="120"/>
        <w:jc w:val="both"/>
      </w:pPr>
      <w:r>
        <w:rPr>
          <w:rFonts w:ascii="Times New Roman" w:cs="Times New Roman" w:eastAsia="Times New Roman" w:hAnsi="Times New Roman"/>
        </w:rPr>
        <w:t xml:space="preserve">5.2. Operatorul transmite Persoanei împuternicite instrucțiuni în formă scrisă și doar datele cu caracter personal necesare pentru executarea Contractului de bază.</w:t>
      </w:r>
    </w:p>
    <w:p>
      <w:pPr>
        <w:keepNext/>
        <w:spacing w:after="120" w:before="240"/>
      </w:pPr>
      <w:r>
        <w:rPr>
          <w:rFonts w:ascii="Times New Roman" w:cs="Times New Roman" w:eastAsia="Times New Roman" w:hAnsi="Times New Roman"/>
          <w:b/>
          <w:bCs/>
        </w:rPr>
        <w:t xml:space="preserve">6. Răspunderea</w:t>
      </w:r>
    </w:p>
    <w:p>
      <w:pPr>
        <w:spacing w:after="120"/>
        <w:jc w:val="both"/>
      </w:pPr>
      <w:r>
        <w:rPr>
          <w:rFonts w:ascii="Times New Roman" w:cs="Times New Roman" w:eastAsia="Times New Roman" w:hAnsi="Times New Roman"/>
        </w:rPr>
        <w:t xml:space="preserve">6.1. Fiecare Parte răspunde pentru prejudiciul cauzat prin încălcarea Legii sau a prezentului Acord, în conformitate cu legislația Republicii Moldova.</w:t>
      </w:r>
    </w:p>
    <w:p>
      <w:pPr>
        <w:spacing w:after="120"/>
        <w:jc w:val="both"/>
      </w:pPr>
      <w:r>
        <w:rPr>
          <w:rFonts w:ascii="Times New Roman" w:cs="Times New Roman" w:eastAsia="Times New Roman" w:hAnsi="Times New Roman"/>
        </w:rPr>
        <w:t xml:space="preserve">6.2. Persoana împuternicită compensează Operatorului prejudiciile, inclusiv sumele amenzilor aplicate de CNPDCP și despăgubirile achitate persoanelor vizate, dacă acestea au apărut din cauza încălcării de către Persoana împuternicită a prezentului Acord sau a instrucțiunilor Operatorului. [Limitarea răspunderii — de comun acord.]</w:t>
      </w:r>
    </w:p>
    <w:p>
      <w:pPr>
        <w:keepNext/>
        <w:spacing w:after="120" w:before="240"/>
      </w:pPr>
      <w:r>
        <w:rPr>
          <w:rFonts w:ascii="Times New Roman" w:cs="Times New Roman" w:eastAsia="Times New Roman" w:hAnsi="Times New Roman"/>
          <w:b/>
          <w:bCs/>
        </w:rPr>
        <w:t xml:space="preserve">7. Confidențialitatea</w:t>
      </w:r>
    </w:p>
    <w:p>
      <w:pPr>
        <w:spacing w:after="120"/>
        <w:jc w:val="both"/>
      </w:pPr>
      <w:r>
        <w:rPr>
          <w:rFonts w:ascii="Times New Roman" w:cs="Times New Roman" w:eastAsia="Times New Roman" w:hAnsi="Times New Roman"/>
        </w:rPr>
        <w:t xml:space="preserve">7.1. Părțile păstrează confidențialitatea datelor cu caracter personal și a informațiilor despre măsurile de securitate ale celeilalte Părți. Obligația este valabilă pe termen nelimitat.</w:t>
      </w:r>
    </w:p>
    <w:p>
      <w:pPr>
        <w:keepNext/>
        <w:spacing w:after="120" w:before="240"/>
      </w:pPr>
      <w:r>
        <w:rPr>
          <w:rFonts w:ascii="Times New Roman" w:cs="Times New Roman" w:eastAsia="Times New Roman" w:hAnsi="Times New Roman"/>
          <w:b/>
          <w:bCs/>
        </w:rPr>
        <w:t xml:space="preserve">8. Durata Acordului</w:t>
      </w:r>
    </w:p>
    <w:p>
      <w:pPr>
        <w:spacing w:after="120"/>
        <w:jc w:val="both"/>
      </w:pPr>
      <w:r>
        <w:rPr>
          <w:rFonts w:ascii="Times New Roman" w:cs="Times New Roman" w:eastAsia="Times New Roman" w:hAnsi="Times New Roman"/>
        </w:rPr>
        <w:t xml:space="preserve">8.1. Acordul intră în vigoare la data semnării și este valabil atât timp cât Persoana împuternicită prelucrează date cu caracter personal din însărcinarea Operatorului, inclusiv pe durata termenului prevăzut la pct. 3.9.</w:t>
      </w:r>
    </w:p>
    <w:p>
      <w:pPr>
        <w:spacing w:after="120"/>
        <w:jc w:val="both"/>
      </w:pPr>
      <w:r>
        <w:rPr>
          <w:rFonts w:ascii="Times New Roman" w:cs="Times New Roman" w:eastAsia="Times New Roman" w:hAnsi="Times New Roman"/>
        </w:rPr>
        <w:t xml:space="preserve">8.2. În cazul unei încălcări esențiale a prezentului Acord, Operatorul are dreptul să suspende unilateral transmiterea datelor și să rezilieze Contractul de bază.</w:t>
      </w:r>
    </w:p>
    <w:p>
      <w:pPr>
        <w:keepNext/>
        <w:spacing w:after="120" w:before="240"/>
      </w:pPr>
      <w:r>
        <w:rPr>
          <w:rFonts w:ascii="Times New Roman" w:cs="Times New Roman" w:eastAsia="Times New Roman" w:hAnsi="Times New Roman"/>
          <w:b/>
          <w:bCs/>
        </w:rPr>
        <w:t xml:space="preserve">9. Prioritatea</w:t>
      </w:r>
    </w:p>
    <w:p>
      <w:pPr>
        <w:spacing w:after="120"/>
        <w:jc w:val="both"/>
      </w:pPr>
      <w:r>
        <w:rPr>
          <w:rFonts w:ascii="Times New Roman" w:cs="Times New Roman" w:eastAsia="Times New Roman" w:hAnsi="Times New Roman"/>
        </w:rPr>
        <w:t xml:space="preserve">9.1. În ceea ce privește prelucrarea datelor cu caracter personal, prezentul Acord are prioritate față de Contractul de bază.</w:t>
      </w:r>
    </w:p>
    <w:p>
      <w:pPr>
        <w:keepNext/>
        <w:spacing w:after="120" w:before="240"/>
      </w:pPr>
      <w:r>
        <w:rPr>
          <w:rFonts w:ascii="Times New Roman" w:cs="Times New Roman" w:eastAsia="Times New Roman" w:hAnsi="Times New Roman"/>
          <w:b/>
          <w:bCs/>
        </w:rPr>
        <w:t xml:space="preserve">10. Legea aplicabilă și litigiile</w:t>
      </w:r>
    </w:p>
    <w:p>
      <w:pPr>
        <w:spacing w:after="120"/>
        <w:jc w:val="both"/>
      </w:pPr>
      <w:r>
        <w:rPr>
          <w:rFonts w:ascii="Times New Roman" w:cs="Times New Roman" w:eastAsia="Times New Roman" w:hAnsi="Times New Roman"/>
        </w:rPr>
        <w:t xml:space="preserve">10.1. Se aplică legislația Republicii Moldova. Litigiile se soluționează pe cale amiabilă, iar în lipsa unei înțelegeri — de către instanțele judecătorești ale Republicii Moldova.</w:t>
      </w:r>
    </w:p>
    <w:p>
      <w:pPr>
        <w:keepNext/>
        <w:spacing w:after="120" w:before="240"/>
      </w:pPr>
      <w:r>
        <w:rPr>
          <w:rFonts w:ascii="Times New Roman" w:cs="Times New Roman" w:eastAsia="Times New Roman" w:hAnsi="Times New Roman"/>
          <w:b/>
          <w:bCs/>
        </w:rPr>
        <w:t xml:space="preserve">11. Dispoziții finale</w:t>
      </w:r>
    </w:p>
    <w:p>
      <w:pPr>
        <w:spacing w:after="120"/>
        <w:jc w:val="both"/>
      </w:pPr>
      <w:r>
        <w:rPr>
          <w:rFonts w:ascii="Times New Roman" w:cs="Times New Roman" w:eastAsia="Times New Roman" w:hAnsi="Times New Roman"/>
        </w:rPr>
        <w:t xml:space="preserve">11.1. Modificările se fac numai în formă scrisă, semnate de ambele Părți.</w:t>
      </w:r>
    </w:p>
    <w:p>
      <w:pPr>
        <w:spacing w:after="120"/>
        <w:jc w:val="both"/>
      </w:pPr>
      <w:r>
        <w:rPr>
          <w:rFonts w:ascii="Times New Roman" w:cs="Times New Roman" w:eastAsia="Times New Roman" w:hAnsi="Times New Roman"/>
        </w:rPr>
        <w:t xml:space="preserve">11.2. Acordul este întocmit în două exemplare, câte unul pentru fiecare Parte, în limba [română].</w:t>
      </w:r>
    </w:p>
    <w:p>
      <w:pPr>
        <w:keepNext/>
        <w:spacing w:after="120" w:before="240"/>
      </w:pPr>
      <w:r>
        <w:rPr>
          <w:rFonts w:ascii="Times New Roman" w:cs="Times New Roman" w:eastAsia="Times New Roman" w:hAnsi="Times New Roman"/>
          <w:b/>
          <w:bCs/>
        </w:rPr>
        <w:t xml:space="preserve">12. Contacte pentru protecția datelor</w:t>
      </w:r>
    </w:p>
    <w:p>
      <w:pPr>
        <w:tabs>
          <w:tab w:val="left" w:pos="567"/>
        </w:tabs>
        <w:spacing w:after="80"/>
        <w:ind w:left="567" w:hanging="283"/>
      </w:pPr>
      <w:r>
        <w:rPr>
          <w:rFonts w:ascii="Times New Roman" w:cs="Times New Roman" w:eastAsia="Times New Roman" w:hAnsi="Times New Roman"/>
        </w:rPr>
        <w:t xml:space="preserve">–	</w:t>
      </w:r>
      <w:r>
        <w:rPr>
          <w:rFonts w:ascii="Times New Roman" w:cs="Times New Roman" w:eastAsia="Times New Roman" w:hAnsi="Times New Roman"/>
        </w:rPr>
        <w:t xml:space="preserve">Operatorul: [nume, prenume / funcția], [e-mail], [telefon]</w:t>
      </w:r>
    </w:p>
    <w:p>
      <w:pPr>
        <w:tabs>
          <w:tab w:val="left" w:pos="567"/>
        </w:tabs>
        <w:spacing w:after="80"/>
        <w:ind w:left="567" w:hanging="283"/>
      </w:pPr>
      <w:r>
        <w:rPr>
          <w:rFonts w:ascii="Times New Roman" w:cs="Times New Roman" w:eastAsia="Times New Roman" w:hAnsi="Times New Roman"/>
        </w:rPr>
        <w:t xml:space="preserve">–	</w:t>
      </w:r>
      <w:r>
        <w:rPr>
          <w:rFonts w:ascii="Times New Roman" w:cs="Times New Roman" w:eastAsia="Times New Roman" w:hAnsi="Times New Roman"/>
        </w:rPr>
        <w:t xml:space="preserve">Persoana împuternicită: [nume, prenume / funcția], [e-mail], [telefon]</w:t>
      </w:r>
    </w:p>
    <w:p>
      <w:pPr>
        <w:keepNext/>
        <w:spacing w:after="120" w:before="240"/>
      </w:pPr>
      <w:r>
        <w:rPr>
          <w:rFonts w:ascii="Times New Roman" w:cs="Times New Roman" w:eastAsia="Times New Roman" w:hAnsi="Times New Roman"/>
          <w:b/>
          <w:bCs/>
        </w:rPr>
        <w:t xml:space="preserve">Semnăturile Părților</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8"/>
        <w:gridCol w:w="4819"/>
      </w:tblGrid>
      <w:tr>
        <w:trPr>
          <w:tblHeader w:val="off"/>
        </w:trPr>
        <w:tc>
          <w:tcPr>
            <w:tcW w:type="dxa" w:w="481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bCs/>
                <w:sz w:val="20"/>
                <w:szCs w:val="20"/>
              </w:rPr>
              <w:t xml:space="preserve">Operatorul</w:t>
            </w:r>
          </w:p>
        </w:tc>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bCs/>
                <w:sz w:val="20"/>
                <w:szCs w:val="20"/>
              </w:rPr>
              <w:t xml:space="preserve">Persoana împuternicită</w:t>
            </w:r>
          </w:p>
        </w:tc>
      </w:tr>
      <w:tr>
        <w:trPr>
          <w:tblHeader w:val="off"/>
        </w:trPr>
        <w:tc>
          <w:tcPr>
            <w:tcW w:type="dxa" w:w="481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val="false"/>
                <w:bCs w:val="false"/>
                <w:sz w:val="20"/>
                <w:szCs w:val="20"/>
              </w:rPr>
              <w:t xml:space="preserve">„LAROMVAL” SRL</w:t>
            </w:r>
          </w:p>
        </w:tc>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val="false"/>
                <w:bCs w:val="false"/>
                <w:sz w:val="20"/>
                <w:szCs w:val="20"/>
              </w:rPr>
              <w:t xml:space="preserve">[denumirea]</w:t>
            </w:r>
          </w:p>
        </w:tc>
      </w:tr>
      <w:tr>
        <w:trPr>
          <w:tblHeader w:val="off"/>
        </w:trPr>
        <w:tc>
          <w:tcPr>
            <w:tcW w:type="dxa" w:w="481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val="false"/>
                <w:bCs w:val="false"/>
                <w:sz w:val="20"/>
                <w:szCs w:val="20"/>
              </w:rPr>
              <w:t xml:space="preserve">Administrator ____________ [nume, prenume]</w:t>
            </w:r>
          </w:p>
        </w:tc>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val="false"/>
                <w:bCs w:val="false"/>
                <w:sz w:val="20"/>
                <w:szCs w:val="20"/>
              </w:rPr>
              <w:t xml:space="preserve">[funcția] ____________ [nume, prenume]</w:t>
            </w:r>
          </w:p>
        </w:tc>
      </w:tr>
      <w:tr>
        <w:trPr>
          <w:tblHeader w:val="off"/>
        </w:trPr>
        <w:tc>
          <w:tcPr>
            <w:tcW w:type="dxa" w:w="481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val="false"/>
                <w:bCs w:val="false"/>
                <w:sz w:val="20"/>
                <w:szCs w:val="20"/>
              </w:rPr>
              <w:t xml:space="preserve">L.Ș.</w:t>
            </w:r>
          </w:p>
        </w:tc>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120"/>
            </w:pPr>
            <w:r>
              <w:rPr>
                <w:rFonts w:ascii="Times New Roman" w:cs="Times New Roman" w:eastAsia="Times New Roman" w:hAnsi="Times New Roman"/>
                <w:b w:val="false"/>
                <w:bCs w:val="false"/>
                <w:sz w:val="20"/>
                <w:szCs w:val="20"/>
              </w:rPr>
              <w:t xml:space="preserve">L.Ș.</w:t>
            </w:r>
          </w:p>
        </w:tc>
      </w:tr>
    </w:tbl>
    <w:p/>
    <w:p>
      <w:pPr>
        <w:pageBreakBefore/>
        <w:spacing w:after="240" w:before="0"/>
        <w:jc w:val="center"/>
      </w:pPr>
      <w:r>
        <w:rPr>
          <w:rFonts w:ascii="Times New Roman" w:cs="Times New Roman" w:eastAsia="Times New Roman" w:hAnsi="Times New Roman"/>
          <w:b/>
          <w:bCs/>
          <w:sz w:val="28"/>
          <w:szCs w:val="28"/>
        </w:rPr>
        <w:t xml:space="preserve">Anexa 1. Descrierea prelucrării</w:t>
      </w:r>
    </w:p>
    <w:p>
      <w:pPr>
        <w:spacing w:after="120"/>
        <w:jc w:val="both"/>
      </w:pPr>
      <w:r>
        <w:rPr>
          <w:rFonts w:ascii="Times New Roman" w:cs="Times New Roman" w:eastAsia="Times New Roman" w:hAnsi="Times New Roman"/>
        </w:rPr>
        <w:t xml:space="preserve">Se completează pentru fiecare persoană împuternicită. Mai jos — modele pentru principalii parteneri ai casa24.md; coloanele care nu se aplică se șterg.</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701"/>
        <w:gridCol w:w="1984"/>
        <w:gridCol w:w="1984"/>
        <w:gridCol w:w="1984"/>
        <w:gridCol w:w="1984"/>
      </w:tblGrid>
      <w:tr>
        <w:trPr>
          <w:tblHeader/>
        </w:trPr>
        <w:tc>
          <w:tcPr>
            <w:tcW w:type="dxa" w:w="1701"/>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17"/>
                <w:szCs w:val="17"/>
              </w:rPr>
              <w:t xml:space="preserve">Parametru</w:t>
            </w:r>
          </w:p>
        </w:tc>
        <w:tc>
          <w:tcPr>
            <w:tcW w:type="dxa" w:w="1984"/>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17"/>
                <w:szCs w:val="17"/>
              </w:rPr>
              <w:t xml:space="preserve">Găzduire web (TopHost)</w:t>
            </w:r>
          </w:p>
        </w:tc>
        <w:tc>
          <w:tcPr>
            <w:tcW w:type="dxa" w:w="1984"/>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17"/>
                <w:szCs w:val="17"/>
              </w:rPr>
              <w:t xml:space="preserve">Dezvoltatorul site-ului (CLICK WEB DESIGN)</w:t>
            </w:r>
          </w:p>
        </w:tc>
        <w:tc>
          <w:tcPr>
            <w:tcW w:type="dxa" w:w="1984"/>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17"/>
                <w:szCs w:val="17"/>
              </w:rPr>
              <w:t xml:space="preserve">Contabilitate / 1C</w:t>
            </w:r>
          </w:p>
        </w:tc>
        <w:tc>
          <w:tcPr>
            <w:tcW w:type="dxa" w:w="1984"/>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17"/>
                <w:szCs w:val="17"/>
              </w:rPr>
              <w:t xml:space="preserve">Serviciu de curierat</w:t>
            </w:r>
          </w:p>
        </w:tc>
      </w:tr>
      <w:tr>
        <w:trPr>
          <w:tblHeader w:val="off"/>
        </w:trPr>
        <w:tc>
          <w:tcPr>
            <w:tcW w:type="dxa" w:w="17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Obiectul și natura</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Stocarea fișierelor și a bazei de date a site-ului, a poștei electronice, a copiilor de rezervă</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Dezvoltare, mentenanță, remedierea erorilor, cu acces la panoul de administrare și la server</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Evidența comenzilor și a achitărilor, transferul comenzilor între site și 1C</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Livrarea comenzilor către cumpărători</w:t>
            </w:r>
          </w:p>
        </w:tc>
      </w:tr>
      <w:tr>
        <w:trPr>
          <w:tblHeader w:val="off"/>
        </w:trPr>
        <w:tc>
          <w:tcPr>
            <w:tcW w:type="dxa" w:w="17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Scopul</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Funcționarea site-ului casa24.md și a poștei electronice</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Mentenanța site-ului</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Evidența contabilă și de depozit</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Executarea contractului de vânzare-cumpărare</w:t>
            </w:r>
          </w:p>
        </w:tc>
      </w:tr>
      <w:tr>
        <w:trPr>
          <w:tblHeader w:val="off"/>
        </w:trPr>
        <w:tc>
          <w:tcPr>
            <w:tcW w:type="dxa" w:w="17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Categorii de persoane vizate</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Cumpărători, utilizatori înregistrați, vizitatori, autori ai solicitărilor</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Aceleași</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Cumpărători</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Cumpărători-destinatari</w:t>
            </w:r>
          </w:p>
        </w:tc>
      </w:tr>
      <w:tr>
        <w:trPr>
          <w:tblHeader w:val="off"/>
        </w:trPr>
        <w:tc>
          <w:tcPr>
            <w:tcW w:type="dxa" w:w="17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Tipuri de date</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Nume, prenume, telefon, e-mail, adresa de livrare, conținutul și suma comenzii, contul de utilizator (login, hash-ul parolei), adresa IP, cookie-uri, corespondență</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Aceleași — în volumul necesar pentru lucrarea concretă</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Nume, prenume, telefon, adresă, conținutul și suma comenzii, modalitatea și statutul achitării</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Nume, prenume, telefon, adresa de livrare, suma de achitat la primire</w:t>
            </w:r>
          </w:p>
        </w:tc>
      </w:tr>
      <w:tr>
        <w:trPr>
          <w:tblHeader w:val="off"/>
        </w:trPr>
        <w:tc>
          <w:tcPr>
            <w:tcW w:type="dxa" w:w="17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Categorii speciale de date</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Nu</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Nu</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Nu</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Nu</w:t>
            </w:r>
          </w:p>
        </w:tc>
      </w:tr>
      <w:tr>
        <w:trPr>
          <w:tblHeader w:val="off"/>
        </w:trPr>
        <w:tc>
          <w:tcPr>
            <w:tcW w:type="dxa" w:w="17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Durata</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Durata Contractului de bază</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Durata lucrărilor / mentenanței</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Durata Contractului de bază</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Durata livrării + [___]</w:t>
            </w:r>
          </w:p>
        </w:tc>
      </w:tr>
      <w:tr>
        <w:trPr>
          <w:tblHeader w:val="off"/>
        </w:trPr>
        <w:tc>
          <w:tcPr>
            <w:tcW w:type="dxa" w:w="170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Locul prelucrării</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[țara centrului de date — de precizat]</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Republica Moldova</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[___]</w:t>
            </w:r>
          </w:p>
        </w:tc>
        <w:tc>
          <w:tcPr>
            <w:tcW w:type="dxa" w:w="19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7"/>
                <w:szCs w:val="17"/>
              </w:rPr>
              <w:t xml:space="preserve">Republica Moldova</w:t>
            </w:r>
          </w:p>
        </w:tc>
      </w:tr>
    </w:tbl>
    <w:p/>
    <w:p>
      <w:pPr>
        <w:spacing w:after="120"/>
        <w:jc w:val="both"/>
      </w:pPr>
      <w:r>
        <w:rPr>
          <w:rFonts w:ascii="Times New Roman" w:cs="Times New Roman" w:eastAsia="Times New Roman" w:hAnsi="Times New Roman"/>
        </w:rPr>
        <w:t xml:space="preserve">Datele cardurilor bancare sunt prelucrate de maib pe pagina sa de achitare; site-ul și persoanele împuternicite enumerate nu le primesc.</w:t>
      </w:r>
    </w:p>
    <w:p>
      <w:pPr>
        <w:pageBreakBefore/>
        <w:spacing w:after="240" w:before="0"/>
        <w:jc w:val="center"/>
      </w:pPr>
      <w:r>
        <w:rPr>
          <w:rFonts w:ascii="Times New Roman" w:cs="Times New Roman" w:eastAsia="Times New Roman" w:hAnsi="Times New Roman"/>
          <w:b/>
          <w:bCs/>
          <w:sz w:val="28"/>
          <w:szCs w:val="28"/>
        </w:rPr>
        <w:t xml:space="preserve">Anexa 2. Măsuri minime de securitate</w:t>
      </w:r>
    </w:p>
    <w:p>
      <w:pPr>
        <w:tabs>
          <w:tab w:val="left" w:pos="567"/>
        </w:tabs>
        <w:spacing w:after="80"/>
        <w:ind w:left="567" w:hanging="567"/>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Accesul la date — numai prin conturi personale, conform principiului drepturilor minime necesare; accesul se retrage la încetarea lucrărilor.</w:t>
      </w:r>
    </w:p>
    <w:p>
      <w:pPr>
        <w:tabs>
          <w:tab w:val="left" w:pos="567"/>
        </w:tabs>
        <w:spacing w:after="80"/>
        <w:ind w:left="567" w:hanging="567"/>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Parole sigure, autentificare în doi pași pentru accesul administrativ (panoul de găzduire, wp-admin, SSH — prin chei).</w:t>
      </w:r>
    </w:p>
    <w:p>
      <w:pPr>
        <w:tabs>
          <w:tab w:val="left" w:pos="567"/>
        </w:tabs>
        <w:spacing w:after="80"/>
        <w:ind w:left="567" w:hanging="567"/>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Transmiterea datelor — numai prin canale criptate (HTTPS, SFTP/SSH). Parolele și exporturile cu date cu caracter personal nu se transmit în text deschis prin e-mail sau mesagerie.</w:t>
      </w:r>
    </w:p>
    <w:p>
      <w:pPr>
        <w:tabs>
          <w:tab w:val="left" w:pos="567"/>
        </w:tabs>
        <w:spacing w:after="80"/>
        <w:ind w:left="567" w:hanging="567"/>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Copii de rezervă — regulat, în afara accesului public de pe web, cu acces restricționat și cu verificarea restabilirii.</w:t>
      </w:r>
    </w:p>
    <w:p>
      <w:pPr>
        <w:tabs>
          <w:tab w:val="left" w:pos="567"/>
        </w:tabs>
        <w:spacing w:after="80"/>
        <w:ind w:left="567" w:hanging="567"/>
        <w:jc w:val="both"/>
      </w:pPr>
      <w:r>
        <w:rPr>
          <w:rFonts w:ascii="Times New Roman" w:cs="Times New Roman" w:eastAsia="Times New Roman" w:hAnsi="Times New Roman"/>
        </w:rPr>
        <w:t xml:space="preserve">5.	</w:t>
      </w:r>
      <w:r>
        <w:rPr>
          <w:rFonts w:ascii="Times New Roman" w:cs="Times New Roman" w:eastAsia="Times New Roman" w:hAnsi="Times New Roman"/>
        </w:rPr>
        <w:t xml:space="preserve">Exporturile cu date cu caracter personal (CSV, copii ale bazei de date) nu se păstrează în directoare publice, în depozite de cod sau pe dispozitive personale mai mult decât este necesar pentru sarcina respectivă.</w:t>
      </w:r>
    </w:p>
    <w:p>
      <w:pPr>
        <w:tabs>
          <w:tab w:val="left" w:pos="567"/>
        </w:tabs>
        <w:spacing w:after="80"/>
        <w:ind w:left="567" w:hanging="567"/>
        <w:jc w:val="both"/>
      </w:pPr>
      <w:r>
        <w:rPr>
          <w:rFonts w:ascii="Times New Roman" w:cs="Times New Roman" w:eastAsia="Times New Roman" w:hAnsi="Times New Roman"/>
        </w:rPr>
        <w:t xml:space="preserve">6.	</w:t>
      </w:r>
      <w:r>
        <w:rPr>
          <w:rFonts w:ascii="Times New Roman" w:cs="Times New Roman" w:eastAsia="Times New Roman" w:hAnsi="Times New Roman"/>
        </w:rPr>
        <w:t xml:space="preserve">Actualizarea la timp a programelor (sistemul de operare, PHP, WordPress, module), protecția împotriva programelor malițioase.</w:t>
      </w:r>
    </w:p>
    <w:p>
      <w:pPr>
        <w:tabs>
          <w:tab w:val="left" w:pos="567"/>
        </w:tabs>
        <w:spacing w:after="80"/>
        <w:ind w:left="567" w:hanging="567"/>
        <w:jc w:val="both"/>
      </w:pPr>
      <w:r>
        <w:rPr>
          <w:rFonts w:ascii="Times New Roman" w:cs="Times New Roman" w:eastAsia="Times New Roman" w:hAnsi="Times New Roman"/>
        </w:rPr>
        <w:t xml:space="preserve">7.	</w:t>
      </w:r>
      <w:r>
        <w:rPr>
          <w:rFonts w:ascii="Times New Roman" w:cs="Times New Roman" w:eastAsia="Times New Roman" w:hAnsi="Times New Roman"/>
        </w:rPr>
        <w:t xml:space="preserve">Jurnalizarea accesului administrativ, cu păstrarea jurnalelor cel puțin [6] luni.</w:t>
      </w:r>
    </w:p>
    <w:p>
      <w:pPr>
        <w:tabs>
          <w:tab w:val="left" w:pos="567"/>
        </w:tabs>
        <w:spacing w:after="80"/>
        <w:ind w:left="567" w:hanging="567"/>
        <w:jc w:val="both"/>
      </w:pPr>
      <w:r>
        <w:rPr>
          <w:rFonts w:ascii="Times New Roman" w:cs="Times New Roman" w:eastAsia="Times New Roman" w:hAnsi="Times New Roman"/>
        </w:rPr>
        <w:t xml:space="preserve">8.	</w:t>
      </w:r>
      <w:r>
        <w:rPr>
          <w:rFonts w:ascii="Times New Roman" w:cs="Times New Roman" w:eastAsia="Times New Roman" w:hAnsi="Times New Roman"/>
        </w:rPr>
        <w:t xml:space="preserve">Instruirea angajaților cu acces la date și angajamentul de confidențialitate.</w:t>
      </w:r>
    </w:p>
    <w:p>
      <w:pPr>
        <w:tabs>
          <w:tab w:val="left" w:pos="567"/>
        </w:tabs>
        <w:spacing w:after="80"/>
        <w:ind w:left="567" w:hanging="567"/>
        <w:jc w:val="both"/>
      </w:pPr>
      <w:r>
        <w:rPr>
          <w:rFonts w:ascii="Times New Roman" w:cs="Times New Roman" w:eastAsia="Times New Roman" w:hAnsi="Times New Roman"/>
        </w:rPr>
        <w:t xml:space="preserve">9.	</w:t>
      </w:r>
      <w:r>
        <w:rPr>
          <w:rFonts w:ascii="Times New Roman" w:cs="Times New Roman" w:eastAsia="Times New Roman" w:hAnsi="Times New Roman"/>
        </w:rPr>
        <w:t xml:space="preserve">Procedura de reacție la incidente, cu notificarea Operatorului în termenul prevăzut la pct. 3.8.</w:t>
      </w:r>
    </w:p>
    <w:p>
      <w:pPr>
        <w:pageBreakBefore/>
        <w:spacing w:after="240" w:before="0"/>
        <w:jc w:val="center"/>
      </w:pPr>
      <w:r>
        <w:rPr>
          <w:rFonts w:ascii="Times New Roman" w:cs="Times New Roman" w:eastAsia="Times New Roman" w:hAnsi="Times New Roman"/>
          <w:b/>
          <w:bCs/>
          <w:sz w:val="28"/>
          <w:szCs w:val="28"/>
        </w:rPr>
        <w:t xml:space="preserve">Anexa 3. Alte persoane împuternicite autorizate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0"/>
      </w:tblGrid>
      <w:tr>
        <w:trPr>
          <w:tblHeader/>
        </w:trPr>
        <w:tc>
          <w:tcPr>
            <w:tcW w:type="dxa" w:w="2409"/>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20"/>
                <w:szCs w:val="20"/>
              </w:rPr>
              <w:t xml:space="preserve">Denumirea</w:t>
            </w:r>
          </w:p>
        </w:tc>
        <w:tc>
          <w:tcPr>
            <w:tcW w:type="dxa" w:w="2409"/>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20"/>
                <w:szCs w:val="20"/>
              </w:rPr>
              <w:t xml:space="preserve">Țara</w:t>
            </w:r>
          </w:p>
        </w:tc>
        <w:tc>
          <w:tcPr>
            <w:tcW w:type="dxa" w:w="2409"/>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20"/>
                <w:szCs w:val="20"/>
              </w:rPr>
              <w:t xml:space="preserve">Ce face</w:t>
            </w:r>
          </w:p>
        </w:tc>
        <w:tc>
          <w:tcPr>
            <w:tcW w:type="dxa" w:w="241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before="0"/>
            </w:pPr>
            <w:r>
              <w:rPr>
                <w:rFonts w:ascii="Times New Roman" w:cs="Times New Roman" w:eastAsia="Times New Roman" w:hAnsi="Times New Roman"/>
                <w:b/>
                <w:bCs/>
                <w:sz w:val="20"/>
                <w:szCs w:val="20"/>
              </w:rPr>
              <w:t xml:space="preserve">Cu ce date</w:t>
            </w:r>
          </w:p>
        </w:tc>
      </w:tr>
      <w:tr>
        <w:trPr>
          <w:tblHeader w:val="off"/>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20"/>
                <w:szCs w:val="20"/>
              </w:rPr>
              <w:t xml:space="preserve">[___]</w:t>
            </w:r>
          </w:p>
        </w:tc>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20"/>
                <w:szCs w:val="20"/>
              </w:rPr>
              <w:t xml:space="preserve">[___]</w:t>
            </w:r>
          </w:p>
        </w:tc>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20"/>
                <w:szCs w:val="20"/>
              </w:rPr>
              <w:t xml:space="preserve">[___]</w:t>
            </w:r>
          </w:p>
        </w:tc>
        <w:tc>
          <w:tcPr>
            <w:tcW w:type="dxa" w:w="24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20"/>
                <w:szCs w:val="20"/>
              </w:rPr>
              <w:t xml:space="preserve">[___]</w:t>
            </w:r>
          </w:p>
        </w:tc>
      </w:tr>
    </w:tbl>
    <w:p/>
    <w:p>
      <w:pPr>
        <w:spacing w:after="120"/>
        <w:jc w:val="both"/>
      </w:pPr>
      <w:r>
        <w:rPr>
          <w:rFonts w:ascii="Times New Roman" w:cs="Times New Roman" w:eastAsia="Times New Roman" w:hAnsi="Times New Roman"/>
        </w:rPr>
        <w:t xml:space="preserve">Dacă nu există alte persoane împuternicite — se indică „Nu există”.</w:t>
      </w:r>
    </w:p>
    <w:sectPr>
      <w:headerReference w:type="default" r:id="rId6"/>
      <w:footerReference w:type="default" r:id="rId7"/>
      <w:pgSz w:w="11906" w:h="16838" w:orient="portrait"/>
      <w:pgMar w:top="1134" w:right="851"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PROIECT — pentru verificare de către jurist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2026-10-27T09:25:54.564Z</dcterms:created>
  <dcterms:modified xsi:type="dcterms:W3CDTF">2026-10-27T09:25:54.565Z</dcterms:modified>
</cp:coreProperties>
</file>

<file path=docProps/custom.xml><?xml version="1.0" encoding="utf-8"?>
<Properties xmlns="http://schemas.openxmlformats.org/officeDocument/2006/custom-properties" xmlns:vt="http://schemas.openxmlformats.org/officeDocument/2006/docPropsVTypes"/>
</file>