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СОГЛАШЕНИЕ № [___] ОБ ОБРАБОТКЕ ПЕРСОНАЛЬНЫХ ДАННЫХ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к Договору № [___] от [дата] (далее — «Основной договор»)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г. Кишинёв, [дата]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«LAROMVAL» SRL</w:t>
      </w:r>
      <w:r>
        <w:rPr>
          <w:rFonts w:ascii="Times New Roman" w:cs="Times New Roman" w:eastAsia="Times New Roman" w:hAnsi="Times New Roman"/>
        </w:rPr>
        <w:t xml:space="preserve">, IDNO 1005600005795, юридический адрес: MD-2062, мун. Кишинёв, ул. Dacia 32, оф. 2, в лице администратора [ФИО], действующего на основании Устава (далее — </w:t>
      </w:r>
      <w:r>
        <w:rPr>
          <w:rFonts w:ascii="Times New Roman" w:cs="Times New Roman" w:eastAsia="Times New Roman" w:hAnsi="Times New Roman"/>
          <w:b/>
          <w:bCs/>
        </w:rPr>
        <w:t xml:space="preserve">«Оператор»</w:t>
      </w:r>
      <w:r>
        <w:rPr>
          <w:rFonts w:ascii="Times New Roman" w:cs="Times New Roman" w:eastAsia="Times New Roman" w:hAnsi="Times New Roman"/>
        </w:rPr>
        <w:t xml:space="preserve">),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[наименование]</w:t>
      </w:r>
      <w:r>
        <w:rPr>
          <w:rFonts w:ascii="Times New Roman" w:cs="Times New Roman" w:eastAsia="Times New Roman" w:hAnsi="Times New Roman"/>
        </w:rPr>
        <w:t xml:space="preserve">, IDNO [___], юридический адрес: [___], в лице [должность, ФИО], действующего на основании [___] (далее — </w:t>
      </w:r>
      <w:r>
        <w:rPr>
          <w:rFonts w:ascii="Times New Roman" w:cs="Times New Roman" w:eastAsia="Times New Roman" w:hAnsi="Times New Roman"/>
          <w:b/>
          <w:bCs/>
        </w:rPr>
        <w:t xml:space="preserve">«Обработчик»</w:t>
      </w:r>
      <w:r>
        <w:rPr>
          <w:rFonts w:ascii="Times New Roman" w:cs="Times New Roman" w:eastAsia="Times New Roman" w:hAnsi="Times New Roman"/>
        </w:rPr>
        <w:t xml:space="preserve">),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вместе — «Стороны», заключили настоящее Соглашение о нижеследующем.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</w:rPr>
        <w:t xml:space="preserve">1. Термины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1.1. Термины «персональные данные», «обработка», «оператор», «обработчик» (persoană împuternicită de operator), «субъект данных», «нарушение безопасности персональных данных» понимаются в значении Закона РМ № 195/2024 «О защите персональных данных» (далее — «Закон»).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</w:rPr>
        <w:t xml:space="preserve">2. Предмет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2.1. Обработчик обрабатывает персональные данные от имени и по поручению Оператора исключительно в целях исполнения Основного договора.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2.2. Предмет, срок, характер и цель обработки, виды персональных данных и категории субъектов данных указаны в </w:t>
      </w:r>
      <w:r>
        <w:rPr>
          <w:rFonts w:ascii="Times New Roman" w:cs="Times New Roman" w:eastAsia="Times New Roman" w:hAnsi="Times New Roman"/>
          <w:b/>
          <w:bCs/>
        </w:rPr>
        <w:t xml:space="preserve">Приложении 1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2.3. Оператор определяет цели и средства обработки. Обработчик не вправе обрабатывать персональные данные в собственных целях.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</w:rPr>
        <w:t xml:space="preserve">3. Обязанности Обработчика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Обработчик обязуется: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3.1. </w:t>
      </w:r>
      <w:r>
        <w:rPr>
          <w:rFonts w:ascii="Times New Roman" w:cs="Times New Roman" w:eastAsia="Times New Roman" w:hAnsi="Times New Roman"/>
          <w:b/>
          <w:bCs/>
        </w:rPr>
        <w:t xml:space="preserve">По инструкциям.</w:t>
      </w:r>
      <w:r>
        <w:rPr>
          <w:rFonts w:ascii="Times New Roman" w:cs="Times New Roman" w:eastAsia="Times New Roman" w:hAnsi="Times New Roman"/>
        </w:rPr>
        <w:t xml:space="preserve"> Обрабатывать персональные данные только по документированным инструкциям Оператора (настоящее Соглашение, Основной договор, письменные указания, в т. ч. по электронной почте с адресов, указанных в разделе 12), в том числе в части передачи данных в другие государства — кроме случаев, когда обработку требует закон; в таком случае до начала обработки уведомить Оператора, если закон это не запрещает.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3.2. </w:t>
      </w:r>
      <w:r>
        <w:rPr>
          <w:rFonts w:ascii="Times New Roman" w:cs="Times New Roman" w:eastAsia="Times New Roman" w:hAnsi="Times New Roman"/>
          <w:b/>
          <w:bCs/>
        </w:rPr>
        <w:t xml:space="preserve">Незаконная инструкция.</w:t>
      </w:r>
      <w:r>
        <w:rPr>
          <w:rFonts w:ascii="Times New Roman" w:cs="Times New Roman" w:eastAsia="Times New Roman" w:hAnsi="Times New Roman"/>
        </w:rPr>
        <w:t xml:space="preserve"> Незамедлительно сообщить Оператору, если, по его мнению, инструкция нарушает Закон.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3.3. </w:t>
      </w:r>
      <w:r>
        <w:rPr>
          <w:rFonts w:ascii="Times New Roman" w:cs="Times New Roman" w:eastAsia="Times New Roman" w:hAnsi="Times New Roman"/>
          <w:b/>
          <w:bCs/>
        </w:rPr>
        <w:t xml:space="preserve">Конфиденциальность.</w:t>
      </w:r>
      <w:r>
        <w:rPr>
          <w:rFonts w:ascii="Times New Roman" w:cs="Times New Roman" w:eastAsia="Times New Roman" w:hAnsi="Times New Roman"/>
        </w:rPr>
        <w:t xml:space="preserve"> Допускать к персональным данным только работников и лиц, которым это необходимо для исполнения Основного договора и которые приняли обязательство о конфиденциальности или связаны им по закону. Обязательство сохраняется после окончания их работы.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3.4. </w:t>
      </w:r>
      <w:r>
        <w:rPr>
          <w:rFonts w:ascii="Times New Roman" w:cs="Times New Roman" w:eastAsia="Times New Roman" w:hAnsi="Times New Roman"/>
          <w:b/>
          <w:bCs/>
        </w:rPr>
        <w:t xml:space="preserve">Безопасность.</w:t>
      </w:r>
      <w:r>
        <w:rPr>
          <w:rFonts w:ascii="Times New Roman" w:cs="Times New Roman" w:eastAsia="Times New Roman" w:hAnsi="Times New Roman"/>
        </w:rPr>
        <w:t xml:space="preserve"> Применять технические и организационные меры, соответствующие риску (ст. 32 Закона), не ниже указанных в </w:t>
      </w:r>
      <w:r>
        <w:rPr>
          <w:rFonts w:ascii="Times New Roman" w:cs="Times New Roman" w:eastAsia="Times New Roman" w:hAnsi="Times New Roman"/>
          <w:b/>
          <w:bCs/>
        </w:rPr>
        <w:t xml:space="preserve">Приложении 2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3.5. </w:t>
      </w:r>
      <w:r>
        <w:rPr>
          <w:rFonts w:ascii="Times New Roman" w:cs="Times New Roman" w:eastAsia="Times New Roman" w:hAnsi="Times New Roman"/>
          <w:b/>
          <w:bCs/>
        </w:rPr>
        <w:t xml:space="preserve">Субобработчики.</w:t>
      </w:r>
      <w:r>
        <w:rPr>
          <w:rFonts w:ascii="Times New Roman" w:cs="Times New Roman" w:eastAsia="Times New Roman" w:hAnsi="Times New Roman"/>
        </w:rPr>
        <w:t xml:space="preserve"> Не привлекать другого обработчика без предварительного письменного разрешения Оператора. Субобработчики, разрешённые на дату подписания, перечислены в </w:t>
      </w:r>
      <w:r>
        <w:rPr>
          <w:rFonts w:ascii="Times New Roman" w:cs="Times New Roman" w:eastAsia="Times New Roman" w:hAnsi="Times New Roman"/>
          <w:b/>
          <w:bCs/>
        </w:rPr>
        <w:t xml:space="preserve">Приложении 3</w:t>
      </w:r>
      <w:r>
        <w:rPr>
          <w:rFonts w:ascii="Times New Roman" w:cs="Times New Roman" w:eastAsia="Times New Roman" w:hAnsi="Times New Roman"/>
        </w:rPr>
        <w:t xml:space="preserve">. О планируемой замене или добавлении субобработчика уведомлять Оператора письменно не менее чем за [14] дней; Оператор вправе возразить. На субобработчика возлагаются обязанности по защите данных не менее строгие, чем по настоящему Соглашению; за его действия Обработчик отвечает перед Оператором как за свои.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3.6. </w:t>
      </w:r>
      <w:r>
        <w:rPr>
          <w:rFonts w:ascii="Times New Roman" w:cs="Times New Roman" w:eastAsia="Times New Roman" w:hAnsi="Times New Roman"/>
          <w:b/>
          <w:bCs/>
        </w:rPr>
        <w:t xml:space="preserve">Права субъектов данных.</w:t>
      </w:r>
      <w:r>
        <w:rPr>
          <w:rFonts w:ascii="Times New Roman" w:cs="Times New Roman" w:eastAsia="Times New Roman" w:hAnsi="Times New Roman"/>
        </w:rPr>
        <w:t xml:space="preserve"> Помогать Оператору надлежащими мерами отвечать на запросы субъектов данных (доступ, исправление, удаление, ограничение, переносимость, возражение). Запрос, полученный Обработчиком напрямую, — переслать Оператору в течение [3] рабочих дней, самому по существу не отвечать.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3.7. </w:t>
      </w:r>
      <w:r>
        <w:rPr>
          <w:rFonts w:ascii="Times New Roman" w:cs="Times New Roman" w:eastAsia="Times New Roman" w:hAnsi="Times New Roman"/>
          <w:b/>
          <w:bCs/>
        </w:rPr>
        <w:t xml:space="preserve">Содействие Оператору.</w:t>
      </w:r>
      <w:r>
        <w:rPr>
          <w:rFonts w:ascii="Times New Roman" w:cs="Times New Roman" w:eastAsia="Times New Roman" w:hAnsi="Times New Roman"/>
        </w:rPr>
        <w:t xml:space="preserve"> С учётом характера обработки и доступной ему информации помогать Оператору выполнять обязанности по обеспечению безопасности, уведомлению о нарушениях, оценке воздействия и предварительной консультации с CNPDCP (ст. 32–36 Закона).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3.8. </w:t>
      </w:r>
      <w:r>
        <w:rPr>
          <w:rFonts w:ascii="Times New Roman" w:cs="Times New Roman" w:eastAsia="Times New Roman" w:hAnsi="Times New Roman"/>
          <w:b/>
          <w:bCs/>
        </w:rPr>
        <w:t xml:space="preserve">Нарушения безопасности.</w:t>
      </w:r>
      <w:r>
        <w:rPr>
          <w:rFonts w:ascii="Times New Roman" w:cs="Times New Roman" w:eastAsia="Times New Roman" w:hAnsi="Times New Roman"/>
        </w:rPr>
        <w:t xml:space="preserve"> Уведомлять Оператора о нарушении безопасности персональных данных без неоправданной задержки и </w:t>
      </w:r>
      <w:r>
        <w:rPr>
          <w:rFonts w:ascii="Times New Roman" w:cs="Times New Roman" w:eastAsia="Times New Roman" w:hAnsi="Times New Roman"/>
          <w:b/>
          <w:bCs/>
        </w:rPr>
        <w:t xml:space="preserve">не позднее [24] часов</w:t>
      </w:r>
      <w:r>
        <w:rPr>
          <w:rFonts w:ascii="Times New Roman" w:cs="Times New Roman" w:eastAsia="Times New Roman" w:hAnsi="Times New Roman"/>
        </w:rPr>
        <w:t xml:space="preserve"> с момента, как о нём стало известно, — чтобы Оператор успел уведомить CNPDCP в течение 72 часов. В уведомлении указать: характер нарушения, категории и примерное число затронутых субъектов и записей, вероятные последствия, принятые и предлагаемые меры, контакт ответственного лица. Недостающие сведения сообщать по мере получения.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3.9. </w:t>
      </w:r>
      <w:r>
        <w:rPr>
          <w:rFonts w:ascii="Times New Roman" w:cs="Times New Roman" w:eastAsia="Times New Roman" w:hAnsi="Times New Roman"/>
          <w:b/>
          <w:bCs/>
        </w:rPr>
        <w:t xml:space="preserve">Окончание обработки.</w:t>
      </w:r>
      <w:r>
        <w:rPr>
          <w:rFonts w:ascii="Times New Roman" w:cs="Times New Roman" w:eastAsia="Times New Roman" w:hAnsi="Times New Roman"/>
        </w:rPr>
        <w:t xml:space="preserve"> По окончании Основного договора или по требованию Оператора — по выбору Оператора удалить персональные данные или вернуть их, удалив копии, в течение [30] дней, и письменно подтвердить это, если закон не требует хранить данные дольше.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3.10. </w:t>
      </w:r>
      <w:r>
        <w:rPr>
          <w:rFonts w:ascii="Times New Roman" w:cs="Times New Roman" w:eastAsia="Times New Roman" w:hAnsi="Times New Roman"/>
          <w:b/>
          <w:bCs/>
        </w:rPr>
        <w:t xml:space="preserve">Проверки.</w:t>
      </w:r>
      <w:r>
        <w:rPr>
          <w:rFonts w:ascii="Times New Roman" w:cs="Times New Roman" w:eastAsia="Times New Roman" w:hAnsi="Times New Roman"/>
        </w:rPr>
        <w:t xml:space="preserve"> Предоставлять Оператору информацию, необходимую для подтверждения выполнения настоящего Соглашения, и допускать проверки (в т. ч. в форме письменного опросника или документов), проводимые Оператором или уполномоченным им аудитором, с предварительным уведомлением не менее чем за [10] рабочих дней, не чаще [одного] раза в год, кроме случаев нарушения безопасности или запроса CNPDCP.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3.11. </w:t>
      </w:r>
      <w:r>
        <w:rPr>
          <w:rFonts w:ascii="Times New Roman" w:cs="Times New Roman" w:eastAsia="Times New Roman" w:hAnsi="Times New Roman"/>
          <w:b/>
          <w:bCs/>
        </w:rPr>
        <w:t xml:space="preserve">Реестр.</w:t>
      </w:r>
      <w:r>
        <w:rPr>
          <w:rFonts w:ascii="Times New Roman" w:cs="Times New Roman" w:eastAsia="Times New Roman" w:hAnsi="Times New Roman"/>
        </w:rPr>
        <w:t xml:space="preserve"> Вести реестр категорий обработки, осуществляемых от имени Оператора, если этого требует ст. 30 Закона.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</w:rPr>
        <w:t xml:space="preserve">4. Передача данных за рубеж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4.1. Обработчик хранит и обрабатывает персональные данные в Республике Молдова и/или в государствах Европейской экономической зоны.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4.2. Передача данных в иные государства — только с предварительного письменного согласия Оператора и при наличии гарантий, предусмотренных ст. 44–50 Закона (решение об адекватности, стандартные договорные условия и т. п.).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</w:rPr>
        <w:t xml:space="preserve">5. Обязанности Оператора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5.1. Оператор отвечает за наличие законного основания обработки и за информирование субъектов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5.2. Оператор даёт Обработчику инструкции в письменной форме и передаёт только те персональные данные, которые необходимы для исполнения Основного договора.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</w:rPr>
        <w:t xml:space="preserve">6. Ответственность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6.1. Каждая Сторона отвечает за ущерб, причинённый нарушением Закона или настоящего Соглашения, в соответствии с законодательством РМ.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6.2. Обработчик возмещает Оператору убытки, включая суммы штрафов, наложенных CNPDCP, и компенсаций субъектам данных, если они возникли из-за нарушения Обработчиком настоящего Соглашения или инструкций Оператора. [Ограничение ответственности — по согласованию Сторон.]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</w:rPr>
        <w:t xml:space="preserve">7. Конфиденциальность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7.1. Стороны сохраняют конфиденциальность персональных данных и сведений о мерах безопасности друг друга. Обязательство действует бессрочно.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</w:rPr>
        <w:t xml:space="preserve">8. Срок действия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8.1. Соглашение вступает в силу с даты подписания и действует, пока Обработчик обрабатывает персональные данные по поручению Оператора, включая срок, указанный в п. 3.9.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8.2. При существенном нарушении настоящего Соглашения Оператор вправе в одностороннем порядке приостановить передачу данных и расторгнуть Основной договор.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</w:rPr>
        <w:t xml:space="preserve">9. Приоритет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9.1. В части обработки персональных данных настоящее Соглашение имеет приоритет над Основным договором.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</w:rPr>
        <w:t xml:space="preserve">10. Применимое право и споры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10.1. Применяется право Республики Молдова. Споры решаются переговорами, при недостижении согласия — в судебных инстанциях Республики Молдова.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</w:rPr>
        <w:t xml:space="preserve">11. Прочее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11.1. Изменения — только в письменной форме, подписанные обеими Сторонами.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11.2. Соглашение составлено в двух экземплярах, по одному для каждой Стороны, на [румынском] языке.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</w:rPr>
        <w:t xml:space="preserve">12. Контакты по вопросам защиты данных</w:t>
      </w:r>
    </w:p>
    <w:p>
      <w:pPr>
        <w:tabs>
          <w:tab w:val="left" w:pos="567"/>
        </w:tabs>
        <w:spacing w:after="80"/>
        <w:ind w:left="567" w:hanging="283"/>
      </w:pPr>
      <w:r>
        <w:rPr>
          <w:rFonts w:ascii="Times New Roman" w:cs="Times New Roman" w:eastAsia="Times New Roman" w:hAnsi="Times New Roman"/>
        </w:rPr>
        <w:t xml:space="preserve">–	</w:t>
      </w:r>
      <w:r>
        <w:rPr>
          <w:rFonts w:ascii="Times New Roman" w:cs="Times New Roman" w:eastAsia="Times New Roman" w:hAnsi="Times New Roman"/>
        </w:rPr>
        <w:t xml:space="preserve">Оператор: [ФИО / должность], [e-mail], [телефон]</w:t>
      </w:r>
    </w:p>
    <w:p>
      <w:pPr>
        <w:tabs>
          <w:tab w:val="left" w:pos="567"/>
        </w:tabs>
        <w:spacing w:after="80"/>
        <w:ind w:left="567" w:hanging="283"/>
      </w:pPr>
      <w:r>
        <w:rPr>
          <w:rFonts w:ascii="Times New Roman" w:cs="Times New Roman" w:eastAsia="Times New Roman" w:hAnsi="Times New Roman"/>
        </w:rPr>
        <w:t xml:space="preserve">–	</w:t>
      </w:r>
      <w:r>
        <w:rPr>
          <w:rFonts w:ascii="Times New Roman" w:cs="Times New Roman" w:eastAsia="Times New Roman" w:hAnsi="Times New Roman"/>
        </w:rPr>
        <w:t xml:space="preserve">Обработчик: [ФИО / должность], [e-mail], [телефон]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</w:rPr>
        <w:t xml:space="preserve">Подписи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8"/>
        <w:gridCol w:w="4819"/>
      </w:tblGrid>
      <w:tr>
        <w:trPr>
          <w:tblHeader w:val="off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Оператор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Обработчик</w:t>
            </w:r>
          </w:p>
        </w:tc>
      </w:tr>
      <w:tr>
        <w:trPr>
          <w:tblHeader w:val="off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«LAROMVAL» SRL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[наименование]</w:t>
            </w:r>
          </w:p>
        </w:tc>
      </w:tr>
      <w:tr>
        <w:trPr>
          <w:tblHeader w:val="off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Администратор ____________ [ФИО]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[должность] ____________ [ФИО]</w:t>
            </w:r>
          </w:p>
        </w:tc>
      </w:tr>
      <w:tr>
        <w:trPr>
          <w:tblHeader w:val="off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М. П.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М. П.</w:t>
            </w:r>
          </w:p>
        </w:tc>
      </w:tr>
    </w:tbl>
    <w:p/>
    <w:p>
      <w:pPr>
        <w:pageBreakBefore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1. Описание обработки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Заполнить под конкретного обработчика. Ниже — заготовки для основных партнёров casa24.md; ненужное удалить.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1984"/>
        <w:gridCol w:w="1984"/>
        <w:gridCol w:w="1984"/>
        <w:gridCol w:w="1984"/>
      </w:tblGrid>
      <w:tr>
        <w:trPr>
          <w:tblHeader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Параметр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Хостинг (TopHost)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Подрядчик сайта (CLICK WEB DESIGN)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Бухгалтерия / 1С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Курьерская служба</w:t>
            </w:r>
          </w:p>
        </w:tc>
      </w:tr>
      <w:tr>
        <w:trPr>
          <w:tblHeader w:val="off"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Предмет и характер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Хранение файлов и БД сайта, почты, резервных копий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Разработка, поддержка, исправление ошибок с доступом к админ-панели и серверу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Учёт заказов и оплат, выгрузка/загрузка заказов между сайтом и 1С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Доставка заказов покупателям</w:t>
            </w:r>
          </w:p>
        </w:tc>
      </w:tr>
      <w:tr>
        <w:trPr>
          <w:tblHeader w:val="off"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Цель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Работа сайта casa24.md и почты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Поддержка сайта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Бухгалтерский и складской учёт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Исполнение договора купли-продажи</w:t>
            </w:r>
          </w:p>
        </w:tc>
      </w:tr>
      <w:tr>
        <w:trPr>
          <w:tblHeader w:val="off"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Категории субъектов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Покупатели, зарегистрированные пользователи, посетители, авторы обращений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То же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Покупатели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Покупатели-получатели</w:t>
            </w:r>
          </w:p>
        </w:tc>
      </w:tr>
      <w:tr>
        <w:trPr>
          <w:tblHeader w:val="off"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Виды данных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ФИО, телефон, e-mail, адрес доставки, состав и сумма заказа, учётная запись (логин, хеш пароля), IP, cookie, переписка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То же — в объёме, нужном для конкретной работы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ФИО, телефон, адрес, состав и сумма заказа, способ и статус оплаты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ФИО, телефон, адрес доставки, сумма к оплате при получении</w:t>
            </w:r>
          </w:p>
        </w:tc>
      </w:tr>
      <w:tr>
        <w:trPr>
          <w:tblHeader w:val="off"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Особые категории данных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Нет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Нет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Нет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Нет</w:t>
            </w:r>
          </w:p>
        </w:tc>
      </w:tr>
      <w:tr>
        <w:trPr>
          <w:tblHeader w:val="off"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Срок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Срок Основного договора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Срок работ / поддержки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Срок Основного договора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Срок доставки + [___]</w:t>
            </w:r>
          </w:p>
        </w:tc>
      </w:tr>
      <w:tr>
        <w:trPr>
          <w:tblHeader w:val="off"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Место обработки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[страна дата-центра — уточнить]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Республика Молдова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[___]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Республика Молдова</w:t>
            </w:r>
          </w:p>
        </w:tc>
      </w:tr>
    </w:tbl>
    <w:p/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Данные банковских карт обрабатывает maib на своей платёжной странице; сайт и перечисленные обработчики их не получают.</w:t>
      </w:r>
    </w:p>
    <w:p>
      <w:pPr>
        <w:pageBreakBefore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2. Минимальные меры безопасности</w:t>
      </w:r>
    </w:p>
    <w:p>
      <w:pPr>
        <w:tabs>
          <w:tab w:val="left" w:pos="567"/>
        </w:tabs>
        <w:spacing w:after="80"/>
        <w:ind w:left="567" w:hanging="567"/>
        <w:jc w:val="both"/>
      </w:pPr>
      <w:r>
        <w:rPr>
          <w:rFonts w:ascii="Times New Roman" w:cs="Times New Roman" w:eastAsia="Times New Roman" w:hAnsi="Times New Roman"/>
        </w:rPr>
        <w:t xml:space="preserve">1.	</w:t>
      </w:r>
      <w:r>
        <w:rPr>
          <w:rFonts w:ascii="Times New Roman" w:cs="Times New Roman" w:eastAsia="Times New Roman" w:hAnsi="Times New Roman"/>
        </w:rPr>
        <w:t xml:space="preserve">Доступ к данным — только по персональным учётным записям, по принципу минимально необходимых прав; доступ отзывается при окончании работ.</w:t>
      </w:r>
    </w:p>
    <w:p>
      <w:pPr>
        <w:tabs>
          <w:tab w:val="left" w:pos="567"/>
        </w:tabs>
        <w:spacing w:after="80"/>
        <w:ind w:left="567" w:hanging="567"/>
        <w:jc w:val="both"/>
      </w:pPr>
      <w:r>
        <w:rPr>
          <w:rFonts w:ascii="Times New Roman" w:cs="Times New Roman" w:eastAsia="Times New Roman" w:hAnsi="Times New Roman"/>
        </w:rPr>
        <w:t xml:space="preserve">2.	</w:t>
      </w:r>
      <w:r>
        <w:rPr>
          <w:rFonts w:ascii="Times New Roman" w:cs="Times New Roman" w:eastAsia="Times New Roman" w:hAnsi="Times New Roman"/>
        </w:rPr>
        <w:t xml:space="preserve">Надёжные пароли, двухфакторная аутентификация для административного доступа (панель хостинга, wp-admin, SSH — по ключам).</w:t>
      </w:r>
    </w:p>
    <w:p>
      <w:pPr>
        <w:tabs>
          <w:tab w:val="left" w:pos="567"/>
        </w:tabs>
        <w:spacing w:after="80"/>
        <w:ind w:left="567" w:hanging="567"/>
        <w:jc w:val="both"/>
      </w:pPr>
      <w:r>
        <w:rPr>
          <w:rFonts w:ascii="Times New Roman" w:cs="Times New Roman" w:eastAsia="Times New Roman" w:hAnsi="Times New Roman"/>
        </w:rPr>
        <w:t xml:space="preserve">3.	</w:t>
      </w:r>
      <w:r>
        <w:rPr>
          <w:rFonts w:ascii="Times New Roman" w:cs="Times New Roman" w:eastAsia="Times New Roman" w:hAnsi="Times New Roman"/>
        </w:rPr>
        <w:t xml:space="preserve">Передача данных — только по зашифрованным каналам (HTTPS, SFTP/SSH). Пароли и выгрузки с персональными данными не пересылаются по почте и в мессенджерах открытым текстом.</w:t>
      </w:r>
    </w:p>
    <w:p>
      <w:pPr>
        <w:tabs>
          <w:tab w:val="left" w:pos="567"/>
        </w:tabs>
        <w:spacing w:after="80"/>
        <w:ind w:left="567" w:hanging="567"/>
        <w:jc w:val="both"/>
      </w:pPr>
      <w:r>
        <w:rPr>
          <w:rFonts w:ascii="Times New Roman" w:cs="Times New Roman" w:eastAsia="Times New Roman" w:hAnsi="Times New Roman"/>
        </w:rPr>
        <w:t xml:space="preserve">4.	</w:t>
      </w:r>
      <w:r>
        <w:rPr>
          <w:rFonts w:ascii="Times New Roman" w:cs="Times New Roman" w:eastAsia="Times New Roman" w:hAnsi="Times New Roman"/>
        </w:rPr>
        <w:t xml:space="preserve">Резервные копии — регулярно, вне публичного веб-доступа, с ограниченным доступом и проверкой восстановления.</w:t>
      </w:r>
    </w:p>
    <w:p>
      <w:pPr>
        <w:tabs>
          <w:tab w:val="left" w:pos="567"/>
        </w:tabs>
        <w:spacing w:after="80"/>
        <w:ind w:left="567" w:hanging="567"/>
        <w:jc w:val="both"/>
      </w:pPr>
      <w:r>
        <w:rPr>
          <w:rFonts w:ascii="Times New Roman" w:cs="Times New Roman" w:eastAsia="Times New Roman" w:hAnsi="Times New Roman"/>
        </w:rPr>
        <w:t xml:space="preserve">5.	</w:t>
      </w:r>
      <w:r>
        <w:rPr>
          <w:rFonts w:ascii="Times New Roman" w:cs="Times New Roman" w:eastAsia="Times New Roman" w:hAnsi="Times New Roman"/>
        </w:rPr>
        <w:t xml:space="preserve">Выгрузки с персональными данными (CSV, дампы БД) не хранятся в публичных каталогах, репозиториях кода и на личных устройствах дольше, чем нужно для задачи.</w:t>
      </w:r>
    </w:p>
    <w:p>
      <w:pPr>
        <w:tabs>
          <w:tab w:val="left" w:pos="567"/>
        </w:tabs>
        <w:spacing w:after="80"/>
        <w:ind w:left="567" w:hanging="567"/>
        <w:jc w:val="both"/>
      </w:pPr>
      <w:r>
        <w:rPr>
          <w:rFonts w:ascii="Times New Roman" w:cs="Times New Roman" w:eastAsia="Times New Roman" w:hAnsi="Times New Roman"/>
        </w:rPr>
        <w:t xml:space="preserve">6.	</w:t>
      </w:r>
      <w:r>
        <w:rPr>
          <w:rFonts w:ascii="Times New Roman" w:cs="Times New Roman" w:eastAsia="Times New Roman" w:hAnsi="Times New Roman"/>
        </w:rPr>
        <w:t xml:space="preserve">Своевременное обновление ПО (ОС, PHP, WordPress, плагины), защита от вредоносного ПО.</w:t>
      </w:r>
    </w:p>
    <w:p>
      <w:pPr>
        <w:tabs>
          <w:tab w:val="left" w:pos="567"/>
        </w:tabs>
        <w:spacing w:after="80"/>
        <w:ind w:left="567" w:hanging="567"/>
        <w:jc w:val="both"/>
      </w:pPr>
      <w:r>
        <w:rPr>
          <w:rFonts w:ascii="Times New Roman" w:cs="Times New Roman" w:eastAsia="Times New Roman" w:hAnsi="Times New Roman"/>
        </w:rPr>
        <w:t xml:space="preserve">7.	</w:t>
      </w:r>
      <w:r>
        <w:rPr>
          <w:rFonts w:ascii="Times New Roman" w:cs="Times New Roman" w:eastAsia="Times New Roman" w:hAnsi="Times New Roman"/>
        </w:rPr>
        <w:t xml:space="preserve">Журналирование административного доступа, хранение журналов не менее [6] месяцев.</w:t>
      </w:r>
    </w:p>
    <w:p>
      <w:pPr>
        <w:tabs>
          <w:tab w:val="left" w:pos="567"/>
        </w:tabs>
        <w:spacing w:after="80"/>
        <w:ind w:left="567" w:hanging="567"/>
        <w:jc w:val="both"/>
      </w:pPr>
      <w:r>
        <w:rPr>
          <w:rFonts w:ascii="Times New Roman" w:cs="Times New Roman" w:eastAsia="Times New Roman" w:hAnsi="Times New Roman"/>
        </w:rPr>
        <w:t xml:space="preserve">8.	</w:t>
      </w:r>
      <w:r>
        <w:rPr>
          <w:rFonts w:ascii="Times New Roman" w:cs="Times New Roman" w:eastAsia="Times New Roman" w:hAnsi="Times New Roman"/>
        </w:rPr>
        <w:t xml:space="preserve">Обучение работников, допущенных к данным, и обязательство о конфиденциальности.</w:t>
      </w:r>
    </w:p>
    <w:p>
      <w:pPr>
        <w:tabs>
          <w:tab w:val="left" w:pos="567"/>
        </w:tabs>
        <w:spacing w:after="80"/>
        <w:ind w:left="567" w:hanging="567"/>
        <w:jc w:val="both"/>
      </w:pPr>
      <w:r>
        <w:rPr>
          <w:rFonts w:ascii="Times New Roman" w:cs="Times New Roman" w:eastAsia="Times New Roman" w:hAnsi="Times New Roman"/>
        </w:rPr>
        <w:t xml:space="preserve">9.	</w:t>
      </w:r>
      <w:r>
        <w:rPr>
          <w:rFonts w:ascii="Times New Roman" w:cs="Times New Roman" w:eastAsia="Times New Roman" w:hAnsi="Times New Roman"/>
        </w:rPr>
        <w:t xml:space="preserve">Порядок реагирования на инциденты с уведомлением Оператора в срок по п. 3.8.</w:t>
      </w:r>
    </w:p>
    <w:p>
      <w:pPr>
        <w:pageBreakBefore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3. Разрешённые субобработчики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0"/>
      </w:tblGrid>
      <w:tr>
        <w:trPr>
          <w:tblHeader/>
        </w:trPr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Страна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делает</w:t>
            </w:r>
          </w:p>
        </w:tc>
        <w:tc>
          <w:tcPr>
            <w:tcW w:type="dxa" w:w="2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 какими данными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[___]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[___]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[___]</w:t>
            </w:r>
          </w:p>
        </w:tc>
        <w:tc>
          <w:tcPr>
            <w:tcW w:type="dxa" w:w="2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[___]</w:t>
            </w:r>
          </w:p>
        </w:tc>
      </w:tr>
    </w:tbl>
    <w:p/>
    <w:p>
      <w:pPr>
        <w:spacing w:after="120"/>
        <w:jc w:val="both"/>
      </w:pPr>
      <w:r>
        <w:rPr>
          <w:rFonts w:ascii="Times New Roman" w:cs="Times New Roman" w:eastAsia="Times New Roman" w:hAnsi="Times New Roman"/>
        </w:rPr>
        <w:t xml:space="preserve">Если субобработчиков нет — указать «Нет».</w:t>
      </w:r>
    </w:p>
    <w:sectPr>
      <w:headerReference w:type="default" r:id="rId6"/>
      <w:footerReference w:type="default" r:id="rId7"/>
      <w:pgSz w:w="11906" w:h="16838" w:orient="portrait"/>
      <w:pgMar w:top="1134" w:right="851" w:bottom="1134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</w:r>
    <w:r>
      <w:rPr>
        <w:rFonts w:ascii="Times New Roman" w:cs="Times New Roman" w:eastAsia="Times New Roman" w:hAnsi="Times New Roman"/>
        <w:sz w:val="18"/>
        <w:szCs w:val="18"/>
      </w:rPr>
      <w:instrText xml:space="preserve">PAGE</w:instrText>
    </w:r>
    <w:r>
      <w:rPr>
        <w:rFonts w:ascii="Times New Roman" w:cs="Times New Roman" w:eastAsia="Times New Roman" w:hAnsi="Times New Roman"/>
        <w:sz w:val="18"/>
        <w:szCs w:val="18"/>
      </w:rPr>
      <w:fldChar w:fldCharType="separate"/>
    </w:r>
    <w:r>
      <w:rPr>
        <w:rFonts w:ascii="Times New Roman" w:cs="Times New Roman" w:eastAsia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808080"/>
        <w:sz w:val="18"/>
        <w:szCs w:val="18"/>
      </w:rPr>
      <w:t xml:space="preserve">ПРОЕКТ — для проверки юристом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2026-10-27T09:25:54.375Z</dcterms:created>
  <dcterms:modified xsi:type="dcterms:W3CDTF">2026-10-27T09:25:54.376Z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