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Как заводить товары в 1С, чтобы работал фильтр на сайте</w:t>
      </w:r>
    </w:p>
    <w:p>
      <w:pPr/>
      <w:r>
        <w:t xml:space="preserve">Oct 29, 2026</w:t>
      </w:r>
      <w:r>
        <w:t xml:space="preserve"> · </w:t>
      </w:r>
      <w:r>
        <w:t xml:space="preserve">@дима</w:t>
      </w:r>
    </w:p>
    <w:p>
      <w:pPr/>
      <w:r>
        <w:t xml:space="preserve">Фильтр на casa24.md берёт производителя, объём, вес, мощность и размер из </w:t>
      </w:r>
      <w:r>
        <w:rPr>
          <w:b/>
        </w:rPr>
        <w:t xml:space="preserve">названия товара в 1С</w:t>
      </w:r>
      <w:r>
        <w:t xml:space="preserve">: других характеристик 1С на сайт не передаёт. Если производитель не указан или записан не так, товар не попадает в фильтр по производителю. Сейчас производитель найден только у 5 032 товаров из 18 415 — у 13 тысяч его в названии нет.</w:t>
      </w:r>
    </w:p>
    <w:p>
      <w:pPr>
        <w:pStyle w:val="Heading2"/>
      </w:pPr>
      <w:r>
        <w:t xml:space="preserve">Шаблон названия</w:t>
      </w:r>
    </w:p>
    <w:p>
      <w:pPr/>
      <w:r>
        <w:t xml:space="preserve">Каждое название собирается в одном порядке: </w:t>
      </w:r>
      <w:r>
        <w:rPr>
          <w:b/>
        </w:rPr>
        <w:t xml:space="preserve">что это → чем отличается → размер с единицей → производитель → артикул</w:t>
      </w:r>
      <w:r>
        <w:t xml:space="preserve">.</w:t>
      </w:r>
    </w:p>
    <w:p>
      <w:pPr/>
      <w:r>
        <w:rPr>
          <w:rStyle w:val="CodeChar"/>
        </w:rPr>
        <w:t xml:space="preserve">Ключ разводной 250 мм с изоляцией Hammer HM-250</w:t>
      </w:r>
    </w:p>
    <w:p>
      <w:pPr>
        <w:pStyle w:val="ListParagraph"/>
        <w:numPr>
          <w:ilvl w:val="0"/>
          <w:numId w:val="2"/>
        </w:numPr>
      </w:pPr>
      <w:r>
        <w:rPr>
          <w:b/>
        </w:rPr>
        <w:t xml:space="preserve">Что это</w:t>
      </w:r>
      <w:r>
        <w:t xml:space="preserve"> — тип товара по-русски, с большой буквы: «Ключ разводной», «Эмаль алкидная», «Перфоратор».</w:t>
      </w:r>
    </w:p>
    <w:p>
      <w:pPr>
        <w:pStyle w:val="ListParagraph"/>
        <w:numPr>
          <w:ilvl w:val="0"/>
          <w:numId w:val="2"/>
        </w:numPr>
      </w:pPr>
      <w:r>
        <w:rPr>
          <w:b/>
        </w:rPr>
        <w:t xml:space="preserve">Чем отличается</w:t>
      </w:r>
      <w:r>
        <w:t xml:space="preserve"> — модель, цвет, назначение: «с изоляцией», «белая глянцевая», «для металла».</w:t>
      </w:r>
    </w:p>
    <w:p>
      <w:pPr>
        <w:pStyle w:val="ListParagraph"/>
        <w:numPr>
          <w:ilvl w:val="0"/>
          <w:numId w:val="2"/>
        </w:numPr>
      </w:pPr>
      <w:r>
        <w:rPr>
          <w:b/>
        </w:rPr>
        <w:t xml:space="preserve">Размер</w:t>
      </w:r>
      <w:r>
        <w:t xml:space="preserve"> — число и единица по таблице ниже: «250 мм», «0,9 кг», «800 Вт».</w:t>
      </w:r>
    </w:p>
    <w:p>
      <w:pPr>
        <w:pStyle w:val="ListParagraph"/>
        <w:numPr>
          <w:ilvl w:val="0"/>
          <w:numId w:val="2"/>
        </w:numPr>
      </w:pPr>
      <w:r>
        <w:rPr>
          <w:b/>
        </w:rPr>
        <w:t xml:space="preserve">Производитель</w:t>
      </w:r>
      <w:r>
        <w:t xml:space="preserve"> — одним словом или как в приложении, всегда одинаково: «Hammer», а не «HAMMER» в одном товаре и «Хаммер» в другом.</w:t>
      </w:r>
    </w:p>
    <w:p>
      <w:pPr>
        <w:pStyle w:val="ListParagraph"/>
        <w:numPr>
          <w:ilvl w:val="0"/>
          <w:numId w:val="2"/>
        </w:numPr>
      </w:pPr>
      <w:r>
        <w:rPr>
          <w:b/>
        </w:rPr>
        <w:t xml:space="preserve">Артикул производителя</w:t>
      </w:r>
      <w:r>
        <w:t xml:space="preserve"> — в самом конце, через пробел.</w:t>
      </w:r>
    </w:p>
    <w:p>
      <w:pPr/>
      <w:r>
        <w:t xml:space="preserve">Производитель обязателен у каждого товара, где он известен. Если производителя нет (развесной товар, местный поставщик без марки) — ничего не пишем, не придумываем.</w:t>
      </w:r>
    </w:p>
    <w:p>
      <w:pPr>
        <w:pStyle w:val="Heading2"/>
      </w:pPr>
      <w:r>
        <w:t xml:space="preserve">Единицы измерения</w:t>
      </w:r>
    </w:p>
    <w:p>
      <w:pPr/>
      <w:r>
        <w:t xml:space="preserve">Размер попадает в фильтр, только когда после числа стоит единица из этой таблицы. Пишем по-русски, через пробел, дробь — через запятую.</w:t>
      </w:r>
    </w:p>
    <w:tbl>
      <w:tblPr>
        <w:tblStyle w:val="TableGrid"/>
        <w:tblW w:w="0" w:type="auto"/>
        <w:tblLayout w:type="fixed"/>
        <w:tblLook w:val="04A0" w:firstRow="1" w:lastRow="0" w:firstColumn="0" w:lastColumn="0" w:noHBand="0" w:noVBand="1"/>
      </w:tblPr>
      <w:tblGrid>
        <w:gridCol w:w="2015"/>
        <w:gridCol w:w="3917"/>
        <w:gridCol w:w="3428"/>
      </w:tblGrid>
      <w:tr>
        <w:trPr>
          <w:tblHeader/>
        </w:trPr>
        <w:tc>
          <w:tcPr>
            <w:tcW w:w="2015" w:type="dxa"/>
            <w:shd w:val="clear" w:color="auto" w:fill="F2F2F2"/>
          </w:tcPr>
          <w:p>
            <w:pPr/>
            <w:r>
              <w:t xml:space="preserve">Что</w:t>
            </w:r>
          </w:p>
        </w:tc>
        <w:tc>
          <w:tcPr>
            <w:tcW w:w="3917" w:type="dxa"/>
            <w:shd w:val="clear" w:color="auto" w:fill="F2F2F2"/>
          </w:tcPr>
          <w:p>
            <w:pPr/>
            <w:r>
              <w:t xml:space="preserve">Как писать</w:t>
            </w:r>
          </w:p>
        </w:tc>
        <w:tc>
          <w:tcPr>
            <w:tcW w:w="3428" w:type="dxa"/>
            <w:shd w:val="clear" w:color="auto" w:fill="F2F2F2"/>
          </w:tcPr>
          <w:p>
            <w:pPr/>
            <w:r>
              <w:t xml:space="preserve">Не писать</w:t>
            </w:r>
          </w:p>
        </w:tc>
      </w:tr>
      <w:tr>
        <w:tc>
          <w:tcPr>
            <w:tcW w:w="2015" w:type="dxa"/>
          </w:tcPr>
          <w:p>
            <w:pPr/>
            <w:r>
              <w:t xml:space="preserve">Объём</w:t>
            </w:r>
          </w:p>
        </w:tc>
        <w:tc>
          <w:tcPr>
            <w:tcW w:w="3917" w:type="dxa"/>
          </w:tcPr>
          <w:p>
            <w:pPr/>
            <w:r>
              <w:rPr>
                <w:rStyle w:val="CodeChar"/>
              </w:rPr>
              <w:t xml:space="preserve">0,75 л</w:t>
            </w:r>
            <w:r>
              <w:t xml:space="preserve">, </w:t>
            </w:r>
            <w:r>
              <w:rPr>
                <w:rStyle w:val="CodeChar"/>
              </w:rPr>
              <w:t xml:space="preserve">5 л</w:t>
            </w:r>
            <w:r>
              <w:t xml:space="preserve">, </w:t>
            </w:r>
            <w:r>
              <w:rPr>
                <w:rStyle w:val="CodeChar"/>
              </w:rPr>
              <w:t xml:space="preserve">400 мл</w:t>
            </w:r>
          </w:p>
        </w:tc>
        <w:tc>
          <w:tcPr>
            <w:tcW w:w="3428" w:type="dxa"/>
          </w:tcPr>
          <w:p>
            <w:pPr/>
            <w:r>
              <w:rPr>
                <w:rStyle w:val="CodeChar"/>
              </w:rPr>
              <w:t xml:space="preserve">0.75l</w:t>
            </w:r>
            <w:r>
              <w:t xml:space="preserve">, </w:t>
            </w:r>
            <w:r>
              <w:rPr>
                <w:rStyle w:val="CodeChar"/>
              </w:rPr>
              <w:t xml:space="preserve">5L</w:t>
            </w:r>
            <w:r>
              <w:t xml:space="preserve">, </w:t>
            </w:r>
            <w:r>
              <w:rPr>
                <w:rStyle w:val="CodeChar"/>
              </w:rPr>
              <w:t xml:space="preserve">400ml</w:t>
            </w:r>
            <w:r>
              <w:t xml:space="preserve">, </w:t>
            </w:r>
            <w:r>
              <w:rPr>
                <w:rStyle w:val="CodeChar"/>
              </w:rPr>
              <w:t xml:space="preserve">5 литр</w:t>
            </w:r>
          </w:p>
        </w:tc>
      </w:tr>
      <w:tr>
        <w:tc>
          <w:tcPr>
            <w:tcW w:w="2015" w:type="dxa"/>
          </w:tcPr>
          <w:p>
            <w:pPr/>
            <w:r>
              <w:t xml:space="preserve">Вес</w:t>
            </w:r>
          </w:p>
        </w:tc>
        <w:tc>
          <w:tcPr>
            <w:tcW w:w="3917" w:type="dxa"/>
          </w:tcPr>
          <w:p>
            <w:pPr/>
            <w:r>
              <w:rPr>
                <w:rStyle w:val="CodeChar"/>
              </w:rPr>
              <w:t xml:space="preserve">0,9 кг</w:t>
            </w:r>
            <w:r>
              <w:t xml:space="preserve">, </w:t>
            </w:r>
            <w:r>
              <w:rPr>
                <w:rStyle w:val="CodeChar"/>
              </w:rPr>
              <w:t xml:space="preserve">25 кг</w:t>
            </w:r>
            <w:r>
              <w:t xml:space="preserve">, </w:t>
            </w:r>
            <w:r>
              <w:rPr>
                <w:rStyle w:val="CodeChar"/>
              </w:rPr>
              <w:t xml:space="preserve">500 г</w:t>
            </w:r>
          </w:p>
        </w:tc>
        <w:tc>
          <w:tcPr>
            <w:tcW w:w="3428" w:type="dxa"/>
          </w:tcPr>
          <w:p>
            <w:pPr/>
            <w:r>
              <w:rPr>
                <w:rStyle w:val="CodeChar"/>
              </w:rPr>
              <w:t xml:space="preserve">0.9kg</w:t>
            </w:r>
            <w:r>
              <w:t xml:space="preserve">, </w:t>
            </w:r>
            <w:r>
              <w:rPr>
                <w:rStyle w:val="CodeChar"/>
              </w:rPr>
              <w:t xml:space="preserve">500gr</w:t>
            </w:r>
            <w:r>
              <w:t xml:space="preserve">, </w:t>
            </w:r>
            <w:r>
              <w:rPr>
                <w:rStyle w:val="CodeChar"/>
              </w:rPr>
              <w:t xml:space="preserve">500 гр</w:t>
            </w:r>
          </w:p>
        </w:tc>
      </w:tr>
      <w:tr>
        <w:tc>
          <w:tcPr>
            <w:tcW w:w="2015" w:type="dxa"/>
          </w:tcPr>
          <w:p>
            <w:pPr/>
            <w:r>
              <w:t xml:space="preserve">Мощность</w:t>
            </w:r>
          </w:p>
        </w:tc>
        <w:tc>
          <w:tcPr>
            <w:tcW w:w="3917" w:type="dxa"/>
          </w:tcPr>
          <w:p>
            <w:pPr/>
            <w:r>
              <w:rPr>
                <w:rStyle w:val="CodeChar"/>
              </w:rPr>
              <w:t xml:space="preserve">800 Вт</w:t>
            </w:r>
            <w:r>
              <w:t xml:space="preserve">, </w:t>
            </w:r>
            <w:r>
              <w:rPr>
                <w:rStyle w:val="CodeChar"/>
              </w:rPr>
              <w:t xml:space="preserve">2 кВт</w:t>
            </w:r>
          </w:p>
        </w:tc>
        <w:tc>
          <w:tcPr>
            <w:tcW w:w="3428" w:type="dxa"/>
          </w:tcPr>
          <w:p>
            <w:pPr/>
            <w:r>
              <w:rPr>
                <w:rStyle w:val="CodeChar"/>
              </w:rPr>
              <w:t xml:space="preserve">800W</w:t>
            </w:r>
            <w:r>
              <w:t xml:space="preserve">, </w:t>
            </w:r>
            <w:r>
              <w:rPr>
                <w:rStyle w:val="CodeChar"/>
              </w:rPr>
              <w:t xml:space="preserve">800вт</w:t>
            </w:r>
            <w:r>
              <w:t xml:space="preserve">, </w:t>
            </w:r>
            <w:r>
              <w:rPr>
                <w:rStyle w:val="CodeChar"/>
              </w:rPr>
              <w:t xml:space="preserve">2kw</w:t>
            </w:r>
          </w:p>
        </w:tc>
      </w:tr>
      <w:tr>
        <w:tc>
          <w:tcPr>
            <w:tcW w:w="2015" w:type="dxa"/>
          </w:tcPr>
          <w:p>
            <w:pPr/>
            <w:r>
              <w:t xml:space="preserve">Длина, диаметр, толщина</w:t>
            </w:r>
          </w:p>
        </w:tc>
        <w:tc>
          <w:tcPr>
            <w:tcW w:w="3917" w:type="dxa"/>
          </w:tcPr>
          <w:p>
            <w:pPr/>
            <w:r>
              <w:rPr>
                <w:rStyle w:val="CodeChar"/>
              </w:rPr>
              <w:t xml:space="preserve">250 мм</w:t>
            </w:r>
            <w:r>
              <w:t xml:space="preserve">, </w:t>
            </w:r>
            <w:r>
              <w:rPr>
                <w:rStyle w:val="CodeChar"/>
              </w:rPr>
              <w:t xml:space="preserve">40 см</w:t>
            </w:r>
            <w:r>
              <w:t xml:space="preserve">, </w:t>
            </w:r>
            <w:r>
              <w:rPr>
                <w:rStyle w:val="CodeChar"/>
              </w:rPr>
              <w:t xml:space="preserve">20 м</w:t>
            </w:r>
          </w:p>
        </w:tc>
        <w:tc>
          <w:tcPr>
            <w:tcW w:w="3428" w:type="dxa"/>
          </w:tcPr>
          <w:p>
            <w:pPr/>
            <w:r>
              <w:rPr>
                <w:rStyle w:val="CodeChar"/>
              </w:rPr>
              <w:t xml:space="preserve">250mm</w:t>
            </w:r>
            <w:r>
              <w:t xml:space="preserve">, </w:t>
            </w:r>
            <w:r>
              <w:rPr>
                <w:rStyle w:val="CodeChar"/>
              </w:rPr>
              <w:t xml:space="preserve">40cm</w:t>
            </w:r>
            <w:r>
              <w:t xml:space="preserve">, </w:t>
            </w:r>
            <w:r>
              <w:rPr>
                <w:rStyle w:val="CodeChar"/>
              </w:rPr>
              <w:t xml:space="preserve">20m</w:t>
            </w:r>
          </w:p>
        </w:tc>
      </w:tr>
      <w:tr>
        <w:tc>
          <w:tcPr>
            <w:tcW w:w="2015" w:type="dxa"/>
          </w:tcPr>
          <w:p>
            <w:pPr/>
            <w:r>
              <w:t xml:space="preserve">Несколько измерений</w:t>
            </w:r>
          </w:p>
        </w:tc>
        <w:tc>
          <w:tcPr>
            <w:tcW w:w="3917" w:type="dxa"/>
          </w:tcPr>
          <w:p>
            <w:pPr/>
            <w:r>
              <w:rPr>
                <w:rStyle w:val="CodeChar"/>
              </w:rPr>
              <w:t xml:space="preserve">1000x500x20 мм</w:t>
            </w:r>
            <w:r>
              <w:t xml:space="preserve"> (латинская x, единица один раз в конце)</w:t>
            </w:r>
          </w:p>
        </w:tc>
        <w:tc>
          <w:tcPr>
            <w:tcW w:w="3428" w:type="dxa"/>
          </w:tcPr>
          <w:p>
            <w:pPr/>
            <w:r>
              <w:rPr>
                <w:rStyle w:val="CodeChar"/>
              </w:rPr>
              <w:t xml:space="preserve">1000*500*20</w:t>
            </w:r>
            <w:r>
              <w:t xml:space="preserve">, </w:t>
            </w:r>
            <w:r>
              <w:rPr>
                <w:rStyle w:val="CodeChar"/>
              </w:rPr>
              <w:t xml:space="preserve">1000х500хмм20</w:t>
            </w:r>
          </w:p>
        </w:tc>
      </w:tr>
      <w:tr>
        <w:tc>
          <w:tcPr>
            <w:tcW w:w="2015" w:type="dxa"/>
          </w:tcPr>
          <w:p>
            <w:pPr/>
            <w:r>
              <w:t xml:space="preserve">Дюймы</w:t>
            </w:r>
          </w:p>
        </w:tc>
        <w:tc>
          <w:tcPr>
            <w:tcW w:w="3917" w:type="dxa"/>
          </w:tcPr>
          <w:p>
            <w:pPr/>
            <w:r>
              <w:t xml:space="preserve">перевести в мм: </w:t>
            </w:r>
            <w:r>
              <w:rPr>
                <w:rStyle w:val="CodeChar"/>
              </w:rPr>
              <w:t xml:space="preserve">250 мм (10")</w:t>
            </w:r>
          </w:p>
        </w:tc>
        <w:tc>
          <w:tcPr>
            <w:tcW w:w="3428" w:type="dxa"/>
          </w:tcPr>
          <w:p>
            <w:pPr/>
            <w:r>
              <w:t xml:space="preserve">только </w:t>
            </w:r>
            <w:r>
              <w:rPr>
                <w:rStyle w:val="CodeChar"/>
              </w:rPr>
              <w:t xml:space="preserve">10"</w:t>
            </w:r>
            <w:r>
              <w:t xml:space="preserve"> — в фильтр не попадёт</w:t>
            </w:r>
          </w:p>
        </w:tc>
      </w:tr>
    </w:tbl>
    <w:p>
      <w:pPr/>
      <w:r>
        <w:t xml:space="preserve">В одном названии — одно главное значение каждого вида: сайт берёт первое число с нужной единицей. Поэтому главный размер товара ставим раньше вспомогательных (длина ключа — раньше раствора губок).</w:t>
      </w:r>
    </w:p>
    <w:p>
      <w:pPr>
        <w:pStyle w:val="Heading2"/>
      </w:pPr>
      <w:r>
        <w:t xml:space="preserve">Было → стало</w:t>
      </w:r>
    </w:p>
    <w:p>
      <w:pPr/>
      <w:r>
        <w:t xml:space="preserve">Названия из нашего каталога. В левой колонке фильтр не видит производителя или размер.</w:t>
      </w:r>
    </w:p>
    <w:tbl>
      <w:tblPr>
        <w:tblStyle w:val="TableGrid"/>
        <w:tblW w:w="0" w:type="auto"/>
        <w:tblLayout w:type="fixed"/>
        <w:tblLook w:val="04A0" w:firstRow="1" w:lastRow="0" w:firstColumn="0" w:lastColumn="0" w:noHBand="0" w:noVBand="1"/>
      </w:tblPr>
      <w:tblGrid>
        <w:gridCol w:w="2462"/>
        <w:gridCol w:w="3239"/>
        <w:gridCol w:w="3659"/>
      </w:tblGrid>
      <w:tr>
        <w:trPr>
          <w:tblHeader/>
        </w:trPr>
        <w:tc>
          <w:tcPr>
            <w:tcW w:w="2462" w:type="dxa"/>
            <w:shd w:val="clear" w:color="auto" w:fill="F2F2F2"/>
          </w:tcPr>
          <w:p>
            <w:pPr/>
            <w:r>
              <w:t xml:space="preserve">Было</w:t>
            </w:r>
          </w:p>
        </w:tc>
        <w:tc>
          <w:tcPr>
            <w:tcW w:w="3239" w:type="dxa"/>
            <w:shd w:val="clear" w:color="auto" w:fill="F2F2F2"/>
          </w:tcPr>
          <w:p>
            <w:pPr/>
            <w:r>
              <w:t xml:space="preserve">Стало</w:t>
            </w:r>
          </w:p>
        </w:tc>
        <w:tc>
          <w:tcPr>
            <w:tcW w:w="3659" w:type="dxa"/>
            <w:shd w:val="clear" w:color="auto" w:fill="F2F2F2"/>
          </w:tcPr>
          <w:p>
            <w:pPr/>
            <w:r>
              <w:t xml:space="preserve">Что исправлено</w:t>
            </w:r>
          </w:p>
        </w:tc>
      </w:tr>
      <w:tr>
        <w:tc>
          <w:tcPr>
            <w:tcW w:w="2462" w:type="dxa"/>
          </w:tcPr>
          <w:p>
            <w:pPr/>
            <w:r>
              <w:t xml:space="preserve">Рулетка 8m*25mm GIANT Gut черн+желт</w:t>
            </w:r>
          </w:p>
        </w:tc>
        <w:tc>
          <w:tcPr>
            <w:tcW w:w="3239" w:type="dxa"/>
          </w:tcPr>
          <w:p>
            <w:pPr/>
            <w:r>
              <w:t xml:space="preserve">Рулетка 8 м чёрно-жёлтая Gut GIANT</w:t>
            </w:r>
          </w:p>
        </w:tc>
        <w:tc>
          <w:tcPr>
            <w:tcW w:w="3659" w:type="dxa"/>
          </w:tcPr>
          <w:p>
            <w:pPr/>
            <w:r>
              <w:t xml:space="preserve">единицы по-русски, главный размер первым; производитель Gut — сообщить нам</w:t>
            </w:r>
          </w:p>
        </w:tc>
      </w:tr>
      <w:tr>
        <w:tc>
          <w:tcPr>
            <w:tcW w:w="2462" w:type="dxa"/>
          </w:tcPr>
          <w:p>
            <w:pPr/>
            <w:r>
              <w:t xml:space="preserve">Батарейки LR6  GP alcaline AA 15A-2UE4 Green</w:t>
            </w:r>
          </w:p>
        </w:tc>
        <w:tc>
          <w:tcPr>
            <w:tcW w:w="3239" w:type="dxa"/>
          </w:tcPr>
          <w:p>
            <w:pPr/>
            <w:r>
              <w:t xml:space="preserve">Батарейки алкалиновые AA LR6 GP 15A-2UE4</w:t>
            </w:r>
          </w:p>
        </w:tc>
        <w:tc>
          <w:tcPr>
            <w:tcW w:w="3659" w:type="dxa"/>
          </w:tcPr>
          <w:p>
            <w:pPr/>
            <w:r>
              <w:t xml:space="preserve">производитель GP — сообщить нам (см. ниже)</w:t>
            </w:r>
          </w:p>
        </w:tc>
      </w:tr>
      <w:tr>
        <w:tc>
          <w:tcPr>
            <w:tcW w:w="2462" w:type="dxa"/>
          </w:tcPr>
          <w:p>
            <w:pPr/>
            <w:r>
              <w:t xml:space="preserve">Монт клей Cont280 ml для влажн помещен 030517</w:t>
            </w:r>
          </w:p>
        </w:tc>
        <w:tc>
          <w:tcPr>
            <w:tcW w:w="3239" w:type="dxa"/>
          </w:tcPr>
          <w:p>
            <w:pPr/>
            <w:r>
              <w:t xml:space="preserve">Клей монтажный для влажных помещений 280 мл &lt;производитель&gt; 030517</w:t>
            </w:r>
          </w:p>
        </w:tc>
        <w:tc>
          <w:tcPr>
            <w:tcW w:w="3659" w:type="dxa"/>
          </w:tcPr>
          <w:p>
            <w:pPr/>
            <w:r>
              <w:t xml:space="preserve">число не склеено со словом, добавлен производитель</w:t>
            </w:r>
          </w:p>
        </w:tc>
      </w:tr>
      <w:tr>
        <w:tc>
          <w:tcPr>
            <w:tcW w:w="2462" w:type="dxa"/>
          </w:tcPr>
          <w:p>
            <w:pPr/>
            <w:r>
              <w:t xml:space="preserve">Молоток резин 40mm LT0040</w:t>
            </w:r>
          </w:p>
        </w:tc>
        <w:tc>
          <w:tcPr>
            <w:tcW w:w="3239" w:type="dxa"/>
          </w:tcPr>
          <w:p>
            <w:pPr/>
            <w:r>
              <w:t xml:space="preserve">Киянка резиновая 40 мм &lt;производитель&gt; LT0040</w:t>
            </w:r>
          </w:p>
        </w:tc>
        <w:tc>
          <w:tcPr>
            <w:tcW w:w="3659" w:type="dxa"/>
          </w:tcPr>
          <w:p>
            <w:pPr/>
            <w:r>
              <w:t xml:space="preserve">полные слова, производитель</w:t>
            </w:r>
          </w:p>
        </w:tc>
      </w:tr>
      <w:tr>
        <w:tc>
          <w:tcPr>
            <w:tcW w:w="2462" w:type="dxa"/>
          </w:tcPr>
          <w:p>
            <w:pPr/>
            <w:r>
              <w:t xml:space="preserve">Набор головок 10 buc 1/2 THISTD12101</w:t>
            </w:r>
          </w:p>
        </w:tc>
        <w:tc>
          <w:tcPr>
            <w:tcW w:w="3239" w:type="dxa"/>
          </w:tcPr>
          <w:p>
            <w:pPr/>
            <w:r>
              <w:t xml:space="preserve">Набор головок 1/2", 10 шт. Total THISTD12101</w:t>
            </w:r>
          </w:p>
        </w:tc>
        <w:tc>
          <w:tcPr>
            <w:tcW w:w="3659" w:type="dxa"/>
          </w:tcPr>
          <w:p>
            <w:pPr/>
            <w:r>
              <w:t xml:space="preserve">артикул TH… — это Total, пишем марку словом; «buc» → «шт.»</w:t>
            </w:r>
          </w:p>
        </w:tc>
      </w:tr>
      <w:tr>
        <w:tc>
          <w:tcPr>
            <w:tcW w:w="2462" w:type="dxa"/>
          </w:tcPr>
          <w:p>
            <w:pPr/>
            <w:r>
              <w:t xml:space="preserve">Гантеля 1,5 kg</w:t>
            </w:r>
          </w:p>
        </w:tc>
        <w:tc>
          <w:tcPr>
            <w:tcW w:w="3239" w:type="dxa"/>
          </w:tcPr>
          <w:p>
            <w:pPr/>
            <w:r>
              <w:t xml:space="preserve">Гантеля 1,5 кг &lt;производитель&gt;</w:t>
            </w:r>
          </w:p>
        </w:tc>
        <w:tc>
          <w:tcPr>
            <w:tcW w:w="3659" w:type="dxa"/>
          </w:tcPr>
          <w:p>
            <w:pPr/>
            <w:r>
              <w:t xml:space="preserve">единица по-русски, производитель</w:t>
            </w:r>
          </w:p>
        </w:tc>
      </w:tr>
      <w:tr>
        <w:tc>
          <w:tcPr>
            <w:tcW w:w="2462" w:type="dxa"/>
          </w:tcPr>
          <w:p>
            <w:pPr/>
            <w:r>
              <w:t xml:space="preserve">Farbis 0.7l super email albastru</w:t>
            </w:r>
          </w:p>
        </w:tc>
        <w:tc>
          <w:tcPr>
            <w:tcW w:w="3239" w:type="dxa"/>
          </w:tcPr>
          <w:p>
            <w:pPr/>
            <w:r>
              <w:t xml:space="preserve">Эмаль алкидная синяя 0,7 л Farbis Super Email</w:t>
            </w:r>
          </w:p>
        </w:tc>
        <w:tc>
          <w:tcPr>
            <w:tcW w:w="3659" w:type="dxa"/>
          </w:tcPr>
          <w:p>
            <w:pPr/>
            <w:r>
              <w:t xml:space="preserve">тип товара по-русски первым, дробь через запятую</w:t>
            </w:r>
          </w:p>
        </w:tc>
      </w:tr>
    </w:tbl>
    <w:p>
      <w:pPr/>
      <w:r>
        <w:t xml:space="preserve">«&lt;производитель&gt;» — марка с упаковки или из накладной поставщика.</w:t>
      </w:r>
    </w:p>
    <w:p>
      <w:pPr>
        <w:pStyle w:val="Heading2"/>
      </w:pPr>
      <w:r>
        <w:t xml:space="preserve">Чего не делать</w:t>
      </w:r>
    </w:p>
    <w:p>
      <w:pPr>
        <w:pStyle w:val="ListParagraph"/>
        <w:numPr>
          <w:ilvl w:val="0"/>
          <w:numId w:val="3"/>
        </w:numPr>
      </w:pPr>
      <w:r>
        <w:rPr>
          <w:b/>
        </w:rPr>
        <w:t xml:space="preserve">Не склеивать число с артикулом или словом.</w:t>
      </w:r>
      <w:r>
        <w:t xml:space="preserve"> «Cont280 ml», «нейлон100гр» — сайт не поймёт. Нужно «280 мл», «нейлон 100 г».</w:t>
      </w:r>
    </w:p>
    <w:p>
      <w:pPr>
        <w:pStyle w:val="ListParagraph"/>
        <w:numPr>
          <w:ilvl w:val="0"/>
          <w:numId w:val="3"/>
        </w:numPr>
      </w:pPr>
      <w:r>
        <w:rPr>
          <w:b/>
        </w:rPr>
        <w:t xml:space="preserve">Не писать единицу сразу после дефиса артикула.</w:t>
      </w:r>
      <w:r>
        <w:t xml:space="preserve"> «SPS-02 W» читается как код, а не как «2 Вт».</w:t>
      </w:r>
    </w:p>
    <w:p>
      <w:pPr>
        <w:pStyle w:val="ListParagraph"/>
        <w:numPr>
          <w:ilvl w:val="0"/>
          <w:numId w:val="3"/>
        </w:numPr>
      </w:pPr>
      <w:r>
        <w:rPr>
          <w:b/>
        </w:rPr>
        <w:t xml:space="preserve">Не сокращать марку и не писать её по-разному.</w:t>
      </w:r>
      <w:r>
        <w:t xml:space="preserve"> «Hammer», «HAMER» и «Хаммер» — для сайта три разных слова, из них он знает только первое.</w:t>
      </w:r>
    </w:p>
    <w:p>
      <w:pPr>
        <w:pStyle w:val="ListParagraph"/>
        <w:numPr>
          <w:ilvl w:val="0"/>
          <w:numId w:val="3"/>
        </w:numPr>
      </w:pPr>
      <w:r>
        <w:rPr>
          <w:b/>
        </w:rPr>
        <w:t xml:space="preserve">Не упоминать чужую марку раньше своей.</w:t>
      </w:r>
      <w:r>
        <w:t xml:space="preserve"> «Диск для Bosch … Geko» попадёт в Bosch. Пишем «Диск … Geko (подходит к Bosch)» — марка товара первой.</w:t>
      </w:r>
    </w:p>
    <w:p>
      <w:pPr>
        <w:pStyle w:val="ListParagraph"/>
        <w:numPr>
          <w:ilvl w:val="0"/>
          <w:numId w:val="3"/>
        </w:numPr>
      </w:pPr>
      <w:r>
        <w:rPr>
          <w:b/>
        </w:rPr>
        <w:t xml:space="preserve">Не ставить два значения через дефис вместо одного.</w:t>
      </w:r>
      <w:r>
        <w:t xml:space="preserve"> «400-450 гр» → в фильтр попадёт только 450 г. Пишем точный вес с упаковки.</w:t>
      </w:r>
    </w:p>
    <w:p>
      <w:pPr>
        <w:pStyle w:val="ListParagraph"/>
        <w:numPr>
          <w:ilvl w:val="0"/>
          <w:numId w:val="3"/>
        </w:numPr>
      </w:pPr>
      <w:r>
        <w:rPr>
          <w:b/>
        </w:rPr>
        <w:t xml:space="preserve">Не писать вес статьи в виде плотности без «/м2».</w:t>
      </w:r>
      <w:r>
        <w:t xml:space="preserve"> «Сетка 60 гр» станет «вес 60 г». Правильно: «Сетка 60 г/м2».</w:t>
      </w:r>
    </w:p>
    <w:p>
      <w:pPr>
        <w:pStyle w:val="ListParagraph"/>
        <w:numPr>
          <w:ilvl w:val="0"/>
          <w:numId w:val="3"/>
        </w:numPr>
      </w:pPr>
      <w:r>
        <w:rPr>
          <w:b/>
        </w:rPr>
        <w:t xml:space="preserve">Не смешивать языки в типе товара.</w:t>
      </w:r>
      <w:r>
        <w:t xml:space="preserve"> «Игрушка», а не «Jucarie»; «10 шт.», а не «10 buc». Румынскую версию сайт делает сам.</w:t>
      </w:r>
    </w:p>
    <w:p>
      <w:pPr>
        <w:pStyle w:val="Heading2"/>
      </w:pPr>
      <w:r>
        <w:t xml:space="preserve">Новый производитель и поле «Производитель» в 1С</w:t>
      </w:r>
    </w:p>
    <w:p>
      <w:pPr/>
      <w:r>
        <w:t xml:space="preserve">Сайт узнаёт только производителей из списка в приложении. Если вы заводите товар марки, которой там нет, — напишите владельцу сайта название марки так, как она написана на упаковке. После добавления в список все её товары попадут в фильтр сразу, переименовывать их не нужно.</w:t>
      </w:r>
    </w:p>
    <w:p>
      <w:pPr>
        <w:pStyle w:val="ListParagraph"/>
        <w:numPr>
          <w:ilvl w:val="0"/>
          <w:numId w:val="4"/>
        </w:numPr>
      </w:pPr>
      <w:r>
        <w:t xml:space="preserve">☐ Раз в неделю — список новых марок владельцу сайта (уже есть в каталоге без фильтра: GP, Gut, Consorte, Starinox).</w:t>
      </w:r>
    </w:p>
    <w:p>
      <w:pPr/>
      <w:r>
        <w:t xml:space="preserve">Если в карточке номенклатуры 1С есть поле </w:t>
      </w:r>
      <w:r>
        <w:rPr>
          <w:b/>
        </w:rPr>
        <w:t xml:space="preserve">«Производитель»</w:t>
      </w:r>
      <w:r>
        <w:t xml:space="preserve"> или </w:t>
      </w:r>
      <w:r>
        <w:rPr>
          <w:b/>
        </w:rPr>
        <w:t xml:space="preserve">«Марка (бренд)»</w:t>
      </w:r>
      <w:r>
        <w:t xml:space="preserve"> — заполняйте и его. Сейчас сайт его не читает, но обмен можно настроить — тогда производитель будет браться из поля, а не из названия. Вопрос к бухгалтеру: есть ли такое поле в вашей 1С и как оно называется?</w:t>
      </w:r>
    </w:p>
    <w:p>
      <w:pPr/>
      <w:r>
        <w:t xml:space="preserve">Переименование товара в 1С попадает на сайт со следующей выгрузкой, и фильтр обновляется сам. Исправлять старые названия лучше по разделам, начиная с инструмента и красок: там покупатели чаще всего выбирают по марке.</w:t>
      </w:r>
    </w:p>
    <w:p>
      <w:pPr>
        <w:pStyle w:val="Heading2"/>
      </w:pPr>
      <w:r>
        <w:t xml:space="preserve">Приложение: производители, которых знает сайт</w:t>
      </w:r>
    </w:p>
    <w:p>
      <w:pPr/>
      <w:r>
        <w:t xml:space="preserve">200 марок на 29.10.2026. Пишите их латиницей так, как здесь; большие или маленькие буквы не важны. Допустимые другие написания: Strend (= Strend Pro), Vector (= Vector+), Falon (= Falon Tech), Richman (= Richmann), Fleco (= Fleko), Somafix и Soma (= Soma Fix), Bau Welt (= Bauwelt), Faster (= Faster Tools), Sniezka (= Śnieżka), Gama (= Gamma).</w:t>
      </w:r>
    </w:p>
    <w:p>
      <w:pPr/>
      <w:r>
        <w:t xml:space="preserve">Agrecol, Akfix, Aksel, Alya, Amigo, Antares, Asude, Avers, Aviora, Bauwelt, Beorol, Berossi, Bingo, Biodur, Bison, Blueshark, Bondit, Bosch, Bostik, Bradas, Brimix, Burak, Cellfast, Ceresit, Cif, Colombo, Coloriks, Coloris, Corona, Crasdan, Dedra, Defne, Deleex, Detex, DeWalt, Diolsem, Dolpfin, Dracon, Draumet, Dunya, Duracell, DWT, EGA, Elefant, Elif, Elitacolor, Emos, Energizer, Eurolumina, Exen, Ezra, Fairy, Falon Tech, Farbis, Faster Tools, Feron, Fertilux, Festa, Fleko, Flexitaly, Forse, Foton, Fudi, Gallus, Gamma, Gardena, Geko, Gepard, Goalmac, Goalmag, Gondol, Gosia, Gredre, Hammer, Hardex, Hardstar, Hardy, HighGenic, Horoz, HPX, Imperial, Intex, Ipsan, Karasu, Keltin, Kingjet, Klingspor, Knauf, Kodak, Kraft&amp;Dele, Kratos, Kristalon, Kseibi, Kuchcik, Lemanso, Lider, Maan, Madeco, Makita, Mamut, Mastiff, Maxell, Maxter, Mechanic, Medalyan, MegaWatt, Mesan, Metsan, Milwaukee, Mixxus, Moltopren, Monoflex, Motive, Mustang, Mutlusan, Neomax, Nika, Novax, Oregon, Orient, Osram, Ouya, OZK, Palmiye, Partner, Penosil, Perilla, Philips, Plastart, Polax, Pratik, Prescott, Primaflex, Procraft, Profmet, Proline, Prosperplast, Recyko, Richmann, Rodex, Rotaru, Samurai, Sanliv, Santino, Sebos, SGS, Sigma, Singa, Sintex, Siroflex, Smartfix, Soma Fix, Soudal, Speedymask, Stanley, Stavtool, Stern, Sthor, Strend Pro, Sunflex, Supraton, Suyap, TDM, Tekasil, Tesa, Tiffany, Tolsen, Topex, Torfland, Total, Trigor, Trotec, Tucai, Tuffex, Tufflex, Tytan, Unimas, Unitape, Vargo, Varta, Vatan, Vector+, Verto, Videx, Vorel, Wermop, Winso, Wismark, Wokin, XTLine, Yato, Zambak, Zaruba, Zegor, Zerix, Zhwei, Zimmer, Zuber, Zwalum, Śnieżka.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Как заводить товары в 1С, чтобы работал фильтр на сайте</dc:title>
  <dc:description>Claude Docs node/f9484ac0-a054@10 docx-w7</dc:description>
  <cp:revision>10</cp:revision>
</cp:coreProperties>
</file>