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jpg" ContentType="image/jpg"/>
  <Default Extension="emf" ContentType="image/emf"/>
  <Default Extension="wmf" ContentType="image/wmf"/>
  <Default Extension="ico" ContentType="image/ico"/>
  <Default Extension="cur" ContentType="image/cur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auto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 xml:space="preserve">E.L.U. de rotura. Hormigón en cimentaciones: Eurocódigo 2</w:t>
      </w:r>
    </w:p>
    <w:p>
      <w:pPr>
        <w:spacing w:after="0" w:line="240" w:lineRule="auto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 xml:space="preserve">E.L.U. de rotura. Hormigón: Eurocódigo 2</w:t>
      </w:r>
    </w:p>
    <w:p>
      <w:pPr>
        <w:spacing w:after="62" w:line="240" w:lineRule="auto"/>
        <w:jc w:val="both"/>
        <w:ind w:left="283"/>
        <w:rPr>
          <w:rFonts w:ascii="Verdana" w:hAnsi="Verdana" w:cs="Verdana"/>
          <w:sz w:val="18"/>
        </w:rPr>
        <w:keepNext/>
      </w:pPr>
      <w:r>
        <w:rPr>
          <w:rFonts w:ascii="Verdana" w:hAnsi="Verdana" w:cs="Verdana"/>
          <w:sz w:val="18"/>
        </w:rPr>
        <w:t xml:space="preserve">Para las distintas situaciones de proyecto, las combinaciones de acciones se definirán de acuerdo con los siguientes criterios:</w:t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persistentes o transitorias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288000"/>
            <wp:effectExtent l="0" t="0" r="0" b="0"/>
            <wp:docPr id="1" name="0 Imagen" descr="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w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sísmicas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wm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accidentales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wm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90" w:line="240" w:lineRule="auto"/>
        <w:jc w:val="both"/>
        <w:ind w:left="703" w:hanging="136"/>
        <w:rPr>
          <w:rFonts w:ascii="Verdana" w:hAnsi="Verdana" w:cs="Verdana"/>
          <w:sz w:val="18"/>
        </w:rPr>
      </w:pPr>
      <w:r>
        <w:rPr>
          <w:rFonts w:ascii="Verdana" w:hAnsi="Verdana" w:cs="Verdana"/>
          <w:sz w:val="18"/>
        </w:rPr>
        <w:t>-</w:t>
        <w:tab/>
      </w:r>
      <w:r>
        <w:rPr>
          <w:rFonts w:ascii="Verdana" w:hAnsi="Verdana" w:cs="Verdana"/>
          <w:sz w:val="18"/>
        </w:rPr>
        <w:t xml:space="preserve">Donde: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0" w:type="auto"/>
        <w:jc w:val="left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permanente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de pretensado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Q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variable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E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sísmica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d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G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permanentes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de pretensado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variables de acompañamiento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AE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sísmica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Ad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las acciones variables de acompañamiento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Persistente o transitoria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Sísmica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Sismo (E)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Accidental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Accidental (A)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 xml:space="preserve">E.L.U. de rotura. Aluminio: Eurocódigo 9</w:t>
      </w:r>
    </w:p>
    <w:p>
      <w:pPr>
        <w:spacing w:after="62" w:line="240" w:lineRule="auto"/>
        <w:jc w:val="both"/>
        <w:ind w:left="283"/>
        <w:rPr>
          <w:rFonts w:ascii="Verdana" w:hAnsi="Verdana" w:cs="Verdana"/>
          <w:sz w:val="18"/>
        </w:rPr>
        <w:keepNext/>
      </w:pPr>
      <w:r>
        <w:rPr>
          <w:rFonts w:ascii="Verdana" w:hAnsi="Verdana" w:cs="Verdana"/>
          <w:sz w:val="18"/>
        </w:rPr>
        <w:t xml:space="preserve">Para las distintas situaciones de proyecto, las combinaciones de acciones se definirán de acuerdo con los siguientes criterios:</w:t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persistentes o transitorias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288000"/>
            <wp:effectExtent l="0" t="0" r="0" b="0"/>
            <wp:docPr id="1" name="0 Imagen" descr="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w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sísmicas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wm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accidentales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wm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90" w:line="240" w:lineRule="auto"/>
        <w:jc w:val="both"/>
        <w:ind w:left="703" w:hanging="136"/>
        <w:rPr>
          <w:rFonts w:ascii="Verdana" w:hAnsi="Verdana" w:cs="Verdana"/>
          <w:sz w:val="18"/>
        </w:rPr>
      </w:pPr>
      <w:r>
        <w:rPr>
          <w:rFonts w:ascii="Verdana" w:hAnsi="Verdana" w:cs="Verdana"/>
          <w:sz w:val="18"/>
        </w:rPr>
        <w:t>-</w:t>
        <w:tab/>
      </w:r>
      <w:r>
        <w:rPr>
          <w:rFonts w:ascii="Verdana" w:hAnsi="Verdana" w:cs="Verdana"/>
          <w:sz w:val="18"/>
        </w:rPr>
        <w:t xml:space="preserve">Donde: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0" w:type="auto"/>
        <w:jc w:val="left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permanente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de pretensado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Q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variable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E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sísmica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d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G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permanentes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de pretensado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variables de acompañamiento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AE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sísmica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Ad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las acciones variables de acompañamiento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Persistente o transitoria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Sísmica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Sismo (E)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Accidental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Accidental (A)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 xml:space="preserve">Tensiones sobre el terreno (A1 - Conjunto B)</w:t>
      </w:r>
    </w:p>
    <w:p>
      <w:pPr>
        <w:spacing w:after="62" w:line="240" w:lineRule="auto"/>
        <w:jc w:val="both"/>
        <w:ind w:left="283"/>
        <w:rPr>
          <w:rFonts w:ascii="Verdana" w:hAnsi="Verdana" w:cs="Verdana"/>
          <w:sz w:val="18"/>
        </w:rPr>
        <w:keepNext/>
      </w:pPr>
      <w:r>
        <w:rPr>
          <w:rFonts w:ascii="Verdana" w:hAnsi="Verdana" w:cs="Verdana"/>
          <w:sz w:val="18"/>
        </w:rPr>
        <w:t xml:space="preserve">Para las distintas situaciones de proyecto, las combinaciones de acciones se definirán de acuerdo con los siguientes criterios:</w:t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persistentes o transitorias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288000"/>
            <wp:effectExtent l="0" t="0" r="0" b="0"/>
            <wp:docPr id="1" name="0 Imagen" descr="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w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sísmicas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wm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accidentales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wm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90" w:line="240" w:lineRule="auto"/>
        <w:jc w:val="both"/>
        <w:ind w:left="703" w:hanging="136"/>
        <w:rPr>
          <w:rFonts w:ascii="Verdana" w:hAnsi="Verdana" w:cs="Verdana"/>
          <w:sz w:val="18"/>
        </w:rPr>
      </w:pPr>
      <w:r>
        <w:rPr>
          <w:rFonts w:ascii="Verdana" w:hAnsi="Verdana" w:cs="Verdana"/>
          <w:sz w:val="18"/>
        </w:rPr>
        <w:t>-</w:t>
        <w:tab/>
      </w:r>
      <w:r>
        <w:rPr>
          <w:rFonts w:ascii="Verdana" w:hAnsi="Verdana" w:cs="Verdana"/>
          <w:sz w:val="18"/>
        </w:rPr>
        <w:t xml:space="preserve">Donde: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0" w:type="auto"/>
        <w:jc w:val="left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permanente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de pretensado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Q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variable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E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sísmica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d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G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permanentes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de pretensado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variables de acompañamiento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AE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sísmica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Ad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las acciones variables de acompañamiento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Persistente o transitoria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1.500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1.350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Sísmica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Sismo (E)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Accidental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Accidental (A)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 xml:space="preserve">Tensiones sobre el terreno (A2 - Conjunto C)</w:t>
      </w:r>
    </w:p>
    <w:p>
      <w:pPr>
        <w:spacing w:after="62" w:line="240" w:lineRule="auto"/>
        <w:jc w:val="both"/>
        <w:ind w:left="283"/>
        <w:rPr>
          <w:rFonts w:ascii="Verdana" w:hAnsi="Verdana" w:cs="Verdana"/>
          <w:sz w:val="18"/>
        </w:rPr>
        <w:keepNext/>
      </w:pPr>
      <w:r>
        <w:rPr>
          <w:rFonts w:ascii="Verdana" w:hAnsi="Verdana" w:cs="Verdana"/>
          <w:sz w:val="18"/>
        </w:rPr>
        <w:t xml:space="preserve">Para las distintas situaciones de proyecto, las combinaciones de acciones se definirán de acuerdo con los siguientes criterios:</w:t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persistentes o transitorias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288000"/>
            <wp:effectExtent l="0" t="0" r="0" b="0"/>
            <wp:docPr id="1" name="0 Imagen" descr="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w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sísmicas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wm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5" w:line="240" w:lineRule="auto"/>
        <w:jc w:val="both"/>
        <w:ind w:left="703" w:hanging="136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>-</w:t>
        <w:tab/>
      </w:r>
      <w:r>
        <w:rPr>
          <w:rFonts w:ascii="Verdana" w:hAnsi="Verdana" w:cs="Verdana"/>
          <w:sz w:val="18"/>
          <w:b/>
        </w:rPr>
        <w:t xml:space="preserve">Situaciones accidentales</w:t>
      </w:r>
    </w:p>
    <w:p>
      <w:pPr>
        <w:spacing w:after="0" w:line="240" w:lineRule="auto"/>
        <w:ind w:left="850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316800"/>
            <wp:effectExtent l="0" t="0" r="0" b="0"/>
            <wp:docPr id="1" name="0 Imagen" descr="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wm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90" w:line="240" w:lineRule="auto"/>
        <w:jc w:val="both"/>
        <w:ind w:left="703" w:hanging="136"/>
        <w:rPr>
          <w:rFonts w:ascii="Verdana" w:hAnsi="Verdana" w:cs="Verdana"/>
          <w:sz w:val="18"/>
        </w:rPr>
      </w:pPr>
      <w:r>
        <w:rPr>
          <w:rFonts w:ascii="Verdana" w:hAnsi="Verdana" w:cs="Verdana"/>
          <w:sz w:val="18"/>
        </w:rPr>
        <w:t>-</w:t>
        <w:tab/>
      </w:r>
      <w:r>
        <w:rPr>
          <w:rFonts w:ascii="Verdana" w:hAnsi="Verdana" w:cs="Verdana"/>
          <w:sz w:val="18"/>
        </w:rPr>
        <w:t xml:space="preserve">Donde: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0" w:type="auto"/>
        <w:jc w:val="left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permanente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de pretensado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Q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variable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E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sísmica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d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G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permanentes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de pretensado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variables de acompañamiento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AE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sísmica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Ad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accidental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las acciones variables de acompañamiento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Persistente o transitoria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Sísmica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Sismo (E)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Accidental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Accidental (A)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rPr>
          <w:rFonts w:ascii="Verdana" w:hAnsi="Verdana" w:cs="Verdana"/>
          <w:sz w:val="18"/>
          <w:b/>
        </w:rPr>
        <w:keepNext/>
      </w:pPr>
      <w:r>
        <w:rPr>
          <w:rFonts w:ascii="Verdana" w:hAnsi="Verdana" w:cs="Verdana"/>
          <w:sz w:val="18"/>
          <w:b/>
        </w:rPr>
        <w:t xml:space="preserve">E.L.S. Fisuración. Hormigón en cimentaciones: Eurocódigo 2</w:t>
      </w:r>
    </w:p>
    <w:p>
      <w:pPr>
        <w:spacing w:after="0" w:line="240" w:lineRule="auto"/>
        <w:rPr>
          <w:rFonts w:ascii="Verdana" w:hAnsi="Verdana" w:cs="Verdana"/>
          <w:sz w:val="18"/>
          <w:b/>
        </w:rPr>
      </w:pPr>
      <w:r>
        <w:rPr>
          <w:rFonts w:ascii="Verdana" w:hAnsi="Verdana" w:cs="Verdana"/>
          <w:sz w:val="18"/>
          <w:b/>
        </w:rPr>
        <w:t xml:space="preserve">E.L.S. Fisuración. Hormigón: Eurocódigo 2</w:t>
      </w:r>
    </w:p>
    <w:p>
      <w:pPr>
        <w:spacing w:after="62" w:line="240" w:lineRule="auto"/>
        <w:jc w:val="both"/>
        <w:ind w:left="283"/>
        <w:rPr>
          <w:rFonts w:ascii="Verdana" w:hAnsi="Verdana" w:cs="Verdana"/>
          <w:sz w:val="18"/>
        </w:rPr>
        <w:keepNext/>
      </w:pPr>
      <w:r>
        <w:rPr>
          <w:rFonts w:ascii="Verdana" w:hAnsi="Verdana" w:cs="Verdana"/>
          <w:sz w:val="18"/>
        </w:rPr>
        <w:t xml:space="preserve">Para las distintas situaciones de proyecto, las combinaciones de acciones se definirán de acuerdo con los siguientes criterios:</w:t>
      </w:r>
    </w:p>
    <w:p>
      <w:pPr>
        <w:spacing w:after="0" w:line="240" w:lineRule="auto"/>
        <w:ind w:left="567"/>
        <w:rPr>
          <w:rFonts w:ascii="Verdana" w:hAnsi="Verdana" w:cs="Verdana"/>
          <w:sz w:val="18"/>
        </w:rPr>
      </w:pPr>
      <w:r>
        <w:drawing>
          <wp:inline distT="0" distB="0" distL="0" distR="0">
            <wp:extent cx="2160000" cy="288000"/>
            <wp:effectExtent l="0" t="0" r="0" b="0"/>
            <wp:docPr id="1" name="0 Imagen" descr="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w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90" w:line="240" w:lineRule="auto"/>
        <w:jc w:val="both"/>
        <w:ind w:left="703" w:hanging="136"/>
        <w:rPr>
          <w:rFonts w:ascii="Verdana" w:hAnsi="Verdana" w:cs="Verdana"/>
          <w:sz w:val="18"/>
        </w:rPr>
      </w:pPr>
      <w:r>
        <w:rPr>
          <w:rFonts w:ascii="Verdana" w:hAnsi="Verdana" w:cs="Verdana"/>
          <w:sz w:val="18"/>
        </w:rPr>
        <w:t>-</w:t>
        <w:tab/>
      </w:r>
      <w:r>
        <w:rPr>
          <w:rFonts w:ascii="Verdana" w:hAnsi="Verdana" w:cs="Verdana"/>
          <w:sz w:val="18"/>
        </w:rPr>
        <w:t xml:space="preserve">Donde: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0" w:type="auto"/>
        <w:jc w:val="left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permanente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de pretensado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Q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k</w:t>
            </w:r>
          </w:p>
        </w:tc>
        <w:tc>
          <w:tcPr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Acción variable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G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permanentes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de pretensado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Q,i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parcial de seguridad de las acciones variables de acompañamiento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p,1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 acción variable principal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a,i</w:t>
            </w:r>
          </w:p>
        </w:tc>
        <w:tc>
          <w:tcPr>
            <w:noWrap/>
            <w:vAlign w:val="bottom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 de combinación de las acciones variables de acompañamiento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p>
      <w:pPr>
        <w:spacing w:after="0" w:line="240" w:lineRule="auto"/>
        <w:keepNext/>
      </w:pPr>
      <w:r>
        <w:rPr>
          <w:rFonts w:ascii="Verdana" w:hAnsi="Verdana" w:cs="Verdana"/>
          <w:sz w:val="18"/>
        </w:rPr>
        <w:t xml:space="preserve"> 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DAD7D3"/>
            <w:noWrap/>
            <w:vAlign w:val="center"/>
            <w:gridSpan w:val="5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  <w:b/>
              </w:rPr>
            </w:pPr>
            <w:r>
              <w:rPr>
                <w:rFonts w:ascii="Verdana" w:hAnsi="Verdana" w:cs="Verdana"/>
                <w:sz w:val="18"/>
                <w:b/>
              </w:rPr>
              <w:t xml:space="preserve">Cuasipermanente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vMerge w:val="restart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 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parciales de seguridad (</w:t>
            </w:r>
            <w:r>
              <w:rPr>
                <w:rFonts w:ascii="Symbol" w:hAnsi="Symbol" w:cs="Symbol"/>
                <w:sz w:val="18"/>
              </w:rPr>
              <w:t xml:space="preserve">g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  <w:gridSpan w:val="2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Coeficientes de combinación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tblHeader/>
        </w:trPr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Merge/>
          </w:tcPr>
          <w:p/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Desfavorable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Principal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p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  <w:tc>
          <w:tcPr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shd w:fill="F2F1F0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Acompañamiento (</w:t>
            </w:r>
            <w:r>
              <w:rPr>
                <w:rFonts w:ascii="Symbol" w:hAnsi="Symbol" w:cs="Symbol"/>
                <w:sz w:val="18"/>
              </w:rPr>
              <w:t xml:space="preserve">y</w:t>
            </w:r>
            <w:r>
              <w:rPr>
                <w:rFonts w:ascii="Verdana" w:hAnsi="Verdana" w:cs="Verdana"/>
                <w:sz w:val="18"/>
                <w:vertAlign w:val="subscript"/>
              </w:rPr>
              <w:t xml:space="preserve">a</w:t>
            </w:r>
            <w:r>
              <w:rPr>
                <w:rFonts w:ascii="Verdana" w:hAnsi="Verdana" w:cs="Verdana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Carga permanente (G)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Pretensado (PST)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A)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B)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C)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D)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E)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0.800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F)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0.600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G)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0.300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Sobrecarga (Q - Uso H)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Viento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Nieve (Q)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0.200</w:t>
            </w:r>
          </w:p>
        </w:tc>
      </w:tr>
      <w:tr>
        <w:trPr>
          <w:cantSplit/>
        </w:trPr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Temperatura (T)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  <w:tc>
          <w:tcPr>
            <w:tcBorders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0.000</w:t>
            </w:r>
          </w:p>
        </w:tc>
      </w:tr>
      <w:tr>
        <w:trPr>
          <w:cantSplit/>
        </w:trPr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Empujes del terreno (H)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1.000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  <w:tc>
          <w:tcPr>
            <w:tcBorders>
              <w:bottom w:val="single" w:sz="2" w:space="0" w:color="000000"/>
              <w:left w:val="single" w:sz="2" w:space="0" w:color="000000"/>
              <w:right w:val="single" w:sz="2" w:space="0" w:color="000000"/>
            </w:tcBorders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 xml:space="preserve">-</w:t>
            </w:r>
          </w:p>
        </w:tc>
      </w:tr>
    </w:tbl>
    <w:p>
      <w:pPr>
        <w:spacing w:after="0" w:line="2" w:lineRule="auto"/>
      </w:pPr>
    </w:p>
    <w:p>
      <w:pPr>
        <w:spacing w:after="0" w:line="240" w:lineRule="auto"/>
      </w:pPr>
      <w:r>
        <w:rPr>
          <w:rFonts w:ascii="Verdana" w:hAnsi="Verdana" w:cs="Verdana"/>
          <w:sz w:val="18"/>
        </w:rPr>
        <w:t xml:space="preserve"> </w:t>
      </w:r>
    </w:p>
    <w:sectPr>
      <w:pgSz w:w="11906" w:h="16838" w:orient="portrait"/>
      <w:pgMar w:top="907" w:left="907" w:bottom="907" w:right="907" w:header="907" w:footer="907" w:gutter="283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Normal">
    <w:name w:val="Normal"/>
    <w:qFormat/>
    <w:rsid w:val="00174D7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5.wmf"/><Relationship Id="rId6" Type="http://schemas.openxmlformats.org/officeDocument/2006/relationships/image" Target="media/image6.wmf"/><Relationship Id="rId7" Type="http://schemas.openxmlformats.org/officeDocument/2006/relationships/image" Target="media/image7.wmf"/></Relationships>
</file>