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B454" w14:textId="77777777" w:rsidR="00114A6F" w:rsidRDefault="00662AE3">
      <w:pPr>
        <w:spacing w:before="600" w:after="80"/>
        <w:jc w:val="center"/>
      </w:pPr>
      <w:r>
        <w:rPr>
          <w:b/>
          <w:bCs/>
          <w:color w:val="1B4F72"/>
          <w:sz w:val="40"/>
          <w:szCs w:val="40"/>
        </w:rPr>
        <w:t>Example Summary</w:t>
      </w:r>
    </w:p>
    <w:p w14:paraId="0246B455" w14:textId="77777777" w:rsidR="00114A6F" w:rsidRDefault="00662AE3">
      <w:pPr>
        <w:spacing w:after="40"/>
        <w:jc w:val="center"/>
      </w:pPr>
      <w:r>
        <w:rPr>
          <w:color w:val="2E86C1"/>
          <w:sz w:val="28"/>
          <w:szCs w:val="28"/>
        </w:rPr>
        <w:t>Quantifying the Risk of Extreme Subgroup Results</w:t>
      </w:r>
    </w:p>
    <w:p w14:paraId="0246B456" w14:textId="77777777" w:rsidR="00114A6F" w:rsidRDefault="00662AE3">
      <w:pPr>
        <w:pBdr>
          <w:bottom w:val="single" w:sz="6" w:space="8" w:color="1B4F72"/>
        </w:pBdr>
        <w:spacing w:after="200"/>
        <w:jc w:val="center"/>
      </w:pPr>
      <w:r>
        <w:rPr>
          <w:color w:val="2E86C1"/>
          <w:sz w:val="28"/>
          <w:szCs w:val="28"/>
        </w:rPr>
        <w:t>Under Uniform Treatment Benefit</w:t>
      </w:r>
    </w:p>
    <w:p w14:paraId="0246B457" w14:textId="77777777" w:rsidR="00114A6F" w:rsidRDefault="00662AE3">
      <w:pPr>
        <w:pStyle w:val="Heading1"/>
      </w:pPr>
      <w:r>
        <w:t>Motivation</w:t>
      </w:r>
    </w:p>
    <w:p w14:paraId="0246B458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 xml:space="preserve">Addresses a specific regulatory question: </w:t>
      </w:r>
      <w:r>
        <w:rPr>
          <w:b/>
          <w:bCs/>
        </w:rPr>
        <w:t>how extreme can subgroup-level hazard ratio (HR) estimates and confidence bounds appear purely by chance</w:t>
      </w:r>
      <w:r>
        <w:t xml:space="preserve"> when treatment provides perfectly uniform benefit across all patients?</w:t>
      </w:r>
    </w:p>
    <w:p w14:paraId="0246B459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>Motivated by real-world regulatory review scenarios in which apparently alarming subgroup results on forest plots trigger concern that may not be warranted.</w:t>
      </w:r>
    </w:p>
    <w:p w14:paraId="0246B45A" w14:textId="77777777" w:rsidR="00114A6F" w:rsidRDefault="00662AE3">
      <w:pPr>
        <w:pStyle w:val="Heading1"/>
      </w:pPr>
      <w:r>
        <w:t>Simulation Design</w:t>
      </w:r>
    </w:p>
    <w:p w14:paraId="0246B45B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Data-generating mechanism (DGM)</w:t>
      </w:r>
      <w:r>
        <w:t xml:space="preserve"> built from actual trial data: the German Breast Cancer Study Group (GBSG) dataset (N = 686), preserving realistic covariate distributions and censoring patterns.</w:t>
      </w:r>
    </w:p>
    <w:p w14:paraId="0246B45C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Uniform true treatment effect: </w:t>
      </w:r>
      <w:r>
        <w:t>HR = 0.70 (30% risk reduction) imposed identically for every patient — any observed subgroup heterogeneity is, by construction, a false positive.</w:t>
      </w:r>
    </w:p>
    <w:p w14:paraId="0246B45D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56 pre-defined subgroups</w:t>
      </w:r>
      <w:r>
        <w:t xml:space="preserve"> evaluated across thousands of simulated trials, spanning single-variable clinical subgroups, two- and three-way interaction subgroups, and purposefully meaningless random-benchmark subgroups of varying size.</w:t>
      </w:r>
    </w:p>
    <w:p w14:paraId="0246B45E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>Stratified Cox proportional hazards model fitted within each subgroup per simulated trial; both HR point estimates and upper confidence bounds (UB) recorded.</w:t>
      </w:r>
    </w:p>
    <w:p w14:paraId="0246B45F" w14:textId="77777777" w:rsidR="00114A6F" w:rsidRDefault="00662AE3">
      <w:pPr>
        <w:pStyle w:val="Heading1"/>
      </w:pPr>
      <w:r>
        <w:t>Key Findings</w:t>
      </w:r>
    </w:p>
    <w:p w14:paraId="0246B460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Small subgroups produce extreme results by chance: </w:t>
      </w:r>
      <w:r>
        <w:t>Subgroups with N ≲ 40 routinely produce upper confidence bounds exceeding 3.0, even though the true HR is a substantial 30% risk reduction.</w:t>
      </w:r>
    </w:p>
    <w:p w14:paraId="0246B461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Very small subgroups are worse: </w:t>
      </w:r>
      <w:r>
        <w:t>For subgroups of approximately N ≈ 15, UB values above 5.0 are not rare.</w:t>
      </w:r>
    </w:p>
    <w:p w14:paraId="0246B462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Clinical rationale provides no statistical protection: </w:t>
      </w:r>
      <w:r>
        <w:t>Clinical subgroups defined by medically meaningful baseline factors exhibit the same distributional spread as size-matched random groupings with no clinical rationale whatsoever.</w:t>
      </w:r>
    </w:p>
    <w:p w14:paraId="0246B463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>The Cox model is working correctly — wide confidence intervals in small subgroups accurately reflect genuine statistical uncertainty; the problem lies in interpretation, not methodology.</w:t>
      </w:r>
    </w:p>
    <w:p w14:paraId="0246B464" w14:textId="77777777" w:rsidR="00114A6F" w:rsidRDefault="00662AE3">
      <w:pPr>
        <w:pStyle w:val="Heading1"/>
      </w:pPr>
      <w:r>
        <w:t>Implications</w:t>
      </w:r>
    </w:p>
    <w:p w14:paraId="0246B465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Simulation-based calibration is essential: </w:t>
      </w:r>
      <w:r>
        <w:t>Benchmarking observed subgroup results against the distribution expected under a uniform-effect null is necessary for honest interpretation of subgroup findings.</w:t>
      </w:r>
    </w:p>
    <w:p w14:paraId="0246B466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 xml:space="preserve">Without such calibration, a reviewer encountering a HR upper bound of 3.5 in a 15-patient subgroup has </w:t>
      </w:r>
      <w:r>
        <w:rPr>
          <w:b/>
          <w:bCs/>
        </w:rPr>
        <w:t>no principled basis to distinguish a chance finding from a genuine safety signal</w:t>
      </w:r>
      <w:r>
        <w:t>.</w:t>
      </w:r>
    </w:p>
    <w:p w14:paraId="0246B467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 xml:space="preserve">Sponsors can </w:t>
      </w:r>
      <w:r>
        <w:rPr>
          <w:b/>
          <w:bCs/>
        </w:rPr>
        <w:t>proactively characterize the expected range of extreme results</w:t>
      </w:r>
      <w:r>
        <w:t xml:space="preserve"> for their specific trial design, covariate structure, and subgroup definitions before regulatory review, rather than reacting to potentially over-interpreted post-hoc findings.</w:t>
      </w:r>
    </w:p>
    <w:p w14:paraId="0246B468" w14:textId="77777777" w:rsidR="00114A6F" w:rsidRDefault="00662AE3">
      <w:pPr>
        <w:pStyle w:val="Heading1"/>
      </w:pPr>
      <w:r>
        <w:t>Implementation</w:t>
      </w:r>
    </w:p>
    <w:p w14:paraId="0246B469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 xml:space="preserve">Fully reproducible workflow implemented via the </w:t>
      </w:r>
      <w:proofErr w:type="spellStart"/>
      <w:r>
        <w:rPr>
          <w:rFonts w:ascii="Courier New" w:eastAsia="Courier New" w:hAnsi="Courier New" w:cs="Courier New"/>
          <w:b/>
          <w:bCs/>
          <w:sz w:val="21"/>
          <w:szCs w:val="21"/>
        </w:rPr>
        <w:t>forestsearch</w:t>
      </w:r>
      <w:proofErr w:type="spellEnd"/>
      <w:r>
        <w:t xml:space="preserve"> R package (</w:t>
      </w:r>
      <w:proofErr w:type="spellStart"/>
      <w:r>
        <w:t>larry-leon</w:t>
      </w:r>
      <w:proofErr w:type="spellEnd"/>
      <w:r>
        <w:t>/</w:t>
      </w:r>
      <w:proofErr w:type="spellStart"/>
      <w:r>
        <w:t>forestsearch</w:t>
      </w:r>
      <w:proofErr w:type="spellEnd"/>
      <w:r>
        <w:t>).</w:t>
      </w:r>
    </w:p>
    <w:p w14:paraId="0246B46A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 xml:space="preserve">Key functions: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generate_aft_dgm_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flex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for DGM construction,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simulate_from_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dgm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</w:t>
      </w:r>
      <w:r>
        <w:t xml:space="preserve"> for trial generation, and custom summarization/visualization utilities for forest plots of HR and UB distributions.</w:t>
      </w:r>
    </w:p>
    <w:p w14:paraId="0246B46B" w14:textId="77777777" w:rsidR="00114A6F" w:rsidRDefault="00662AE3">
      <w:pPr>
        <w:pStyle w:val="ListParagraph"/>
        <w:numPr>
          <w:ilvl w:val="0"/>
          <w:numId w:val="2"/>
        </w:numPr>
        <w:spacing w:after="100"/>
      </w:pPr>
      <w:r>
        <w:t>Random benchmark subgroups (random60, random40, random20, random15) provide built-in size-matched null controls for direct comparison against clinical subgroups.</w:t>
      </w:r>
    </w:p>
    <w:sectPr w:rsidR="00114A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C8D"/>
    <w:multiLevelType w:val="hybridMultilevel"/>
    <w:tmpl w:val="36CCB980"/>
    <w:lvl w:ilvl="0" w:tplc="0DE802D0">
      <w:start w:val="1"/>
      <w:numFmt w:val="bullet"/>
      <w:lvlText w:val="•"/>
      <w:lvlJc w:val="left"/>
      <w:pPr>
        <w:ind w:left="720" w:hanging="360"/>
      </w:pPr>
    </w:lvl>
    <w:lvl w:ilvl="1" w:tplc="634CB1DA">
      <w:start w:val="1"/>
      <w:numFmt w:val="bullet"/>
      <w:lvlText w:val="–"/>
      <w:lvlJc w:val="left"/>
      <w:pPr>
        <w:ind w:left="1440" w:hanging="360"/>
      </w:pPr>
    </w:lvl>
    <w:lvl w:ilvl="2" w:tplc="786C3282">
      <w:numFmt w:val="decimal"/>
      <w:lvlText w:val=""/>
      <w:lvlJc w:val="left"/>
    </w:lvl>
    <w:lvl w:ilvl="3" w:tplc="26F4B462">
      <w:numFmt w:val="decimal"/>
      <w:lvlText w:val=""/>
      <w:lvlJc w:val="left"/>
    </w:lvl>
    <w:lvl w:ilvl="4" w:tplc="97AC20AE">
      <w:numFmt w:val="decimal"/>
      <w:lvlText w:val=""/>
      <w:lvlJc w:val="left"/>
    </w:lvl>
    <w:lvl w:ilvl="5" w:tplc="38BCE3BE">
      <w:numFmt w:val="decimal"/>
      <w:lvlText w:val=""/>
      <w:lvlJc w:val="left"/>
    </w:lvl>
    <w:lvl w:ilvl="6" w:tplc="9676AF30">
      <w:numFmt w:val="decimal"/>
      <w:lvlText w:val=""/>
      <w:lvlJc w:val="left"/>
    </w:lvl>
    <w:lvl w:ilvl="7" w:tplc="38D24B8C">
      <w:numFmt w:val="decimal"/>
      <w:lvlText w:val=""/>
      <w:lvlJc w:val="left"/>
    </w:lvl>
    <w:lvl w:ilvl="8" w:tplc="99F4C7BA">
      <w:numFmt w:val="decimal"/>
      <w:lvlText w:val=""/>
      <w:lvlJc w:val="left"/>
    </w:lvl>
  </w:abstractNum>
  <w:abstractNum w:abstractNumId="1" w15:restartNumberingAfterBreak="0">
    <w:nsid w:val="6D7F7E8D"/>
    <w:multiLevelType w:val="hybridMultilevel"/>
    <w:tmpl w:val="5C44195C"/>
    <w:lvl w:ilvl="0" w:tplc="3EC20434">
      <w:start w:val="1"/>
      <w:numFmt w:val="bullet"/>
      <w:lvlText w:val="●"/>
      <w:lvlJc w:val="left"/>
      <w:pPr>
        <w:ind w:left="720" w:hanging="360"/>
      </w:pPr>
    </w:lvl>
    <w:lvl w:ilvl="1" w:tplc="B26C6F28">
      <w:start w:val="1"/>
      <w:numFmt w:val="bullet"/>
      <w:lvlText w:val="○"/>
      <w:lvlJc w:val="left"/>
      <w:pPr>
        <w:ind w:left="1440" w:hanging="360"/>
      </w:pPr>
    </w:lvl>
    <w:lvl w:ilvl="2" w:tplc="C764C538">
      <w:start w:val="1"/>
      <w:numFmt w:val="bullet"/>
      <w:lvlText w:val="■"/>
      <w:lvlJc w:val="left"/>
      <w:pPr>
        <w:ind w:left="2160" w:hanging="360"/>
      </w:pPr>
    </w:lvl>
    <w:lvl w:ilvl="3" w:tplc="96DAA464">
      <w:start w:val="1"/>
      <w:numFmt w:val="bullet"/>
      <w:lvlText w:val="●"/>
      <w:lvlJc w:val="left"/>
      <w:pPr>
        <w:ind w:left="2880" w:hanging="360"/>
      </w:pPr>
    </w:lvl>
    <w:lvl w:ilvl="4" w:tplc="18E44D1E">
      <w:start w:val="1"/>
      <w:numFmt w:val="bullet"/>
      <w:lvlText w:val="○"/>
      <w:lvlJc w:val="left"/>
      <w:pPr>
        <w:ind w:left="3600" w:hanging="360"/>
      </w:pPr>
    </w:lvl>
    <w:lvl w:ilvl="5" w:tplc="C5A6E552">
      <w:start w:val="1"/>
      <w:numFmt w:val="bullet"/>
      <w:lvlText w:val="■"/>
      <w:lvlJc w:val="left"/>
      <w:pPr>
        <w:ind w:left="4320" w:hanging="360"/>
      </w:pPr>
    </w:lvl>
    <w:lvl w:ilvl="6" w:tplc="07C09BA4">
      <w:start w:val="1"/>
      <w:numFmt w:val="bullet"/>
      <w:lvlText w:val="●"/>
      <w:lvlJc w:val="left"/>
      <w:pPr>
        <w:ind w:left="5040" w:hanging="360"/>
      </w:pPr>
    </w:lvl>
    <w:lvl w:ilvl="7" w:tplc="547A5A30">
      <w:start w:val="1"/>
      <w:numFmt w:val="bullet"/>
      <w:lvlText w:val="●"/>
      <w:lvlJc w:val="left"/>
      <w:pPr>
        <w:ind w:left="5760" w:hanging="360"/>
      </w:pPr>
    </w:lvl>
    <w:lvl w:ilvl="8" w:tplc="79123484">
      <w:start w:val="1"/>
      <w:numFmt w:val="bullet"/>
      <w:lvlText w:val="●"/>
      <w:lvlJc w:val="left"/>
      <w:pPr>
        <w:ind w:left="6480" w:hanging="360"/>
      </w:pPr>
    </w:lvl>
  </w:abstractNum>
  <w:num w:numId="1" w16cid:durableId="453911798">
    <w:abstractNumId w:val="1"/>
    <w:lvlOverride w:ilvl="0">
      <w:startOverride w:val="1"/>
    </w:lvlOverride>
  </w:num>
  <w:num w:numId="2" w16cid:durableId="1446656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6F"/>
    <w:rsid w:val="00114A6F"/>
    <w:rsid w:val="001D5FD3"/>
    <w:rsid w:val="00662AE3"/>
    <w:rsid w:val="00751A27"/>
    <w:rsid w:val="00DF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6B454"/>
  <w15:docId w15:val="{A478A9B4-88BB-5949-98E9-C779F410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2717</Characters>
  <Application>Microsoft Office Word</Application>
  <DocSecurity>0</DocSecurity>
  <Lines>51</Lines>
  <Paragraphs>27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León, Larry</cp:lastModifiedBy>
  <cp:revision>3</cp:revision>
  <dcterms:created xsi:type="dcterms:W3CDTF">2026-03-03T07:09:00Z</dcterms:created>
  <dcterms:modified xsi:type="dcterms:W3CDTF">2026-03-04T18:30:00Z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2026-03-03T17:14:32Z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48571cd4-448e-4d88-9a31-26379213b1b4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50, 0, 1, 1</vt:lpwstr>
  </property>
</Properties>
</file>