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Comprehensive Guide: Subgroup Analyses in Clinical Trials</w:t>
      </w:r>
    </w:p>
    <w:p>
      <w:pPr>
        <w:pStyle w:val="Subtitle"/>
      </w:pPr>
      <w:r>
        <w:t xml:space="preserve">Regulatory Perspectives, Case Examples, and Practical Recommendations</w:t>
      </w:r>
    </w:p>
    <w:p>
      <w:pPr>
        <w:pStyle w:val="Author"/>
      </w:pPr>
      <w:r>
        <w:t xml:space="preserve">Clinical Research Guidance Document</w:t>
      </w:r>
    </w:p>
    <w:p>
      <w:pPr>
        <w:pStyle w:val="Date"/>
      </w:pPr>
      <w:r>
        <w:t xml:space="preserve">2025-10-15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xecutive-summary"/>
    <w:p>
      <w:pPr>
        <w:pStyle w:val="Heading1"/>
      </w:pPr>
      <w:r>
        <w:t xml:space="preserve">1. Executive Summary</w:t>
      </w:r>
    </w:p>
    <w:p>
      <w:pPr>
        <w:pStyle w:val="FirstParagraph"/>
      </w:pPr>
      <w:r>
        <w:t xml:space="preserve">This document provides comprehensive guidance on conducting, interpreting, and reporting subgroup analyses in confirmatory clinical trials, with particular emphasis on oncology. It synthesizes FDA regulatory perspectives, international guidelines, and real-world case examples to provide practical recommendations for researchers, sponsors, and regulatory reviewers.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Subgroup analyses are essential for personalized medicine but require careful planning, rigorous methods, and cautious interpretation to avoid misleading conclusions.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30" w:name="part-1-foundational-principles"/>
    <w:p>
      <w:pPr>
        <w:pStyle w:val="Heading1"/>
      </w:pPr>
      <w:r>
        <w:t xml:space="preserve">2. Part 1: Foundational Principles</w:t>
      </w:r>
    </w:p>
    <w:bookmarkStart w:id="25" w:name="purpose-of-subgroup-analyses"/>
    <w:p>
      <w:pPr>
        <w:pStyle w:val="Heading2"/>
      </w:pPr>
      <w:r>
        <w:t xml:space="preserve">2.1 Purpose of Subgroup Analyses</w:t>
      </w:r>
    </w:p>
    <w:p>
      <w:pPr>
        <w:pStyle w:val="FirstParagraph"/>
      </w:pPr>
      <w:r>
        <w:t xml:space="preserve">Subgroup analyses assess treatment effects in specific patient subsets within a clinical trial, typically defined by: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Demographics:</w:t>
      </w:r>
      <w:r>
        <w:t xml:space="preserve"> </w:t>
      </w:r>
      <w:r>
        <w:t xml:space="preserve">Age, sex, race, ethnicity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Clinical characteristics:</w:t>
      </w:r>
      <w:r>
        <w:t xml:space="preserve"> </w:t>
      </w:r>
      <w:r>
        <w:t xml:space="preserve">Disease severity, stage, histology, comorbidities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Molecular markers:</w:t>
      </w:r>
      <w:r>
        <w:t xml:space="preserve"> </w:t>
      </w:r>
      <w:r>
        <w:t xml:space="preserve">PD-L1 expression, HRD status, genetic alterations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Geographic factors:</w:t>
      </w:r>
      <w:r>
        <w:t xml:space="preserve"> </w:t>
      </w:r>
      <w:r>
        <w:t xml:space="preserve">Region, study site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Baseline risk factors</w:t>
      </w:r>
    </w:p>
    <w:bookmarkStart w:id="24" w:name="primary-goals"/>
    <w:p>
      <w:pPr>
        <w:pStyle w:val="Heading3"/>
      </w:pPr>
      <w:r>
        <w:t xml:space="preserve">2.1.1 Primary Goals</w:t>
      </w:r>
    </w:p>
    <w:p>
      <w:pPr>
        <w:pStyle w:val="Compact"/>
        <w:numPr>
          <w:ilvl w:val="0"/>
          <w:numId w:val="1002"/>
        </w:numPr>
      </w:pPr>
      <w:r>
        <w:t xml:space="preserve">Identify heterogeneity in treatment effects across patient populations</w:t>
      </w:r>
    </w:p>
    <w:p>
      <w:pPr>
        <w:pStyle w:val="Compact"/>
        <w:numPr>
          <w:ilvl w:val="0"/>
          <w:numId w:val="1002"/>
        </w:numPr>
      </w:pPr>
      <w:r>
        <w:t xml:space="preserve">Support regulatory decision-making and labeling</w:t>
      </w:r>
    </w:p>
    <w:p>
      <w:pPr>
        <w:pStyle w:val="Compact"/>
        <w:numPr>
          <w:ilvl w:val="0"/>
          <w:numId w:val="1002"/>
        </w:numPr>
      </w:pPr>
      <w:r>
        <w:t xml:space="preserve">Inform clinical practice and individualized treatment decisions</w:t>
      </w:r>
    </w:p>
    <w:p>
      <w:pPr>
        <w:pStyle w:val="Compact"/>
        <w:numPr>
          <w:ilvl w:val="0"/>
          <w:numId w:val="1002"/>
        </w:numPr>
      </w:pPr>
      <w:r>
        <w:t xml:space="preserve">Generate hypotheses for future research</w:t>
      </w:r>
    </w:p>
    <w:bookmarkEnd w:id="24"/>
    <w:bookmarkEnd w:id="25"/>
    <w:bookmarkStart w:id="29" w:name="three-categories-of-subgroup-analyses"/>
    <w:p>
      <w:pPr>
        <w:pStyle w:val="Heading2"/>
      </w:pPr>
      <w:r>
        <w:t xml:space="preserve">2.2 Three Categories of Subgroup Analyses</w:t>
      </w:r>
    </w:p>
    <w:bookmarkStart w:id="26" w:name="inferential-subgroup-analyses"/>
    <w:p>
      <w:pPr>
        <w:pStyle w:val="Heading3"/>
      </w:pPr>
      <w:r>
        <w:t xml:space="preserve">2.2.1 Inferential Subgroup Analyses</w:t>
      </w:r>
    </w:p>
    <w:p>
      <w:pPr>
        <w:pStyle w:val="Compact"/>
        <w:numPr>
          <w:ilvl w:val="0"/>
          <w:numId w:val="1003"/>
        </w:numPr>
      </w:pPr>
      <w:r>
        <w:t xml:space="preserve">Pre-specified with adequate statistical power and alpha control</w:t>
      </w:r>
    </w:p>
    <w:p>
      <w:pPr>
        <w:pStyle w:val="Compact"/>
        <w:numPr>
          <w:ilvl w:val="0"/>
          <w:numId w:val="1003"/>
        </w:numPr>
      </w:pPr>
      <w:r>
        <w:t xml:space="preserve">Intended to establish efficacy in a specific subgroup</w:t>
      </w:r>
    </w:p>
    <w:p>
      <w:pPr>
        <w:pStyle w:val="Compact"/>
        <w:numPr>
          <w:ilvl w:val="0"/>
          <w:numId w:val="1003"/>
        </w:numPr>
      </w:pPr>
      <w:r>
        <w:t xml:space="preserve">Requires prospective planning for sample size and multiplicity control</w:t>
      </w:r>
    </w:p>
    <w:p>
      <w:pPr>
        <w:pStyle w:val="Compact"/>
        <w:numPr>
          <w:ilvl w:val="0"/>
          <w:numId w:val="1003"/>
        </w:numPr>
      </w:pPr>
      <w:r>
        <w:t xml:space="preserve">Used when differential effects are anticipated based on strong biological rationale</w:t>
      </w:r>
    </w:p>
    <w:bookmarkEnd w:id="26"/>
    <w:bookmarkStart w:id="27" w:name="supportive-subgroup-analyses"/>
    <w:p>
      <w:pPr>
        <w:pStyle w:val="Heading3"/>
      </w:pPr>
      <w:r>
        <w:t xml:space="preserve">2.2.2 Supportive Subgroup Analyses</w:t>
      </w:r>
    </w:p>
    <w:p>
      <w:pPr>
        <w:pStyle w:val="Compact"/>
        <w:numPr>
          <w:ilvl w:val="0"/>
          <w:numId w:val="1004"/>
        </w:numPr>
      </w:pPr>
      <w:r>
        <w:t xml:space="preserve">Pre-specified but not powered for formal hypothesis testing</w:t>
      </w:r>
    </w:p>
    <w:p>
      <w:pPr>
        <w:pStyle w:val="Compact"/>
        <w:numPr>
          <w:ilvl w:val="0"/>
          <w:numId w:val="1004"/>
        </w:numPr>
      </w:pPr>
      <w:r>
        <w:t xml:space="preserve">Descriptively assess consistency of treatment effects across subgroups</w:t>
      </w:r>
    </w:p>
    <w:p>
      <w:pPr>
        <w:pStyle w:val="Compact"/>
        <w:numPr>
          <w:ilvl w:val="0"/>
          <w:numId w:val="1004"/>
        </w:numPr>
      </w:pPr>
      <w:r>
        <w:t xml:space="preserve">Conducted after demonstrating significant effect in total population</w:t>
      </w:r>
    </w:p>
    <w:p>
      <w:pPr>
        <w:pStyle w:val="Compact"/>
        <w:numPr>
          <w:ilvl w:val="0"/>
          <w:numId w:val="1004"/>
        </w:numPr>
      </w:pPr>
      <w:r>
        <w:t xml:space="preserve">Help ensure broad applicability of findings</w:t>
      </w:r>
    </w:p>
    <w:bookmarkEnd w:id="27"/>
    <w:bookmarkStart w:id="28" w:name="exploratory-subgroup-analyses"/>
    <w:p>
      <w:pPr>
        <w:pStyle w:val="Heading3"/>
      </w:pPr>
      <w:r>
        <w:t xml:space="preserve">2.2.3 Exploratory Subgroup Analyses</w:t>
      </w:r>
    </w:p>
    <w:p>
      <w:pPr>
        <w:pStyle w:val="Compact"/>
        <w:numPr>
          <w:ilvl w:val="0"/>
          <w:numId w:val="1005"/>
        </w:numPr>
      </w:pPr>
      <w:r>
        <w:t xml:space="preserve">May or may not be pre-specified</w:t>
      </w:r>
    </w:p>
    <w:p>
      <w:pPr>
        <w:pStyle w:val="Compact"/>
        <w:numPr>
          <w:ilvl w:val="0"/>
          <w:numId w:val="1005"/>
        </w:numPr>
      </w:pPr>
      <w:r>
        <w:t xml:space="preserve">Hypothesis-generating rather than confirmatory</w:t>
      </w:r>
    </w:p>
    <w:p>
      <w:pPr>
        <w:pStyle w:val="Compact"/>
        <w:numPr>
          <w:ilvl w:val="0"/>
          <w:numId w:val="1005"/>
        </w:numPr>
      </w:pPr>
      <w:r>
        <w:t xml:space="preserve">Provide insights into treatment mechanisms and biological characteristics</w:t>
      </w:r>
    </w:p>
    <w:p>
      <w:pPr>
        <w:pStyle w:val="Compact"/>
        <w:numPr>
          <w:ilvl w:val="0"/>
          <w:numId w:val="1005"/>
        </w:numPr>
      </w:pPr>
      <w:r>
        <w:t xml:space="preserve">Should be clearly labeled and interpreted with caution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41" w:name="part-2-planning-and-design"/>
    <w:p>
      <w:pPr>
        <w:pStyle w:val="Heading1"/>
      </w:pPr>
      <w:r>
        <w:t xml:space="preserve">3. Part 2: Planning and Design</w:t>
      </w:r>
    </w:p>
    <w:bookmarkStart w:id="33" w:name="pre-specification-requirements"/>
    <w:p>
      <w:pPr>
        <w:pStyle w:val="Heading2"/>
      </w:pPr>
      <w:r>
        <w:t xml:space="preserve">3.1 Pre-specification Requirements</w:t>
      </w:r>
    </w:p>
    <w:bookmarkStart w:id="31" w:name="Xc5b7b23ea42619ed9b8312bf15b7378a2eb0a19"/>
    <w:p>
      <w:pPr>
        <w:pStyle w:val="Heading3"/>
      </w:pPr>
      <w:r>
        <w:t xml:space="preserve">3.1.1 Protocol and Statistical Analysis Plan Must Include:</w:t>
      </w:r>
    </w:p>
    <w:p>
      <w:pPr>
        <w:pStyle w:val="Compact"/>
        <w:numPr>
          <w:ilvl w:val="0"/>
          <w:numId w:val="1006"/>
        </w:numPr>
      </w:pPr>
      <w:r>
        <w:t xml:space="preserve">Clear definition of each subgroup with scientific/clinical rationale</w:t>
      </w:r>
    </w:p>
    <w:p>
      <w:pPr>
        <w:pStyle w:val="Compact"/>
        <w:numPr>
          <w:ilvl w:val="0"/>
          <w:numId w:val="1006"/>
        </w:numPr>
      </w:pPr>
      <w:r>
        <w:t xml:space="preserve">Specification of subgroup variables and cut-points</w:t>
      </w:r>
    </w:p>
    <w:p>
      <w:pPr>
        <w:pStyle w:val="Compact"/>
        <w:numPr>
          <w:ilvl w:val="0"/>
          <w:numId w:val="1006"/>
        </w:numPr>
      </w:pPr>
      <w:r>
        <w:t xml:space="preserve">Statistical methods including interaction tests</w:t>
      </w:r>
    </w:p>
    <w:p>
      <w:pPr>
        <w:pStyle w:val="Compact"/>
        <w:numPr>
          <w:ilvl w:val="0"/>
          <w:numId w:val="1006"/>
        </w:numPr>
      </w:pPr>
      <w:r>
        <w:t xml:space="preserve">Plan for handling multiplicity</w:t>
      </w:r>
    </w:p>
    <w:p>
      <w:pPr>
        <w:pStyle w:val="Compact"/>
        <w:numPr>
          <w:ilvl w:val="0"/>
          <w:numId w:val="1006"/>
        </w:numPr>
      </w:pPr>
      <w:r>
        <w:t xml:space="preserve">Distinction between inferential, supportive, and exploratory analyses</w:t>
      </w:r>
    </w:p>
    <w:bookmarkEnd w:id="31"/>
    <w:bookmarkStart w:id="32" w:name="best-practices"/>
    <w:p>
      <w:pPr>
        <w:pStyle w:val="Heading3"/>
      </w:pPr>
      <w:r>
        <w:t xml:space="preserve">3.1.2 Best Practices</w:t>
      </w:r>
    </w:p>
    <w:p>
      <w:pPr>
        <w:pStyle w:val="Compact"/>
        <w:numPr>
          <w:ilvl w:val="0"/>
          <w:numId w:val="1007"/>
        </w:numPr>
      </w:pPr>
      <w:r>
        <w:t xml:space="preserve">Limit subgroups to those with strong justification</w:t>
      </w:r>
    </w:p>
    <w:p>
      <w:pPr>
        <w:pStyle w:val="Compact"/>
        <w:numPr>
          <w:ilvl w:val="0"/>
          <w:numId w:val="1007"/>
        </w:numPr>
      </w:pPr>
      <w:r>
        <w:t xml:space="preserve">Base subgroup selection on biological plausibility or prior evidence</w:t>
      </w:r>
    </w:p>
    <w:p>
      <w:pPr>
        <w:pStyle w:val="Compact"/>
        <w:numPr>
          <w:ilvl w:val="0"/>
          <w:numId w:val="1007"/>
        </w:numPr>
      </w:pPr>
      <w:r>
        <w:t xml:space="preserve">Avoid data-driven post hoc subgroup definitions</w:t>
      </w:r>
    </w:p>
    <w:p>
      <w:pPr>
        <w:pStyle w:val="Compact"/>
        <w:numPr>
          <w:ilvl w:val="0"/>
          <w:numId w:val="1007"/>
        </w:numPr>
      </w:pPr>
      <w:r>
        <w:t xml:space="preserve">Document decision-making process transparently</w:t>
      </w:r>
    </w:p>
    <w:bookmarkEnd w:id="32"/>
    <w:bookmarkEnd w:id="33"/>
    <w:bookmarkStart w:id="36" w:name="sample-size-and-power-considerations"/>
    <w:p>
      <w:pPr>
        <w:pStyle w:val="Heading2"/>
      </w:pPr>
      <w:r>
        <w:t xml:space="preserve">3.2 Sample Size and Power Considerations</w:t>
      </w:r>
    </w:p>
    <w:bookmarkStart w:id="34" w:name="key-challenges"/>
    <w:p>
      <w:pPr>
        <w:pStyle w:val="Heading3"/>
      </w:pPr>
      <w:r>
        <w:t xml:space="preserve">3.2.1 Key Challenges</w:t>
      </w:r>
    </w:p>
    <w:p>
      <w:pPr>
        <w:pStyle w:val="Compact"/>
        <w:numPr>
          <w:ilvl w:val="0"/>
          <w:numId w:val="1008"/>
        </w:numPr>
      </w:pPr>
      <w:r>
        <w:t xml:space="preserve">Trials are typically powered for overall population, not subgroups</w:t>
      </w:r>
    </w:p>
    <w:p>
      <w:pPr>
        <w:pStyle w:val="Compact"/>
        <w:numPr>
          <w:ilvl w:val="0"/>
          <w:numId w:val="1008"/>
        </w:numPr>
      </w:pPr>
      <w:r>
        <w:t xml:space="preserve">Time-to-event analyses depend on number of events, not just sample size</w:t>
      </w:r>
    </w:p>
    <w:p>
      <w:pPr>
        <w:pStyle w:val="Compact"/>
        <w:numPr>
          <w:ilvl w:val="0"/>
          <w:numId w:val="1008"/>
        </w:numPr>
      </w:pPr>
      <w:r>
        <w:t xml:space="preserve">Subgroups often lack adequate power for reliable inference</w:t>
      </w:r>
    </w:p>
    <w:p>
      <w:pPr>
        <w:pStyle w:val="Compact"/>
        <w:numPr>
          <w:ilvl w:val="0"/>
          <w:numId w:val="1008"/>
        </w:numPr>
      </w:pPr>
      <w:r>
        <w:t xml:space="preserve">Single pivotal trials don’t allow replication of subgroup findings</w:t>
      </w:r>
    </w:p>
    <w:bookmarkEnd w:id="34"/>
    <w:bookmarkStart w:id="35" w:name="strategies"/>
    <w:p>
      <w:pPr>
        <w:pStyle w:val="Heading3"/>
      </w:pPr>
      <w:r>
        <w:t xml:space="preserve">3.2.2 Strategies</w:t>
      </w:r>
    </w:p>
    <w:p>
      <w:pPr>
        <w:pStyle w:val="Compact"/>
        <w:numPr>
          <w:ilvl w:val="0"/>
          <w:numId w:val="1009"/>
        </w:numPr>
      </w:pPr>
      <w:r>
        <w:t xml:space="preserve">If subgroup is critical, design trial with adequate power for that subgroup</w:t>
      </w:r>
    </w:p>
    <w:p>
      <w:pPr>
        <w:pStyle w:val="Compact"/>
        <w:numPr>
          <w:ilvl w:val="0"/>
          <w:numId w:val="1009"/>
        </w:numPr>
      </w:pPr>
      <w:r>
        <w:t xml:space="preserve">Consider enrichment strategies when appropriate</w:t>
      </w:r>
    </w:p>
    <w:p>
      <w:pPr>
        <w:pStyle w:val="Compact"/>
        <w:numPr>
          <w:ilvl w:val="0"/>
          <w:numId w:val="1009"/>
        </w:numPr>
      </w:pPr>
      <w:r>
        <w:t xml:space="preserve">Use hierarchical testing to split alpha between populations</w:t>
      </w:r>
    </w:p>
    <w:p>
      <w:pPr>
        <w:pStyle w:val="Compact"/>
        <w:numPr>
          <w:ilvl w:val="0"/>
          <w:numId w:val="1009"/>
        </w:numPr>
      </w:pPr>
      <w:r>
        <w:t xml:space="preserve">Plan for adequate representation in key subgroups</w:t>
      </w:r>
    </w:p>
    <w:bookmarkEnd w:id="35"/>
    <w:bookmarkEnd w:id="36"/>
    <w:bookmarkStart w:id="40" w:name="statistical-methodology"/>
    <w:p>
      <w:pPr>
        <w:pStyle w:val="Heading2"/>
      </w:pPr>
      <w:r>
        <w:t xml:space="preserve">3.3 Statistical Methodology</w:t>
      </w:r>
    </w:p>
    <w:bookmarkStart w:id="37" w:name="interaction-testing"/>
    <w:p>
      <w:pPr>
        <w:pStyle w:val="Heading3"/>
      </w:pPr>
      <w:r>
        <w:t xml:space="preserve">3.3.1 Interaction Testing</w:t>
      </w:r>
    </w:p>
    <w:p>
      <w:pPr>
        <w:pStyle w:val="Compact"/>
        <w:numPr>
          <w:ilvl w:val="0"/>
          <w:numId w:val="1010"/>
        </w:numPr>
      </w:pPr>
      <w:r>
        <w:t xml:space="preserve">Use formal tests for treatment-by-subgroup interaction</w:t>
      </w:r>
    </w:p>
    <w:p>
      <w:pPr>
        <w:pStyle w:val="Compact"/>
        <w:numPr>
          <w:ilvl w:val="0"/>
          <w:numId w:val="1010"/>
        </w:numPr>
      </w:pPr>
      <w:r>
        <w:t xml:space="preserve">Don’t rely solely on within-subgroup comparisons</w:t>
      </w:r>
    </w:p>
    <w:p>
      <w:pPr>
        <w:pStyle w:val="Compact"/>
        <w:numPr>
          <w:ilvl w:val="0"/>
          <w:numId w:val="1010"/>
        </w:numPr>
      </w:pPr>
      <w:r>
        <w:t xml:space="preserve">Include interaction terms in regression models</w:t>
      </w:r>
    </w:p>
    <w:p>
      <w:pPr>
        <w:pStyle w:val="Compact"/>
        <w:numPr>
          <w:ilvl w:val="0"/>
          <w:numId w:val="1010"/>
        </w:numPr>
      </w:pPr>
      <w:r>
        <w:t xml:space="preserve">Report interaction p-values alongside subgroup-specific estimates</w:t>
      </w:r>
    </w:p>
    <w:bookmarkEnd w:id="37"/>
    <w:bookmarkStart w:id="38" w:name="multiplicity-control"/>
    <w:p>
      <w:pPr>
        <w:pStyle w:val="Heading3"/>
      </w:pPr>
      <w:r>
        <w:t xml:space="preserve">3.3.2 Multiplicity Control</w:t>
      </w:r>
    </w:p>
    <w:p>
      <w:pPr>
        <w:pStyle w:val="Compact"/>
        <w:numPr>
          <w:ilvl w:val="0"/>
          <w:numId w:val="1011"/>
        </w:numPr>
      </w:pPr>
      <w:r>
        <w:t xml:space="preserve">Multiple testing increases Type I error risk</w:t>
      </w:r>
    </w:p>
    <w:p>
      <w:pPr>
        <w:pStyle w:val="Compact"/>
        <w:numPr>
          <w:ilvl w:val="0"/>
          <w:numId w:val="1011"/>
        </w:numPr>
      </w:pPr>
      <w:r>
        <w:t xml:space="preserve">Consider Bonferroni or other appropriate adjustments</w:t>
      </w:r>
    </w:p>
    <w:p>
      <w:pPr>
        <w:pStyle w:val="Compact"/>
        <w:numPr>
          <w:ilvl w:val="0"/>
          <w:numId w:val="1011"/>
        </w:numPr>
      </w:pPr>
      <w:r>
        <w:t xml:space="preserve">Use hierarchical testing when evaluating multiple subgroups</w:t>
      </w:r>
    </w:p>
    <w:p>
      <w:pPr>
        <w:pStyle w:val="Compact"/>
        <w:numPr>
          <w:ilvl w:val="0"/>
          <w:numId w:val="1011"/>
        </w:numPr>
      </w:pPr>
      <w:r>
        <w:t xml:space="preserve">Balance statistical rigor with clinical relevance</w:t>
      </w:r>
    </w:p>
    <w:bookmarkEnd w:id="38"/>
    <w:bookmarkStart w:id="39" w:name="graphical-displays"/>
    <w:p>
      <w:pPr>
        <w:pStyle w:val="Heading3"/>
      </w:pPr>
      <w:r>
        <w:t xml:space="preserve">3.3.3 Graphical Displays</w:t>
      </w:r>
    </w:p>
    <w:p>
      <w:pPr>
        <w:pStyle w:val="Compact"/>
        <w:numPr>
          <w:ilvl w:val="0"/>
          <w:numId w:val="1012"/>
        </w:numPr>
      </w:pPr>
      <w:r>
        <w:t xml:space="preserve">Use forest plots to visualize effects across subgroups</w:t>
      </w:r>
    </w:p>
    <w:p>
      <w:pPr>
        <w:pStyle w:val="Compact"/>
        <w:numPr>
          <w:ilvl w:val="0"/>
          <w:numId w:val="1012"/>
        </w:numPr>
      </w:pPr>
      <w:r>
        <w:t xml:space="preserve">Show confidence intervals for each subgroup estimate</w:t>
      </w:r>
    </w:p>
    <w:p>
      <w:pPr>
        <w:pStyle w:val="Compact"/>
        <w:numPr>
          <w:ilvl w:val="0"/>
          <w:numId w:val="1012"/>
        </w:numPr>
      </w:pPr>
      <w:r>
        <w:t xml:space="preserve">Display interaction p-values</w:t>
      </w:r>
    </w:p>
    <w:p>
      <w:pPr>
        <w:pStyle w:val="Compact"/>
        <w:numPr>
          <w:ilvl w:val="0"/>
          <w:numId w:val="1012"/>
        </w:numPr>
      </w:pPr>
      <w:r>
        <w:t xml:space="preserve">Include consistency assessments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64" w:name="X32d52c7b92c2799bfb30916565dfc27a1241028"/>
    <w:p>
      <w:pPr>
        <w:pStyle w:val="Heading1"/>
      </w:pPr>
      <w:r>
        <w:t xml:space="preserve">4. Part 3: FDA Case Examples and Regulatory Decisions</w:t>
      </w:r>
    </w:p>
    <w:bookmarkStart w:id="52" w:name="Xa5d691212f75476dc0092fd1bbdd1f901f5235d"/>
    <w:p>
      <w:pPr>
        <w:pStyle w:val="Heading2"/>
      </w:pPr>
      <w:r>
        <w:t xml:space="preserve">4.1 Approvals in Total ITT Population Despite Subgroup Concerns</w:t>
      </w:r>
    </w:p>
    <w:bookmarkStart w:id="45" w:name="case-1-nivolumab-checkmate-057"/>
    <w:p>
      <w:pPr>
        <w:pStyle w:val="Heading3"/>
      </w:pPr>
      <w:r>
        <w:t xml:space="preserve">4.1.1 Case 1: Nivolumab (CHECKMATE-057)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Second-line metastatic non-squamous NSCLC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13"/>
        </w:numPr>
      </w:pPr>
      <w:r>
        <w:t xml:space="preserve">ITT population: HR 0.73 (95% CI: 0.60-0.89), p &lt;0.002</w:t>
      </w:r>
    </w:p>
    <w:p>
      <w:pPr>
        <w:pStyle w:val="Compact"/>
        <w:numPr>
          <w:ilvl w:val="0"/>
          <w:numId w:val="1013"/>
        </w:numPr>
      </w:pPr>
      <w:r>
        <w:t xml:space="preserve">PD-L1 &lt;1% subgroup: HR 0.90 (95% CI: 0.66-1.24)</w:t>
      </w:r>
    </w:p>
    <w:p>
      <w:pPr>
        <w:pStyle w:val="Compact"/>
        <w:numPr>
          <w:ilvl w:val="0"/>
          <w:numId w:val="1013"/>
        </w:numPr>
      </w:pPr>
      <w:r>
        <w:t xml:space="preserve">~10% objective response rate in PD-L1 &lt;1% patients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Approved for entire study population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14"/>
        </w:numPr>
      </w:pPr>
      <w:r>
        <w:t xml:space="preserve">Exploratory subgroup analysis with limited power</w:t>
      </w:r>
    </w:p>
    <w:p>
      <w:pPr>
        <w:pStyle w:val="Compact"/>
        <w:numPr>
          <w:ilvl w:val="0"/>
          <w:numId w:val="1014"/>
        </w:numPr>
      </w:pPr>
      <w:r>
        <w:t xml:space="preserve">Missing PD-L1 data (22%)</w:t>
      </w:r>
    </w:p>
    <w:p>
      <w:pPr>
        <w:pStyle w:val="Compact"/>
        <w:numPr>
          <w:ilvl w:val="0"/>
          <w:numId w:val="1014"/>
        </w:numPr>
      </w:pPr>
      <w:r>
        <w:t xml:space="preserve">No evidence of harm in PD-L1 &lt;1% subgroup</w:t>
      </w:r>
    </w:p>
    <w:p>
      <w:pPr>
        <w:pStyle w:val="Compact"/>
        <w:numPr>
          <w:ilvl w:val="0"/>
          <w:numId w:val="1014"/>
        </w:numPr>
      </w:pPr>
      <w:r>
        <w:t xml:space="preserve">Meaningful responses observed despite modest HR</w:t>
      </w:r>
    </w:p>
    <w:p>
      <w:pPr>
        <w:pStyle w:val="Compact"/>
        <w:numPr>
          <w:ilvl w:val="0"/>
          <w:numId w:val="1014"/>
        </w:numPr>
      </w:pPr>
      <w:r>
        <w:t xml:space="preserve">Subgroup details included in labeling for informed decision-making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Lack of statistical significance in subgroup doesn’t preclude approval when no harm is evident and some patients benefit.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ase-2-pembrolizumab-keynote-042"/>
    <w:p>
      <w:pPr>
        <w:pStyle w:val="Heading3"/>
      </w:pPr>
      <w:r>
        <w:t xml:space="preserve">4.1.2 Case 2: Pembrolizumab (KEYNOTE-042)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First-line advanced NSCLC with PD-L1 ≥1%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15"/>
        </w:numPr>
      </w:pPr>
      <w:r>
        <w:t xml:space="preserve">ITT (TPS ≥1%): HR 0.81 (95% CI: 0.71-0.93), median OS improvement 4.6 months</w:t>
      </w:r>
    </w:p>
    <w:p>
      <w:pPr>
        <w:pStyle w:val="Compact"/>
        <w:numPr>
          <w:ilvl w:val="0"/>
          <w:numId w:val="1015"/>
        </w:numPr>
      </w:pPr>
      <w:r>
        <w:t xml:space="preserve">TPS 1-49% subgroup: HR 0.92 (95% CI: 0.77-1.11), median OS 13.4 vs 12.1 months</w:t>
      </w:r>
    </w:p>
    <w:p>
      <w:pPr>
        <w:pStyle w:val="Compact"/>
        <w:numPr>
          <w:ilvl w:val="0"/>
          <w:numId w:val="1015"/>
        </w:numPr>
      </w:pPr>
      <w:r>
        <w:t xml:space="preserve">TPS ≥50% subgroup: Greatest benefit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Approved for all patients with TPS ≥1%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16"/>
        </w:numPr>
      </w:pPr>
      <w:r>
        <w:t xml:space="preserve">Trial not powered for TPS 1-49% subgroup analysis</w:t>
      </w:r>
    </w:p>
    <w:p>
      <w:pPr>
        <w:pStyle w:val="Compact"/>
        <w:numPr>
          <w:ilvl w:val="0"/>
          <w:numId w:val="1016"/>
        </w:numPr>
      </w:pPr>
      <w:r>
        <w:t xml:space="preserve">Active control (chemotherapy) as comparator</w:t>
      </w:r>
    </w:p>
    <w:p>
      <w:pPr>
        <w:pStyle w:val="Compact"/>
        <w:numPr>
          <w:ilvl w:val="0"/>
          <w:numId w:val="1016"/>
        </w:numPr>
      </w:pPr>
      <w:r>
        <w:t xml:space="preserve">No detrimental effect on OS in lower expression subgroup</w:t>
      </w:r>
    </w:p>
    <w:p>
      <w:pPr>
        <w:pStyle w:val="Compact"/>
        <w:numPr>
          <w:ilvl w:val="0"/>
          <w:numId w:val="1016"/>
        </w:numPr>
      </w:pPr>
      <w:r>
        <w:t xml:space="preserve">Uncertainty exists but doesn’t warrant restriction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Modest effects in exploratory subgroups with active controls may support broad approval when no harm demonstrated.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ase-3-margetuximab-sophia"/>
    <w:p>
      <w:pPr>
        <w:pStyle w:val="Heading3"/>
      </w:pPr>
      <w:r>
        <w:t xml:space="preserve">4.1.3 Case 3: Margetuximab (SOPHIA)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Later-line HER2+ metastatic breast cancer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17"/>
        </w:numPr>
      </w:pPr>
      <w:r>
        <w:t xml:space="preserve">ITT: HR 0.76 (95% CI: 0.59-0.98) for PFS</w:t>
      </w:r>
    </w:p>
    <w:p>
      <w:pPr>
        <w:pStyle w:val="Compact"/>
        <w:numPr>
          <w:ilvl w:val="0"/>
          <w:numId w:val="1017"/>
        </w:numPr>
      </w:pPr>
      <w:r>
        <w:t xml:space="preserve">CD16A F/F or F/V: HR 0.68 (95% CI: 0.52-0.90)</w:t>
      </w:r>
    </w:p>
    <w:p>
      <w:pPr>
        <w:pStyle w:val="Compact"/>
        <w:numPr>
          <w:ilvl w:val="0"/>
          <w:numId w:val="1017"/>
        </w:numPr>
      </w:pPr>
      <w:r>
        <w:t xml:space="preserve">CD16A V/V: HR 1.78 (95% CI: 0.87-3.62) - trend favoring trastuzumab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Approved for entire study population with post-marketing commitment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18"/>
        </w:numPr>
      </w:pPr>
      <w:r>
        <w:t xml:space="preserve">No clear mechanistic basis for heterogeneity by CD16A allotypes</w:t>
      </w:r>
    </w:p>
    <w:p>
      <w:pPr>
        <w:pStyle w:val="Compact"/>
        <w:numPr>
          <w:ilvl w:val="0"/>
          <w:numId w:val="1018"/>
        </w:numPr>
      </w:pPr>
      <w:r>
        <w:t xml:space="preserve">Small V/V subgroup (69 of 536 patients)</w:t>
      </w:r>
    </w:p>
    <w:p>
      <w:pPr>
        <w:pStyle w:val="Compact"/>
        <w:numPr>
          <w:ilvl w:val="0"/>
          <w:numId w:val="1018"/>
        </w:numPr>
      </w:pPr>
      <w:r>
        <w:t xml:space="preserve">Imbalanced patient characteristics within V/V subgroup</w:t>
      </w:r>
    </w:p>
    <w:p>
      <w:pPr>
        <w:pStyle w:val="Compact"/>
        <w:numPr>
          <w:ilvl w:val="0"/>
          <w:numId w:val="1018"/>
        </w:numPr>
      </w:pPr>
      <w:r>
        <w:t xml:space="preserve">Post-marketing studies required for further characterization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Exploratory subgroup findings require mechanistic justification and adequate sample size to restrict indication.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End w:id="52"/>
    <w:bookmarkStart w:id="63" w:name="approvals-restricted-to-subgroups"/>
    <w:p>
      <w:pPr>
        <w:pStyle w:val="Heading2"/>
      </w:pPr>
      <w:r>
        <w:t xml:space="preserve">4.2 Approvals Restricted to Subgroups</w:t>
      </w:r>
    </w:p>
    <w:bookmarkStart w:id="56" w:name="case-4-olaparib-bevacizumab-paola-1"/>
    <w:p>
      <w:pPr>
        <w:pStyle w:val="Heading3"/>
      </w:pPr>
      <w:r>
        <w:t xml:space="preserve">4.2.1 Case 4: Olaparib + Bevacizumab (PAOLA-1)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First-line maintenance for HRD+ advanced ovarian cancer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19"/>
        </w:numPr>
      </w:pPr>
      <w:r>
        <w:t xml:space="preserve">ITT: HR 0.59 (95% CI: 0.49-0.72), p &lt;0.0001</w:t>
      </w:r>
    </w:p>
    <w:p>
      <w:pPr>
        <w:pStyle w:val="Compact"/>
        <w:numPr>
          <w:ilvl w:val="0"/>
          <w:numId w:val="1019"/>
        </w:numPr>
      </w:pPr>
      <w:r>
        <w:t xml:space="preserve">HRD-positive (66% of ITT): HR 0.33 (95% CI: 0.25-0.45)</w:t>
      </w:r>
    </w:p>
    <w:p>
      <w:pPr>
        <w:pStyle w:val="Compact"/>
        <w:numPr>
          <w:ilvl w:val="0"/>
          <w:numId w:val="1019"/>
        </w:numPr>
      </w:pPr>
      <w:r>
        <w:t xml:space="preserve">HRD-negative (34% of ITT): No PFS benefit, OS numerically favored control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Restricted to HRD-positive population only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20"/>
        </w:numPr>
      </w:pPr>
      <w:r>
        <w:t xml:space="preserve">Strong biological plausibility (PARP inhibitor mechanism in HRD tumors)</w:t>
      </w:r>
    </w:p>
    <w:p>
      <w:pPr>
        <w:pStyle w:val="Compact"/>
        <w:numPr>
          <w:ilvl w:val="0"/>
          <w:numId w:val="1020"/>
        </w:numPr>
      </w:pPr>
      <w:r>
        <w:t xml:space="preserve">Lack of efficacy evidence in HRD-negative patients</w:t>
      </w:r>
    </w:p>
    <w:p>
      <w:pPr>
        <w:pStyle w:val="Compact"/>
        <w:numPr>
          <w:ilvl w:val="0"/>
          <w:numId w:val="1020"/>
        </w:numPr>
      </w:pPr>
      <w:r>
        <w:t xml:space="preserve">Potential for harm suggested by OS trend</w:t>
      </w:r>
    </w:p>
    <w:p>
      <w:pPr>
        <w:pStyle w:val="Compact"/>
        <w:numPr>
          <w:ilvl w:val="0"/>
          <w:numId w:val="1020"/>
        </w:numPr>
      </w:pPr>
      <w:r>
        <w:t xml:space="preserve">Consistent data across multiple PARP inhibitors</w:t>
      </w:r>
    </w:p>
    <w:p>
      <w:pPr>
        <w:pStyle w:val="Compact"/>
        <w:numPr>
          <w:ilvl w:val="0"/>
          <w:numId w:val="1020"/>
        </w:numPr>
      </w:pPr>
      <w:r>
        <w:t xml:space="preserve">Well-defined biomarker with validated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Restriction warranted when clear mechanistic rationale, lack of benefit, and potential harm in complementary subgroup.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59" w:name="case-5-eribulin-study-309"/>
    <w:p>
      <w:pPr>
        <w:pStyle w:val="Heading3"/>
      </w:pPr>
      <w:r>
        <w:t xml:space="preserve">4.2.2 Case 5: Eribulin (Study 309)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Unresectable or metastatic liposarcoma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21"/>
        </w:numPr>
      </w:pPr>
      <w:r>
        <w:t xml:space="preserve">ITT (liposarcoma 32%, leiomyosarcoma 68%): HR 0.75 (95% CI: 0.61-0.94)</w:t>
      </w:r>
    </w:p>
    <w:p>
      <w:pPr>
        <w:pStyle w:val="Compact"/>
        <w:numPr>
          <w:ilvl w:val="0"/>
          <w:numId w:val="1021"/>
        </w:numPr>
      </w:pPr>
      <w:r>
        <w:t xml:space="preserve">Liposarcoma subgroup: HR 0.51 (95% CI: 0.35-0.75)</w:t>
      </w:r>
    </w:p>
    <w:p>
      <w:pPr>
        <w:pStyle w:val="Compact"/>
        <w:numPr>
          <w:ilvl w:val="0"/>
          <w:numId w:val="1021"/>
        </w:numPr>
      </w:pPr>
      <w:r>
        <w:t xml:space="preserve">Leiomyosarcoma subgroup: HR 0.90 (95% CI: 0.69-1.18)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Approved only for liposarcoma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22"/>
        </w:numPr>
      </w:pPr>
      <w:r>
        <w:t xml:space="preserve">Pre-specified exploratory subgroup analysis showed strong differential effect</w:t>
      </w:r>
    </w:p>
    <w:p>
      <w:pPr>
        <w:pStyle w:val="Compact"/>
        <w:numPr>
          <w:ilvl w:val="0"/>
          <w:numId w:val="1022"/>
        </w:numPr>
      </w:pPr>
      <w:r>
        <w:t xml:space="preserve">Biological differences between sarcoma subtypes</w:t>
      </w:r>
    </w:p>
    <w:p>
      <w:pPr>
        <w:pStyle w:val="Compact"/>
        <w:numPr>
          <w:ilvl w:val="0"/>
          <w:numId w:val="1022"/>
        </w:numPr>
      </w:pPr>
      <w:r>
        <w:t xml:space="preserve">Consistent differential effects across secondary endpoints</w:t>
      </w:r>
    </w:p>
    <w:p>
      <w:pPr>
        <w:pStyle w:val="Compact"/>
        <w:numPr>
          <w:ilvl w:val="0"/>
          <w:numId w:val="1022"/>
        </w:numPr>
      </w:pPr>
      <w:r>
        <w:t xml:space="preserve">Effect in larger leiomyosarcoma subgroup insufficient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Substantial evidence may be limited to subgroup when biological differences support heterogeneity.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Start w:id="62" w:name="X7a1385267a9ecb6405c756e14dd8e1606767e16"/>
    <w:p>
      <w:pPr>
        <w:pStyle w:val="Heading3"/>
      </w:pPr>
      <w:r>
        <w:t xml:space="preserve">4.2.3 Case 6: Atezolizumab + Paclitaxel (IMpassion130)</w:t>
      </w:r>
    </w:p>
    <w:p>
      <w:pPr>
        <w:pStyle w:val="FirstParagraph"/>
      </w:pPr>
      <w:r>
        <w:rPr>
          <w:b/>
          <w:bCs/>
        </w:rPr>
        <w:t xml:space="preserve">Indication:</w:t>
      </w:r>
      <w:r>
        <w:t xml:space="preserve"> </w:t>
      </w:r>
      <w:r>
        <w:t xml:space="preserve">PD-L1+ triple-negative breast cancer</w:t>
      </w:r>
    </w:p>
    <w:p>
      <w:pPr>
        <w:pStyle w:val="BodyText"/>
      </w:pPr>
      <w:r>
        <w:rPr>
          <w:b/>
          <w:bCs/>
        </w:rPr>
        <w:t xml:space="preserve">Trial Results:</w:t>
      </w:r>
    </w:p>
    <w:p>
      <w:pPr>
        <w:pStyle w:val="Compact"/>
        <w:numPr>
          <w:ilvl w:val="0"/>
          <w:numId w:val="1023"/>
        </w:numPr>
      </w:pPr>
      <w:r>
        <w:t xml:space="preserve">ITT: HR 0.79 (95% CI: 0.68-0.92), median PFS 7.0 vs 5.5 months</w:t>
      </w:r>
    </w:p>
    <w:p>
      <w:pPr>
        <w:pStyle w:val="Compact"/>
        <w:numPr>
          <w:ilvl w:val="0"/>
          <w:numId w:val="1023"/>
        </w:numPr>
      </w:pPr>
      <w:r>
        <w:t xml:space="preserve">PD-L1+: HR 0.60 (95% CI: 0.48-0.77), median PFS 7.4 vs 4.8 months, OS HR 0.71</w:t>
      </w:r>
    </w:p>
    <w:p>
      <w:pPr>
        <w:pStyle w:val="FirstParagraph"/>
      </w:pPr>
      <w:r>
        <w:rPr>
          <w:b/>
          <w:bCs/>
        </w:rPr>
        <w:t xml:space="preserve">FDA Decision:</w:t>
      </w:r>
      <w:r>
        <w:t xml:space="preserve"> </w:t>
      </w:r>
      <w:r>
        <w:t xml:space="preserve">Accelerated approval limited to PD-L1+ population</w:t>
      </w:r>
    </w:p>
    <w:p>
      <w:pPr>
        <w:pStyle w:val="BodyText"/>
      </w:pPr>
      <w:r>
        <w:rPr>
          <w:b/>
          <w:bCs/>
        </w:rPr>
        <w:t xml:space="preserve">Rationale:</w:t>
      </w:r>
    </w:p>
    <w:p>
      <w:pPr>
        <w:pStyle w:val="Compact"/>
        <w:numPr>
          <w:ilvl w:val="0"/>
          <w:numId w:val="1024"/>
        </w:numPr>
      </w:pPr>
      <w:r>
        <w:t xml:space="preserve">Trial designed with formal testing in both ITT and PD-L1+ populations</w:t>
      </w:r>
    </w:p>
    <w:p>
      <w:pPr>
        <w:pStyle w:val="Compact"/>
        <w:numPr>
          <w:ilvl w:val="0"/>
          <w:numId w:val="1024"/>
        </w:numPr>
      </w:pPr>
      <w:r>
        <w:t xml:space="preserve">ITT benefit magnitude modest (1.5 months) creating uncertainty</w:t>
      </w:r>
    </w:p>
    <w:p>
      <w:pPr>
        <w:pStyle w:val="Compact"/>
        <w:numPr>
          <w:ilvl w:val="0"/>
          <w:numId w:val="1024"/>
        </w:numPr>
      </w:pPr>
      <w:r>
        <w:t xml:space="preserve">PD-L1+ subgroup showed greater PFS benefit (2.6 months)</w:t>
      </w:r>
    </w:p>
    <w:p>
      <w:pPr>
        <w:pStyle w:val="Compact"/>
        <w:numPr>
          <w:ilvl w:val="0"/>
          <w:numId w:val="1024"/>
        </w:numPr>
      </w:pPr>
      <w:r>
        <w:t xml:space="preserve">Favorable OS trend in PD-L1+ subgroup</w:t>
      </w:r>
    </w:p>
    <w:p>
      <w:pPr>
        <w:pStyle w:val="Compact"/>
        <w:numPr>
          <w:ilvl w:val="0"/>
          <w:numId w:val="1024"/>
        </w:numPr>
      </w:pPr>
      <w:r>
        <w:t xml:space="preserve">Alpha split justified focused approval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Lesson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Pre-specified formal subgroup testing enables regulatory decision to focus on subgroup with more robust benefit.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Start w:id="72" w:name="part-4-interpretation-framework"/>
    <w:p>
      <w:pPr>
        <w:pStyle w:val="Heading1"/>
      </w:pPr>
      <w:r>
        <w:t xml:space="preserve">5. Part 4: Interpretation Framework</w:t>
      </w:r>
    </w:p>
    <w:bookmarkStart w:id="67" w:name="X3a58f0b016168eeac1039aeb0247fab2f2dcc8c"/>
    <w:p>
      <w:pPr>
        <w:pStyle w:val="Heading2"/>
      </w:pPr>
      <w:r>
        <w:t xml:space="preserve">5.1 Factors Supporting Credibility of Subgroup Findings</w:t>
      </w:r>
    </w:p>
    <w:bookmarkStart w:id="65" w:name="strong-evidence"/>
    <w:p>
      <w:pPr>
        <w:pStyle w:val="Heading3"/>
      </w:pPr>
      <w:r>
        <w:t xml:space="preserve">5.1.1 Strong Evidence</w:t>
      </w:r>
    </w:p>
    <w:p>
      <w:pPr>
        <w:pStyle w:val="Compact"/>
        <w:numPr>
          <w:ilvl w:val="0"/>
          <w:numId w:val="1025"/>
        </w:numPr>
      </w:pPr>
      <w:r>
        <w:t xml:space="preserve">Pre-specification in protocol with clear rationale</w:t>
      </w:r>
    </w:p>
    <w:p>
      <w:pPr>
        <w:pStyle w:val="Compact"/>
        <w:numPr>
          <w:ilvl w:val="0"/>
          <w:numId w:val="1025"/>
        </w:numPr>
      </w:pPr>
      <w:r>
        <w:t xml:space="preserve">Adequate statistical power</w:t>
      </w:r>
    </w:p>
    <w:p>
      <w:pPr>
        <w:pStyle w:val="Compact"/>
        <w:numPr>
          <w:ilvl w:val="0"/>
          <w:numId w:val="1025"/>
        </w:numPr>
      </w:pPr>
      <w:r>
        <w:t xml:space="preserve">Biological/mechanistic plausibility</w:t>
      </w:r>
    </w:p>
    <w:p>
      <w:pPr>
        <w:pStyle w:val="Compact"/>
        <w:numPr>
          <w:ilvl w:val="0"/>
          <w:numId w:val="1025"/>
        </w:numPr>
      </w:pPr>
      <w:r>
        <w:t xml:space="preserve">Consistency across multiple endpoints</w:t>
      </w:r>
    </w:p>
    <w:p>
      <w:pPr>
        <w:pStyle w:val="Compact"/>
        <w:numPr>
          <w:ilvl w:val="0"/>
          <w:numId w:val="1025"/>
        </w:numPr>
      </w:pPr>
      <w:r>
        <w:t xml:space="preserve">Consistency with external evidence</w:t>
      </w:r>
    </w:p>
    <w:p>
      <w:pPr>
        <w:pStyle w:val="Compact"/>
        <w:numPr>
          <w:ilvl w:val="0"/>
          <w:numId w:val="1025"/>
        </w:numPr>
      </w:pPr>
      <w:r>
        <w:t xml:space="preserve">Formal interaction test showing significant difference</w:t>
      </w:r>
    </w:p>
    <w:p>
      <w:pPr>
        <w:pStyle w:val="Compact"/>
        <w:numPr>
          <w:ilvl w:val="0"/>
          <w:numId w:val="1025"/>
        </w:numPr>
      </w:pPr>
      <w:r>
        <w:t xml:space="preserve">Large effect size in subgroup</w:t>
      </w:r>
    </w:p>
    <w:bookmarkEnd w:id="65"/>
    <w:bookmarkStart w:id="66" w:name="weak-evidence"/>
    <w:p>
      <w:pPr>
        <w:pStyle w:val="Heading3"/>
      </w:pPr>
      <w:r>
        <w:t xml:space="preserve">5.1.2 Weak Evidence</w:t>
      </w:r>
    </w:p>
    <w:p>
      <w:pPr>
        <w:pStyle w:val="Compact"/>
        <w:numPr>
          <w:ilvl w:val="0"/>
          <w:numId w:val="1026"/>
        </w:numPr>
      </w:pPr>
      <w:r>
        <w:t xml:space="preserve">Post hoc, exploratory analysis</w:t>
      </w:r>
    </w:p>
    <w:p>
      <w:pPr>
        <w:pStyle w:val="Compact"/>
        <w:numPr>
          <w:ilvl w:val="0"/>
          <w:numId w:val="1026"/>
        </w:numPr>
      </w:pPr>
      <w:r>
        <w:t xml:space="preserve">Small sample size</w:t>
      </w:r>
    </w:p>
    <w:p>
      <w:pPr>
        <w:pStyle w:val="Compact"/>
        <w:numPr>
          <w:ilvl w:val="0"/>
          <w:numId w:val="1026"/>
        </w:numPr>
      </w:pPr>
      <w:r>
        <w:t xml:space="preserve">One of many subgroups examined</w:t>
      </w:r>
    </w:p>
    <w:p>
      <w:pPr>
        <w:pStyle w:val="Compact"/>
        <w:numPr>
          <w:ilvl w:val="0"/>
          <w:numId w:val="1026"/>
        </w:numPr>
      </w:pPr>
      <w:r>
        <w:t xml:space="preserve">No biological rationale</w:t>
      </w:r>
    </w:p>
    <w:p>
      <w:pPr>
        <w:pStyle w:val="Compact"/>
        <w:numPr>
          <w:ilvl w:val="0"/>
          <w:numId w:val="1026"/>
        </w:numPr>
      </w:pPr>
      <w:r>
        <w:t xml:space="preserve">Inconsistent across endpoints</w:t>
      </w:r>
    </w:p>
    <w:p>
      <w:pPr>
        <w:pStyle w:val="Compact"/>
        <w:numPr>
          <w:ilvl w:val="0"/>
          <w:numId w:val="1026"/>
        </w:numPr>
      </w:pPr>
      <w:r>
        <w:t xml:space="preserve">Isolated finding not replicated</w:t>
      </w:r>
    </w:p>
    <w:p>
      <w:pPr>
        <w:pStyle w:val="Compact"/>
        <w:numPr>
          <w:ilvl w:val="0"/>
          <w:numId w:val="1026"/>
        </w:numPr>
      </w:pPr>
      <w:r>
        <w:t xml:space="preserve">Non-significant interaction test</w:t>
      </w:r>
    </w:p>
    <w:bookmarkEnd w:id="66"/>
    <w:bookmarkEnd w:id="67"/>
    <w:bookmarkStart w:id="69" w:name="red-flags-for-over-interpretation"/>
    <w:p>
      <w:pPr>
        <w:pStyle w:val="Heading2"/>
      </w:pPr>
      <w:r>
        <w:t xml:space="preserve">5.2 Red Flags for Over-interpretation</w:t>
      </w:r>
    </w:p>
    <w:bookmarkStart w:id="68" w:name="beware-of"/>
    <w:p>
      <w:pPr>
        <w:pStyle w:val="Heading3"/>
      </w:pPr>
      <w:r>
        <w:t xml:space="preserve">5.2.1 Beware of:</w:t>
      </w:r>
    </w:p>
    <w:p>
      <w:pPr>
        <w:pStyle w:val="Compact"/>
        <w:numPr>
          <w:ilvl w:val="0"/>
          <w:numId w:val="1027"/>
        </w:numPr>
      </w:pPr>
      <w:r>
        <w:t xml:space="preserve">Ecological bias (aggregate-level associations)</w:t>
      </w:r>
    </w:p>
    <w:p>
      <w:pPr>
        <w:pStyle w:val="Compact"/>
        <w:numPr>
          <w:ilvl w:val="0"/>
          <w:numId w:val="1027"/>
        </w:numPr>
      </w:pPr>
      <w:r>
        <w:t xml:space="preserve">Chance findings from multiple comparisons</w:t>
      </w:r>
    </w:p>
    <w:p>
      <w:pPr>
        <w:pStyle w:val="Compact"/>
        <w:numPr>
          <w:ilvl w:val="0"/>
          <w:numId w:val="1027"/>
        </w:numPr>
      </w:pPr>
      <w:r>
        <w:t xml:space="preserve">Small subgroups with wide confidence intervals</w:t>
      </w:r>
    </w:p>
    <w:p>
      <w:pPr>
        <w:pStyle w:val="Compact"/>
        <w:numPr>
          <w:ilvl w:val="0"/>
          <w:numId w:val="1027"/>
        </w:numPr>
      </w:pPr>
      <w:r>
        <w:t xml:space="preserve">Lack of biological plausibility</w:t>
      </w:r>
    </w:p>
    <w:p>
      <w:pPr>
        <w:pStyle w:val="Compact"/>
        <w:numPr>
          <w:ilvl w:val="0"/>
          <w:numId w:val="1027"/>
        </w:numPr>
      </w:pPr>
      <w:r>
        <w:t xml:space="preserve">Selective reporting of positive findings</w:t>
      </w:r>
    </w:p>
    <w:p>
      <w:pPr>
        <w:pStyle w:val="Compact"/>
        <w:numPr>
          <w:ilvl w:val="0"/>
          <w:numId w:val="1027"/>
        </w:numPr>
      </w:pPr>
      <w:r>
        <w:t xml:space="preserve">Confounding within subgroups</w:t>
      </w:r>
    </w:p>
    <w:p>
      <w:pPr>
        <w:pStyle w:val="Compact"/>
        <w:numPr>
          <w:ilvl w:val="0"/>
          <w:numId w:val="1027"/>
        </w:numPr>
      </w:pPr>
      <w:r>
        <w:t xml:space="preserve">Departure from pre-specified analysis plan</w:t>
      </w:r>
    </w:p>
    <w:bookmarkEnd w:id="68"/>
    <w:bookmarkEnd w:id="69"/>
    <w:bookmarkStart w:id="71" w:name="totality-of-evidence-approach"/>
    <w:p>
      <w:pPr>
        <w:pStyle w:val="Heading2"/>
      </w:pPr>
      <w:r>
        <w:t xml:space="preserve">5.3 Totality of Evidence Approach</w:t>
      </w:r>
    </w:p>
    <w:bookmarkStart w:id="70" w:name="regulatory-decision-making-considers"/>
    <w:p>
      <w:pPr>
        <w:pStyle w:val="Heading3"/>
      </w:pPr>
      <w:r>
        <w:t xml:space="preserve">5.3.1 Regulatory Decision-Making Considers:</w:t>
      </w:r>
    </w:p>
    <w:p>
      <w:pPr>
        <w:pStyle w:val="Compact"/>
        <w:numPr>
          <w:ilvl w:val="0"/>
          <w:numId w:val="1028"/>
        </w:numPr>
      </w:pPr>
      <w:r>
        <w:t xml:space="preserve">Statistical evidence and interaction tests</w:t>
      </w:r>
    </w:p>
    <w:p>
      <w:pPr>
        <w:pStyle w:val="Compact"/>
        <w:numPr>
          <w:ilvl w:val="0"/>
          <w:numId w:val="1028"/>
        </w:numPr>
      </w:pPr>
      <w:r>
        <w:t xml:space="preserve">Biological plausibility and mechanism of action</w:t>
      </w:r>
    </w:p>
    <w:p>
      <w:pPr>
        <w:pStyle w:val="Compact"/>
        <w:numPr>
          <w:ilvl w:val="0"/>
          <w:numId w:val="1028"/>
        </w:numPr>
      </w:pPr>
      <w:r>
        <w:t xml:space="preserve">Preclinical and pharmacologic support</w:t>
      </w:r>
    </w:p>
    <w:p>
      <w:pPr>
        <w:pStyle w:val="Compact"/>
        <w:numPr>
          <w:ilvl w:val="0"/>
          <w:numId w:val="1028"/>
        </w:numPr>
      </w:pPr>
      <w:r>
        <w:t xml:space="preserve">Clinical experience with similar agents</w:t>
      </w:r>
    </w:p>
    <w:p>
      <w:pPr>
        <w:pStyle w:val="Compact"/>
        <w:numPr>
          <w:ilvl w:val="0"/>
          <w:numId w:val="1028"/>
        </w:numPr>
      </w:pPr>
      <w:r>
        <w:t xml:space="preserve">Consistency across efficacy endpoints (PFS, OS, ORR)</w:t>
      </w:r>
    </w:p>
    <w:p>
      <w:pPr>
        <w:pStyle w:val="Compact"/>
        <w:numPr>
          <w:ilvl w:val="0"/>
          <w:numId w:val="1028"/>
        </w:numPr>
      </w:pPr>
      <w:r>
        <w:t xml:space="preserve">Safety profile in different subgroups</w:t>
      </w:r>
    </w:p>
    <w:p>
      <w:pPr>
        <w:pStyle w:val="Compact"/>
        <w:numPr>
          <w:ilvl w:val="0"/>
          <w:numId w:val="1028"/>
        </w:numPr>
      </w:pPr>
      <w:r>
        <w:t xml:space="preserve">Medical need and available treatment alternatives</w:t>
      </w:r>
    </w:p>
    <w:p>
      <w:pPr>
        <w:pStyle w:val="Compact"/>
        <w:numPr>
          <w:ilvl w:val="0"/>
          <w:numId w:val="1028"/>
        </w:numPr>
      </w:pPr>
      <w:r>
        <w:t xml:space="preserve">Quality and validation of biomarker tests</w:t>
      </w:r>
    </w:p>
    <w:p>
      <w:pPr>
        <w:pStyle w:val="Compact"/>
        <w:numPr>
          <w:ilvl w:val="0"/>
          <w:numId w:val="1028"/>
        </w:numPr>
      </w:pPr>
      <w:r>
        <w:t xml:space="preserve">Practical feasibility of patient selection</w:t>
      </w:r>
    </w:p>
    <w:p>
      <w:r>
        <w:pict>
          <v:rect style="width:0;height:1.5pt" o:hralign="center" o:hrstd="t" o:hr="t"/>
        </w:pict>
      </w:r>
    </w:p>
    <w:bookmarkEnd w:id="70"/>
    <w:bookmarkEnd w:id="71"/>
    <w:bookmarkEnd w:id="72"/>
    <w:bookmarkStart w:id="82" w:name="part-5-practical-recommendations"/>
    <w:p>
      <w:pPr>
        <w:pStyle w:val="Heading1"/>
      </w:pPr>
      <w:r>
        <w:t xml:space="preserve">6. Part 5: Practical Recommendations</w:t>
      </w:r>
    </w:p>
    <w:bookmarkStart w:id="76" w:name="for-trial-sponsors-and-investigators"/>
    <w:p>
      <w:pPr>
        <w:pStyle w:val="Heading2"/>
      </w:pPr>
      <w:r>
        <w:t xml:space="preserve">6.1 For Trial Sponsors and Investigators</w:t>
      </w:r>
    </w:p>
    <w:bookmarkStart w:id="73" w:name="during-trial-design"/>
    <w:p>
      <w:pPr>
        <w:pStyle w:val="Heading3"/>
      </w:pPr>
      <w:r>
        <w:t xml:space="preserve">6.1.1 During Trial Design</w:t>
      </w:r>
    </w:p>
    <w:p>
      <w:pPr>
        <w:pStyle w:val="Compact"/>
        <w:numPr>
          <w:ilvl w:val="0"/>
          <w:numId w:val="1029"/>
        </w:numPr>
      </w:pPr>
      <w:r>
        <w:t xml:space="preserve">Engage statisticians and regulatory experts early</w:t>
      </w:r>
    </w:p>
    <w:p>
      <w:pPr>
        <w:pStyle w:val="Compact"/>
        <w:numPr>
          <w:ilvl w:val="0"/>
          <w:numId w:val="1029"/>
        </w:numPr>
      </w:pPr>
      <w:r>
        <w:t xml:space="preserve">Identify subgroups based on strong scientific rationale</w:t>
      </w:r>
    </w:p>
    <w:p>
      <w:pPr>
        <w:pStyle w:val="Compact"/>
        <w:numPr>
          <w:ilvl w:val="0"/>
          <w:numId w:val="1029"/>
        </w:numPr>
      </w:pPr>
      <w:r>
        <w:t xml:space="preserve">Limit number of subgroups to avoid multiplicity</w:t>
      </w:r>
    </w:p>
    <w:p>
      <w:pPr>
        <w:pStyle w:val="Compact"/>
        <w:numPr>
          <w:ilvl w:val="0"/>
          <w:numId w:val="1029"/>
        </w:numPr>
      </w:pPr>
      <w:r>
        <w:t xml:space="preserve">Power trial adequately if subgroup analysis is critical</w:t>
      </w:r>
    </w:p>
    <w:p>
      <w:pPr>
        <w:pStyle w:val="Compact"/>
        <w:numPr>
          <w:ilvl w:val="0"/>
          <w:numId w:val="1029"/>
        </w:numPr>
      </w:pPr>
      <w:r>
        <w:t xml:space="preserve">Pre-specify all planned subgroup analyses in protocol</w:t>
      </w:r>
    </w:p>
    <w:p>
      <w:pPr>
        <w:pStyle w:val="Compact"/>
        <w:numPr>
          <w:ilvl w:val="0"/>
          <w:numId w:val="1029"/>
        </w:numPr>
      </w:pPr>
      <w:r>
        <w:t xml:space="preserve">Plan for biomarker assessment with validated assays</w:t>
      </w:r>
    </w:p>
    <w:p>
      <w:pPr>
        <w:pStyle w:val="Compact"/>
        <w:numPr>
          <w:ilvl w:val="0"/>
          <w:numId w:val="1029"/>
        </w:numPr>
      </w:pPr>
      <w:r>
        <w:t xml:space="preserve">Ensure adequate representation in key subgroups</w:t>
      </w:r>
    </w:p>
    <w:p>
      <w:pPr>
        <w:pStyle w:val="Compact"/>
        <w:numPr>
          <w:ilvl w:val="0"/>
          <w:numId w:val="1029"/>
        </w:numPr>
      </w:pPr>
      <w:r>
        <w:t xml:space="preserve">Consider enrichment strategies when appropriate</w:t>
      </w:r>
    </w:p>
    <w:bookmarkEnd w:id="73"/>
    <w:bookmarkStart w:id="74" w:name="during-trial-conduct"/>
    <w:p>
      <w:pPr>
        <w:pStyle w:val="Heading3"/>
      </w:pPr>
      <w:r>
        <w:t xml:space="preserve">6.1.2 During Trial Conduct</w:t>
      </w:r>
    </w:p>
    <w:p>
      <w:pPr>
        <w:pStyle w:val="Compact"/>
        <w:numPr>
          <w:ilvl w:val="0"/>
          <w:numId w:val="1030"/>
        </w:numPr>
      </w:pPr>
      <w:r>
        <w:t xml:space="preserve">Collect subgroup data systematically and completely</w:t>
      </w:r>
    </w:p>
    <w:p>
      <w:pPr>
        <w:pStyle w:val="Compact"/>
        <w:numPr>
          <w:ilvl w:val="0"/>
          <w:numId w:val="1030"/>
        </w:numPr>
      </w:pPr>
      <w:r>
        <w:t xml:space="preserve">Minimize missing biomarker or covariate data</w:t>
      </w:r>
    </w:p>
    <w:p>
      <w:pPr>
        <w:pStyle w:val="Compact"/>
        <w:numPr>
          <w:ilvl w:val="0"/>
          <w:numId w:val="1030"/>
        </w:numPr>
      </w:pPr>
      <w:r>
        <w:t xml:space="preserve">Maintain blinding to subgroup analyses until appropriate</w:t>
      </w:r>
    </w:p>
    <w:p>
      <w:pPr>
        <w:pStyle w:val="Compact"/>
        <w:numPr>
          <w:ilvl w:val="0"/>
          <w:numId w:val="1030"/>
        </w:numPr>
      </w:pPr>
      <w:r>
        <w:t xml:space="preserve">Follow pre-specified analysis plan</w:t>
      </w:r>
    </w:p>
    <w:bookmarkEnd w:id="74"/>
    <w:bookmarkStart w:id="75" w:name="during-analysis-and-reporting"/>
    <w:p>
      <w:pPr>
        <w:pStyle w:val="Heading3"/>
      </w:pPr>
      <w:r>
        <w:t xml:space="preserve">6.1.3 During Analysis and Reporting</w:t>
      </w:r>
    </w:p>
    <w:p>
      <w:pPr>
        <w:pStyle w:val="Compact"/>
        <w:numPr>
          <w:ilvl w:val="0"/>
          <w:numId w:val="1031"/>
        </w:numPr>
      </w:pPr>
      <w:r>
        <w:t xml:space="preserve">Conduct pre-specified analyses as planned</w:t>
      </w:r>
    </w:p>
    <w:p>
      <w:pPr>
        <w:pStyle w:val="Compact"/>
        <w:numPr>
          <w:ilvl w:val="0"/>
          <w:numId w:val="1031"/>
        </w:numPr>
      </w:pPr>
      <w:r>
        <w:t xml:space="preserve">Use interaction tests appropriately</w:t>
      </w:r>
    </w:p>
    <w:p>
      <w:pPr>
        <w:pStyle w:val="Compact"/>
        <w:numPr>
          <w:ilvl w:val="0"/>
          <w:numId w:val="1031"/>
        </w:numPr>
      </w:pPr>
      <w:r>
        <w:t xml:space="preserve">Apply multiplicity adjustments when warranted</w:t>
      </w:r>
    </w:p>
    <w:p>
      <w:pPr>
        <w:pStyle w:val="Compact"/>
        <w:numPr>
          <w:ilvl w:val="0"/>
          <w:numId w:val="1031"/>
        </w:numPr>
      </w:pPr>
      <w:r>
        <w:t xml:space="preserve">Clearly distinguish pre-specified vs exploratory analyses</w:t>
      </w:r>
    </w:p>
    <w:p>
      <w:pPr>
        <w:pStyle w:val="Compact"/>
        <w:numPr>
          <w:ilvl w:val="0"/>
          <w:numId w:val="1031"/>
        </w:numPr>
      </w:pPr>
      <w:r>
        <w:t xml:space="preserve">Report all subgroup analyses transparently (positive and negative)</w:t>
      </w:r>
    </w:p>
    <w:p>
      <w:pPr>
        <w:pStyle w:val="Compact"/>
        <w:numPr>
          <w:ilvl w:val="0"/>
          <w:numId w:val="1031"/>
        </w:numPr>
      </w:pPr>
      <w:r>
        <w:t xml:space="preserve">Use forest plots and graphical displays</w:t>
      </w:r>
    </w:p>
    <w:p>
      <w:pPr>
        <w:pStyle w:val="Compact"/>
        <w:numPr>
          <w:ilvl w:val="0"/>
          <w:numId w:val="1031"/>
        </w:numPr>
      </w:pPr>
      <w:r>
        <w:t xml:space="preserve">Interpret findings in context of overall trial results</w:t>
      </w:r>
    </w:p>
    <w:p>
      <w:pPr>
        <w:pStyle w:val="Compact"/>
        <w:numPr>
          <w:ilvl w:val="0"/>
          <w:numId w:val="1031"/>
        </w:numPr>
      </w:pPr>
      <w:r>
        <w:t xml:space="preserve">Acknowledge limitations and uncertainties</w:t>
      </w:r>
    </w:p>
    <w:bookmarkEnd w:id="75"/>
    <w:bookmarkEnd w:id="76"/>
    <w:bookmarkStart w:id="79" w:name="for-regulatory-reviewers"/>
    <w:p>
      <w:pPr>
        <w:pStyle w:val="Heading2"/>
      </w:pPr>
      <w:r>
        <w:t xml:space="preserve">6.2 For Regulatory Reviewers</w:t>
      </w:r>
    </w:p>
    <w:bookmarkStart w:id="77" w:name="assessment-framework"/>
    <w:p>
      <w:pPr>
        <w:pStyle w:val="Heading3"/>
      </w:pPr>
      <w:r>
        <w:t xml:space="preserve">6.2.1 Assessment Framework</w:t>
      </w:r>
    </w:p>
    <w:p>
      <w:pPr>
        <w:pStyle w:val="Compact"/>
        <w:numPr>
          <w:ilvl w:val="0"/>
          <w:numId w:val="1032"/>
        </w:numPr>
      </w:pPr>
      <w:r>
        <w:t xml:space="preserve">Verify pre-specification and scientific justification</w:t>
      </w:r>
    </w:p>
    <w:p>
      <w:pPr>
        <w:pStyle w:val="Compact"/>
        <w:numPr>
          <w:ilvl w:val="0"/>
          <w:numId w:val="1032"/>
        </w:numPr>
      </w:pPr>
      <w:r>
        <w:t xml:space="preserve">Evaluate adequacy of sample size and power</w:t>
      </w:r>
    </w:p>
    <w:p>
      <w:pPr>
        <w:pStyle w:val="Compact"/>
        <w:numPr>
          <w:ilvl w:val="0"/>
          <w:numId w:val="1032"/>
        </w:numPr>
      </w:pPr>
      <w:r>
        <w:t xml:space="preserve">Review statistical methods and multiplicity control</w:t>
      </w:r>
    </w:p>
    <w:p>
      <w:pPr>
        <w:pStyle w:val="Compact"/>
        <w:numPr>
          <w:ilvl w:val="0"/>
          <w:numId w:val="1032"/>
        </w:numPr>
      </w:pPr>
      <w:r>
        <w:t xml:space="preserve">Assess biological plausibility of findings</w:t>
      </w:r>
    </w:p>
    <w:p>
      <w:pPr>
        <w:pStyle w:val="Compact"/>
        <w:numPr>
          <w:ilvl w:val="0"/>
          <w:numId w:val="1032"/>
        </w:numPr>
      </w:pPr>
      <w:r>
        <w:t xml:space="preserve">Consider consistency across endpoints</w:t>
      </w:r>
    </w:p>
    <w:p>
      <w:pPr>
        <w:pStyle w:val="Compact"/>
        <w:numPr>
          <w:ilvl w:val="0"/>
          <w:numId w:val="1032"/>
        </w:numPr>
      </w:pPr>
      <w:r>
        <w:t xml:space="preserve">Evaluate complementary subgroup data</w:t>
      </w:r>
    </w:p>
    <w:p>
      <w:pPr>
        <w:pStyle w:val="Compact"/>
        <w:numPr>
          <w:ilvl w:val="0"/>
          <w:numId w:val="1032"/>
        </w:numPr>
      </w:pPr>
      <w:r>
        <w:t xml:space="preserve">Review safety across subgroups</w:t>
      </w:r>
    </w:p>
    <w:p>
      <w:pPr>
        <w:pStyle w:val="Compact"/>
        <w:numPr>
          <w:ilvl w:val="0"/>
          <w:numId w:val="1032"/>
        </w:numPr>
      </w:pPr>
      <w:r>
        <w:t xml:space="preserve">Consider available treatment alternatives</w:t>
      </w:r>
    </w:p>
    <w:p>
      <w:pPr>
        <w:pStyle w:val="Compact"/>
        <w:numPr>
          <w:ilvl w:val="0"/>
          <w:numId w:val="1032"/>
        </w:numPr>
      </w:pPr>
      <w:r>
        <w:t xml:space="preserve">Assess medical need and benefit-risk balance</w:t>
      </w:r>
    </w:p>
    <w:p>
      <w:pPr>
        <w:pStyle w:val="Compact"/>
        <w:numPr>
          <w:ilvl w:val="0"/>
          <w:numId w:val="1032"/>
        </w:numPr>
      </w:pPr>
      <w:r>
        <w:t xml:space="preserve">Determine appropriate scope of indication</w:t>
      </w:r>
    </w:p>
    <w:bookmarkEnd w:id="77"/>
    <w:bookmarkStart w:id="78" w:name="labeling-considerations"/>
    <w:p>
      <w:pPr>
        <w:pStyle w:val="Heading3"/>
      </w:pPr>
      <w:r>
        <w:t xml:space="preserve">6.2.2 Labeling Considerations</w:t>
      </w:r>
    </w:p>
    <w:p>
      <w:pPr>
        <w:pStyle w:val="Compact"/>
        <w:numPr>
          <w:ilvl w:val="0"/>
          <w:numId w:val="1033"/>
        </w:numPr>
      </w:pPr>
      <w:r>
        <w:t xml:space="preserve">Include relevant subgroup data to inform practice</w:t>
      </w:r>
    </w:p>
    <w:p>
      <w:pPr>
        <w:pStyle w:val="Compact"/>
        <w:numPr>
          <w:ilvl w:val="0"/>
          <w:numId w:val="1033"/>
        </w:numPr>
      </w:pPr>
      <w:r>
        <w:t xml:space="preserve">Present both favorable and unfavorable findings</w:t>
      </w:r>
    </w:p>
    <w:p>
      <w:pPr>
        <w:pStyle w:val="Compact"/>
        <w:numPr>
          <w:ilvl w:val="0"/>
          <w:numId w:val="1033"/>
        </w:numPr>
      </w:pPr>
      <w:r>
        <w:t xml:space="preserve">Use clear language about strength of evidence</w:t>
      </w:r>
    </w:p>
    <w:p>
      <w:pPr>
        <w:pStyle w:val="Compact"/>
        <w:numPr>
          <w:ilvl w:val="0"/>
          <w:numId w:val="1033"/>
        </w:numPr>
      </w:pPr>
      <w:r>
        <w:t xml:space="preserve">Distinguish formal vs exploratory analyses</w:t>
      </w:r>
    </w:p>
    <w:p>
      <w:pPr>
        <w:pStyle w:val="Compact"/>
        <w:numPr>
          <w:ilvl w:val="0"/>
          <w:numId w:val="1033"/>
        </w:numPr>
      </w:pPr>
      <w:r>
        <w:t xml:space="preserve">Provide information for individualized decisions</w:t>
      </w:r>
    </w:p>
    <w:bookmarkEnd w:id="78"/>
    <w:bookmarkEnd w:id="79"/>
    <w:bookmarkStart w:id="81" w:name="for-clinicians-and-healthcare-providers"/>
    <w:p>
      <w:pPr>
        <w:pStyle w:val="Heading2"/>
      </w:pPr>
      <w:r>
        <w:t xml:space="preserve">6.3 For Clinicians and Healthcare Providers</w:t>
      </w:r>
    </w:p>
    <w:bookmarkStart w:id="80" w:name="using-subgroup-information"/>
    <w:p>
      <w:pPr>
        <w:pStyle w:val="Heading3"/>
      </w:pPr>
      <w:r>
        <w:t xml:space="preserve">6.3.1 Using Subgroup Information</w:t>
      </w:r>
    </w:p>
    <w:p>
      <w:pPr>
        <w:pStyle w:val="Compact"/>
        <w:numPr>
          <w:ilvl w:val="0"/>
          <w:numId w:val="1034"/>
        </w:numPr>
      </w:pPr>
      <w:r>
        <w:t xml:space="preserve">Understand distinction between pre-specified and exploratory analyses</w:t>
      </w:r>
    </w:p>
    <w:p>
      <w:pPr>
        <w:pStyle w:val="Compact"/>
        <w:numPr>
          <w:ilvl w:val="0"/>
          <w:numId w:val="1034"/>
        </w:numPr>
      </w:pPr>
      <w:r>
        <w:t xml:space="preserve">Consider biological plausibility of subgroup effects</w:t>
      </w:r>
    </w:p>
    <w:p>
      <w:pPr>
        <w:pStyle w:val="Compact"/>
        <w:numPr>
          <w:ilvl w:val="0"/>
          <w:numId w:val="1034"/>
        </w:numPr>
      </w:pPr>
      <w:r>
        <w:t xml:space="preserve">Recognize limitations of small subgroup samples</w:t>
      </w:r>
    </w:p>
    <w:p>
      <w:pPr>
        <w:pStyle w:val="Compact"/>
        <w:numPr>
          <w:ilvl w:val="0"/>
          <w:numId w:val="1034"/>
        </w:numPr>
      </w:pPr>
      <w:r>
        <w:t xml:space="preserve">Look for consistency across multiple studies</w:t>
      </w:r>
    </w:p>
    <w:p>
      <w:pPr>
        <w:pStyle w:val="Compact"/>
        <w:numPr>
          <w:ilvl w:val="0"/>
          <w:numId w:val="1034"/>
        </w:numPr>
      </w:pPr>
      <w:r>
        <w:t xml:space="preserve">Integrate subgroup data with other clinical factors</w:t>
      </w:r>
    </w:p>
    <w:p>
      <w:pPr>
        <w:pStyle w:val="Compact"/>
        <w:numPr>
          <w:ilvl w:val="0"/>
          <w:numId w:val="1034"/>
        </w:numPr>
      </w:pPr>
      <w:r>
        <w:t xml:space="preserve">Discuss uncertainties with patients</w:t>
      </w:r>
    </w:p>
    <w:p>
      <w:pPr>
        <w:pStyle w:val="Compact"/>
        <w:numPr>
          <w:ilvl w:val="0"/>
          <w:numId w:val="1034"/>
        </w:numPr>
      </w:pPr>
      <w:r>
        <w:t xml:space="preserve">Consider individual patient characteristics and preferences</w:t>
      </w:r>
    </w:p>
    <w:p>
      <w:pPr>
        <w:pStyle w:val="Compact"/>
        <w:numPr>
          <w:ilvl w:val="0"/>
          <w:numId w:val="1034"/>
        </w:numPr>
      </w:pPr>
      <w:r>
        <w:t xml:space="preserve">Use validated biomarker tests when available</w:t>
      </w:r>
    </w:p>
    <w:p>
      <w:pPr>
        <w:pStyle w:val="Compact"/>
        <w:numPr>
          <w:ilvl w:val="0"/>
          <w:numId w:val="1034"/>
        </w:numPr>
      </w:pPr>
      <w:r>
        <w:t xml:space="preserve">Participate in post-marketing studies when appropriate</w:t>
      </w:r>
    </w:p>
    <w:p>
      <w:pPr>
        <w:pStyle w:val="Compact"/>
        <w:numPr>
          <w:ilvl w:val="0"/>
          <w:numId w:val="1034"/>
        </w:numPr>
      </w:pPr>
      <w:r>
        <w:t xml:space="preserve">Report real-world outcomes to enhance evidence base</w:t>
      </w:r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8" w:name="part-6-reporting-standards"/>
    <w:p>
      <w:pPr>
        <w:pStyle w:val="Heading1"/>
      </w:pPr>
      <w:r>
        <w:t xml:space="preserve">7. Part 6: Reporting Standards</w:t>
      </w:r>
    </w:p>
    <w:bookmarkStart w:id="84" w:name="consort-extension-for-subgroup-analyses"/>
    <w:p>
      <w:pPr>
        <w:pStyle w:val="Heading2"/>
      </w:pPr>
      <w:r>
        <w:t xml:space="preserve">7.1 CONSORT Extension for Subgroup Analyses</w:t>
      </w:r>
    </w:p>
    <w:bookmarkStart w:id="83" w:name="required-elements"/>
    <w:p>
      <w:pPr>
        <w:pStyle w:val="Heading3"/>
      </w:pPr>
      <w:r>
        <w:t xml:space="preserve">7.1.1 Required Elements</w:t>
      </w:r>
    </w:p>
    <w:p>
      <w:pPr>
        <w:pStyle w:val="Compact"/>
        <w:numPr>
          <w:ilvl w:val="0"/>
          <w:numId w:val="1035"/>
        </w:numPr>
      </w:pPr>
      <w:r>
        <w:t xml:space="preserve">Rationale and pre-specification status for each subgroup</w:t>
      </w:r>
    </w:p>
    <w:p>
      <w:pPr>
        <w:pStyle w:val="Compact"/>
        <w:numPr>
          <w:ilvl w:val="0"/>
          <w:numId w:val="1035"/>
        </w:numPr>
      </w:pPr>
      <w:r>
        <w:t xml:space="preserve">Definition of subgroup variables and cut-points</w:t>
      </w:r>
    </w:p>
    <w:p>
      <w:pPr>
        <w:pStyle w:val="Compact"/>
        <w:numPr>
          <w:ilvl w:val="0"/>
          <w:numId w:val="1035"/>
        </w:numPr>
      </w:pPr>
      <w:r>
        <w:t xml:space="preserve">Statistical methods including interaction tests</w:t>
      </w:r>
    </w:p>
    <w:p>
      <w:pPr>
        <w:pStyle w:val="Compact"/>
        <w:numPr>
          <w:ilvl w:val="0"/>
          <w:numId w:val="1035"/>
        </w:numPr>
      </w:pPr>
      <w:r>
        <w:t xml:space="preserve">Effect estimates with confidence intervals</w:t>
      </w:r>
    </w:p>
    <w:p>
      <w:pPr>
        <w:pStyle w:val="Compact"/>
        <w:numPr>
          <w:ilvl w:val="0"/>
          <w:numId w:val="1035"/>
        </w:numPr>
      </w:pPr>
      <w:r>
        <w:t xml:space="preserve">Interaction p-values</w:t>
      </w:r>
    </w:p>
    <w:p>
      <w:pPr>
        <w:pStyle w:val="Compact"/>
        <w:numPr>
          <w:ilvl w:val="0"/>
          <w:numId w:val="1035"/>
        </w:numPr>
      </w:pPr>
      <w:r>
        <w:t xml:space="preserve">Forest plots showing all subgroups</w:t>
      </w:r>
    </w:p>
    <w:p>
      <w:pPr>
        <w:pStyle w:val="Compact"/>
        <w:numPr>
          <w:ilvl w:val="0"/>
          <w:numId w:val="1035"/>
        </w:numPr>
      </w:pPr>
      <w:r>
        <w:t xml:space="preserve">Distinction between pre-specified and exploratory analyses</w:t>
      </w:r>
    </w:p>
    <w:p>
      <w:pPr>
        <w:pStyle w:val="Compact"/>
        <w:numPr>
          <w:ilvl w:val="0"/>
          <w:numId w:val="1035"/>
        </w:numPr>
      </w:pPr>
      <w:r>
        <w:t xml:space="preserve">Complete reporting (not selective)</w:t>
      </w:r>
    </w:p>
    <w:bookmarkEnd w:id="83"/>
    <w:bookmarkEnd w:id="84"/>
    <w:bookmarkStart w:id="87" w:name="transparency-checklist"/>
    <w:p>
      <w:pPr>
        <w:pStyle w:val="Heading2"/>
      </w:pPr>
      <w:r>
        <w:t xml:space="preserve">7.2 Transparency Checklist</w:t>
      </w:r>
    </w:p>
    <w:bookmarkStart w:id="85" w:name="protocolsap"/>
    <w:p>
      <w:pPr>
        <w:pStyle w:val="Heading3"/>
      </w:pPr>
      <w:r>
        <w:t xml:space="preserve">7.2.1 Protocol/SAP</w:t>
      </w:r>
    </w:p>
    <w:p>
      <w:pPr>
        <w:pStyle w:val="Compact"/>
        <w:numPr>
          <w:ilvl w:val="0"/>
          <w:numId w:val="1036"/>
        </w:numPr>
      </w:pPr>
      <w:r>
        <w:t xml:space="preserve">Subgroups defined with rationale</w:t>
      </w:r>
    </w:p>
    <w:p>
      <w:pPr>
        <w:pStyle w:val="Compact"/>
        <w:numPr>
          <w:ilvl w:val="0"/>
          <w:numId w:val="1037"/>
        </w:numPr>
      </w:pPr>
      <w:r>
        <w:t xml:space="preserve">Analysis methods specified</w:t>
      </w:r>
    </w:p>
    <w:p>
      <w:pPr>
        <w:pStyle w:val="Compact"/>
        <w:numPr>
          <w:ilvl w:val="0"/>
          <w:numId w:val="1038"/>
        </w:numPr>
      </w:pPr>
      <w:r>
        <w:t xml:space="preserve">Multiplicity approach described</w:t>
      </w:r>
    </w:p>
    <w:p>
      <w:pPr>
        <w:pStyle w:val="Compact"/>
        <w:numPr>
          <w:ilvl w:val="0"/>
          <w:numId w:val="1039"/>
        </w:numPr>
      </w:pPr>
      <w:r>
        <w:t xml:space="preserve">Power considerations addressed</w:t>
      </w:r>
    </w:p>
    <w:bookmarkEnd w:id="85"/>
    <w:bookmarkStart w:id="86" w:name="reporting"/>
    <w:p>
      <w:pPr>
        <w:pStyle w:val="Heading3"/>
      </w:pPr>
      <w:r>
        <w:t xml:space="preserve">7.2.2 Reporting</w:t>
      </w:r>
    </w:p>
    <w:p>
      <w:pPr>
        <w:pStyle w:val="Compact"/>
        <w:numPr>
          <w:ilvl w:val="0"/>
          <w:numId w:val="1040"/>
        </w:numPr>
      </w:pPr>
      <w:r>
        <w:t xml:space="preserve">All planned analyses reported</w:t>
      </w:r>
    </w:p>
    <w:p>
      <w:pPr>
        <w:pStyle w:val="Compact"/>
        <w:numPr>
          <w:ilvl w:val="0"/>
          <w:numId w:val="1041"/>
        </w:numPr>
      </w:pPr>
      <w:r>
        <w:t xml:space="preserve">Pre-specified vs exploratory clearly labeled</w:t>
      </w:r>
    </w:p>
    <w:p>
      <w:pPr>
        <w:pStyle w:val="Compact"/>
        <w:numPr>
          <w:ilvl w:val="0"/>
          <w:numId w:val="1042"/>
        </w:numPr>
      </w:pPr>
      <w:r>
        <w:t xml:space="preserve">Interaction tests included</w:t>
      </w:r>
    </w:p>
    <w:p>
      <w:pPr>
        <w:pStyle w:val="Compact"/>
        <w:numPr>
          <w:ilvl w:val="0"/>
          <w:numId w:val="1043"/>
        </w:numPr>
      </w:pPr>
      <w:r>
        <w:t xml:space="preserve">Forest plots provided</w:t>
      </w:r>
    </w:p>
    <w:p>
      <w:pPr>
        <w:pStyle w:val="Compact"/>
        <w:numPr>
          <w:ilvl w:val="0"/>
          <w:numId w:val="1044"/>
        </w:numPr>
      </w:pPr>
      <w:r>
        <w:t xml:space="preserve">Negative findings reported</w:t>
      </w:r>
    </w:p>
    <w:p>
      <w:pPr>
        <w:pStyle w:val="Compact"/>
        <w:numPr>
          <w:ilvl w:val="0"/>
          <w:numId w:val="1045"/>
        </w:numPr>
      </w:pPr>
      <w:r>
        <w:t xml:space="preserve">Limitations acknowledged</w:t>
      </w:r>
    </w:p>
    <w:p>
      <w:pPr>
        <w:pStyle w:val="Compact"/>
        <w:numPr>
          <w:ilvl w:val="0"/>
          <w:numId w:val="1046"/>
        </w:numPr>
      </w:pPr>
      <w:r>
        <w:t xml:space="preserve">Interpretation appropriately cautious</w:t>
      </w:r>
    </w:p>
    <w:p>
      <w:r>
        <w:pict>
          <v:rect style="width:0;height:1.5pt" o:hralign="center" o:hrstd="t" o:hr="t"/>
        </w:pict>
      </w:r>
    </w:p>
    <w:bookmarkEnd w:id="86"/>
    <w:bookmarkEnd w:id="87"/>
    <w:bookmarkEnd w:id="88"/>
    <w:bookmarkStart w:id="96" w:name="part-7-common-pitfalls-and-solutions"/>
    <w:p>
      <w:pPr>
        <w:pStyle w:val="Heading1"/>
      </w:pPr>
      <w:r>
        <w:t xml:space="preserve">8. Part 7: Common Pitfalls and Solutions</w:t>
      </w:r>
    </w:p>
    <w:bookmarkStart w:id="89" w:name="pitfall-1-data-driven-subgroup-selection"/>
    <w:p>
      <w:pPr>
        <w:pStyle w:val="Heading2"/>
      </w:pPr>
      <w:r>
        <w:t xml:space="preserve">8.1 Pitfall 1: Data-Driven Subgroup Selection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Choosing subgroups after seeing data increases false positives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Pre-specify all subgroups in protocol with clear rationale</w:t>
      </w:r>
    </w:p>
    <w:bookmarkEnd w:id="89"/>
    <w:bookmarkStart w:id="90" w:name="X31ea9179767895cf039c30b2449651a22709744"/>
    <w:p>
      <w:pPr>
        <w:pStyle w:val="Heading2"/>
      </w:pPr>
      <w:r>
        <w:t xml:space="preserve">8.2 Pitfall 2: Multiple Testing Without Adjustment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Examining many subgroups inflates Type I error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Apply appropriate multiplicity adjustments or label as exploratory</w:t>
      </w:r>
    </w:p>
    <w:bookmarkEnd w:id="90"/>
    <w:bookmarkStart w:id="91" w:name="pitfall-3-within-group-comparisons-only"/>
    <w:p>
      <w:pPr>
        <w:pStyle w:val="Heading2"/>
      </w:pPr>
      <w:r>
        <w:t xml:space="preserve">8.3 Pitfall 3: Within-Group Comparisons Only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Comparing p-values between subgroups is misleading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Use formal interaction tests</w:t>
      </w:r>
    </w:p>
    <w:bookmarkEnd w:id="91"/>
    <w:bookmarkStart w:id="92" w:name="X98f5c7121f38cdfdc0027878718ed30f30c62e3"/>
    <w:p>
      <w:pPr>
        <w:pStyle w:val="Heading2"/>
      </w:pPr>
      <w:r>
        <w:t xml:space="preserve">8.4 Pitfall 4: Overinterpretation of Small Subgroups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Small samples yield unreliable estimates with wide CIs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Acknowledge uncertainty; seek replication</w:t>
      </w:r>
    </w:p>
    <w:bookmarkEnd w:id="92"/>
    <w:bookmarkStart w:id="93" w:name="Xfbbb320a5bbac8608eef04da1284569d18360cd"/>
    <w:p>
      <w:pPr>
        <w:pStyle w:val="Heading2"/>
      </w:pPr>
      <w:r>
        <w:t xml:space="preserve">8.5 Pitfall 5: Ignoring Biological Plausibility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Spurious findings lack mechanistic basis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Integrate biological understanding into interpretation</w:t>
      </w:r>
    </w:p>
    <w:bookmarkEnd w:id="93"/>
    <w:bookmarkStart w:id="94" w:name="pitfall-6-selective-reporting"/>
    <w:p>
      <w:pPr>
        <w:pStyle w:val="Heading2"/>
      </w:pPr>
      <w:r>
        <w:t xml:space="preserve">8.6 Pitfall 6: Selective Reporting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Publishing only positive subgroup findings distorts evidence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Report all pre-specified analyses regardless of results</w:t>
      </w:r>
    </w:p>
    <w:bookmarkEnd w:id="94"/>
    <w:bookmarkStart w:id="95" w:name="pitfall-7-overriding-main-results"/>
    <w:p>
      <w:pPr>
        <w:pStyle w:val="Heading2"/>
      </w:pPr>
      <w:r>
        <w:t xml:space="preserve">8.7 Pitfall 7: Overriding Main Results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Focusing on subgroup contradicting overall findings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Require strong, consistent, credible evidence before overriding main trial conclusions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9" w:name="part-8-key-references-and-guidelines"/>
    <w:p>
      <w:pPr>
        <w:pStyle w:val="Heading1"/>
      </w:pPr>
      <w:r>
        <w:t xml:space="preserve">9. Part 8: Key References and Guidelines</w:t>
      </w:r>
    </w:p>
    <w:bookmarkStart w:id="97" w:name="regulatory-guidance"/>
    <w:p>
      <w:pPr>
        <w:pStyle w:val="Heading2"/>
      </w:pPr>
      <w:r>
        <w:t xml:space="preserve">9.1 Regulatory Guidance</w:t>
      </w:r>
    </w:p>
    <w:p>
      <w:pPr>
        <w:pStyle w:val="Compact"/>
        <w:numPr>
          <w:ilvl w:val="0"/>
          <w:numId w:val="1047"/>
        </w:numPr>
      </w:pPr>
      <w:r>
        <w:t xml:space="preserve">FDA: Developing Targeted Therapies in Low-Frequency Molecular Subsets</w:t>
      </w:r>
    </w:p>
    <w:p>
      <w:pPr>
        <w:pStyle w:val="Compact"/>
        <w:numPr>
          <w:ilvl w:val="0"/>
          <w:numId w:val="1047"/>
        </w:numPr>
      </w:pPr>
      <w:r>
        <w:t xml:space="preserve">FDA: Enrichment Strategies for Clinical Trials</w:t>
      </w:r>
    </w:p>
    <w:p>
      <w:pPr>
        <w:pStyle w:val="Compact"/>
        <w:numPr>
          <w:ilvl w:val="0"/>
          <w:numId w:val="1047"/>
        </w:numPr>
      </w:pPr>
      <w:r>
        <w:t xml:space="preserve">FDA: Inclusion of Older Adults in Cancer Clinical Trials</w:t>
      </w:r>
    </w:p>
    <w:p>
      <w:pPr>
        <w:pStyle w:val="Compact"/>
        <w:numPr>
          <w:ilvl w:val="0"/>
          <w:numId w:val="1047"/>
        </w:numPr>
      </w:pPr>
      <w:r>
        <w:t xml:space="preserve">ICH E9: Statistical Principles for Clinical Trials</w:t>
      </w:r>
    </w:p>
    <w:p>
      <w:pPr>
        <w:pStyle w:val="Compact"/>
        <w:numPr>
          <w:ilvl w:val="0"/>
          <w:numId w:val="1047"/>
        </w:numPr>
      </w:pPr>
      <w:r>
        <w:t xml:space="preserve">21 CFR 314.50: Effectiveness data by subgroups</w:t>
      </w:r>
    </w:p>
    <w:bookmarkEnd w:id="97"/>
    <w:bookmarkStart w:id="98" w:name="methodological-standards"/>
    <w:p>
      <w:pPr>
        <w:pStyle w:val="Heading2"/>
      </w:pPr>
      <w:r>
        <w:t xml:space="preserve">9.2 Methodological Standards</w:t>
      </w:r>
    </w:p>
    <w:p>
      <w:pPr>
        <w:pStyle w:val="Compact"/>
        <w:numPr>
          <w:ilvl w:val="0"/>
          <w:numId w:val="1048"/>
        </w:numPr>
      </w:pPr>
      <w:r>
        <w:t xml:space="preserve">CONSORT Extension for Subgroup Analyses</w:t>
      </w:r>
    </w:p>
    <w:p>
      <w:pPr>
        <w:pStyle w:val="Compact"/>
        <w:numPr>
          <w:ilvl w:val="0"/>
          <w:numId w:val="1048"/>
        </w:numPr>
      </w:pPr>
      <w:r>
        <w:t xml:space="preserve">Amatya et al. (2021): Subgroup Analyses in Oncology Trials.</w:t>
      </w:r>
      <w:r>
        <w:t xml:space="preserve"> </w:t>
      </w:r>
      <w:r>
        <w:rPr>
          <w:i/>
          <w:iCs/>
        </w:rPr>
        <w:t xml:space="preserve">Clinical Cancer Research</w:t>
      </w:r>
      <w:r>
        <w:t xml:space="preserve">, 27(21), 5753-5756</w:t>
      </w:r>
    </w:p>
    <w:p>
      <w:pPr>
        <w:pStyle w:val="Compact"/>
        <w:numPr>
          <w:ilvl w:val="0"/>
          <w:numId w:val="1048"/>
        </w:numPr>
      </w:pPr>
      <w:r>
        <w:t xml:space="preserve">BMJ Open (2019): Scoping Review of Guidance on Subgroup Effects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3" w:name="summary-key-takeaways"/>
    <w:p>
      <w:pPr>
        <w:pStyle w:val="Heading1"/>
      </w:pPr>
      <w:r>
        <w:t xml:space="preserve">10. Summary: Key Takeaways</w:t>
      </w:r>
    </w:p>
    <w:bookmarkStart w:id="102" w:name="for-successful-subgroup-analyses"/>
    <w:p>
      <w:pPr>
        <w:pStyle w:val="Heading2"/>
      </w:pPr>
      <w:r>
        <w:t xml:space="preserve">10.1 For Successful Subgroup Analyses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Pre-specify</w:t>
      </w:r>
      <w:r>
        <w:t xml:space="preserve"> </w:t>
      </w:r>
      <w:r>
        <w:t xml:space="preserve">subgroups with clear scientific rationale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Limit</w:t>
      </w:r>
      <w:r>
        <w:t xml:space="preserve"> </w:t>
      </w:r>
      <w:r>
        <w:t xml:space="preserve">the number to those clinically meaningful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Power adequately</w:t>
      </w:r>
      <w:r>
        <w:t xml:space="preserve"> </w:t>
      </w:r>
      <w:r>
        <w:t xml:space="preserve">if subgroup analysis is critical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Use interaction tests</w:t>
      </w:r>
      <w:r>
        <w:t xml:space="preserve"> </w:t>
      </w:r>
      <w:r>
        <w:t xml:space="preserve">to assess heterogeneity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Control multiplicity</w:t>
      </w:r>
      <w:r>
        <w:t xml:space="preserve"> </w:t>
      </w:r>
      <w:r>
        <w:t xml:space="preserve">to manage false positive risk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Interpret cautiously</w:t>
      </w:r>
      <w:r>
        <w:t xml:space="preserve"> </w:t>
      </w:r>
      <w:r>
        <w:t xml:space="preserve">in context of totality of evidence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Report transparently</w:t>
      </w:r>
      <w:r>
        <w:t xml:space="preserve"> </w:t>
      </w:r>
      <w:r>
        <w:t xml:space="preserve">all pre-specified and exploratory analyses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Consider biology</w:t>
      </w:r>
      <w:r>
        <w:t xml:space="preserve"> </w:t>
      </w:r>
      <w:r>
        <w:t xml:space="preserve">alongside statistics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Balance access and safety</w:t>
      </w:r>
      <w:r>
        <w:t xml:space="preserve"> </w:t>
      </w:r>
      <w:r>
        <w:t xml:space="preserve">in regulatory decisions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Communicate uncertainties</w:t>
      </w:r>
      <w:r>
        <w:t xml:space="preserve"> </w:t>
      </w:r>
      <w:r>
        <w:t xml:space="preserve">to support informed decisions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Bottom Line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Subgroup analyses are essential tools for personalized medicine and regulatory decision-making in oncology. Success requires careful planning, rigorous statistical methods, biological plausibility, transparent reporting, and cautious interpretation. The FDA takes a comprehensive, case-by-case approach considering statistical evidence, mechanistic understanding, clinical meaningfulness, and medical need to ensure appropriate patient populations benefit from new therapies.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2"/>
    <w:bookmarkEnd w:id="103"/>
    <w:bookmarkStart w:id="104" w:name="appendix-example-subgroup-analysis-table"/>
    <w:p>
      <w:pPr>
        <w:pStyle w:val="Heading1"/>
      </w:pPr>
      <w:r>
        <w:t xml:space="preserve">11. Appendix: Example Subgroup Analysis Table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4.3.3</w:t>
      </w:r>
    </w:p>
    <w:p>
      <w:pPr>
        <w:pStyle w:val="TableCaption"/>
      </w:pPr>
      <w:r>
        <w:t xml:space="preserve">Example Subgroup Analysis Results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xample Subgroup Analysis Result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Hazard Ratio (95% CI)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Interaction 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 (0.60, 0.93)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&lt;65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 (0.61, 1.00)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≥65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 (0.50, 0.98)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(0.62, 1.03)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 (0.52, 0.94)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PD-L1 Positive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 (0.40, 0.90)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PD-L1 Negative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 (0.65, 1.10)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04"/>
    <w:bookmarkStart w:id="105" w:name="key-abbreviations"/>
    <w:p>
      <w:pPr>
        <w:pStyle w:val="Heading1"/>
      </w:pPr>
      <w:r>
        <w:t xml:space="preserve">12. Key Abbreviations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CI</w:t>
      </w:r>
      <w:r>
        <w:t xml:space="preserve">: Confidence Interval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CPS</w:t>
      </w:r>
      <w:r>
        <w:t xml:space="preserve">: Combined Positive Score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FDA</w:t>
      </w:r>
      <w:r>
        <w:t xml:space="preserve">: Food and Drug Administration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HRD</w:t>
      </w:r>
      <w:r>
        <w:t xml:space="preserve">: Homologous Recombination Deficiency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HR</w:t>
      </w:r>
      <w:r>
        <w:t xml:space="preserve">: Hazard Ratio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ITT</w:t>
      </w:r>
      <w:r>
        <w:t xml:space="preserve">: Intention-to-Treat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NSCLC</w:t>
      </w:r>
      <w:r>
        <w:t xml:space="preserve">: Non-Small Cell Lung Cancer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ORR</w:t>
      </w:r>
      <w:r>
        <w:t xml:space="preserve">: Objective Response Rate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OS</w:t>
      </w:r>
      <w:r>
        <w:t xml:space="preserve">: Overall Survival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PFS</w:t>
      </w:r>
      <w:r>
        <w:t xml:space="preserve">: Progression-Free Survival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SAP</w:t>
      </w:r>
      <w:r>
        <w:t xml:space="preserve">: Statistical Analysis Plan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TPS</w:t>
      </w:r>
      <w:r>
        <w:t xml:space="preserve">: Tumor Proportion Score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15, 2025</w:t>
      </w:r>
    </w:p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Guide: Subgroup Analyses in Clinical Trials</dc:title>
  <dc:creator>Clinical Research Guidance Document</dc:creator>
  <cp:keywords/>
  <dcterms:created xsi:type="dcterms:W3CDTF">2025-10-16T06:47:51Z</dcterms:created>
  <dcterms:modified xsi:type="dcterms:W3CDTF">2025-10-16T06:47:51Z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2025-10-15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Regulatory Perspectives, Case Examples, and Practical Recommendations</vt:lpwstr>
  </property>
  <property fmtid="{D5CDD505-2E9C-101B-9397-08002B2CF9AE}" pid="11" name="toc-title">
    <vt:lpwstr>Table of contents</vt:lpwstr>
  </property>
</Properties>
</file>