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6DE3F" w14:textId="77777777" w:rsidR="0096054A" w:rsidRDefault="0096054A" w:rsidP="0096054A">
      <w:r>
        <w:t>Detailed Guidance on Subgroup Analyses in Confirmatory Clinical Trials</w:t>
      </w:r>
    </w:p>
    <w:p w14:paraId="35D8CCE9" w14:textId="77777777" w:rsidR="0096054A" w:rsidRDefault="0096054A" w:rsidP="0096054A"/>
    <w:p w14:paraId="5939DF0F" w14:textId="77777777" w:rsidR="0096054A" w:rsidRDefault="0096054A" w:rsidP="0096054A">
      <w:r>
        <w:t>1. Purpose of Subgroup Analyses</w:t>
      </w:r>
    </w:p>
    <w:p w14:paraId="1C2F292E" w14:textId="77777777" w:rsidR="0096054A" w:rsidRDefault="0096054A" w:rsidP="0096054A">
      <w:r>
        <w:t>Subgroup analyses are conducted to explore whether the efficacy or safety of a treatment varies across different patient groups within a clinical trial. These groups may be defined by baseline characteristics such as age, sex, ethnicity, disease severity, genetic markers, or comorbidities. The goal is to identify potential heterogeneity in treatment effects that could inform clinical practice or regulatory decisions.</w:t>
      </w:r>
    </w:p>
    <w:p w14:paraId="584B7E4F" w14:textId="77777777" w:rsidR="0096054A" w:rsidRDefault="0096054A" w:rsidP="0096054A"/>
    <w:p w14:paraId="63398A2B" w14:textId="77777777" w:rsidR="0096054A" w:rsidRDefault="0096054A" w:rsidP="0096054A">
      <w:r>
        <w:t>2. Planning and Pre-specification</w:t>
      </w:r>
    </w:p>
    <w:p w14:paraId="31767BEC" w14:textId="77777777" w:rsidR="0096054A" w:rsidRDefault="0096054A" w:rsidP="0096054A">
      <w:r>
        <w:t>- Subgroup analyses should be pre-specified in the study protocol and statistical analysis plan, including the rationale for selecting each subgroup.</w:t>
      </w:r>
    </w:p>
    <w:p w14:paraId="297CE095" w14:textId="77777777" w:rsidR="0096054A" w:rsidRDefault="0096054A" w:rsidP="0096054A">
      <w:r>
        <w:t>- The number of subgroups and the criteria for their definition should be justified based on scientific, clinical, or regulatory relevance.</w:t>
      </w:r>
    </w:p>
    <w:p w14:paraId="36C0716C" w14:textId="77777777" w:rsidR="0096054A" w:rsidRDefault="0096054A" w:rsidP="0096054A">
      <w:r>
        <w:t>- Pre-specification helps control for multiplicity and reduces the risk of spurious findings due to post hoc data exploration.</w:t>
      </w:r>
    </w:p>
    <w:p w14:paraId="0FCC060B" w14:textId="77777777" w:rsidR="0096054A" w:rsidRDefault="0096054A" w:rsidP="0096054A"/>
    <w:p w14:paraId="21108441" w14:textId="77777777" w:rsidR="0096054A" w:rsidRDefault="0096054A" w:rsidP="0096054A">
      <w:r>
        <w:t>3. Statistical Considerations</w:t>
      </w:r>
    </w:p>
    <w:p w14:paraId="11AE6431" w14:textId="77777777" w:rsidR="0096054A" w:rsidRDefault="0096054A" w:rsidP="0096054A">
      <w:r>
        <w:t>- Trials are typically powered to detect overall treatment effects, not effects within subgroups. Therefore, subgroup analyses often have limited statistical power.</w:t>
      </w:r>
    </w:p>
    <w:p w14:paraId="6A467694" w14:textId="77777777" w:rsidR="0096054A" w:rsidRDefault="0096054A" w:rsidP="0096054A">
      <w:r>
        <w:t>- Interaction tests (e.g., treatment-by-subgroup interaction) should be used to formally assess whether treatment effects differ between subgroups.</w:t>
      </w:r>
    </w:p>
    <w:p w14:paraId="2C3FF03F" w14:textId="77777777" w:rsidR="0096054A" w:rsidRDefault="0096054A" w:rsidP="0096054A">
      <w:r>
        <w:t>- Multiple testing increases the risk of false positives; appropriate statistical adjustments (e.g., Bonferroni correction) should be considered if many subgroups are analyzed.</w:t>
      </w:r>
    </w:p>
    <w:p w14:paraId="2BF06A9E" w14:textId="77777777" w:rsidR="0096054A" w:rsidRDefault="0096054A" w:rsidP="0096054A">
      <w:r>
        <w:t>- Exploratory analyses of subgroups not pre-specified should be clearly identified as such and interpreted with caution.</w:t>
      </w:r>
    </w:p>
    <w:p w14:paraId="4136FF0C" w14:textId="77777777" w:rsidR="0096054A" w:rsidRDefault="0096054A" w:rsidP="0096054A"/>
    <w:p w14:paraId="75E34C6B" w14:textId="77777777" w:rsidR="0096054A" w:rsidRDefault="0096054A" w:rsidP="0096054A">
      <w:r>
        <w:t>4. Interpretation of Results</w:t>
      </w:r>
    </w:p>
    <w:p w14:paraId="2BF795A4" w14:textId="77777777" w:rsidR="0096054A" w:rsidRDefault="0096054A" w:rsidP="0096054A">
      <w:r>
        <w:t>- Subgroup findings should be interpreted in the context of the overall trial results and the totality of evidence.</w:t>
      </w:r>
    </w:p>
    <w:p w14:paraId="5434764A" w14:textId="77777777" w:rsidR="0096054A" w:rsidRDefault="0096054A" w:rsidP="0096054A">
      <w:r>
        <w:lastRenderedPageBreak/>
        <w:t>- Differences observed in subgroups may be due to chance, especially if the sample size is small or many subgroups are examined.</w:t>
      </w:r>
    </w:p>
    <w:p w14:paraId="7BAADA2F" w14:textId="77777777" w:rsidR="0096054A" w:rsidRDefault="0096054A" w:rsidP="0096054A">
      <w:r>
        <w:t>- Biological plausibility and consistency with external evidence (e.g., previous studies, mechanistic understanding) should be considered when evaluating subgroup effects.</w:t>
      </w:r>
    </w:p>
    <w:p w14:paraId="64812D17" w14:textId="77777777" w:rsidR="0096054A" w:rsidRDefault="0096054A" w:rsidP="0096054A">
      <w:r>
        <w:t>- Subgroup analyses should not override the main trial conclusions unless there is strong, consistent, and credible evidence.</w:t>
      </w:r>
    </w:p>
    <w:p w14:paraId="4AABBA79" w14:textId="77777777" w:rsidR="0096054A" w:rsidRDefault="0096054A" w:rsidP="0096054A"/>
    <w:p w14:paraId="391D9C1C" w14:textId="77777777" w:rsidR="0096054A" w:rsidRDefault="0096054A" w:rsidP="0096054A">
      <w:r>
        <w:t>5. Reporting</w:t>
      </w:r>
    </w:p>
    <w:p w14:paraId="3FFAA415" w14:textId="77777777" w:rsidR="0096054A" w:rsidRDefault="0096054A" w:rsidP="0096054A">
      <w:r>
        <w:t>- All planned and performed subgroup analyses should be transparently reported, including both positive and negative findings.</w:t>
      </w:r>
    </w:p>
    <w:p w14:paraId="0D757F2A" w14:textId="77777777" w:rsidR="0096054A" w:rsidRDefault="0096054A" w:rsidP="0096054A">
      <w:r>
        <w:t>- Reports should include the rationale for subgroup selection, statistical methods used, and detailed results (effect estimates, confidence intervals, p-values).</w:t>
      </w:r>
    </w:p>
    <w:p w14:paraId="6F9C374F" w14:textId="77777777" w:rsidR="0096054A" w:rsidRDefault="0096054A" w:rsidP="0096054A">
      <w:r>
        <w:t>- Forest plots and other graphical displays can help visualize subgroup effects and their consistency.</w:t>
      </w:r>
    </w:p>
    <w:p w14:paraId="5702D5B9" w14:textId="77777777" w:rsidR="0096054A" w:rsidRDefault="0096054A" w:rsidP="0096054A">
      <w:r>
        <w:t>- The distinction between pre-specified and exploratory analyses should be clearly stated.</w:t>
      </w:r>
    </w:p>
    <w:p w14:paraId="22CDF5FF" w14:textId="77777777" w:rsidR="0096054A" w:rsidRDefault="0096054A" w:rsidP="0096054A"/>
    <w:p w14:paraId="5262FEAB" w14:textId="77777777" w:rsidR="0096054A" w:rsidRDefault="0096054A" w:rsidP="0096054A">
      <w:r>
        <w:t>6. Regulatory Perspective</w:t>
      </w:r>
    </w:p>
    <w:p w14:paraId="3AD0C774" w14:textId="77777777" w:rsidR="0096054A" w:rsidRDefault="0096054A" w:rsidP="0096054A">
      <w:r>
        <w:t>- Regulatory agencies require subgroup analyses to be pre-specified and scientifically justified.</w:t>
      </w:r>
    </w:p>
    <w:p w14:paraId="7680851A" w14:textId="77777777" w:rsidR="0096054A" w:rsidRDefault="0096054A" w:rsidP="0096054A">
      <w:r>
        <w:t>- Subgroup findings may inform benefit-risk assessments, labeling, and recommendations for specific patient populations.</w:t>
      </w:r>
    </w:p>
    <w:p w14:paraId="3B7F4017" w14:textId="77777777" w:rsidR="0096054A" w:rsidRDefault="0096054A" w:rsidP="0096054A">
      <w:r>
        <w:t>- Confirmatory evidence (e.g., replication in independent studies) is needed before making regulatory decisions based on subgroup effects.</w:t>
      </w:r>
    </w:p>
    <w:p w14:paraId="1BCA7FC2" w14:textId="77777777" w:rsidR="0096054A" w:rsidRDefault="0096054A" w:rsidP="0096054A">
      <w:r>
        <w:t>- Agencies may request additional analyses or data to support subgroup claims.</w:t>
      </w:r>
    </w:p>
    <w:p w14:paraId="4294014E" w14:textId="77777777" w:rsidR="0096054A" w:rsidRDefault="0096054A" w:rsidP="0096054A"/>
    <w:p w14:paraId="4302E048" w14:textId="77777777" w:rsidR="0096054A" w:rsidRDefault="0096054A" w:rsidP="0096054A">
      <w:r>
        <w:t>7. Best Practices and Recommendations</w:t>
      </w:r>
    </w:p>
    <w:p w14:paraId="606306EA" w14:textId="77777777" w:rsidR="0096054A" w:rsidRDefault="0096054A" w:rsidP="0096054A">
      <w:r>
        <w:t>- Limit the number of subgroups to those with strong scientific or clinical rationale.</w:t>
      </w:r>
    </w:p>
    <w:p w14:paraId="520D3A44" w14:textId="77777777" w:rsidR="0096054A" w:rsidRDefault="0096054A" w:rsidP="0096054A">
      <w:r>
        <w:t>- Use consistent definitions and methods across studies to facilitate comparison and meta-analysis.</w:t>
      </w:r>
    </w:p>
    <w:p w14:paraId="608114D3" w14:textId="77777777" w:rsidR="0096054A" w:rsidRDefault="0096054A" w:rsidP="0096054A">
      <w:r>
        <w:t>- Engage with statisticians and regulatory experts early in trial design to ensure robust subgroup analysis plans.</w:t>
      </w:r>
    </w:p>
    <w:p w14:paraId="5308BF7D" w14:textId="77777777" w:rsidR="0096054A" w:rsidRDefault="0096054A" w:rsidP="0096054A">
      <w:r>
        <w:lastRenderedPageBreak/>
        <w:t>- Interpret subgroup findings in the context of the broader evidence base, including mechanistic, epidemiological, and clinical data.</w:t>
      </w:r>
    </w:p>
    <w:p w14:paraId="0D552C3F" w14:textId="77777777" w:rsidR="00402DC9" w:rsidRDefault="00402DC9" w:rsidP="0096054A"/>
    <w:p w14:paraId="2458BB41" w14:textId="77777777" w:rsidR="00974531" w:rsidRDefault="00974531" w:rsidP="0096054A"/>
    <w:p w14:paraId="43703DE9"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General Guidance on Subgroup Analyses in Confirmatory Clinical Trials</w:t>
      </w:r>
    </w:p>
    <w:p w14:paraId="4403FD85"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Purpose:</w:t>
      </w:r>
      <w:r w:rsidRPr="00CF7914">
        <w:rPr>
          <w:rFonts w:ascii="Source Sans Pro" w:eastAsia="Times New Roman" w:hAnsi="Source Sans Pro" w:cs="Times New Roman"/>
          <w:color w:val="1F2937"/>
          <w:sz w:val="24"/>
          <w:szCs w:val="24"/>
        </w:rPr>
        <w:br/>
        <w:t xml:space="preserve">Subgroup analyses are conducted to explore whether the treatment effect varies across different patient groups (e.g., age, sex, race, disease severity, biomarker status). These analyses help identify populations that may benefit </w:t>
      </w:r>
      <w:proofErr w:type="gramStart"/>
      <w:r w:rsidRPr="00CF7914">
        <w:rPr>
          <w:rFonts w:ascii="Source Sans Pro" w:eastAsia="Times New Roman" w:hAnsi="Source Sans Pro" w:cs="Times New Roman"/>
          <w:color w:val="1F2937"/>
          <w:sz w:val="24"/>
          <w:szCs w:val="24"/>
        </w:rPr>
        <w:t>more or less from</w:t>
      </w:r>
      <w:proofErr w:type="gramEnd"/>
      <w:r w:rsidRPr="00CF7914">
        <w:rPr>
          <w:rFonts w:ascii="Source Sans Pro" w:eastAsia="Times New Roman" w:hAnsi="Source Sans Pro" w:cs="Times New Roman"/>
          <w:color w:val="1F2937"/>
          <w:sz w:val="24"/>
          <w:szCs w:val="24"/>
        </w:rPr>
        <w:t xml:space="preserve"> the intervention.</w:t>
      </w:r>
    </w:p>
    <w:p w14:paraId="6821A40A"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Key Principles:</w:t>
      </w:r>
    </w:p>
    <w:p w14:paraId="6D9F13D5" w14:textId="77777777" w:rsidR="00CF7914" w:rsidRPr="00CF7914" w:rsidRDefault="00CF7914" w:rsidP="00CF7914">
      <w:pPr>
        <w:numPr>
          <w:ilvl w:val="0"/>
          <w:numId w:val="1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Pre-specification:</w:t>
      </w:r>
      <w:r w:rsidRPr="00CF7914">
        <w:rPr>
          <w:rFonts w:ascii="Source Sans Pro" w:eastAsia="Times New Roman" w:hAnsi="Source Sans Pro" w:cs="Times New Roman"/>
          <w:color w:val="1F2937"/>
          <w:sz w:val="24"/>
          <w:szCs w:val="24"/>
        </w:rPr>
        <w:t> Subgroups should be defined before the trial starts (pre-specified in the protocol or statistical analysis plan). Post hoc (exploratory) subgroup analyses are less reliable and should be interpreted with caution.</w:t>
      </w:r>
    </w:p>
    <w:p w14:paraId="0AC8CA6B" w14:textId="77777777" w:rsidR="00CF7914" w:rsidRPr="00CF7914" w:rsidRDefault="00CF7914" w:rsidP="00CF7914">
      <w:pPr>
        <w:numPr>
          <w:ilvl w:val="0"/>
          <w:numId w:val="1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Statistical Considerations:</w:t>
      </w:r>
      <w:r w:rsidRPr="00CF7914">
        <w:rPr>
          <w:rFonts w:ascii="Source Sans Pro" w:eastAsia="Times New Roman" w:hAnsi="Source Sans Pro" w:cs="Times New Roman"/>
          <w:color w:val="1F2937"/>
          <w:sz w:val="24"/>
          <w:szCs w:val="24"/>
        </w:rPr>
        <w:t> Multiple subgroup analyses increase the risk of false positive findings (Type I error). Adjustments for multiplicity should be considered if formal claims are made. Interaction tests (testing for differences in treatment effect between subgroups) are preferred over separate analyses within each subgroup.</w:t>
      </w:r>
    </w:p>
    <w:p w14:paraId="540A1DE5" w14:textId="77777777" w:rsidR="00CF7914" w:rsidRPr="00CF7914" w:rsidRDefault="00CF7914" w:rsidP="00CF7914">
      <w:pPr>
        <w:numPr>
          <w:ilvl w:val="0"/>
          <w:numId w:val="1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Interpretation:</w:t>
      </w:r>
      <w:r w:rsidRPr="00CF7914">
        <w:rPr>
          <w:rFonts w:ascii="Source Sans Pro" w:eastAsia="Times New Roman" w:hAnsi="Source Sans Pro" w:cs="Times New Roman"/>
          <w:color w:val="1F2937"/>
          <w:sz w:val="24"/>
          <w:szCs w:val="24"/>
        </w:rPr>
        <w:t> Subgroup findings should be considered hypothesis-generating unless strongly supported by biological rationale and statistical evidence. Consistency of treatment effect across subgroups strengthens the overall evidence. Apparent differences may be due to chance, especially in small subgroups.</w:t>
      </w:r>
    </w:p>
    <w:p w14:paraId="2329CEC8" w14:textId="77777777" w:rsidR="00CF7914" w:rsidRPr="00CF7914" w:rsidRDefault="00CF7914" w:rsidP="00CF7914">
      <w:pPr>
        <w:numPr>
          <w:ilvl w:val="0"/>
          <w:numId w:val="1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Reporting:</w:t>
      </w:r>
      <w:r w:rsidRPr="00CF7914">
        <w:rPr>
          <w:rFonts w:ascii="Source Sans Pro" w:eastAsia="Times New Roman" w:hAnsi="Source Sans Pro" w:cs="Times New Roman"/>
          <w:color w:val="1F2937"/>
          <w:sz w:val="24"/>
          <w:szCs w:val="24"/>
        </w:rPr>
        <w:t> All planned and performed subgroup analyses should be transparently reported. Results should include estimates of treatment effect, confidence intervals, and interaction p-values.</w:t>
      </w:r>
    </w:p>
    <w:p w14:paraId="15EE9A69" w14:textId="77777777" w:rsidR="00CF7914" w:rsidRPr="00CF7914" w:rsidRDefault="00CF7914" w:rsidP="00CF7914">
      <w:pPr>
        <w:numPr>
          <w:ilvl w:val="0"/>
          <w:numId w:val="1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Regulatory Perspective:</w:t>
      </w:r>
      <w:r w:rsidRPr="00CF7914">
        <w:rPr>
          <w:rFonts w:ascii="Source Sans Pro" w:eastAsia="Times New Roman" w:hAnsi="Source Sans Pro" w:cs="Times New Roman"/>
          <w:color w:val="1F2937"/>
          <w:sz w:val="24"/>
          <w:szCs w:val="24"/>
        </w:rPr>
        <w:t> Regulatory agencies generally require that the primary efficacy claim be based on the overall population. Subgroup claims may be considered if there is strong evidence and clinical relevance.</w:t>
      </w:r>
    </w:p>
    <w:p w14:paraId="7DA67A1E"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Common Subgroups:</w:t>
      </w:r>
    </w:p>
    <w:p w14:paraId="76A7D824" w14:textId="77777777" w:rsidR="00CF7914" w:rsidRPr="00CF7914" w:rsidRDefault="00CF7914" w:rsidP="00CF7914">
      <w:pPr>
        <w:numPr>
          <w:ilvl w:val="0"/>
          <w:numId w:val="1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Demographics: Age, sex, race, ethnicity</w:t>
      </w:r>
    </w:p>
    <w:p w14:paraId="201BD80A" w14:textId="77777777" w:rsidR="00CF7914" w:rsidRPr="00CF7914" w:rsidRDefault="00CF7914" w:rsidP="00CF7914">
      <w:pPr>
        <w:numPr>
          <w:ilvl w:val="0"/>
          <w:numId w:val="1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Disease characteristics: Severity, stage, histology</w:t>
      </w:r>
    </w:p>
    <w:p w14:paraId="673BADF4" w14:textId="77777777" w:rsidR="00CF7914" w:rsidRPr="00CF7914" w:rsidRDefault="00CF7914" w:rsidP="00CF7914">
      <w:pPr>
        <w:numPr>
          <w:ilvl w:val="0"/>
          <w:numId w:val="1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Geographic region</w:t>
      </w:r>
    </w:p>
    <w:p w14:paraId="778D5DED" w14:textId="77777777" w:rsidR="00CF7914" w:rsidRPr="00CF7914" w:rsidRDefault="00CF7914" w:rsidP="00CF7914">
      <w:pPr>
        <w:numPr>
          <w:ilvl w:val="0"/>
          <w:numId w:val="1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Biomarker status (e.g., PD-L1 expression)</w:t>
      </w:r>
    </w:p>
    <w:p w14:paraId="055949B5" w14:textId="77777777" w:rsidR="00CF7914" w:rsidRPr="00CF7914" w:rsidRDefault="00CF7914" w:rsidP="00CF7914">
      <w:pPr>
        <w:numPr>
          <w:ilvl w:val="0"/>
          <w:numId w:val="1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Baseline risk factors</w:t>
      </w:r>
    </w:p>
    <w:p w14:paraId="4D6D5AED"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Best Practices:</w:t>
      </w:r>
    </w:p>
    <w:p w14:paraId="77461C72" w14:textId="77777777" w:rsidR="00CF7914" w:rsidRPr="00CF7914" w:rsidRDefault="00CF7914" w:rsidP="00CF7914">
      <w:pPr>
        <w:numPr>
          <w:ilvl w:val="0"/>
          <w:numId w:val="1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lastRenderedPageBreak/>
        <w:t>Limit the number of subgroups to those with strong scientific or clinical justification.</w:t>
      </w:r>
    </w:p>
    <w:p w14:paraId="57BE4643" w14:textId="77777777" w:rsidR="00CF7914" w:rsidRPr="00CF7914" w:rsidRDefault="00CF7914" w:rsidP="00CF7914">
      <w:pPr>
        <w:numPr>
          <w:ilvl w:val="0"/>
          <w:numId w:val="1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Use graphical displays (e.g., forest plots) to show consistency across subgroups.</w:t>
      </w:r>
    </w:p>
    <w:p w14:paraId="399A5421" w14:textId="77777777" w:rsidR="00CF7914" w:rsidRPr="00CF7914" w:rsidRDefault="00CF7914" w:rsidP="00CF7914">
      <w:pPr>
        <w:numPr>
          <w:ilvl w:val="0"/>
          <w:numId w:val="1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Avoid over-interpretation of isolated significant findings.</w:t>
      </w:r>
    </w:p>
    <w:p w14:paraId="709A3D05"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Example Table: Subgroup Analysis Results</w:t>
      </w:r>
    </w:p>
    <w:tbl>
      <w:tblPr>
        <w:tblW w:w="0" w:type="auto"/>
        <w:tblBorders>
          <w:top w:val="single" w:sz="6" w:space="0" w:color="D1D5DB"/>
          <w:left w:val="single" w:sz="6" w:space="0" w:color="D1D5DB"/>
          <w:bottom w:val="single" w:sz="6" w:space="0" w:color="D1D5DB"/>
          <w:right w:val="single" w:sz="6" w:space="0" w:color="D1D5DB"/>
        </w:tblBorders>
        <w:shd w:val="clear" w:color="auto" w:fill="EFF6FF"/>
        <w:tblCellMar>
          <w:top w:w="150" w:type="dxa"/>
          <w:left w:w="150" w:type="dxa"/>
          <w:bottom w:w="150" w:type="dxa"/>
          <w:right w:w="150" w:type="dxa"/>
        </w:tblCellMar>
        <w:tblLook w:val="04A0" w:firstRow="1" w:lastRow="0" w:firstColumn="1" w:lastColumn="0" w:noHBand="0" w:noVBand="1"/>
      </w:tblPr>
      <w:tblGrid>
        <w:gridCol w:w="1830"/>
        <w:gridCol w:w="658"/>
        <w:gridCol w:w="2604"/>
        <w:gridCol w:w="2335"/>
      </w:tblGrid>
      <w:tr w:rsidR="00CF7914" w:rsidRPr="00CF7914" w14:paraId="0BF842F6" w14:textId="77777777">
        <w:trPr>
          <w:tblHeader/>
        </w:trPr>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6823CA25" w14:textId="77777777" w:rsidR="00CF7914" w:rsidRPr="00CF7914" w:rsidRDefault="00CF7914" w:rsidP="00CF7914">
            <w:pPr>
              <w:spacing w:before="60" w:after="60" w:line="240" w:lineRule="auto"/>
              <w:jc w:val="center"/>
              <w:rPr>
                <w:rFonts w:ascii="Source Sans Pro" w:eastAsia="Times New Roman" w:hAnsi="Source Sans Pro" w:cs="Times New Roman"/>
                <w:b/>
                <w:bCs/>
                <w:color w:val="1F2937"/>
                <w:sz w:val="24"/>
                <w:szCs w:val="24"/>
              </w:rPr>
            </w:pPr>
            <w:r w:rsidRPr="00CF7914">
              <w:rPr>
                <w:rFonts w:ascii="Source Sans Pro" w:eastAsia="Times New Roman" w:hAnsi="Source Sans Pro" w:cs="Times New Roman"/>
                <w:b/>
                <w:bCs/>
                <w:color w:val="1F2937"/>
                <w:sz w:val="24"/>
                <w:szCs w:val="24"/>
              </w:rPr>
              <w:t>Subgroup</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400EEBD9" w14:textId="77777777" w:rsidR="00CF7914" w:rsidRPr="00CF7914" w:rsidRDefault="00CF7914" w:rsidP="00CF7914">
            <w:pPr>
              <w:spacing w:before="60" w:after="60" w:line="240" w:lineRule="auto"/>
              <w:jc w:val="center"/>
              <w:rPr>
                <w:rFonts w:ascii="Source Sans Pro" w:eastAsia="Times New Roman" w:hAnsi="Source Sans Pro" w:cs="Times New Roman"/>
                <w:b/>
                <w:bCs/>
                <w:color w:val="1F2937"/>
                <w:sz w:val="24"/>
                <w:szCs w:val="24"/>
              </w:rPr>
            </w:pPr>
            <w:r w:rsidRPr="00CF7914">
              <w:rPr>
                <w:rFonts w:ascii="Source Sans Pro" w:eastAsia="Times New Roman" w:hAnsi="Source Sans Pro" w:cs="Times New Roman"/>
                <w:b/>
                <w:bCs/>
                <w:color w:val="1F2937"/>
                <w:sz w:val="24"/>
                <w:szCs w:val="24"/>
              </w:rPr>
              <w:t>N</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177AA7B8" w14:textId="77777777" w:rsidR="00CF7914" w:rsidRPr="00CF7914" w:rsidRDefault="00CF7914" w:rsidP="00CF7914">
            <w:pPr>
              <w:spacing w:before="60" w:after="60" w:line="240" w:lineRule="auto"/>
              <w:jc w:val="center"/>
              <w:rPr>
                <w:rFonts w:ascii="Source Sans Pro" w:eastAsia="Times New Roman" w:hAnsi="Source Sans Pro" w:cs="Times New Roman"/>
                <w:b/>
                <w:bCs/>
                <w:color w:val="1F2937"/>
                <w:sz w:val="24"/>
                <w:szCs w:val="24"/>
              </w:rPr>
            </w:pPr>
            <w:r w:rsidRPr="00CF7914">
              <w:rPr>
                <w:rFonts w:ascii="Source Sans Pro" w:eastAsia="Times New Roman" w:hAnsi="Source Sans Pro" w:cs="Times New Roman"/>
                <w:b/>
                <w:bCs/>
                <w:color w:val="1F2937"/>
                <w:sz w:val="24"/>
                <w:szCs w:val="24"/>
              </w:rPr>
              <w:t>Hazard Ratio (95% CI)</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5781070C" w14:textId="77777777" w:rsidR="00CF7914" w:rsidRPr="00CF7914" w:rsidRDefault="00CF7914" w:rsidP="00CF7914">
            <w:pPr>
              <w:spacing w:before="60" w:after="60" w:line="240" w:lineRule="auto"/>
              <w:jc w:val="center"/>
              <w:rPr>
                <w:rFonts w:ascii="Source Sans Pro" w:eastAsia="Times New Roman" w:hAnsi="Source Sans Pro" w:cs="Times New Roman"/>
                <w:b/>
                <w:bCs/>
                <w:color w:val="1F2937"/>
                <w:sz w:val="24"/>
                <w:szCs w:val="24"/>
              </w:rPr>
            </w:pPr>
            <w:r w:rsidRPr="00CF7914">
              <w:rPr>
                <w:rFonts w:ascii="Source Sans Pro" w:eastAsia="Times New Roman" w:hAnsi="Source Sans Pro" w:cs="Times New Roman"/>
                <w:b/>
                <w:bCs/>
                <w:color w:val="1F2937"/>
                <w:sz w:val="24"/>
                <w:szCs w:val="24"/>
              </w:rPr>
              <w:t>Interaction p-value</w:t>
            </w:r>
          </w:p>
        </w:tc>
      </w:tr>
      <w:tr w:rsidR="00CF7914" w:rsidRPr="00CF7914" w14:paraId="2098E60C"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4E2D848C"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Overall</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4342DD01"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500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72549A6"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0.75 (0.60, 0.93)</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6C8760C9"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w:t>
            </w:r>
          </w:p>
        </w:tc>
      </w:tr>
      <w:tr w:rsidR="00CF7914" w:rsidRPr="00CF7914" w14:paraId="58951F94"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4BE2AE9"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Age &lt;65</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E80EA3D"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300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2A6E57A"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0.78 (0.61, 1.00)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7BE3F73"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0.45</w:t>
            </w:r>
          </w:p>
        </w:tc>
      </w:tr>
      <w:tr w:rsidR="00CF7914" w:rsidRPr="00CF7914" w14:paraId="7599C5DD"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6BE953E5"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Age ≥65</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1445DF1"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200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66D4DA03"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0.70 (0.50, 0.98)</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0EBCA1D9"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p>
        </w:tc>
      </w:tr>
      <w:tr w:rsidR="00CF7914" w:rsidRPr="00CF7914" w14:paraId="6C14E5AA"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748ACCB"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Male</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A19A4D0"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250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34D49AD3"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0.80 (0.62, 1.03)</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5B4473A2"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0.60</w:t>
            </w:r>
          </w:p>
        </w:tc>
      </w:tr>
      <w:tr w:rsidR="00CF7914" w:rsidRPr="00CF7914" w14:paraId="00F41B7E"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8BBA676"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Female</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51EDF8DF"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250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31717487"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0.70 (0.52, 0.94)</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68903FFF"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p>
        </w:tc>
      </w:tr>
      <w:tr w:rsidR="00CF7914" w:rsidRPr="00CF7914" w14:paraId="01777325"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2FCF5BEF"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PD-L1 Positive</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4106AB47"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150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37E5A4C3"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0.60 (0.40, 0.90)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FEEA687"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0.10</w:t>
            </w:r>
          </w:p>
        </w:tc>
      </w:tr>
      <w:tr w:rsidR="00CF7914" w:rsidRPr="00CF7914" w14:paraId="43E07833" w14:textId="77777777">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5E890DB5"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PD-L1 Negative</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4ADFCC98"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350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06B8C17B"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color w:val="1F2937"/>
                <w:sz w:val="24"/>
                <w:szCs w:val="24"/>
              </w:rPr>
              <w:t>0.85 (0.65, 1.10)</w:t>
            </w:r>
          </w:p>
        </w:tc>
        <w:tc>
          <w:tcPr>
            <w:tcW w:w="0" w:type="auto"/>
            <w:tcBorders>
              <w:top w:val="single" w:sz="6" w:space="0" w:color="D1D5DB"/>
              <w:left w:val="single" w:sz="6" w:space="0" w:color="D1D5DB"/>
              <w:bottom w:val="single" w:sz="6" w:space="0" w:color="D1D5DB"/>
              <w:right w:val="single" w:sz="6" w:space="0" w:color="D1D5DB"/>
            </w:tcBorders>
            <w:shd w:val="clear" w:color="auto" w:fill="EFF6FF"/>
            <w:vAlign w:val="center"/>
            <w:hideMark/>
          </w:tcPr>
          <w:p w14:paraId="78E3527D" w14:textId="77777777" w:rsidR="00CF7914" w:rsidRPr="00CF7914" w:rsidRDefault="00CF7914" w:rsidP="00CF7914">
            <w:pPr>
              <w:spacing w:before="60" w:after="60" w:line="240" w:lineRule="auto"/>
              <w:rPr>
                <w:rFonts w:ascii="Source Sans Pro" w:eastAsia="Times New Roman" w:hAnsi="Source Sans Pro" w:cs="Times New Roman"/>
                <w:color w:val="1F2937"/>
                <w:sz w:val="24"/>
                <w:szCs w:val="24"/>
              </w:rPr>
            </w:pPr>
          </w:p>
        </w:tc>
      </w:tr>
    </w:tbl>
    <w:p w14:paraId="157020DC" w14:textId="77777777" w:rsidR="00CF7914" w:rsidRPr="00CF7914" w:rsidRDefault="00CF7914" w:rsidP="00CF7914">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CF7914">
        <w:rPr>
          <w:rFonts w:ascii="Source Sans Pro" w:eastAsia="Times New Roman" w:hAnsi="Source Sans Pro" w:cs="Times New Roman"/>
          <w:b/>
          <w:bCs/>
          <w:color w:val="1F2937"/>
          <w:sz w:val="24"/>
          <w:szCs w:val="24"/>
          <w:bdr w:val="single" w:sz="2" w:space="0" w:color="auto" w:frame="1"/>
        </w:rPr>
        <w:t>Summary:</w:t>
      </w:r>
      <w:r w:rsidRPr="00CF7914">
        <w:rPr>
          <w:rFonts w:ascii="Source Sans Pro" w:eastAsia="Times New Roman" w:hAnsi="Source Sans Pro" w:cs="Times New Roman"/>
          <w:color w:val="1F2937"/>
          <w:sz w:val="24"/>
          <w:szCs w:val="24"/>
        </w:rPr>
        <w:br/>
        <w:t>Subgroup analyses are valuable for understanding treatment effects in different patient populations, but must be carefully planned, analyzed, and interpreted. Regulatory agencies expect transparency, pre-specification, and appropriate statistical methods to avoid misleading conclusions.</w:t>
      </w:r>
    </w:p>
    <w:p w14:paraId="5C37D02B" w14:textId="77777777" w:rsidR="00974531" w:rsidRDefault="00974531" w:rsidP="0096054A"/>
    <w:p w14:paraId="1DF38F09" w14:textId="77777777" w:rsidR="004605C1" w:rsidRDefault="004605C1" w:rsidP="0096054A"/>
    <w:p w14:paraId="12F24B4C" w14:textId="77777777" w:rsidR="004605C1" w:rsidRDefault="004605C1" w:rsidP="004605C1">
      <w:pPr>
        <w:pStyle w:val="NormalWeb"/>
        <w:pBdr>
          <w:top w:val="single" w:sz="2" w:space="0" w:color="auto"/>
          <w:left w:val="single" w:sz="2" w:space="0" w:color="auto"/>
          <w:bottom w:val="single" w:sz="2" w:space="0" w:color="auto"/>
          <w:right w:val="single" w:sz="2" w:space="0" w:color="auto"/>
        </w:pBdr>
        <w:shd w:val="clear" w:color="auto" w:fill="EFF6FF"/>
        <w:spacing w:before="0" w:beforeAutospacing="0" w:after="0" w:afterAutospacing="0"/>
        <w:rPr>
          <w:rFonts w:ascii="Source Sans Pro" w:hAnsi="Source Sans Pro"/>
          <w:color w:val="1F2937"/>
        </w:rPr>
      </w:pPr>
      <w:r>
        <w:rPr>
          <w:rFonts w:ascii="Source Sans Pro" w:hAnsi="Source Sans Pro"/>
          <w:color w:val="1F2937"/>
        </w:rPr>
        <w:t>Based on the extracted text from </w:t>
      </w:r>
      <w:r>
        <w:rPr>
          <w:rStyle w:val="Emphasis"/>
          <w:rFonts w:ascii="Source Sans Pro" w:eastAsiaTheme="majorEastAsia" w:hAnsi="Source Sans Pro"/>
          <w:color w:val="1F2937"/>
          <w:bdr w:val="single" w:sz="2" w:space="0" w:color="auto" w:frame="1"/>
        </w:rPr>
        <w:t>Amatya et al. (2021)</w:t>
      </w:r>
      <w:r>
        <w:rPr>
          <w:rFonts w:ascii="Source Sans Pro" w:hAnsi="Source Sans Pro"/>
          <w:color w:val="1F2937"/>
        </w:rPr>
        <w:t>, here is a </w:t>
      </w:r>
      <w:r>
        <w:rPr>
          <w:rStyle w:val="Strong"/>
          <w:rFonts w:ascii="Source Sans Pro" w:eastAsiaTheme="majorEastAsia" w:hAnsi="Source Sans Pro"/>
          <w:color w:val="1F2937"/>
          <w:bdr w:val="single" w:sz="2" w:space="0" w:color="auto" w:frame="1"/>
        </w:rPr>
        <w:t>summary guidance for subgroup analyses</w:t>
      </w:r>
      <w:r>
        <w:rPr>
          <w:rFonts w:ascii="Source Sans Pro" w:hAnsi="Source Sans Pro"/>
          <w:color w:val="1F2937"/>
        </w:rPr>
        <w:t> in clinical trials, particularly in oncology, but applicable more broadly:</w:t>
      </w:r>
    </w:p>
    <w:p w14:paraId="743F582E" w14:textId="77777777" w:rsidR="004605C1" w:rsidRDefault="0009127E" w:rsidP="004605C1">
      <w:pPr>
        <w:rPr>
          <w:rFonts w:ascii="Source Sans Pro" w:hAnsi="Source Sans Pro"/>
        </w:rPr>
      </w:pPr>
      <w:r>
        <w:rPr>
          <w:noProof/>
        </w:rPr>
      </w:r>
      <w:r w:rsidR="0009127E">
        <w:rPr>
          <w:noProof/>
        </w:rPr>
        <w:pict w14:anchorId="41A1C418">
          <v:rect id="_x0000_i1025" alt="" style="width:468pt;height:.05pt;mso-width-percent:0;mso-height-percent:0;mso-width-percent:0;mso-height-percent:0" o:hralign="center" o:hrstd="t" o:hrnoshade="t" o:hr="t" fillcolor="#1f2937" stroked="f"/>
        </w:pict>
      </w:r>
    </w:p>
    <w:p w14:paraId="3D26D80B" w14:textId="77777777" w:rsidR="004605C1" w:rsidRDefault="004605C1" w:rsidP="004605C1">
      <w:pPr>
        <w:pStyle w:val="Heading2"/>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Summary Guidance for Subgroup Analyses</w:t>
      </w:r>
    </w:p>
    <w:p w14:paraId="163AF717"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w:t>
      </w:r>
      <w:r>
        <w:rPr>
          <w:rStyle w:val="Strong"/>
          <w:rFonts w:ascii="Source Sans Pro" w:hAnsi="Source Sans Pro"/>
          <w:b/>
          <w:bCs/>
          <w:color w:val="1F2937"/>
          <w:bdr w:val="single" w:sz="2" w:space="0" w:color="auto" w:frame="1"/>
        </w:rPr>
        <w:t>Purpose and Importance</w:t>
      </w:r>
    </w:p>
    <w:p w14:paraId="6F25DFB4" w14:textId="77777777" w:rsidR="004605C1" w:rsidRDefault="004605C1" w:rsidP="004605C1">
      <w:pPr>
        <w:numPr>
          <w:ilvl w:val="0"/>
          <w:numId w:val="1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assess treatment effects in specific patient subsets within a trial, often defined by demographics, clinical, or molecular characteristics.</w:t>
      </w:r>
    </w:p>
    <w:p w14:paraId="1B03FEFE" w14:textId="77777777" w:rsidR="004605C1" w:rsidRDefault="004605C1" w:rsidP="004605C1">
      <w:pPr>
        <w:numPr>
          <w:ilvl w:val="0"/>
          <w:numId w:val="1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lastRenderedPageBreak/>
        <w:t>They are important for interpreting trial results, regulatory decision-making, and informing product labeling.</w:t>
      </w:r>
    </w:p>
    <w:p w14:paraId="035A20D5"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w:t>
      </w:r>
      <w:r>
        <w:rPr>
          <w:rStyle w:val="Strong"/>
          <w:rFonts w:ascii="Source Sans Pro" w:hAnsi="Source Sans Pro"/>
          <w:b/>
          <w:bCs/>
          <w:color w:val="1F2937"/>
          <w:bdr w:val="single" w:sz="2" w:space="0" w:color="auto" w:frame="1"/>
        </w:rPr>
        <w:t>Types of Subgroup Analyses</w:t>
      </w:r>
    </w:p>
    <w:p w14:paraId="33AA3497" w14:textId="77777777" w:rsidR="004605C1" w:rsidRDefault="004605C1" w:rsidP="004605C1">
      <w:pPr>
        <w:numPr>
          <w:ilvl w:val="0"/>
          <w:numId w:val="1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Inferential:</w:t>
      </w:r>
      <w:r>
        <w:rPr>
          <w:rFonts w:ascii="Source Sans Pro" w:hAnsi="Source Sans Pro"/>
          <w:color w:val="1F2937"/>
        </w:rPr>
        <w:t> Prespecified, adequately powered, and controlled for multiple testing; intended to establish efficacy in a subgroup.</w:t>
      </w:r>
    </w:p>
    <w:p w14:paraId="23B05AF3" w14:textId="77777777" w:rsidR="004605C1" w:rsidRDefault="004605C1" w:rsidP="004605C1">
      <w:pPr>
        <w:numPr>
          <w:ilvl w:val="0"/>
          <w:numId w:val="1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Supportive:</w:t>
      </w:r>
      <w:r>
        <w:rPr>
          <w:rFonts w:ascii="Source Sans Pro" w:hAnsi="Source Sans Pro"/>
          <w:color w:val="1F2937"/>
        </w:rPr>
        <w:t> Prespecified but not powered for formal testing; used to descriptively assess consistency of treatment effects.</w:t>
      </w:r>
    </w:p>
    <w:p w14:paraId="3F9DEACD" w14:textId="77777777" w:rsidR="004605C1" w:rsidRDefault="004605C1" w:rsidP="004605C1">
      <w:pPr>
        <w:numPr>
          <w:ilvl w:val="0"/>
          <w:numId w:val="1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Exploratory:</w:t>
      </w:r>
      <w:r>
        <w:rPr>
          <w:rFonts w:ascii="Source Sans Pro" w:hAnsi="Source Sans Pro"/>
          <w:color w:val="1F2937"/>
        </w:rPr>
        <w:t> Not prespecified; used to generate hypotheses or gain further insight into treatment mechanisms.</w:t>
      </w:r>
    </w:p>
    <w:p w14:paraId="2845A21A"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w:t>
      </w:r>
      <w:r>
        <w:rPr>
          <w:rStyle w:val="Strong"/>
          <w:rFonts w:ascii="Source Sans Pro" w:hAnsi="Source Sans Pro"/>
          <w:b/>
          <w:bCs/>
          <w:color w:val="1F2937"/>
          <w:bdr w:val="single" w:sz="2" w:space="0" w:color="auto" w:frame="1"/>
        </w:rPr>
        <w:t xml:space="preserve">Planning and </w:t>
      </w:r>
      <w:proofErr w:type="spellStart"/>
      <w:r>
        <w:rPr>
          <w:rStyle w:val="Strong"/>
          <w:rFonts w:ascii="Source Sans Pro" w:hAnsi="Source Sans Pro"/>
          <w:b/>
          <w:bCs/>
          <w:color w:val="1F2937"/>
          <w:bdr w:val="single" w:sz="2" w:space="0" w:color="auto" w:frame="1"/>
        </w:rPr>
        <w:t>Prespecification</w:t>
      </w:r>
      <w:proofErr w:type="spellEnd"/>
    </w:p>
    <w:p w14:paraId="12687AF1" w14:textId="77777777" w:rsidR="004605C1" w:rsidRDefault="004605C1" w:rsidP="004605C1">
      <w:pPr>
        <w:numPr>
          <w:ilvl w:val="0"/>
          <w:numId w:val="1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Subgroups of interest should be prespecified in the study protocol, ideally based on biological rationale or prior evidence.</w:t>
      </w:r>
    </w:p>
    <w:p w14:paraId="4D412B91" w14:textId="77777777" w:rsidR="004605C1" w:rsidRDefault="004605C1" w:rsidP="004605C1">
      <w:pPr>
        <w:numPr>
          <w:ilvl w:val="0"/>
          <w:numId w:val="1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proofErr w:type="spellStart"/>
      <w:r>
        <w:rPr>
          <w:rFonts w:ascii="Source Sans Pro" w:hAnsi="Source Sans Pro"/>
          <w:color w:val="1F2937"/>
        </w:rPr>
        <w:t>Prespecification</w:t>
      </w:r>
      <w:proofErr w:type="spellEnd"/>
      <w:r>
        <w:rPr>
          <w:rFonts w:ascii="Source Sans Pro" w:hAnsi="Source Sans Pro"/>
          <w:color w:val="1F2937"/>
        </w:rPr>
        <w:t xml:space="preserve"> helps avoid data-driven, post hoc findings that may be spurious.</w:t>
      </w:r>
    </w:p>
    <w:p w14:paraId="58314678"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w:t>
      </w:r>
      <w:r>
        <w:rPr>
          <w:rStyle w:val="Strong"/>
          <w:rFonts w:ascii="Source Sans Pro" w:hAnsi="Source Sans Pro"/>
          <w:b/>
          <w:bCs/>
          <w:color w:val="1F2937"/>
          <w:bdr w:val="single" w:sz="2" w:space="0" w:color="auto" w:frame="1"/>
        </w:rPr>
        <w:t>Statistical Considerations</w:t>
      </w:r>
    </w:p>
    <w:p w14:paraId="75695FE7" w14:textId="77777777" w:rsidR="004605C1" w:rsidRDefault="004605C1" w:rsidP="004605C1">
      <w:pPr>
        <w:numPr>
          <w:ilvl w:val="0"/>
          <w:numId w:val="1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often lack sufficient sample size (power) for reliable inference.</w:t>
      </w:r>
    </w:p>
    <w:p w14:paraId="669119DA" w14:textId="77777777" w:rsidR="004605C1" w:rsidRDefault="004605C1" w:rsidP="004605C1">
      <w:pPr>
        <w:numPr>
          <w:ilvl w:val="0"/>
          <w:numId w:val="1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Multiplicity (multiple comparisons) increases the risk of false-positive findings; appropriate statistical adjustments are necessary.</w:t>
      </w:r>
    </w:p>
    <w:p w14:paraId="6799A07A" w14:textId="77777777" w:rsidR="004605C1" w:rsidRDefault="004605C1" w:rsidP="004605C1">
      <w:pPr>
        <w:numPr>
          <w:ilvl w:val="0"/>
          <w:numId w:val="1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Results from subgroup analyses should be interpreted with caution, especially if not prespecified or adequately powered.</w:t>
      </w:r>
    </w:p>
    <w:p w14:paraId="0BAE51D3"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5. </w:t>
      </w:r>
      <w:r>
        <w:rPr>
          <w:rStyle w:val="Strong"/>
          <w:rFonts w:ascii="Source Sans Pro" w:hAnsi="Source Sans Pro"/>
          <w:b/>
          <w:bCs/>
          <w:color w:val="1F2937"/>
          <w:bdr w:val="single" w:sz="2" w:space="0" w:color="auto" w:frame="1"/>
        </w:rPr>
        <w:t>Interpretation and Regulatory Use</w:t>
      </w:r>
    </w:p>
    <w:p w14:paraId="3985B58A" w14:textId="77777777" w:rsidR="004605C1" w:rsidRDefault="004605C1" w:rsidP="004605C1">
      <w:pPr>
        <w:numPr>
          <w:ilvl w:val="0"/>
          <w:numId w:val="1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Regulatory decisions consider the totality of evidence, including biological plausibility, clinical data, and external information.</w:t>
      </w:r>
    </w:p>
    <w:p w14:paraId="59923736" w14:textId="77777777" w:rsidR="004605C1" w:rsidRDefault="004605C1" w:rsidP="004605C1">
      <w:pPr>
        <w:numPr>
          <w:ilvl w:val="0"/>
          <w:numId w:val="1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findings may support narrowing or broadening an indication, but require strong justification (e.g., mechanistic rationale, consistent findings).</w:t>
      </w:r>
    </w:p>
    <w:p w14:paraId="595D08C7" w14:textId="77777777" w:rsidR="004605C1" w:rsidRDefault="004605C1" w:rsidP="004605C1">
      <w:pPr>
        <w:numPr>
          <w:ilvl w:val="0"/>
          <w:numId w:val="1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Inconsistent or non-prespecified subgroup effects are generally considered hypothesis-generating rather than definitive.</w:t>
      </w:r>
    </w:p>
    <w:p w14:paraId="6126A54A"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6. </w:t>
      </w:r>
      <w:r>
        <w:rPr>
          <w:rStyle w:val="Strong"/>
          <w:rFonts w:ascii="Source Sans Pro" w:hAnsi="Source Sans Pro"/>
          <w:b/>
          <w:bCs/>
          <w:color w:val="1F2937"/>
          <w:bdr w:val="single" w:sz="2" w:space="0" w:color="auto" w:frame="1"/>
        </w:rPr>
        <w:t>Best Practices</w:t>
      </w:r>
    </w:p>
    <w:p w14:paraId="229FF069" w14:textId="77777777" w:rsidR="004605C1" w:rsidRDefault="004605C1" w:rsidP="004605C1">
      <w:pPr>
        <w:numPr>
          <w:ilvl w:val="0"/>
          <w:numId w:val="1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Clearly define and justify subgroups before trial initiation.</w:t>
      </w:r>
    </w:p>
    <w:p w14:paraId="6CD6AE87" w14:textId="77777777" w:rsidR="004605C1" w:rsidRDefault="004605C1" w:rsidP="004605C1">
      <w:pPr>
        <w:numPr>
          <w:ilvl w:val="0"/>
          <w:numId w:val="1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Ensure adequate sample size and statistical power if subgroup efficacy is a key objective.</w:t>
      </w:r>
    </w:p>
    <w:p w14:paraId="02F26EB4" w14:textId="77777777" w:rsidR="004605C1" w:rsidRDefault="004605C1" w:rsidP="004605C1">
      <w:pPr>
        <w:numPr>
          <w:ilvl w:val="0"/>
          <w:numId w:val="1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Adjust for multiple testing when conducting multiple subgroup analyses.</w:t>
      </w:r>
    </w:p>
    <w:p w14:paraId="298D9408" w14:textId="77777777" w:rsidR="004605C1" w:rsidRDefault="004605C1" w:rsidP="004605C1">
      <w:pPr>
        <w:numPr>
          <w:ilvl w:val="0"/>
          <w:numId w:val="1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Interpret subgroup findings in the context of overall trial results, biological plausibility, and clinical relevance.</w:t>
      </w:r>
    </w:p>
    <w:p w14:paraId="3774C9EE" w14:textId="77777777" w:rsidR="004605C1" w:rsidRDefault="004605C1" w:rsidP="004605C1">
      <w:pPr>
        <w:numPr>
          <w:ilvl w:val="0"/>
          <w:numId w:val="1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Report all planned and performed subgroup analyses transparently.</w:t>
      </w:r>
    </w:p>
    <w:p w14:paraId="167383D5" w14:textId="77777777" w:rsidR="004605C1" w:rsidRDefault="004605C1" w:rsidP="004605C1">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lastRenderedPageBreak/>
        <w:t>7. </w:t>
      </w:r>
      <w:r>
        <w:rPr>
          <w:rStyle w:val="Strong"/>
          <w:rFonts w:ascii="Source Sans Pro" w:hAnsi="Source Sans Pro"/>
          <w:b/>
          <w:bCs/>
          <w:color w:val="1F2937"/>
          <w:bdr w:val="single" w:sz="2" w:space="0" w:color="auto" w:frame="1"/>
        </w:rPr>
        <w:t>Cautions</w:t>
      </w:r>
    </w:p>
    <w:p w14:paraId="68954A15" w14:textId="77777777" w:rsidR="004605C1" w:rsidRDefault="004605C1" w:rsidP="004605C1">
      <w:pPr>
        <w:numPr>
          <w:ilvl w:val="0"/>
          <w:numId w:val="1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Avoid over-interpreting subgroup findings, especially if based on small numbers or not prespecified.</w:t>
      </w:r>
    </w:p>
    <w:p w14:paraId="42480150" w14:textId="77777777" w:rsidR="004605C1" w:rsidRDefault="004605C1" w:rsidP="004605C1">
      <w:pPr>
        <w:numPr>
          <w:ilvl w:val="0"/>
          <w:numId w:val="1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Recognize that subgroup analyses are more credible when supported by mechanistic understanding and consistent with other evidence.</w:t>
      </w:r>
    </w:p>
    <w:p w14:paraId="5F67334D" w14:textId="77777777" w:rsidR="004605C1" w:rsidRDefault="0009127E" w:rsidP="004605C1">
      <w:pPr>
        <w:spacing w:after="0"/>
        <w:rPr>
          <w:rFonts w:ascii="Source Sans Pro" w:hAnsi="Source Sans Pro"/>
        </w:rPr>
      </w:pPr>
      <w:r>
        <w:rPr>
          <w:noProof/>
        </w:rPr>
      </w:r>
      <w:r w:rsidR="0009127E">
        <w:rPr>
          <w:noProof/>
        </w:rPr>
        <w:pict w14:anchorId="75ECA7E7">
          <v:rect id="_x0000_i1026" alt="" style="width:468pt;height:.05pt;mso-width-percent:0;mso-height-percent:0;mso-width-percent:0;mso-height-percent:0" o:hralign="center" o:hrstd="t" o:hrnoshade="t" o:hr="t" fillcolor="#1f2937" stroked="f"/>
        </w:pict>
      </w:r>
    </w:p>
    <w:p w14:paraId="1527F7A1" w14:textId="77777777" w:rsidR="004605C1" w:rsidRDefault="004605C1" w:rsidP="004605C1">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References for Further Reading:</w:t>
      </w:r>
    </w:p>
    <w:p w14:paraId="3953891F" w14:textId="77777777" w:rsidR="004605C1" w:rsidRDefault="004605C1" w:rsidP="004605C1">
      <w:pPr>
        <w:numPr>
          <w:ilvl w:val="0"/>
          <w:numId w:val="2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ICH E9 Guideline on Statistical Principles for Clinical Trials</w:t>
      </w:r>
    </w:p>
    <w:p w14:paraId="54C0357D" w14:textId="77777777" w:rsidR="004605C1" w:rsidRDefault="004605C1" w:rsidP="004605C1">
      <w:pPr>
        <w:numPr>
          <w:ilvl w:val="0"/>
          <w:numId w:val="2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FDA Guidance on Enrichment Strategies for Clinical Trials</w:t>
      </w:r>
    </w:p>
    <w:p w14:paraId="6CD0E455" w14:textId="77777777" w:rsidR="004605C1" w:rsidRDefault="004605C1" w:rsidP="004605C1">
      <w:pPr>
        <w:numPr>
          <w:ilvl w:val="0"/>
          <w:numId w:val="2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Amatya et al., Clin Cancer Res 2021;27:5753–6</w:t>
      </w:r>
    </w:p>
    <w:p w14:paraId="0D4CB7DE" w14:textId="77777777" w:rsidR="004605C1" w:rsidRDefault="004605C1" w:rsidP="0096054A"/>
    <w:p w14:paraId="0FD8BE0A" w14:textId="77777777" w:rsidR="00DB5D03" w:rsidRDefault="00DB5D03" w:rsidP="0096054A"/>
    <w:p w14:paraId="61BE0F0A"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b/>
          <w:bCs/>
          <w:color w:val="1F2937"/>
          <w:sz w:val="24"/>
          <w:szCs w:val="24"/>
          <w:bdr w:val="single" w:sz="2" w:space="0" w:color="auto" w:frame="1"/>
        </w:rPr>
        <w:t>Summary of Guidance on Subgroup Analyses (Based on WR_2019_totext.txt):</w:t>
      </w:r>
    </w:p>
    <w:p w14:paraId="5353DAA2"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This document is a scoping review of guidance from key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 xml:space="preserve"> on exploring, confirming, and interpreting subgroup effects of medical treatments. With the rise of personalized medicine, subgroup analyses are increasingly important but also challenging and prone to misuse, which can lead to false interpretations of treatment effects.</w:t>
      </w:r>
    </w:p>
    <w:p w14:paraId="52F7572F"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The review identified four types of key stakeholder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w:t>
      </w:r>
    </w:p>
    <w:p w14:paraId="75D89A36" w14:textId="77777777" w:rsidR="00675C29" w:rsidRPr="00675C29" w:rsidRDefault="00675C29" w:rsidP="00675C29">
      <w:pPr>
        <w:numPr>
          <w:ilvl w:val="0"/>
          <w:numId w:val="2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Industry</w:t>
      </w:r>
    </w:p>
    <w:p w14:paraId="11A0F84A" w14:textId="77777777" w:rsidR="00675C29" w:rsidRPr="00675C29" w:rsidRDefault="00675C29" w:rsidP="00675C29">
      <w:pPr>
        <w:numPr>
          <w:ilvl w:val="0"/>
          <w:numId w:val="2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Health Technology Assessment (HTA) </w:t>
      </w:r>
      <w:proofErr w:type="spellStart"/>
      <w:r w:rsidRPr="00675C29">
        <w:rPr>
          <w:rFonts w:ascii="Source Sans Pro" w:eastAsia="Times New Roman" w:hAnsi="Source Sans Pro" w:cs="Times New Roman"/>
          <w:color w:val="1F2937"/>
          <w:sz w:val="24"/>
          <w:szCs w:val="24"/>
        </w:rPr>
        <w:t>organisations</w:t>
      </w:r>
      <w:proofErr w:type="spellEnd"/>
    </w:p>
    <w:p w14:paraId="6761ED4C" w14:textId="77777777" w:rsidR="00675C29" w:rsidRPr="00675C29" w:rsidRDefault="00675C29" w:rsidP="00675C29">
      <w:pPr>
        <w:numPr>
          <w:ilvl w:val="0"/>
          <w:numId w:val="2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Academic/non-profit research </w:t>
      </w:r>
      <w:proofErr w:type="spellStart"/>
      <w:r w:rsidRPr="00675C29">
        <w:rPr>
          <w:rFonts w:ascii="Source Sans Pro" w:eastAsia="Times New Roman" w:hAnsi="Source Sans Pro" w:cs="Times New Roman"/>
          <w:color w:val="1F2937"/>
          <w:sz w:val="24"/>
          <w:szCs w:val="24"/>
        </w:rPr>
        <w:t>organisations</w:t>
      </w:r>
      <w:proofErr w:type="spellEnd"/>
    </w:p>
    <w:p w14:paraId="32D96237" w14:textId="77777777" w:rsidR="00675C29" w:rsidRPr="00675C29" w:rsidRDefault="00675C29" w:rsidP="00675C29">
      <w:pPr>
        <w:numPr>
          <w:ilvl w:val="0"/>
          <w:numId w:val="2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Regulatory bodies</w:t>
      </w:r>
    </w:p>
    <w:p w14:paraId="58999725"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A total of 60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 xml:space="preserve"> were included, and 27 (45%) had relevant research guidance documents. The proportion of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 xml:space="preserve"> providing guidance varied:</w:t>
      </w:r>
    </w:p>
    <w:p w14:paraId="17484501" w14:textId="77777777" w:rsidR="00675C29" w:rsidRPr="00675C29" w:rsidRDefault="00675C29" w:rsidP="00675C29">
      <w:pPr>
        <w:numPr>
          <w:ilvl w:val="0"/>
          <w:numId w:val="2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18% of industry </w:t>
      </w:r>
      <w:proofErr w:type="spellStart"/>
      <w:r w:rsidRPr="00675C29">
        <w:rPr>
          <w:rFonts w:ascii="Source Sans Pro" w:eastAsia="Times New Roman" w:hAnsi="Source Sans Pro" w:cs="Times New Roman"/>
          <w:color w:val="1F2937"/>
          <w:sz w:val="24"/>
          <w:szCs w:val="24"/>
        </w:rPr>
        <w:t>organisations</w:t>
      </w:r>
      <w:proofErr w:type="spellEnd"/>
    </w:p>
    <w:p w14:paraId="4A8BF3AE" w14:textId="77777777" w:rsidR="00675C29" w:rsidRPr="00675C29" w:rsidRDefault="00675C29" w:rsidP="00675C29">
      <w:pPr>
        <w:numPr>
          <w:ilvl w:val="0"/>
          <w:numId w:val="2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64% of HTA </w:t>
      </w:r>
      <w:proofErr w:type="spellStart"/>
      <w:r w:rsidRPr="00675C29">
        <w:rPr>
          <w:rFonts w:ascii="Source Sans Pro" w:eastAsia="Times New Roman" w:hAnsi="Source Sans Pro" w:cs="Times New Roman"/>
          <w:color w:val="1F2937"/>
          <w:sz w:val="24"/>
          <w:szCs w:val="24"/>
        </w:rPr>
        <w:t>organisations</w:t>
      </w:r>
      <w:proofErr w:type="spellEnd"/>
    </w:p>
    <w:p w14:paraId="76103C84" w14:textId="77777777" w:rsidR="00675C29" w:rsidRPr="00675C29" w:rsidRDefault="00675C29" w:rsidP="00675C29">
      <w:pPr>
        <w:numPr>
          <w:ilvl w:val="0"/>
          <w:numId w:val="2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38% of academic/non-profit </w:t>
      </w:r>
      <w:proofErr w:type="spellStart"/>
      <w:r w:rsidRPr="00675C29">
        <w:rPr>
          <w:rFonts w:ascii="Source Sans Pro" w:eastAsia="Times New Roman" w:hAnsi="Source Sans Pro" w:cs="Times New Roman"/>
          <w:color w:val="1F2937"/>
          <w:sz w:val="24"/>
          <w:szCs w:val="24"/>
        </w:rPr>
        <w:t>organisations</w:t>
      </w:r>
      <w:proofErr w:type="spellEnd"/>
    </w:p>
    <w:p w14:paraId="67EE79C7" w14:textId="77777777" w:rsidR="00675C29" w:rsidRPr="00675C29" w:rsidRDefault="00675C29" w:rsidP="00675C29">
      <w:pPr>
        <w:numPr>
          <w:ilvl w:val="0"/>
          <w:numId w:val="2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57% of regulatory bodies</w:t>
      </w:r>
    </w:p>
    <w:p w14:paraId="42C2C1CD"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Most guidance documents (63%) mentioned challenges in subgroup analyses, such as false positives and ecological bias, with variations across </w:t>
      </w:r>
      <w:proofErr w:type="spellStart"/>
      <w:r w:rsidRPr="00675C29">
        <w:rPr>
          <w:rFonts w:ascii="Source Sans Pro" w:eastAsia="Times New Roman" w:hAnsi="Source Sans Pro" w:cs="Times New Roman"/>
          <w:color w:val="1F2937"/>
          <w:sz w:val="24"/>
          <w:szCs w:val="24"/>
        </w:rPr>
        <w:t>organisation</w:t>
      </w:r>
      <w:proofErr w:type="spellEnd"/>
      <w:r w:rsidRPr="00675C29">
        <w:rPr>
          <w:rFonts w:ascii="Source Sans Pro" w:eastAsia="Times New Roman" w:hAnsi="Source Sans Pro" w:cs="Times New Roman"/>
          <w:color w:val="1F2937"/>
          <w:sz w:val="24"/>
          <w:szCs w:val="24"/>
        </w:rPr>
        <w:t xml:space="preserve"> types. Statistical recommendations were less common (37%) and often limited to formal tests of interaction.</w:t>
      </w:r>
    </w:p>
    <w:p w14:paraId="4491AEA3"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lastRenderedPageBreak/>
        <w:t xml:space="preserve">The review concludes that almost half of the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 xml:space="preserve"> provide guidance on subgroup effect research, but there are large differences in the amount and detail of guidance. There is a need for more effort to translate research findings into practical guidelines and to harmonize guidance across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w:t>
      </w:r>
    </w:p>
    <w:p w14:paraId="23E582E6"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Subgroup analyses are complex due to the natural tension between detecting clinically relevant effects and avoiding incorrect claims. The document highlights the importance of integrating methodological research into practical decision-making and calls for reducing differences in guidance among </w:t>
      </w:r>
      <w:proofErr w:type="spellStart"/>
      <w:r w:rsidRPr="00675C29">
        <w:rPr>
          <w:rFonts w:ascii="Source Sans Pro" w:eastAsia="Times New Roman" w:hAnsi="Source Sans Pro" w:cs="Times New Roman"/>
          <w:color w:val="1F2937"/>
          <w:sz w:val="24"/>
          <w:szCs w:val="24"/>
        </w:rPr>
        <w:t>organisations</w:t>
      </w:r>
      <w:proofErr w:type="spellEnd"/>
      <w:r w:rsidRPr="00675C29">
        <w:rPr>
          <w:rFonts w:ascii="Source Sans Pro" w:eastAsia="Times New Roman" w:hAnsi="Source Sans Pro" w:cs="Times New Roman"/>
          <w:color w:val="1F2937"/>
          <w:sz w:val="24"/>
          <w:szCs w:val="24"/>
        </w:rPr>
        <w:t>.</w:t>
      </w:r>
    </w:p>
    <w:p w14:paraId="36DB89AC" w14:textId="77777777" w:rsidR="00675C29" w:rsidRPr="00675C29" w:rsidRDefault="00675C29" w:rsidP="00675C29">
      <w:pPr>
        <w:pBdr>
          <w:top w:val="single" w:sz="2" w:space="0" w:color="auto"/>
          <w:left w:val="single" w:sz="2" w:space="0" w:color="auto"/>
          <w:bottom w:val="single" w:sz="2" w:space="0" w:color="auto"/>
          <w:right w:val="single" w:sz="2" w:space="0" w:color="auto"/>
        </w:pBdr>
        <w:shd w:val="clear" w:color="auto" w:fill="EFF6FF"/>
        <w:spacing w:before="240" w:after="0"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b/>
          <w:bCs/>
          <w:color w:val="1F2937"/>
          <w:sz w:val="24"/>
          <w:szCs w:val="24"/>
          <w:bdr w:val="single" w:sz="2" w:space="0" w:color="auto" w:frame="1"/>
        </w:rPr>
        <w:t>Key Points:</w:t>
      </w:r>
    </w:p>
    <w:p w14:paraId="1F3D5657" w14:textId="77777777" w:rsidR="00675C29" w:rsidRPr="00675C29" w:rsidRDefault="00675C29" w:rsidP="00675C29">
      <w:pPr>
        <w:numPr>
          <w:ilvl w:val="0"/>
          <w:numId w:val="2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Subgroup analyses are essential for personalized medicine but are methodologically challenging.</w:t>
      </w:r>
    </w:p>
    <w:p w14:paraId="0F260CB1" w14:textId="77777777" w:rsidR="00675C29" w:rsidRPr="00675C29" w:rsidRDefault="00675C29" w:rsidP="00675C29">
      <w:pPr>
        <w:numPr>
          <w:ilvl w:val="0"/>
          <w:numId w:val="2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 xml:space="preserve">Guidance varies widely between </w:t>
      </w:r>
      <w:proofErr w:type="spellStart"/>
      <w:r w:rsidRPr="00675C29">
        <w:rPr>
          <w:rFonts w:ascii="Source Sans Pro" w:eastAsia="Times New Roman" w:hAnsi="Source Sans Pro" w:cs="Times New Roman"/>
          <w:color w:val="1F2937"/>
          <w:sz w:val="24"/>
          <w:szCs w:val="24"/>
        </w:rPr>
        <w:t>organisation</w:t>
      </w:r>
      <w:proofErr w:type="spellEnd"/>
      <w:r w:rsidRPr="00675C29">
        <w:rPr>
          <w:rFonts w:ascii="Source Sans Pro" w:eastAsia="Times New Roman" w:hAnsi="Source Sans Pro" w:cs="Times New Roman"/>
          <w:color w:val="1F2937"/>
          <w:sz w:val="24"/>
          <w:szCs w:val="24"/>
        </w:rPr>
        <w:t xml:space="preserve"> types.</w:t>
      </w:r>
    </w:p>
    <w:p w14:paraId="41C1A7E9" w14:textId="77777777" w:rsidR="00675C29" w:rsidRPr="00675C29" w:rsidRDefault="00675C29" w:rsidP="00675C29">
      <w:pPr>
        <w:numPr>
          <w:ilvl w:val="0"/>
          <w:numId w:val="2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Common challenges include false positives and ecological bias.</w:t>
      </w:r>
    </w:p>
    <w:p w14:paraId="3D5365AB" w14:textId="77777777" w:rsidR="00675C29" w:rsidRPr="00675C29" w:rsidRDefault="00675C29" w:rsidP="00675C29">
      <w:pPr>
        <w:numPr>
          <w:ilvl w:val="0"/>
          <w:numId w:val="2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Statistical guidance is often limited.</w:t>
      </w:r>
    </w:p>
    <w:p w14:paraId="43702AA9" w14:textId="77777777" w:rsidR="00675C29" w:rsidRPr="00675C29" w:rsidRDefault="00675C29" w:rsidP="00675C29">
      <w:pPr>
        <w:numPr>
          <w:ilvl w:val="0"/>
          <w:numId w:val="2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eastAsia="Times New Roman" w:hAnsi="Source Sans Pro" w:cs="Times New Roman"/>
          <w:color w:val="1F2937"/>
          <w:sz w:val="24"/>
          <w:szCs w:val="24"/>
        </w:rPr>
      </w:pPr>
      <w:r w:rsidRPr="00675C29">
        <w:rPr>
          <w:rFonts w:ascii="Source Sans Pro" w:eastAsia="Times New Roman" w:hAnsi="Source Sans Pro" w:cs="Times New Roman"/>
          <w:color w:val="1F2937"/>
          <w:sz w:val="24"/>
          <w:szCs w:val="24"/>
        </w:rPr>
        <w:t>Harmonization and translation of research into practice are needed.</w:t>
      </w:r>
    </w:p>
    <w:p w14:paraId="5F2A1754" w14:textId="77777777" w:rsidR="00330EDF" w:rsidRDefault="00330EDF" w:rsidP="00330EDF">
      <w:pPr>
        <w:rPr>
          <w:rFonts w:ascii="Times New Roman" w:hAnsi="Times New Roman"/>
        </w:rPr>
      </w:pPr>
    </w:p>
    <w:p w14:paraId="5F97A018" w14:textId="77777777" w:rsidR="00675C29" w:rsidRDefault="00675C29" w:rsidP="0096054A"/>
    <w:p w14:paraId="2D583865" w14:textId="77777777" w:rsidR="00DE2CD8" w:rsidRDefault="00DE2CD8" w:rsidP="00DE2CD8">
      <w:pPr>
        <w:pStyle w:val="NormalWeb"/>
        <w:pBdr>
          <w:top w:val="single" w:sz="2" w:space="0" w:color="auto"/>
          <w:left w:val="single" w:sz="2" w:space="0" w:color="auto"/>
          <w:bottom w:val="single" w:sz="2" w:space="0" w:color="auto"/>
          <w:right w:val="single" w:sz="2" w:space="0" w:color="auto"/>
        </w:pBdr>
        <w:shd w:val="clear" w:color="auto" w:fill="EFF6FF"/>
        <w:spacing w:before="0" w:beforeAutospacing="0" w:after="0" w:afterAutospacing="0"/>
        <w:rPr>
          <w:rFonts w:ascii="Source Sans Pro" w:hAnsi="Source Sans Pro"/>
          <w:color w:val="1F2937"/>
        </w:rPr>
      </w:pPr>
      <w:r>
        <w:rPr>
          <w:rFonts w:ascii="Source Sans Pro" w:hAnsi="Source Sans Pro"/>
          <w:color w:val="1F2937"/>
        </w:rPr>
        <w:t>Based on the summary and the content of the document, here is </w:t>
      </w:r>
      <w:r>
        <w:rPr>
          <w:rStyle w:val="Strong"/>
          <w:rFonts w:ascii="Source Sans Pro" w:eastAsiaTheme="majorEastAsia" w:hAnsi="Source Sans Pro"/>
          <w:color w:val="1F2937"/>
          <w:bdr w:val="single" w:sz="2" w:space="0" w:color="auto" w:frame="1"/>
        </w:rPr>
        <w:t>practical guidance for conducting subgroup analyses</w:t>
      </w:r>
      <w:r>
        <w:rPr>
          <w:rFonts w:ascii="Source Sans Pro" w:hAnsi="Source Sans Pro"/>
          <w:color w:val="1F2937"/>
        </w:rPr>
        <w:t> in medical research:</w:t>
      </w:r>
    </w:p>
    <w:p w14:paraId="2C785608" w14:textId="77777777" w:rsidR="00DE2CD8" w:rsidRDefault="0009127E" w:rsidP="00DE2CD8">
      <w:pPr>
        <w:rPr>
          <w:rFonts w:ascii="Source Sans Pro" w:hAnsi="Source Sans Pro"/>
        </w:rPr>
      </w:pPr>
      <w:r>
        <w:rPr>
          <w:noProof/>
        </w:rPr>
      </w:r>
      <w:r w:rsidR="0009127E">
        <w:rPr>
          <w:noProof/>
        </w:rPr>
        <w:pict w14:anchorId="39EA61B0">
          <v:rect id="_x0000_i1027" alt="" style="width:468pt;height:.05pt;mso-width-percent:0;mso-height-percent:0;mso-width-percent:0;mso-height-percent:0" o:hralign="center" o:hrstd="t" o:hrnoshade="t" o:hr="t" fillcolor="#1f2937" stroked="f"/>
        </w:pict>
      </w:r>
    </w:p>
    <w:p w14:paraId="1F89347E" w14:textId="77777777" w:rsidR="00DE2CD8" w:rsidRDefault="00DE2CD8" w:rsidP="00DE2CD8">
      <w:pPr>
        <w:pStyle w:val="Heading2"/>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Practical Guidance for Subgroup Analyses</w:t>
      </w:r>
    </w:p>
    <w:p w14:paraId="6DAF9977"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w:t>
      </w:r>
      <w:r>
        <w:rPr>
          <w:rStyle w:val="Strong"/>
          <w:rFonts w:ascii="Source Sans Pro" w:hAnsi="Source Sans Pro"/>
          <w:b/>
          <w:bCs/>
          <w:color w:val="1F2937"/>
          <w:bdr w:val="single" w:sz="2" w:space="0" w:color="auto" w:frame="1"/>
        </w:rPr>
        <w:t>Define Subgroups A Priori</w:t>
      </w:r>
    </w:p>
    <w:p w14:paraId="049F6651" w14:textId="77777777" w:rsidR="00DE2CD8" w:rsidRDefault="00DE2CD8" w:rsidP="00DE2CD8">
      <w:pPr>
        <w:numPr>
          <w:ilvl w:val="0"/>
          <w:numId w:val="4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Identify and justify subgroups before data analysis, based on biological plausibility, clinical relevance, or previous evidence.</w:t>
      </w:r>
    </w:p>
    <w:p w14:paraId="7224DD1B" w14:textId="77777777" w:rsidR="00DE2CD8" w:rsidRDefault="00DE2CD8" w:rsidP="00DE2CD8">
      <w:pPr>
        <w:numPr>
          <w:ilvl w:val="0"/>
          <w:numId w:val="4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Avoid data-driven or post hoc subgroup definitions, as these increase the risk of spurious findings.</w:t>
      </w:r>
    </w:p>
    <w:p w14:paraId="0B43510B"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w:t>
      </w:r>
      <w:r>
        <w:rPr>
          <w:rStyle w:val="Strong"/>
          <w:rFonts w:ascii="Source Sans Pro" w:hAnsi="Source Sans Pro"/>
          <w:b/>
          <w:bCs/>
          <w:color w:val="1F2937"/>
          <w:bdr w:val="single" w:sz="2" w:space="0" w:color="auto" w:frame="1"/>
        </w:rPr>
        <w:t>Limit the Number of Subgroup Analyses</w:t>
      </w:r>
    </w:p>
    <w:p w14:paraId="3088CC9E" w14:textId="77777777" w:rsidR="00DE2CD8" w:rsidRDefault="00DE2CD8" w:rsidP="00DE2CD8">
      <w:pPr>
        <w:numPr>
          <w:ilvl w:val="0"/>
          <w:numId w:val="4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Restrict the number of subgroup analyses to those that are clinically meaningful and pre-specified.</w:t>
      </w:r>
    </w:p>
    <w:p w14:paraId="0B1E9707" w14:textId="77777777" w:rsidR="00DE2CD8" w:rsidRDefault="00DE2CD8" w:rsidP="00DE2CD8">
      <w:pPr>
        <w:numPr>
          <w:ilvl w:val="0"/>
          <w:numId w:val="4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Multiple testing increases the risk of false positive results.</w:t>
      </w:r>
    </w:p>
    <w:p w14:paraId="2F94A1EA"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w:t>
      </w:r>
      <w:r>
        <w:rPr>
          <w:rStyle w:val="Strong"/>
          <w:rFonts w:ascii="Source Sans Pro" w:hAnsi="Source Sans Pro"/>
          <w:b/>
          <w:bCs/>
          <w:color w:val="1F2937"/>
          <w:bdr w:val="single" w:sz="2" w:space="0" w:color="auto" w:frame="1"/>
        </w:rPr>
        <w:t>Use Appropriate Statistical Methods</w:t>
      </w:r>
    </w:p>
    <w:p w14:paraId="74145496" w14:textId="77777777" w:rsidR="00DE2CD8" w:rsidRDefault="00DE2CD8" w:rsidP="00DE2CD8">
      <w:pPr>
        <w:numPr>
          <w:ilvl w:val="0"/>
          <w:numId w:val="4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Employ formal statistical tests for interaction to assess whether treatment effects differ between subgroups.</w:t>
      </w:r>
    </w:p>
    <w:p w14:paraId="4AFE02BE" w14:textId="77777777" w:rsidR="00DE2CD8" w:rsidRDefault="00DE2CD8" w:rsidP="00DE2CD8">
      <w:pPr>
        <w:numPr>
          <w:ilvl w:val="0"/>
          <w:numId w:val="4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lastRenderedPageBreak/>
        <w:t>Avoid interpreting subgroup effects based solely on within-group comparisons.</w:t>
      </w:r>
    </w:p>
    <w:p w14:paraId="0DBBFD6E"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w:t>
      </w:r>
      <w:r>
        <w:rPr>
          <w:rStyle w:val="Strong"/>
          <w:rFonts w:ascii="Source Sans Pro" w:hAnsi="Source Sans Pro"/>
          <w:b/>
          <w:bCs/>
          <w:color w:val="1F2937"/>
          <w:bdr w:val="single" w:sz="2" w:space="0" w:color="auto" w:frame="1"/>
        </w:rPr>
        <w:t>Interpret Results with Caution</w:t>
      </w:r>
    </w:p>
    <w:p w14:paraId="7FF62698" w14:textId="77777777" w:rsidR="00DE2CD8" w:rsidRDefault="00DE2CD8" w:rsidP="00DE2CD8">
      <w:pPr>
        <w:numPr>
          <w:ilvl w:val="0"/>
          <w:numId w:val="4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Recognize that subgroup analyses are often underpowered and may yield unreliable results.</w:t>
      </w:r>
    </w:p>
    <w:p w14:paraId="213399EB" w14:textId="77777777" w:rsidR="00DE2CD8" w:rsidRDefault="00DE2CD8" w:rsidP="00DE2CD8">
      <w:pPr>
        <w:numPr>
          <w:ilvl w:val="0"/>
          <w:numId w:val="4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Consider the totality of evidence, including consistency with other studies and biological plausibility.</w:t>
      </w:r>
    </w:p>
    <w:p w14:paraId="53A49A39"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5. </w:t>
      </w:r>
      <w:r>
        <w:rPr>
          <w:rStyle w:val="Strong"/>
          <w:rFonts w:ascii="Source Sans Pro" w:hAnsi="Source Sans Pro"/>
          <w:b/>
          <w:bCs/>
          <w:color w:val="1F2937"/>
          <w:bdr w:val="single" w:sz="2" w:space="0" w:color="auto" w:frame="1"/>
        </w:rPr>
        <w:t>Report Subgroup Analyses Transparently</w:t>
      </w:r>
    </w:p>
    <w:p w14:paraId="6CBD4BFB" w14:textId="77777777" w:rsidR="00DE2CD8" w:rsidRDefault="00DE2CD8" w:rsidP="00DE2CD8">
      <w:pPr>
        <w:numPr>
          <w:ilvl w:val="0"/>
          <w:numId w:val="4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Clearly state which subgroup analyses were pre-specified and which were exploratory.</w:t>
      </w:r>
    </w:p>
    <w:p w14:paraId="3518BCC4" w14:textId="77777777" w:rsidR="00DE2CD8" w:rsidRDefault="00DE2CD8" w:rsidP="00DE2CD8">
      <w:pPr>
        <w:numPr>
          <w:ilvl w:val="0"/>
          <w:numId w:val="4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Report all conducted subgroup analyses, regardless of statistical significance, to avoid selective reporting.</w:t>
      </w:r>
    </w:p>
    <w:p w14:paraId="110E8A4A"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6. </w:t>
      </w:r>
      <w:r>
        <w:rPr>
          <w:rStyle w:val="Strong"/>
          <w:rFonts w:ascii="Source Sans Pro" w:hAnsi="Source Sans Pro"/>
          <w:b/>
          <w:bCs/>
          <w:color w:val="1F2937"/>
          <w:bdr w:val="single" w:sz="2" w:space="0" w:color="auto" w:frame="1"/>
        </w:rPr>
        <w:t>Beware of Common Pitfalls</w:t>
      </w:r>
    </w:p>
    <w:p w14:paraId="75DBFF9D" w14:textId="77777777" w:rsidR="00DE2CD8" w:rsidRDefault="00DE2CD8" w:rsidP="00DE2CD8">
      <w:pPr>
        <w:numPr>
          <w:ilvl w:val="0"/>
          <w:numId w:val="4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Be cautious of ecological bias and over-interpretation of findings.</w:t>
      </w:r>
    </w:p>
    <w:p w14:paraId="13EA15DC" w14:textId="77777777" w:rsidR="00DE2CD8" w:rsidRDefault="00DE2CD8" w:rsidP="00DE2CD8">
      <w:pPr>
        <w:numPr>
          <w:ilvl w:val="0"/>
          <w:numId w:val="4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Understand that statistically significant interactions may occur by chance, especially with many subgroups.</w:t>
      </w:r>
    </w:p>
    <w:p w14:paraId="16555B16"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7. </w:t>
      </w:r>
      <w:r>
        <w:rPr>
          <w:rStyle w:val="Strong"/>
          <w:rFonts w:ascii="Source Sans Pro" w:hAnsi="Source Sans Pro"/>
          <w:b/>
          <w:bCs/>
          <w:color w:val="1F2937"/>
          <w:bdr w:val="single" w:sz="2" w:space="0" w:color="auto" w:frame="1"/>
        </w:rPr>
        <w:t>Consult Guidance and Standards</w:t>
      </w:r>
    </w:p>
    <w:p w14:paraId="63941D60" w14:textId="77777777" w:rsidR="00DE2CD8" w:rsidRDefault="00DE2CD8" w:rsidP="00DE2CD8">
      <w:pPr>
        <w:numPr>
          <w:ilvl w:val="0"/>
          <w:numId w:val="4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 xml:space="preserve">Follow relevant guidelines from regulatory bodies, HTA agencies, and academic </w:t>
      </w:r>
      <w:proofErr w:type="spellStart"/>
      <w:r>
        <w:rPr>
          <w:rFonts w:ascii="Source Sans Pro" w:hAnsi="Source Sans Pro"/>
          <w:color w:val="1F2937"/>
        </w:rPr>
        <w:t>organisations</w:t>
      </w:r>
      <w:proofErr w:type="spellEnd"/>
      <w:r>
        <w:rPr>
          <w:rFonts w:ascii="Source Sans Pro" w:hAnsi="Source Sans Pro"/>
          <w:color w:val="1F2937"/>
        </w:rPr>
        <w:t>.</w:t>
      </w:r>
    </w:p>
    <w:p w14:paraId="4437E988" w14:textId="77777777" w:rsidR="00DE2CD8" w:rsidRDefault="00DE2CD8" w:rsidP="00DE2CD8">
      <w:pPr>
        <w:numPr>
          <w:ilvl w:val="0"/>
          <w:numId w:val="4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Stay updated with methodological research on subgroup analysis.</w:t>
      </w:r>
    </w:p>
    <w:p w14:paraId="3006D156" w14:textId="77777777" w:rsidR="00DE2CD8" w:rsidRDefault="00DE2CD8" w:rsidP="00DE2CD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8. </w:t>
      </w:r>
      <w:r>
        <w:rPr>
          <w:rStyle w:val="Strong"/>
          <w:rFonts w:ascii="Source Sans Pro" w:hAnsi="Source Sans Pro"/>
          <w:b/>
          <w:bCs/>
          <w:color w:val="1F2937"/>
          <w:bdr w:val="single" w:sz="2" w:space="0" w:color="auto" w:frame="1"/>
        </w:rPr>
        <w:t>Integrate Findings into Decision-Making Carefully</w:t>
      </w:r>
    </w:p>
    <w:p w14:paraId="10999C4C" w14:textId="77777777" w:rsidR="00DE2CD8" w:rsidRDefault="00DE2CD8" w:rsidP="00DE2CD8">
      <w:pPr>
        <w:numPr>
          <w:ilvl w:val="0"/>
          <w:numId w:val="4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Use subgroup findings to inform, but not dictate, clinical or policy decisions unless robust and replicated evidence exists.</w:t>
      </w:r>
    </w:p>
    <w:p w14:paraId="700DD118" w14:textId="77777777" w:rsidR="00DE2CD8" w:rsidRDefault="0009127E" w:rsidP="00DE2CD8">
      <w:pPr>
        <w:spacing w:after="0"/>
        <w:rPr>
          <w:rFonts w:ascii="Source Sans Pro" w:hAnsi="Source Sans Pro"/>
        </w:rPr>
      </w:pPr>
      <w:r>
        <w:rPr>
          <w:noProof/>
        </w:rPr>
      </w:r>
      <w:r w:rsidR="0009127E">
        <w:rPr>
          <w:noProof/>
        </w:rPr>
        <w:pict w14:anchorId="6FB27C52">
          <v:rect id="_x0000_i1028" alt="" style="width:468pt;height:.05pt;mso-width-percent:0;mso-height-percent:0;mso-width-percent:0;mso-height-percent:0" o:hralign="center" o:hrstd="t" o:hrnoshade="t" o:hr="t" fillcolor="#1f2937" stroked="f"/>
        </w:pict>
      </w:r>
    </w:p>
    <w:p w14:paraId="5D1B7C7B" w14:textId="77777777" w:rsidR="00DE2CD8" w:rsidRDefault="00DE2CD8" w:rsidP="00DE2CD8">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References:</w:t>
      </w:r>
    </w:p>
    <w:p w14:paraId="028350C8" w14:textId="77777777" w:rsidR="00DE2CD8" w:rsidRDefault="00DE2CD8" w:rsidP="00DE2CD8">
      <w:pPr>
        <w:numPr>
          <w:ilvl w:val="0"/>
          <w:numId w:val="5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BMJ Open 2019;</w:t>
      </w:r>
      <w:proofErr w:type="gramStart"/>
      <w:r>
        <w:rPr>
          <w:rFonts w:ascii="Source Sans Pro" w:hAnsi="Source Sans Pro"/>
          <w:color w:val="1F2937"/>
        </w:rPr>
        <w:t>9:e</w:t>
      </w:r>
      <w:proofErr w:type="gramEnd"/>
      <w:r>
        <w:rPr>
          <w:rFonts w:ascii="Source Sans Pro" w:hAnsi="Source Sans Pro"/>
          <w:color w:val="1F2937"/>
        </w:rPr>
        <w:t>028751. doi:10.1136/bmjopen-2018-028751</w:t>
      </w:r>
    </w:p>
    <w:p w14:paraId="02BEB0D2" w14:textId="77777777" w:rsidR="00DE2CD8" w:rsidRDefault="00DE2CD8" w:rsidP="00DE2CD8">
      <w:pPr>
        <w:numPr>
          <w:ilvl w:val="0"/>
          <w:numId w:val="5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CONSORT Statement (for reporting subgroup analyses in clinical trials)</w:t>
      </w:r>
    </w:p>
    <w:p w14:paraId="6892298D" w14:textId="77777777" w:rsidR="00DE2CD8" w:rsidRDefault="00DE2CD8" w:rsidP="00DE2CD8">
      <w:pPr>
        <w:numPr>
          <w:ilvl w:val="0"/>
          <w:numId w:val="5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Regulatory and HTA guidance documents</w:t>
      </w:r>
    </w:p>
    <w:p w14:paraId="26569322" w14:textId="77777777" w:rsidR="00EE399A" w:rsidRDefault="00EE399A" w:rsidP="00EE399A">
      <w:pPr>
        <w:pStyle w:val="NormalWeb"/>
        <w:pBdr>
          <w:top w:val="single" w:sz="2" w:space="0" w:color="auto"/>
          <w:left w:val="single" w:sz="2" w:space="0" w:color="auto"/>
          <w:bottom w:val="single" w:sz="2" w:space="0" w:color="auto"/>
          <w:right w:val="single" w:sz="2" w:space="0" w:color="auto"/>
        </w:pBdr>
        <w:shd w:val="clear" w:color="auto" w:fill="EFF6FF"/>
        <w:spacing w:before="0" w:beforeAutospacing="0" w:after="0" w:afterAutospacing="0"/>
        <w:rPr>
          <w:rFonts w:ascii="Source Sans Pro" w:hAnsi="Source Sans Pro"/>
          <w:color w:val="1F2937"/>
        </w:rPr>
      </w:pPr>
      <w:r>
        <w:rPr>
          <w:rFonts w:ascii="Source Sans Pro" w:hAnsi="Source Sans Pro"/>
          <w:color w:val="1F2937"/>
        </w:rPr>
        <w:t>Here is </w:t>
      </w:r>
      <w:r>
        <w:rPr>
          <w:rStyle w:val="Strong"/>
          <w:rFonts w:ascii="Source Sans Pro" w:eastAsiaTheme="majorEastAsia" w:hAnsi="Source Sans Pro"/>
          <w:color w:val="1F2937"/>
          <w:bdr w:val="single" w:sz="2" w:space="0" w:color="auto" w:frame="1"/>
        </w:rPr>
        <w:t>practical guidance for subgroup analyses in clinical trials</w:t>
      </w:r>
      <w:r>
        <w:rPr>
          <w:rFonts w:ascii="Source Sans Pro" w:hAnsi="Source Sans Pro"/>
          <w:color w:val="1F2937"/>
        </w:rPr>
        <w:t>, based on best practices and the themes from your document:</w:t>
      </w:r>
    </w:p>
    <w:p w14:paraId="62575392" w14:textId="77777777" w:rsidR="00EE399A" w:rsidRDefault="0009127E" w:rsidP="00EE399A">
      <w:pPr>
        <w:rPr>
          <w:rFonts w:ascii="Source Sans Pro" w:hAnsi="Source Sans Pro"/>
        </w:rPr>
      </w:pPr>
      <w:r>
        <w:rPr>
          <w:noProof/>
        </w:rPr>
      </w:r>
      <w:r w:rsidR="0009127E">
        <w:rPr>
          <w:noProof/>
        </w:rPr>
        <w:pict w14:anchorId="07C3BBD8">
          <v:rect id="_x0000_i1029" alt="" style="width:468pt;height:.05pt;mso-width-percent:0;mso-height-percent:0;mso-width-percent:0;mso-height-percent:0" o:hralign="center" o:hrstd="t" o:hrnoshade="t" o:hr="t" fillcolor="#1f2937" stroked="f"/>
        </w:pict>
      </w:r>
    </w:p>
    <w:p w14:paraId="4B2DE82C" w14:textId="77777777" w:rsidR="00EE399A" w:rsidRDefault="00EE399A" w:rsidP="00EE399A">
      <w:pPr>
        <w:pStyle w:val="Heading2"/>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lastRenderedPageBreak/>
        <w:t>Subgroup Analysis Guidance for Clinical Trials</w:t>
      </w:r>
    </w:p>
    <w:p w14:paraId="3B30BB8C"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w:t>
      </w:r>
      <w:r>
        <w:rPr>
          <w:rStyle w:val="Strong"/>
          <w:rFonts w:ascii="Source Sans Pro" w:hAnsi="Source Sans Pro"/>
          <w:b/>
          <w:bCs/>
          <w:color w:val="1F2937"/>
          <w:bdr w:val="single" w:sz="2" w:space="0" w:color="auto" w:frame="1"/>
        </w:rPr>
        <w:t>Pre-specify Subgroups in the Protocol</w:t>
      </w:r>
    </w:p>
    <w:p w14:paraId="5797C259" w14:textId="77777777" w:rsidR="00EE399A" w:rsidRDefault="00EE399A" w:rsidP="00EE399A">
      <w:pPr>
        <w:numPr>
          <w:ilvl w:val="0"/>
          <w:numId w:val="5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Define subgroups before the trial begins, based on clinical relevance, biological rationale, or prior evidence.</w:t>
      </w:r>
    </w:p>
    <w:p w14:paraId="7407BE06" w14:textId="77777777" w:rsidR="00EE399A" w:rsidRDefault="00EE399A" w:rsidP="00EE399A">
      <w:pPr>
        <w:numPr>
          <w:ilvl w:val="0"/>
          <w:numId w:val="5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Document subgroup hypotheses and analysis plans in the trial protocol and statistical analysis plan.</w:t>
      </w:r>
    </w:p>
    <w:p w14:paraId="6811E962"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w:t>
      </w:r>
      <w:r>
        <w:rPr>
          <w:rStyle w:val="Strong"/>
          <w:rFonts w:ascii="Source Sans Pro" w:hAnsi="Source Sans Pro"/>
          <w:b/>
          <w:bCs/>
          <w:color w:val="1F2937"/>
          <w:bdr w:val="single" w:sz="2" w:space="0" w:color="auto" w:frame="1"/>
        </w:rPr>
        <w:t>Limit the Number of Subgroups</w:t>
      </w:r>
    </w:p>
    <w:p w14:paraId="12334286" w14:textId="77777777" w:rsidR="00EE399A" w:rsidRDefault="00EE399A" w:rsidP="00EE399A">
      <w:pPr>
        <w:numPr>
          <w:ilvl w:val="0"/>
          <w:numId w:val="5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Restrict analyses to a small number of clinically justified subgroups to minimize the risk of false positives.</w:t>
      </w:r>
    </w:p>
    <w:p w14:paraId="538BD410" w14:textId="77777777" w:rsidR="00EE399A" w:rsidRDefault="00EE399A" w:rsidP="00EE399A">
      <w:pPr>
        <w:numPr>
          <w:ilvl w:val="0"/>
          <w:numId w:val="5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Avoid exploratory, data-driven subgroup analyses unless clearly labeled as such.</w:t>
      </w:r>
    </w:p>
    <w:p w14:paraId="36534B4C"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w:t>
      </w:r>
      <w:r>
        <w:rPr>
          <w:rStyle w:val="Strong"/>
          <w:rFonts w:ascii="Source Sans Pro" w:hAnsi="Source Sans Pro"/>
          <w:b/>
          <w:bCs/>
          <w:color w:val="1F2937"/>
          <w:bdr w:val="single" w:sz="2" w:space="0" w:color="auto" w:frame="1"/>
        </w:rPr>
        <w:t>Use Formal Interaction Tests</w:t>
      </w:r>
    </w:p>
    <w:p w14:paraId="347C6226" w14:textId="77777777" w:rsidR="00EE399A" w:rsidRDefault="00EE399A" w:rsidP="00EE399A">
      <w:pPr>
        <w:numPr>
          <w:ilvl w:val="0"/>
          <w:numId w:val="5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Assess differences in treatment effect between subgroups using statistical tests for interaction (e.g., including an interaction term in regression models).</w:t>
      </w:r>
    </w:p>
    <w:p w14:paraId="22CE26D8" w14:textId="77777777" w:rsidR="00EE399A" w:rsidRDefault="00EE399A" w:rsidP="00EE399A">
      <w:pPr>
        <w:numPr>
          <w:ilvl w:val="0"/>
          <w:numId w:val="5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Do not rely solely on separate analyses within each subgroup.</w:t>
      </w:r>
    </w:p>
    <w:p w14:paraId="59B4FA8B"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w:t>
      </w:r>
      <w:r>
        <w:rPr>
          <w:rStyle w:val="Strong"/>
          <w:rFonts w:ascii="Source Sans Pro" w:hAnsi="Source Sans Pro"/>
          <w:b/>
          <w:bCs/>
          <w:color w:val="1F2937"/>
          <w:bdr w:val="single" w:sz="2" w:space="0" w:color="auto" w:frame="1"/>
        </w:rPr>
        <w:t>Interpret with Caution</w:t>
      </w:r>
    </w:p>
    <w:p w14:paraId="0EFC8AAE" w14:textId="77777777" w:rsidR="00EE399A" w:rsidRDefault="00EE399A" w:rsidP="00EE399A">
      <w:pPr>
        <w:numPr>
          <w:ilvl w:val="0"/>
          <w:numId w:val="5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Recognize that subgroup analyses are often underpowered and may yield unreliable or non-reproducible results.</w:t>
      </w:r>
    </w:p>
    <w:p w14:paraId="0960E312" w14:textId="77777777" w:rsidR="00EE399A" w:rsidRDefault="00EE399A" w:rsidP="00EE399A">
      <w:pPr>
        <w:numPr>
          <w:ilvl w:val="0"/>
          <w:numId w:val="5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Consider the plausibility and consistency of findings with external evidence.</w:t>
      </w:r>
    </w:p>
    <w:p w14:paraId="64F3E34F"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5. </w:t>
      </w:r>
      <w:r>
        <w:rPr>
          <w:rStyle w:val="Strong"/>
          <w:rFonts w:ascii="Source Sans Pro" w:hAnsi="Source Sans Pro"/>
          <w:b/>
          <w:bCs/>
          <w:color w:val="1F2937"/>
          <w:bdr w:val="single" w:sz="2" w:space="0" w:color="auto" w:frame="1"/>
        </w:rPr>
        <w:t>Transparent Reporting</w:t>
      </w:r>
    </w:p>
    <w:p w14:paraId="7B642942" w14:textId="77777777" w:rsidR="00EE399A" w:rsidRDefault="00EE399A" w:rsidP="00EE399A">
      <w:pPr>
        <w:numPr>
          <w:ilvl w:val="0"/>
          <w:numId w:val="5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Clearly distinguish between pre-specified and post hoc (exploratory) subgroup analyses in publications.</w:t>
      </w:r>
    </w:p>
    <w:p w14:paraId="4C8FC7D4" w14:textId="77777777" w:rsidR="00EE399A" w:rsidRDefault="00EE399A" w:rsidP="00EE399A">
      <w:pPr>
        <w:numPr>
          <w:ilvl w:val="0"/>
          <w:numId w:val="5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Report all subgroup analyses conducted, regardless of statistical significance, to avoid selective reporting.</w:t>
      </w:r>
    </w:p>
    <w:p w14:paraId="42F1FDC9"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6. </w:t>
      </w:r>
      <w:r>
        <w:rPr>
          <w:rStyle w:val="Strong"/>
          <w:rFonts w:ascii="Source Sans Pro" w:hAnsi="Source Sans Pro"/>
          <w:b/>
          <w:bCs/>
          <w:color w:val="1F2937"/>
          <w:bdr w:val="single" w:sz="2" w:space="0" w:color="auto" w:frame="1"/>
        </w:rPr>
        <w:t>Adjust for Multiple Comparisons</w:t>
      </w:r>
    </w:p>
    <w:p w14:paraId="58A1E5D4" w14:textId="77777777" w:rsidR="00EE399A" w:rsidRDefault="00EE399A" w:rsidP="00EE399A">
      <w:pPr>
        <w:numPr>
          <w:ilvl w:val="0"/>
          <w:numId w:val="5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Consider the increased risk of type I error due to multiple subgroup analyses.</w:t>
      </w:r>
    </w:p>
    <w:p w14:paraId="55FADFBD" w14:textId="77777777" w:rsidR="00EE399A" w:rsidRDefault="00EE399A" w:rsidP="00EE399A">
      <w:pPr>
        <w:numPr>
          <w:ilvl w:val="0"/>
          <w:numId w:val="5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Use appropriate statistical adjustments or interpret findings as hypothesis-generating.</w:t>
      </w:r>
    </w:p>
    <w:p w14:paraId="14663AD1"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7. </w:t>
      </w:r>
      <w:r>
        <w:rPr>
          <w:rStyle w:val="Strong"/>
          <w:rFonts w:ascii="Source Sans Pro" w:hAnsi="Source Sans Pro"/>
          <w:b/>
          <w:bCs/>
          <w:color w:val="1F2937"/>
          <w:bdr w:val="single" w:sz="2" w:space="0" w:color="auto" w:frame="1"/>
        </w:rPr>
        <w:t>Avoid Common Pitfalls</w:t>
      </w:r>
    </w:p>
    <w:p w14:paraId="30EB1FA5" w14:textId="77777777" w:rsidR="00EE399A" w:rsidRDefault="00EE399A" w:rsidP="00EE399A">
      <w:pPr>
        <w:numPr>
          <w:ilvl w:val="0"/>
          <w:numId w:val="5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Do not over-interpret statistically significant findings from small subgroups.</w:t>
      </w:r>
    </w:p>
    <w:p w14:paraId="4729CDDD" w14:textId="77777777" w:rsidR="00EE399A" w:rsidRDefault="00EE399A" w:rsidP="00EE399A">
      <w:pPr>
        <w:numPr>
          <w:ilvl w:val="0"/>
          <w:numId w:val="5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Beware of ecological bias and confounding.</w:t>
      </w:r>
    </w:p>
    <w:p w14:paraId="29CB77B8"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lastRenderedPageBreak/>
        <w:t>8. </w:t>
      </w:r>
      <w:r>
        <w:rPr>
          <w:rStyle w:val="Strong"/>
          <w:rFonts w:ascii="Source Sans Pro" w:hAnsi="Source Sans Pro"/>
          <w:b/>
          <w:bCs/>
          <w:color w:val="1F2937"/>
          <w:bdr w:val="single" w:sz="2" w:space="0" w:color="auto" w:frame="1"/>
        </w:rPr>
        <w:t>Follow CONSORT Guidelines</w:t>
      </w:r>
    </w:p>
    <w:p w14:paraId="7DBC9EEA" w14:textId="77777777" w:rsidR="00EE399A" w:rsidRDefault="00EE399A" w:rsidP="00EE399A">
      <w:pPr>
        <w:numPr>
          <w:ilvl w:val="0"/>
          <w:numId w:val="5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Adhere to the CONSORT extension for reporting subgroup analyses in randomized trials.</w:t>
      </w:r>
    </w:p>
    <w:p w14:paraId="48296561" w14:textId="77777777" w:rsidR="00EE399A" w:rsidRDefault="00EE399A" w:rsidP="00EE399A">
      <w:pPr>
        <w:numPr>
          <w:ilvl w:val="0"/>
          <w:numId w:val="5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Provide rationale, methods, and results for each subgroup analysis.</w:t>
      </w:r>
    </w:p>
    <w:p w14:paraId="77230324" w14:textId="77777777" w:rsidR="00EE399A" w:rsidRDefault="00EE399A" w:rsidP="00EE399A">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9. </w:t>
      </w:r>
      <w:r>
        <w:rPr>
          <w:rStyle w:val="Strong"/>
          <w:rFonts w:ascii="Source Sans Pro" w:hAnsi="Source Sans Pro"/>
          <w:b/>
          <w:bCs/>
          <w:color w:val="1F2937"/>
          <w:bdr w:val="single" w:sz="2" w:space="0" w:color="auto" w:frame="1"/>
        </w:rPr>
        <w:t>Consult Regulatory and HTA Guidance</w:t>
      </w:r>
    </w:p>
    <w:p w14:paraId="153C722B" w14:textId="77777777" w:rsidR="00EE399A" w:rsidRDefault="00EE399A" w:rsidP="00EE399A">
      <w:pPr>
        <w:numPr>
          <w:ilvl w:val="0"/>
          <w:numId w:val="5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Review relevant guidance from regulatory agencies (e.g., FDA, EMA) and HTA bodies for specific requirements and recommendations.</w:t>
      </w:r>
    </w:p>
    <w:p w14:paraId="4AF49949" w14:textId="77777777" w:rsidR="00EE399A" w:rsidRDefault="0009127E" w:rsidP="00EE399A">
      <w:pPr>
        <w:spacing w:after="0"/>
        <w:rPr>
          <w:rFonts w:ascii="Source Sans Pro" w:hAnsi="Source Sans Pro"/>
        </w:rPr>
      </w:pPr>
      <w:r>
        <w:rPr>
          <w:noProof/>
        </w:rPr>
      </w:r>
      <w:r w:rsidR="0009127E">
        <w:rPr>
          <w:noProof/>
        </w:rPr>
        <w:pict w14:anchorId="7B0A0224">
          <v:rect id="_x0000_i1030" alt="" style="width:468pt;height:.05pt;mso-width-percent:0;mso-height-percent:0;mso-width-percent:0;mso-height-percent:0" o:hralign="center" o:hrstd="t" o:hrnoshade="t" o:hr="t" fillcolor="#1f2937" stroked="f"/>
        </w:pict>
      </w:r>
    </w:p>
    <w:p w14:paraId="24A9722B" w14:textId="77777777" w:rsidR="00EE399A" w:rsidRDefault="00EE399A" w:rsidP="00EE399A">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Example Checklist for Subgroup Analyses in Clinical Trials:</w:t>
      </w:r>
    </w:p>
    <w:p w14:paraId="138D9DA3"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Are subgroups pre-specified in the protocol?</w:t>
      </w:r>
    </w:p>
    <w:p w14:paraId="3AE52AAA"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Is the rationale for each subgroup clear and evidence-based?</w:t>
      </w:r>
    </w:p>
    <w:p w14:paraId="04A29B4C"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Are formal interaction tests used?</w:t>
      </w:r>
    </w:p>
    <w:p w14:paraId="6D2C566C"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Are results interpreted in the context of overall trial findings and external evidence?</w:t>
      </w:r>
    </w:p>
    <w:p w14:paraId="58FC66B1"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Are all subgroup analyses transparently reported?</w:t>
      </w:r>
    </w:p>
    <w:p w14:paraId="65FC7F12"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Is the risk of false positives due to multiple testing addressed?</w:t>
      </w:r>
    </w:p>
    <w:p w14:paraId="22A3CF86" w14:textId="77777777" w:rsidR="00EE399A" w:rsidRDefault="00EE399A" w:rsidP="00EE399A">
      <w:pPr>
        <w:numPr>
          <w:ilvl w:val="0"/>
          <w:numId w:val="6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Are findings used to inform, not dictate, clinical decisions unless robustly supported?</w:t>
      </w:r>
    </w:p>
    <w:p w14:paraId="015D166F" w14:textId="77777777" w:rsidR="00EE399A" w:rsidRDefault="0009127E" w:rsidP="00EE399A">
      <w:pPr>
        <w:spacing w:after="0"/>
        <w:rPr>
          <w:rFonts w:ascii="Source Sans Pro" w:hAnsi="Source Sans Pro"/>
        </w:rPr>
      </w:pPr>
      <w:r>
        <w:rPr>
          <w:noProof/>
        </w:rPr>
      </w:r>
      <w:r w:rsidR="0009127E">
        <w:rPr>
          <w:noProof/>
        </w:rPr>
        <w:pict w14:anchorId="4A011384">
          <v:rect id="_x0000_i1031" alt="" style="width:468pt;height:.05pt;mso-width-percent:0;mso-height-percent:0;mso-width-percent:0;mso-height-percent:0" o:hralign="center" o:hrstd="t" o:hrnoshade="t" o:hr="t" fillcolor="#1f2937" stroked="f"/>
        </w:pict>
      </w:r>
    </w:p>
    <w:p w14:paraId="6B325020" w14:textId="77777777" w:rsidR="00EE399A" w:rsidRDefault="00EE399A" w:rsidP="00EE399A">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References:</w:t>
      </w:r>
    </w:p>
    <w:p w14:paraId="0438D77D" w14:textId="77777777" w:rsidR="00EE399A" w:rsidRDefault="00EE399A" w:rsidP="00EE399A">
      <w:pPr>
        <w:numPr>
          <w:ilvl w:val="0"/>
          <w:numId w:val="6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BMJ Open 2019;</w:t>
      </w:r>
      <w:proofErr w:type="gramStart"/>
      <w:r>
        <w:rPr>
          <w:rFonts w:ascii="Source Sans Pro" w:hAnsi="Source Sans Pro"/>
          <w:color w:val="1F2937"/>
        </w:rPr>
        <w:t>9:e</w:t>
      </w:r>
      <w:proofErr w:type="gramEnd"/>
      <w:r>
        <w:rPr>
          <w:rFonts w:ascii="Source Sans Pro" w:hAnsi="Source Sans Pro"/>
          <w:color w:val="1F2937"/>
        </w:rPr>
        <w:t>028751. doi:10.1136/bmjopen-2018-028751</w:t>
      </w:r>
    </w:p>
    <w:p w14:paraId="13AF78A8" w14:textId="77777777" w:rsidR="00EE399A" w:rsidRDefault="00EE399A" w:rsidP="00EE399A">
      <w:pPr>
        <w:numPr>
          <w:ilvl w:val="0"/>
          <w:numId w:val="6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CONSORT Statement: </w:t>
      </w:r>
      <w:hyperlink r:id="rId5" w:tgtFrame="_blank" w:history="1">
        <w:r>
          <w:rPr>
            <w:rStyle w:val="Hyperlink"/>
            <w:rFonts w:ascii="Source Sans Pro" w:hAnsi="Source Sans Pro"/>
            <w:color w:val="1F2937"/>
            <w:bdr w:val="single" w:sz="2" w:space="0" w:color="auto" w:frame="1"/>
          </w:rPr>
          <w:t>CONSORT Subgroup Analysis Extension</w:t>
        </w:r>
      </w:hyperlink>
    </w:p>
    <w:p w14:paraId="4DB478E2" w14:textId="77777777" w:rsidR="00EE399A" w:rsidRDefault="00EE399A" w:rsidP="00EE399A">
      <w:pPr>
        <w:numPr>
          <w:ilvl w:val="0"/>
          <w:numId w:val="6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FDA, EMA, and HTA guidance documents</w:t>
      </w:r>
    </w:p>
    <w:p w14:paraId="5BEC079A" w14:textId="77777777" w:rsidR="00DE2CD8" w:rsidRDefault="00DE2CD8" w:rsidP="0096054A"/>
    <w:p w14:paraId="38A38B75" w14:textId="77777777" w:rsidR="008D2289" w:rsidRDefault="008D2289" w:rsidP="008D2289">
      <w:pPr>
        <w:pStyle w:val="NormalWeb"/>
        <w:pBdr>
          <w:top w:val="single" w:sz="2" w:space="0" w:color="auto"/>
          <w:left w:val="single" w:sz="2" w:space="0" w:color="auto"/>
          <w:bottom w:val="single" w:sz="2" w:space="0" w:color="auto"/>
          <w:right w:val="single" w:sz="2" w:space="0" w:color="auto"/>
        </w:pBdr>
        <w:shd w:val="clear" w:color="auto" w:fill="EFF6FF"/>
        <w:spacing w:before="0" w:beforeAutospacing="0" w:after="0" w:afterAutospacing="0"/>
        <w:rPr>
          <w:rFonts w:ascii="Source Sans Pro" w:hAnsi="Source Sans Pro"/>
          <w:color w:val="1F2937"/>
        </w:rPr>
      </w:pPr>
      <w:r>
        <w:rPr>
          <w:rFonts w:ascii="Source Sans Pro" w:hAnsi="Source Sans Pro"/>
          <w:color w:val="1F2937"/>
        </w:rPr>
        <w:t>Here is a structured summary of subgroup analysis results for KEYTRUDA (pembrolizumab) based on the extracted text from the prescribing information:</w:t>
      </w:r>
    </w:p>
    <w:p w14:paraId="7529DC65" w14:textId="77777777" w:rsidR="008D2289" w:rsidRDefault="0009127E" w:rsidP="008D2289">
      <w:pPr>
        <w:rPr>
          <w:rFonts w:ascii="Source Sans Pro" w:hAnsi="Source Sans Pro"/>
        </w:rPr>
      </w:pPr>
      <w:r>
        <w:rPr>
          <w:noProof/>
        </w:rPr>
      </w:r>
      <w:r w:rsidR="0009127E">
        <w:rPr>
          <w:noProof/>
        </w:rPr>
        <w:pict w14:anchorId="2F45DE88">
          <v:rect id="_x0000_i1032" alt="" style="width:468pt;height:.05pt;mso-width-percent:0;mso-height-percent:0;mso-width-percent:0;mso-height-percent:0" o:hralign="center" o:hrstd="t" o:hrnoshade="t" o:hr="t" fillcolor="#1f2937" stroked="f"/>
        </w:pict>
      </w:r>
    </w:p>
    <w:p w14:paraId="61F9072D" w14:textId="77777777" w:rsidR="008D2289" w:rsidRDefault="008D2289" w:rsidP="008D2289">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w:t>
      </w:r>
      <w:r>
        <w:rPr>
          <w:rStyle w:val="Strong"/>
          <w:rFonts w:ascii="Source Sans Pro" w:hAnsi="Source Sans Pro"/>
          <w:b/>
          <w:bCs/>
          <w:color w:val="1F2937"/>
          <w:bdr w:val="single" w:sz="2" w:space="0" w:color="auto" w:frame="1"/>
        </w:rPr>
        <w:t>Non-Small Cell Lung Cancer (NSCLC)</w:t>
      </w:r>
    </w:p>
    <w:p w14:paraId="2995262F" w14:textId="77777777" w:rsidR="008D2289" w:rsidRDefault="008D2289" w:rsidP="008D2289">
      <w:pPr>
        <w:numPr>
          <w:ilvl w:val="0"/>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PD-L1 Expression Subgroups (TPS ≥50%, ≥20%, ≥1%)</w:t>
      </w:r>
      <w:r>
        <w:rPr>
          <w:rFonts w:ascii="Source Sans Pro" w:hAnsi="Source Sans Pro"/>
          <w:color w:val="1F2937"/>
        </w:rPr>
        <w:t>:</w:t>
      </w:r>
    </w:p>
    <w:p w14:paraId="59E6B4EF" w14:textId="77777777" w:rsidR="008D2289" w:rsidRDefault="008D2289" w:rsidP="008D2289">
      <w:pPr>
        <w:numPr>
          <w:ilvl w:val="1"/>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Efficacy outcomes (Overall Survival [OS], Progression-Free Survival [PFS], Objective Response Rate [ORR]) were analyzed in subgroups based on PD-L1 Tumor Proportion Score (TPS).</w:t>
      </w:r>
    </w:p>
    <w:p w14:paraId="02B82931" w14:textId="77777777" w:rsidR="008D2289" w:rsidRDefault="008D2289" w:rsidP="008D2289">
      <w:pPr>
        <w:numPr>
          <w:ilvl w:val="1"/>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main efficacy outcome was OS in the TPS ≥50% subgroup, TPS ≥20% subgroup, and the overall population with TPS ≥1%.</w:t>
      </w:r>
    </w:p>
    <w:p w14:paraId="6E10F3A5" w14:textId="77777777" w:rsidR="008D2289" w:rsidRDefault="008D2289" w:rsidP="008D2289">
      <w:pPr>
        <w:numPr>
          <w:ilvl w:val="1"/>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Results in the TPS ≥20% subgroup were intermediate between those with TPS ≥1% and TPS ≥50%.</w:t>
      </w:r>
    </w:p>
    <w:p w14:paraId="1B5FFFA6" w14:textId="77777777" w:rsidR="008D2289" w:rsidRDefault="008D2289" w:rsidP="008D2289">
      <w:pPr>
        <w:numPr>
          <w:ilvl w:val="1"/>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lastRenderedPageBreak/>
        <w:t>In a pre-specified exploratory subgroup analysis for patients with TPS 1-49%, the median OS was 13 months.</w:t>
      </w:r>
    </w:p>
    <w:p w14:paraId="4CDF53B4" w14:textId="77777777" w:rsidR="008D2289" w:rsidRDefault="008D2289" w:rsidP="008D2289">
      <w:pPr>
        <w:numPr>
          <w:ilvl w:val="0"/>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First-line and Previously Treated Populations</w:t>
      </w:r>
      <w:r>
        <w:rPr>
          <w:rFonts w:ascii="Source Sans Pro" w:hAnsi="Source Sans Pro"/>
          <w:color w:val="1F2937"/>
        </w:rPr>
        <w:t>:</w:t>
      </w:r>
    </w:p>
    <w:p w14:paraId="2E9AF669" w14:textId="77777777" w:rsidR="008D2289" w:rsidRDefault="008D2289" w:rsidP="008D2289">
      <w:pPr>
        <w:numPr>
          <w:ilvl w:val="1"/>
          <w:numId w:val="6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were performed for patients receiving KEYTRUDA as a single agent or in combination with chemotherapy, stratified by PD-L1 status and prior therapy.</w:t>
      </w:r>
    </w:p>
    <w:p w14:paraId="09EBE1B4" w14:textId="77777777" w:rsidR="008D2289" w:rsidRDefault="008D2289" w:rsidP="008D2289">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w:t>
      </w:r>
      <w:r>
        <w:rPr>
          <w:rStyle w:val="Strong"/>
          <w:rFonts w:ascii="Source Sans Pro" w:hAnsi="Source Sans Pro"/>
          <w:b/>
          <w:bCs/>
          <w:color w:val="1F2937"/>
          <w:bdr w:val="single" w:sz="2" w:space="0" w:color="auto" w:frame="1"/>
        </w:rPr>
        <w:t>Head and Neck Squamous Cell Carcinoma (HNSCC)</w:t>
      </w:r>
    </w:p>
    <w:p w14:paraId="393E7BC6" w14:textId="77777777" w:rsidR="008D2289" w:rsidRDefault="008D2289" w:rsidP="008D2289">
      <w:pPr>
        <w:numPr>
          <w:ilvl w:val="0"/>
          <w:numId w:val="6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PD-L1 Combined Positive Score (CPS) Subgroups (CPS ≥20, CPS ≥1)</w:t>
      </w:r>
      <w:r>
        <w:rPr>
          <w:rFonts w:ascii="Source Sans Pro" w:hAnsi="Source Sans Pro"/>
          <w:color w:val="1F2937"/>
        </w:rPr>
        <w:t>:</w:t>
      </w:r>
    </w:p>
    <w:p w14:paraId="2D1F3C6A" w14:textId="77777777" w:rsidR="008D2289" w:rsidRDefault="008D2289" w:rsidP="008D2289">
      <w:pPr>
        <w:numPr>
          <w:ilvl w:val="1"/>
          <w:numId w:val="6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Statistically significant improvement in OS for subgroups with CPS ≥1 and CPS ≥20.</w:t>
      </w:r>
    </w:p>
    <w:p w14:paraId="225D6E0D" w14:textId="77777777" w:rsidR="008D2289" w:rsidRDefault="008D2289" w:rsidP="008D2289">
      <w:pPr>
        <w:numPr>
          <w:ilvl w:val="1"/>
          <w:numId w:val="6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KEYNOTE-048 trial showed improved OS for KEYTRUDA in patients with CPS ≥1 compared to cetuximab plus chemotherapy.</w:t>
      </w:r>
    </w:p>
    <w:p w14:paraId="75539D65" w14:textId="77777777" w:rsidR="008D2289" w:rsidRDefault="008D2289" w:rsidP="008D2289">
      <w:pPr>
        <w:numPr>
          <w:ilvl w:val="1"/>
          <w:numId w:val="6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Exploratory subgroup analysis for CPS 1-19 showed a median OS of 10 months.</w:t>
      </w:r>
    </w:p>
    <w:p w14:paraId="23CA2022" w14:textId="77777777" w:rsidR="008D2289" w:rsidRDefault="008D2289" w:rsidP="008D2289">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w:t>
      </w:r>
      <w:r>
        <w:rPr>
          <w:rStyle w:val="Strong"/>
          <w:rFonts w:ascii="Source Sans Pro" w:hAnsi="Source Sans Pro"/>
          <w:b/>
          <w:bCs/>
          <w:color w:val="1F2937"/>
          <w:bdr w:val="single" w:sz="2" w:space="0" w:color="auto" w:frame="1"/>
        </w:rPr>
        <w:t>Other Tumor Types</w:t>
      </w:r>
    </w:p>
    <w:p w14:paraId="1C3F762B" w14:textId="77777777" w:rsidR="008D2289" w:rsidRDefault="008D2289" w:rsidP="008D2289">
      <w:pPr>
        <w:numPr>
          <w:ilvl w:val="0"/>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Microsatellite Instability-High (MSI-H) or Mismatch Repair Deficient (</w:t>
      </w:r>
      <w:proofErr w:type="spellStart"/>
      <w:r>
        <w:rPr>
          <w:rStyle w:val="Strong"/>
          <w:rFonts w:ascii="Source Sans Pro" w:hAnsi="Source Sans Pro"/>
          <w:color w:val="1F2937"/>
          <w:bdr w:val="single" w:sz="2" w:space="0" w:color="auto" w:frame="1"/>
        </w:rPr>
        <w:t>dMMR</w:t>
      </w:r>
      <w:proofErr w:type="spellEnd"/>
      <w:r>
        <w:rPr>
          <w:rStyle w:val="Strong"/>
          <w:rFonts w:ascii="Source Sans Pro" w:hAnsi="Source Sans Pro"/>
          <w:color w:val="1F2937"/>
          <w:bdr w:val="single" w:sz="2" w:space="0" w:color="auto" w:frame="1"/>
        </w:rPr>
        <w:t>) Tumors</w:t>
      </w:r>
      <w:r>
        <w:rPr>
          <w:rFonts w:ascii="Source Sans Pro" w:hAnsi="Source Sans Pro"/>
          <w:color w:val="1F2937"/>
        </w:rPr>
        <w:t>:</w:t>
      </w:r>
    </w:p>
    <w:p w14:paraId="49A523D7" w14:textId="77777777" w:rsidR="008D2289" w:rsidRDefault="008D2289" w:rsidP="008D2289">
      <w:pPr>
        <w:numPr>
          <w:ilvl w:val="1"/>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included adult and pediatric patients with unresectable or metastatic MSI-H/</w:t>
      </w:r>
      <w:proofErr w:type="spellStart"/>
      <w:r>
        <w:rPr>
          <w:rFonts w:ascii="Source Sans Pro" w:hAnsi="Source Sans Pro"/>
          <w:color w:val="1F2937"/>
        </w:rPr>
        <w:t>dMMR</w:t>
      </w:r>
      <w:proofErr w:type="spellEnd"/>
      <w:r>
        <w:rPr>
          <w:rFonts w:ascii="Source Sans Pro" w:hAnsi="Source Sans Pro"/>
          <w:color w:val="1F2937"/>
        </w:rPr>
        <w:t xml:space="preserve"> solid tumors, including colorectal cancer (CRC).</w:t>
      </w:r>
    </w:p>
    <w:p w14:paraId="5F5CCF3D" w14:textId="77777777" w:rsidR="008D2289" w:rsidRDefault="008D2289" w:rsidP="008D2289">
      <w:pPr>
        <w:numPr>
          <w:ilvl w:val="1"/>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Efficacy and safety were evaluated in these biomarker-defined subgroups.</w:t>
      </w:r>
    </w:p>
    <w:p w14:paraId="068732BA" w14:textId="77777777" w:rsidR="008D2289" w:rsidRDefault="008D2289" w:rsidP="008D2289">
      <w:pPr>
        <w:numPr>
          <w:ilvl w:val="0"/>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HER2-Positive Gastric or GEJ Adenocarcinoma</w:t>
      </w:r>
      <w:r>
        <w:rPr>
          <w:rFonts w:ascii="Source Sans Pro" w:hAnsi="Source Sans Pro"/>
          <w:color w:val="1F2937"/>
        </w:rPr>
        <w:t>:</w:t>
      </w:r>
    </w:p>
    <w:p w14:paraId="0BB1BBB3" w14:textId="77777777" w:rsidR="008D2289" w:rsidRDefault="008D2289" w:rsidP="008D2289">
      <w:pPr>
        <w:numPr>
          <w:ilvl w:val="1"/>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analysis for patients with HER2-positive tumors receiving KEYTRUDA in combination with trastuzumab and chemotherapy.</w:t>
      </w:r>
    </w:p>
    <w:p w14:paraId="3C7A895C" w14:textId="77777777" w:rsidR="008D2289" w:rsidRDefault="008D2289" w:rsidP="008D2289">
      <w:pPr>
        <w:numPr>
          <w:ilvl w:val="0"/>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Cervical Cancer</w:t>
      </w:r>
      <w:r>
        <w:rPr>
          <w:rFonts w:ascii="Source Sans Pro" w:hAnsi="Source Sans Pro"/>
          <w:color w:val="1F2937"/>
        </w:rPr>
        <w:t>:</w:t>
      </w:r>
    </w:p>
    <w:p w14:paraId="43F46544" w14:textId="77777777" w:rsidR="008D2289" w:rsidRDefault="008D2289" w:rsidP="008D2289">
      <w:pPr>
        <w:numPr>
          <w:ilvl w:val="1"/>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analysis for patients with tumors expressing PD-L1 (CPS ≥1).</w:t>
      </w:r>
    </w:p>
    <w:p w14:paraId="11DDA930" w14:textId="77777777" w:rsidR="008D2289" w:rsidRDefault="008D2289" w:rsidP="008D2289">
      <w:pPr>
        <w:numPr>
          <w:ilvl w:val="0"/>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Triple-Negative Breast Cancer (TNBC)</w:t>
      </w:r>
      <w:r>
        <w:rPr>
          <w:rFonts w:ascii="Source Sans Pro" w:hAnsi="Source Sans Pro"/>
          <w:color w:val="1F2937"/>
        </w:rPr>
        <w:t>:</w:t>
      </w:r>
    </w:p>
    <w:p w14:paraId="7FB054D9" w14:textId="77777777" w:rsidR="008D2289" w:rsidRDefault="008D2289" w:rsidP="008D2289">
      <w:pPr>
        <w:numPr>
          <w:ilvl w:val="1"/>
          <w:numId w:val="6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analysis for patients with locally recurrent unresectable or metastatic TNBC whose tumors express PD-L1 (CPS ≥10).</w:t>
      </w:r>
    </w:p>
    <w:p w14:paraId="2AB414CD" w14:textId="77777777" w:rsidR="008D2289" w:rsidRDefault="008D2289" w:rsidP="008D2289">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w:t>
      </w:r>
      <w:r>
        <w:rPr>
          <w:rStyle w:val="Strong"/>
          <w:rFonts w:ascii="Source Sans Pro" w:hAnsi="Source Sans Pro"/>
          <w:b/>
          <w:bCs/>
          <w:color w:val="1F2937"/>
          <w:bdr w:val="single" w:sz="2" w:space="0" w:color="auto" w:frame="1"/>
        </w:rPr>
        <w:t>Safety Analyses</w:t>
      </w:r>
    </w:p>
    <w:p w14:paraId="598EBBA3" w14:textId="77777777" w:rsidR="008D2289" w:rsidRDefault="008D2289" w:rsidP="008D2289">
      <w:pPr>
        <w:numPr>
          <w:ilvl w:val="0"/>
          <w:numId w:val="6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Dose and Schedule Subgroups</w:t>
      </w:r>
      <w:r>
        <w:rPr>
          <w:rFonts w:ascii="Source Sans Pro" w:hAnsi="Source Sans Pro"/>
          <w:color w:val="1F2937"/>
        </w:rPr>
        <w:t>:</w:t>
      </w:r>
    </w:p>
    <w:p w14:paraId="53C13AC6" w14:textId="77777777" w:rsidR="008D2289" w:rsidRDefault="008D2289" w:rsidP="008D2289">
      <w:pPr>
        <w:numPr>
          <w:ilvl w:val="1"/>
          <w:numId w:val="6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Safety profiles were similar across different dosing regimens (e.g., 2 mg/kg vs. 10 mg/kg, every 2 weeks vs. every 3 weeks), so pooled analyses were presented.</w:t>
      </w:r>
    </w:p>
    <w:p w14:paraId="36F8A09C" w14:textId="77777777" w:rsidR="008D2289" w:rsidRDefault="008D2289" w:rsidP="008D2289">
      <w:pPr>
        <w:numPr>
          <w:ilvl w:val="0"/>
          <w:numId w:val="6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Exploratory Subgroups</w:t>
      </w:r>
      <w:r>
        <w:rPr>
          <w:rFonts w:ascii="Source Sans Pro" w:hAnsi="Source Sans Pro"/>
          <w:color w:val="1F2937"/>
        </w:rPr>
        <w:t>:</w:t>
      </w:r>
    </w:p>
    <w:p w14:paraId="7B3662F9" w14:textId="77777777" w:rsidR="008D2289" w:rsidRDefault="008D2289" w:rsidP="008D2289">
      <w:pPr>
        <w:numPr>
          <w:ilvl w:val="1"/>
          <w:numId w:val="6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Analyses by age, sex, race, prior therapy, and other baseline characteristics were performed, but no new safety signals were identified in these subgroups.</w:t>
      </w:r>
    </w:p>
    <w:p w14:paraId="707FF6A5" w14:textId="77777777" w:rsidR="008D2289" w:rsidRDefault="008D2289" w:rsidP="008D2289">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5. </w:t>
      </w:r>
      <w:r>
        <w:rPr>
          <w:rStyle w:val="Strong"/>
          <w:rFonts w:ascii="Source Sans Pro" w:hAnsi="Source Sans Pro"/>
          <w:b/>
          <w:bCs/>
          <w:color w:val="1F2937"/>
          <w:bdr w:val="single" w:sz="2" w:space="0" w:color="auto" w:frame="1"/>
        </w:rPr>
        <w:t>Other Notable Subgroup Analyses</w:t>
      </w:r>
    </w:p>
    <w:p w14:paraId="78261272" w14:textId="77777777" w:rsidR="008D2289" w:rsidRDefault="008D2289" w:rsidP="008D2289">
      <w:pPr>
        <w:numPr>
          <w:ilvl w:val="0"/>
          <w:numId w:val="6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Adjuvant and Neoadjuvant Settings</w:t>
      </w:r>
      <w:r>
        <w:rPr>
          <w:rFonts w:ascii="Source Sans Pro" w:hAnsi="Source Sans Pro"/>
          <w:color w:val="1F2937"/>
        </w:rPr>
        <w:t>:</w:t>
      </w:r>
    </w:p>
    <w:p w14:paraId="679E9F04" w14:textId="77777777" w:rsidR="008D2289" w:rsidRDefault="008D2289" w:rsidP="008D2289">
      <w:pPr>
        <w:numPr>
          <w:ilvl w:val="1"/>
          <w:numId w:val="6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for disease-free survival (DFS) in patients who did or did not receive adjuvant chemotherapy.</w:t>
      </w:r>
    </w:p>
    <w:p w14:paraId="4B47432E" w14:textId="77777777" w:rsidR="008D2289" w:rsidRDefault="008D2289" w:rsidP="008D2289">
      <w:pPr>
        <w:numPr>
          <w:ilvl w:val="0"/>
          <w:numId w:val="6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Exploratory and Pre-specified Analyses</w:t>
      </w:r>
      <w:r>
        <w:rPr>
          <w:rFonts w:ascii="Source Sans Pro" w:hAnsi="Source Sans Pro"/>
          <w:color w:val="1F2937"/>
        </w:rPr>
        <w:t>:</w:t>
      </w:r>
    </w:p>
    <w:p w14:paraId="07E916AD" w14:textId="77777777" w:rsidR="008D2289" w:rsidRDefault="008D2289" w:rsidP="008D2289">
      <w:pPr>
        <w:numPr>
          <w:ilvl w:val="1"/>
          <w:numId w:val="66"/>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lastRenderedPageBreak/>
        <w:t>Multiple trials reported exploratory and pre-specified subgroup analyses for efficacy and safety endpoints, often stratified by biomarker status, prior treatment, and demographic factors.</w:t>
      </w:r>
    </w:p>
    <w:p w14:paraId="1417B1F5" w14:textId="77777777" w:rsidR="008D2289" w:rsidRDefault="0009127E" w:rsidP="008D2289">
      <w:pPr>
        <w:spacing w:after="0"/>
        <w:rPr>
          <w:rFonts w:ascii="Source Sans Pro" w:hAnsi="Source Sans Pro"/>
        </w:rPr>
      </w:pPr>
      <w:r>
        <w:rPr>
          <w:noProof/>
        </w:rPr>
      </w:r>
      <w:r w:rsidR="0009127E">
        <w:rPr>
          <w:noProof/>
        </w:rPr>
        <w:pict w14:anchorId="2676DA5B">
          <v:rect id="_x0000_i1033" alt="" style="width:468pt;height:.05pt;mso-width-percent:0;mso-height-percent:0;mso-width-percent:0;mso-height-percent:0" o:hralign="center" o:hrstd="t" o:hrnoshade="t" o:hr="t" fillcolor="#1f2937" stroked="f"/>
        </w:pict>
      </w:r>
    </w:p>
    <w:p w14:paraId="6C12C5F0" w14:textId="77777777" w:rsidR="008D2289" w:rsidRDefault="008D2289" w:rsidP="008D2289">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Summary:</w:t>
      </w:r>
      <w:r>
        <w:rPr>
          <w:rFonts w:ascii="Source Sans Pro" w:hAnsi="Source Sans Pro"/>
          <w:color w:val="1F2937"/>
        </w:rPr>
        <w:br/>
        <w:t>KEYTRUDA’s efficacy and safety have been evaluated in multiple subgroups defined by tumor type, biomarker status (PD-L1, CPS, MSI-H/</w:t>
      </w:r>
      <w:proofErr w:type="spellStart"/>
      <w:r>
        <w:rPr>
          <w:rFonts w:ascii="Source Sans Pro" w:hAnsi="Source Sans Pro"/>
          <w:color w:val="1F2937"/>
        </w:rPr>
        <w:t>dMMR</w:t>
      </w:r>
      <w:proofErr w:type="spellEnd"/>
      <w:r>
        <w:rPr>
          <w:rFonts w:ascii="Source Sans Pro" w:hAnsi="Source Sans Pro"/>
          <w:color w:val="1F2937"/>
        </w:rPr>
        <w:t>), prior therapy, and demographic characteristics. The most consistent findings are that higher PD-L1 expression is associated with greater benefit, and that efficacy is maintained across a range of tumor types and patient subgroups. Safety profiles are generally consistent across subgroups and dosing regimens.</w:t>
      </w:r>
    </w:p>
    <w:p w14:paraId="504B950C" w14:textId="77777777" w:rsidR="008D2289" w:rsidRDefault="008D2289" w:rsidP="0096054A"/>
    <w:p w14:paraId="33CADEDD" w14:textId="77777777" w:rsidR="000B092C" w:rsidRDefault="000B092C" w:rsidP="0096054A"/>
    <w:p w14:paraId="17D00B30" w14:textId="77777777" w:rsidR="000B092C" w:rsidRDefault="000B092C" w:rsidP="000B092C">
      <w:pPr>
        <w:pStyle w:val="NormalWeb"/>
        <w:pBdr>
          <w:top w:val="single" w:sz="2" w:space="0" w:color="auto"/>
          <w:left w:val="single" w:sz="2" w:space="0" w:color="auto"/>
          <w:bottom w:val="single" w:sz="2" w:space="0" w:color="auto"/>
          <w:right w:val="single" w:sz="2" w:space="0" w:color="auto"/>
        </w:pBdr>
        <w:shd w:val="clear" w:color="auto" w:fill="EFF6FF"/>
        <w:spacing w:before="0" w:beforeAutospacing="0" w:after="0" w:afterAutospacing="0"/>
        <w:rPr>
          <w:rFonts w:ascii="Source Sans Pro" w:hAnsi="Source Sans Pro"/>
          <w:color w:val="1F2937"/>
        </w:rPr>
      </w:pPr>
      <w:r>
        <w:rPr>
          <w:rFonts w:ascii="Source Sans Pro" w:hAnsi="Source Sans Pro"/>
          <w:color w:val="1F2937"/>
        </w:rPr>
        <w:t>Here is a focused summary of subgroup analysis results for KEYTRUDA (pembrolizumab) in Non-Small Cell Lung Cancer (NSCLC) based on the prescribing information:</w:t>
      </w:r>
    </w:p>
    <w:p w14:paraId="2349F35A" w14:textId="77777777" w:rsidR="000B092C" w:rsidRDefault="0009127E" w:rsidP="000B092C">
      <w:pPr>
        <w:rPr>
          <w:rFonts w:ascii="Source Sans Pro" w:hAnsi="Source Sans Pro"/>
        </w:rPr>
      </w:pPr>
      <w:r>
        <w:rPr>
          <w:noProof/>
        </w:rPr>
      </w:r>
      <w:r w:rsidR="0009127E">
        <w:rPr>
          <w:noProof/>
        </w:rPr>
        <w:pict w14:anchorId="6E2A84AC">
          <v:rect id="_x0000_i1034" alt="" style="width:468pt;height:.05pt;mso-width-percent:0;mso-height-percent:0;mso-width-percent:0;mso-height-percent:0" o:hralign="center" o:hrstd="t" o:hrnoshade="t" o:hr="t" fillcolor="#1f2937" stroked="f"/>
        </w:pict>
      </w:r>
    </w:p>
    <w:p w14:paraId="67097F09" w14:textId="77777777" w:rsidR="000B092C" w:rsidRDefault="000B092C" w:rsidP="000B092C">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NSCLC Subgroup Analysis Summary</w:t>
      </w:r>
    </w:p>
    <w:p w14:paraId="725B7713" w14:textId="77777777" w:rsidR="000B092C" w:rsidRDefault="000B092C" w:rsidP="000B092C">
      <w:pPr>
        <w:pStyle w:val="Heading4"/>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w:t>
      </w:r>
      <w:r>
        <w:rPr>
          <w:rStyle w:val="Strong"/>
          <w:rFonts w:ascii="Source Sans Pro" w:hAnsi="Source Sans Pro"/>
          <w:b/>
          <w:bCs/>
          <w:color w:val="1F2937"/>
          <w:bdr w:val="single" w:sz="2" w:space="0" w:color="auto" w:frame="1"/>
        </w:rPr>
        <w:t>PD-L1 Expression Subgroups</w:t>
      </w:r>
    </w:p>
    <w:p w14:paraId="39F408F1" w14:textId="77777777" w:rsidR="000B092C" w:rsidRDefault="000B092C" w:rsidP="000B092C">
      <w:pPr>
        <w:numPr>
          <w:ilvl w:val="0"/>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KEYTRUDA efficacy was analyzed in subgroups based on PD-L1 Tumor Proportion Score (TPS):</w:t>
      </w:r>
    </w:p>
    <w:p w14:paraId="6207D4C0" w14:textId="77777777" w:rsidR="000B092C" w:rsidRDefault="000B092C" w:rsidP="000B092C">
      <w:pPr>
        <w:numPr>
          <w:ilvl w:val="1"/>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TPS ≥50%:</w:t>
      </w:r>
    </w:p>
    <w:p w14:paraId="6179A35D" w14:textId="77777777" w:rsidR="000B092C" w:rsidRDefault="000B092C" w:rsidP="000B092C">
      <w:pPr>
        <w:numPr>
          <w:ilvl w:val="2"/>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This subgroup showed the greatest benefit from KEYTRUDA, with improved overall survival (OS), progression-free survival (PFS), and objective response rate (ORR) compared to chemotherapy.</w:t>
      </w:r>
    </w:p>
    <w:p w14:paraId="127D09EB" w14:textId="77777777" w:rsidR="000B092C" w:rsidRDefault="000B092C" w:rsidP="000B092C">
      <w:pPr>
        <w:numPr>
          <w:ilvl w:val="1"/>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TPS ≥20%:</w:t>
      </w:r>
    </w:p>
    <w:p w14:paraId="61F23BC2" w14:textId="77777777" w:rsidR="000B092C" w:rsidRDefault="000B092C" w:rsidP="000B092C">
      <w:pPr>
        <w:numPr>
          <w:ilvl w:val="2"/>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Efficacy results in this subgroup were intermediate between those with TPS ≥1% and TPS ≥50%.</w:t>
      </w:r>
    </w:p>
    <w:p w14:paraId="24EB74F1" w14:textId="77777777" w:rsidR="000B092C" w:rsidRDefault="000B092C" w:rsidP="000B092C">
      <w:pPr>
        <w:numPr>
          <w:ilvl w:val="1"/>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TPS ≥1% (overall population):</w:t>
      </w:r>
    </w:p>
    <w:p w14:paraId="77F217DD" w14:textId="77777777" w:rsidR="000B092C" w:rsidRDefault="000B092C" w:rsidP="000B092C">
      <w:pPr>
        <w:numPr>
          <w:ilvl w:val="2"/>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KEYTRUDA provided a survival benefit compared to chemotherapy in the overall population with TPS ≥1%.</w:t>
      </w:r>
    </w:p>
    <w:p w14:paraId="1D8A8315" w14:textId="77777777" w:rsidR="000B092C" w:rsidRDefault="000B092C" w:rsidP="000B092C">
      <w:pPr>
        <w:numPr>
          <w:ilvl w:val="1"/>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TPS 1-49%:</w:t>
      </w:r>
    </w:p>
    <w:p w14:paraId="65D3719A" w14:textId="77777777" w:rsidR="000B092C" w:rsidRDefault="000B092C" w:rsidP="000B092C">
      <w:pPr>
        <w:numPr>
          <w:ilvl w:val="2"/>
          <w:numId w:val="67"/>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In a pre-specified exploratory subgroup analysis, the median OS was 13 months.</w:t>
      </w:r>
    </w:p>
    <w:p w14:paraId="7BBA0AE4" w14:textId="77777777" w:rsidR="000B092C" w:rsidRDefault="000B092C" w:rsidP="000B092C">
      <w:pPr>
        <w:pStyle w:val="Heading4"/>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w:t>
      </w:r>
      <w:proofErr w:type="gramStart"/>
      <w:r>
        <w:rPr>
          <w:rStyle w:val="Strong"/>
          <w:rFonts w:ascii="Source Sans Pro" w:hAnsi="Source Sans Pro"/>
          <w:b/>
          <w:bCs/>
          <w:color w:val="1F2937"/>
          <w:bdr w:val="single" w:sz="2" w:space="0" w:color="auto" w:frame="1"/>
        </w:rPr>
        <w:t>First-Line</w:t>
      </w:r>
      <w:proofErr w:type="gramEnd"/>
      <w:r>
        <w:rPr>
          <w:rStyle w:val="Strong"/>
          <w:rFonts w:ascii="Source Sans Pro" w:hAnsi="Source Sans Pro"/>
          <w:b/>
          <w:bCs/>
          <w:color w:val="1F2937"/>
          <w:bdr w:val="single" w:sz="2" w:space="0" w:color="auto" w:frame="1"/>
        </w:rPr>
        <w:t xml:space="preserve"> and Previously Treated Populations</w:t>
      </w:r>
    </w:p>
    <w:p w14:paraId="2B40C6E3" w14:textId="77777777" w:rsidR="000B092C" w:rsidRDefault="000B092C" w:rsidP="000B092C">
      <w:pPr>
        <w:numPr>
          <w:ilvl w:val="0"/>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First-Line Treatment:</w:t>
      </w:r>
    </w:p>
    <w:p w14:paraId="6F1AC841" w14:textId="77777777" w:rsidR="000B092C" w:rsidRDefault="000B092C" w:rsidP="000B092C">
      <w:pPr>
        <w:numPr>
          <w:ilvl w:val="1"/>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KEYTRUDA, alone or in combination with chemotherapy, was evaluated in patients with metastatic NSCLC, stratified by PD-L1 status.</w:t>
      </w:r>
    </w:p>
    <w:p w14:paraId="718164FD" w14:textId="77777777" w:rsidR="000B092C" w:rsidRDefault="000B092C" w:rsidP="000B092C">
      <w:pPr>
        <w:numPr>
          <w:ilvl w:val="1"/>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main efficacy outcome was OS in the TPS ≥50% subgroup, TPS ≥20% subgroup, and the overall population with TPS ≥1%.</w:t>
      </w:r>
    </w:p>
    <w:p w14:paraId="0C0C3606" w14:textId="77777777" w:rsidR="000B092C" w:rsidRDefault="000B092C" w:rsidP="000B092C">
      <w:pPr>
        <w:numPr>
          <w:ilvl w:val="1"/>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lastRenderedPageBreak/>
        <w:t>Additional outcomes (PFS, ORR) were also reported by these subgroups.</w:t>
      </w:r>
    </w:p>
    <w:p w14:paraId="4B813E40" w14:textId="77777777" w:rsidR="000B092C" w:rsidRDefault="000B092C" w:rsidP="000B092C">
      <w:pPr>
        <w:numPr>
          <w:ilvl w:val="0"/>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Previously Treated Patients:</w:t>
      </w:r>
    </w:p>
    <w:p w14:paraId="383DEE53" w14:textId="77777777" w:rsidR="000B092C" w:rsidRDefault="000B092C" w:rsidP="000B092C">
      <w:pPr>
        <w:numPr>
          <w:ilvl w:val="1"/>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KEYTRUDA as a single agent was evaluated in patients with metastatic NSCLC whose tumors express PD-L1 (TPS ≥1%) and who had disease progression on or after platinum-containing chemotherapy.</w:t>
      </w:r>
    </w:p>
    <w:p w14:paraId="3AECAE29" w14:textId="77777777" w:rsidR="000B092C" w:rsidRDefault="000B092C" w:rsidP="000B092C">
      <w:pPr>
        <w:numPr>
          <w:ilvl w:val="1"/>
          <w:numId w:val="68"/>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Patients with EGFR or ALK genomic tumor aberrations were required to have disease progression on FDA-approved therapy for these aberrations before receiving KEYTRUDA.</w:t>
      </w:r>
    </w:p>
    <w:p w14:paraId="24E223BA" w14:textId="77777777" w:rsidR="000B092C" w:rsidRDefault="000B092C" w:rsidP="000B092C">
      <w:pPr>
        <w:pStyle w:val="Heading4"/>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w:t>
      </w:r>
      <w:r>
        <w:rPr>
          <w:rStyle w:val="Strong"/>
          <w:rFonts w:ascii="Source Sans Pro" w:hAnsi="Source Sans Pro"/>
          <w:b/>
          <w:bCs/>
          <w:color w:val="1F2937"/>
          <w:bdr w:val="single" w:sz="2" w:space="0" w:color="auto" w:frame="1"/>
        </w:rPr>
        <w:t>Other Subgroup Analyses</w:t>
      </w:r>
    </w:p>
    <w:p w14:paraId="12815F54" w14:textId="77777777" w:rsidR="000B092C" w:rsidRDefault="000B092C" w:rsidP="000B092C">
      <w:pPr>
        <w:numPr>
          <w:ilvl w:val="0"/>
          <w:numId w:val="6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Safety:</w:t>
      </w:r>
    </w:p>
    <w:p w14:paraId="0832DB4E" w14:textId="77777777" w:rsidR="000B092C" w:rsidRDefault="000B092C" w:rsidP="000B092C">
      <w:pPr>
        <w:numPr>
          <w:ilvl w:val="1"/>
          <w:numId w:val="6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Safety profiles were similar across different dosing regimens (2 mg/kg vs. 10 mg/kg, every 2 weeks vs. every 3 weeks), so pooled safety analyses were presented.</w:t>
      </w:r>
    </w:p>
    <w:p w14:paraId="2214053F" w14:textId="77777777" w:rsidR="000B092C" w:rsidRDefault="000B092C" w:rsidP="000B092C">
      <w:pPr>
        <w:numPr>
          <w:ilvl w:val="0"/>
          <w:numId w:val="6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Style w:val="Strong"/>
          <w:rFonts w:ascii="Source Sans Pro" w:hAnsi="Source Sans Pro"/>
          <w:color w:val="1F2937"/>
          <w:bdr w:val="single" w:sz="2" w:space="0" w:color="auto" w:frame="1"/>
        </w:rPr>
        <w:t>Exploratory Subgroups:</w:t>
      </w:r>
    </w:p>
    <w:p w14:paraId="751A076B" w14:textId="77777777" w:rsidR="000B092C" w:rsidRDefault="000B092C" w:rsidP="000B092C">
      <w:pPr>
        <w:numPr>
          <w:ilvl w:val="1"/>
          <w:numId w:val="69"/>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Analyses by age, sex, race, prior therapy, and other baseline characteristics did not reveal new safety signals or significant differences in efficacy.</w:t>
      </w:r>
    </w:p>
    <w:p w14:paraId="029B834B" w14:textId="77777777" w:rsidR="000B092C" w:rsidRDefault="000B092C" w:rsidP="000B092C">
      <w:pPr>
        <w:pStyle w:val="Heading4"/>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w:t>
      </w:r>
      <w:r>
        <w:rPr>
          <w:rStyle w:val="Strong"/>
          <w:rFonts w:ascii="Source Sans Pro" w:hAnsi="Source Sans Pro"/>
          <w:b/>
          <w:bCs/>
          <w:color w:val="1F2937"/>
          <w:bdr w:val="single" w:sz="2" w:space="0" w:color="auto" w:frame="1"/>
        </w:rPr>
        <w:t>Summary Table and Figures</w:t>
      </w:r>
    </w:p>
    <w:p w14:paraId="23088B9F" w14:textId="77777777" w:rsidR="000B092C" w:rsidRDefault="000B092C" w:rsidP="000B092C">
      <w:pPr>
        <w:numPr>
          <w:ilvl w:val="0"/>
          <w:numId w:val="7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prescribing information includes tables and Kaplan-Meier curves summarizing efficacy results in the TPS ≥50% subgroup and the overall population with TPS ≥1%.</w:t>
      </w:r>
    </w:p>
    <w:p w14:paraId="19E10F29" w14:textId="77777777" w:rsidR="000B092C" w:rsidRDefault="000B092C" w:rsidP="000B092C">
      <w:pPr>
        <w:numPr>
          <w:ilvl w:val="0"/>
          <w:numId w:val="70"/>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results consistently show that higher PD-L1 expression (TPS ≥50%) is associated with greater benefit from KEYTRUDA.</w:t>
      </w:r>
    </w:p>
    <w:p w14:paraId="6A0F4B71" w14:textId="77777777" w:rsidR="000B092C" w:rsidRDefault="0009127E" w:rsidP="000B092C">
      <w:pPr>
        <w:spacing w:after="0"/>
        <w:rPr>
          <w:rFonts w:ascii="Source Sans Pro" w:hAnsi="Source Sans Pro"/>
        </w:rPr>
      </w:pPr>
      <w:r>
        <w:rPr>
          <w:noProof/>
        </w:rPr>
      </w:r>
      <w:r w:rsidR="0009127E">
        <w:rPr>
          <w:noProof/>
        </w:rPr>
        <w:pict w14:anchorId="7030B657">
          <v:rect id="_x0000_i1035" alt="" style="width:468pt;height:.05pt;mso-width-percent:0;mso-height-percent:0;mso-width-percent:0;mso-height-percent:0" o:hralign="center" o:hrstd="t" o:hrnoshade="t" o:hr="t" fillcolor="#1f2937" stroked="f"/>
        </w:pict>
      </w:r>
    </w:p>
    <w:p w14:paraId="67CE2D0D" w14:textId="77777777" w:rsidR="000B092C" w:rsidRDefault="000B092C" w:rsidP="000B092C">
      <w:pPr>
        <w:pStyle w:val="NormalWeb"/>
        <w:pBdr>
          <w:top w:val="single" w:sz="2" w:space="0" w:color="auto"/>
          <w:left w:val="single" w:sz="2" w:space="0" w:color="auto"/>
          <w:bottom w:val="single" w:sz="2" w:space="0" w:color="auto"/>
          <w:right w:val="single" w:sz="2" w:space="0" w:color="auto"/>
        </w:pBdr>
        <w:shd w:val="clear" w:color="auto" w:fill="EFF6FF"/>
        <w:spacing w:before="240" w:beforeAutospacing="0" w:after="0" w:afterAutospacing="0"/>
        <w:rPr>
          <w:rFonts w:ascii="Source Sans Pro" w:hAnsi="Source Sans Pro"/>
          <w:color w:val="1F2937"/>
        </w:rPr>
      </w:pPr>
      <w:r>
        <w:rPr>
          <w:rStyle w:val="Strong"/>
          <w:rFonts w:ascii="Source Sans Pro" w:eastAsiaTheme="majorEastAsia" w:hAnsi="Source Sans Pro"/>
          <w:color w:val="1F2937"/>
          <w:bdr w:val="single" w:sz="2" w:space="0" w:color="auto" w:frame="1"/>
        </w:rPr>
        <w:t>Key Point:</w:t>
      </w:r>
      <w:r>
        <w:rPr>
          <w:rFonts w:ascii="Source Sans Pro" w:hAnsi="Source Sans Pro"/>
          <w:color w:val="1F2937"/>
        </w:rPr>
        <w:br/>
        <w:t>The benefit of KEYTRUDA in NSCLC is most pronounced in patients with higher PD-L1 expression (TPS ≥50%), but efficacy is also observed in patients with TPS ≥1%. Subgroup analyses support the use of KEYTRUDA across a range of patient characteristics, with consistent safety profiles.</w:t>
      </w:r>
    </w:p>
    <w:p w14:paraId="5B95B368" w14:textId="77777777" w:rsidR="000B092C" w:rsidRDefault="000B092C" w:rsidP="0096054A"/>
    <w:p w14:paraId="0525790D" w14:textId="77777777" w:rsidR="0009127E" w:rsidRDefault="0009127E" w:rsidP="0096054A"/>
    <w:p w14:paraId="166FF4DA" w14:textId="77777777" w:rsidR="0009127E" w:rsidRDefault="0009127E" w:rsidP="0096054A"/>
    <w:p w14:paraId="078C3311" w14:textId="77777777" w:rsidR="0009127E" w:rsidRDefault="0009127E" w:rsidP="0096054A"/>
    <w:p w14:paraId="2D46778B" w14:textId="7BBB14DA" w:rsidR="0009127E" w:rsidRDefault="0009127E" w:rsidP="0096054A">
      <w:r>
        <w:t>Draft summary of above text –</w:t>
      </w:r>
    </w:p>
    <w:p w14:paraId="2AB35951" w14:textId="77777777" w:rsidR="0009127E" w:rsidRDefault="0009127E" w:rsidP="0096054A"/>
    <w:p w14:paraId="5016176D" w14:textId="77777777" w:rsidR="00A02428" w:rsidRDefault="00A02428" w:rsidP="00A02428">
      <w:pPr>
        <w:pStyle w:val="Heading2"/>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lastRenderedPageBreak/>
        <w:t>Guidance on Subgroup Analyses in Confirmatory Clinical Trials</w:t>
      </w:r>
    </w:p>
    <w:p w14:paraId="7A8DA3AF" w14:textId="77777777" w:rsidR="00A02428" w:rsidRDefault="00A02428" w:rsidP="00A0242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1. Purpose of Subgroup Analyses</w:t>
      </w:r>
    </w:p>
    <w:p w14:paraId="26CD70C7" w14:textId="77777777" w:rsidR="00A02428" w:rsidRDefault="00A02428" w:rsidP="00A02428">
      <w:pPr>
        <w:numPr>
          <w:ilvl w:val="0"/>
          <w:numId w:val="7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explore whether treatment efficacy or safety varies across different patient groups (e.g., age, sex, ethnicity, disease severity, genetic markers, comorbidities).</w:t>
      </w:r>
    </w:p>
    <w:p w14:paraId="326C540A" w14:textId="77777777" w:rsidR="00A02428" w:rsidRDefault="00A02428" w:rsidP="00A02428">
      <w:pPr>
        <w:numPr>
          <w:ilvl w:val="0"/>
          <w:numId w:val="71"/>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goal is to identify potential heterogeneity in treatment effects to inform clinical practice or regulatory decisions.</w:t>
      </w:r>
    </w:p>
    <w:p w14:paraId="00E0E3FF" w14:textId="77777777" w:rsidR="00A02428" w:rsidRDefault="00A02428" w:rsidP="00A0242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2. Planning and Pre-specification</w:t>
      </w:r>
    </w:p>
    <w:p w14:paraId="4E975161" w14:textId="77777777" w:rsidR="00A02428" w:rsidRDefault="00A02428" w:rsidP="00A02428">
      <w:pPr>
        <w:numPr>
          <w:ilvl w:val="0"/>
          <w:numId w:val="7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should be pre-specified in the study protocol and statistical analysis plan, with clear rationale for each subgroup.</w:t>
      </w:r>
    </w:p>
    <w:p w14:paraId="1E19C25E" w14:textId="77777777" w:rsidR="00A02428" w:rsidRDefault="00A02428" w:rsidP="00A02428">
      <w:pPr>
        <w:numPr>
          <w:ilvl w:val="0"/>
          <w:numId w:val="7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The number and definition of subgroups should be justified based on scientific, clinical, or regulatory relevance.</w:t>
      </w:r>
    </w:p>
    <w:p w14:paraId="5D426411" w14:textId="77777777" w:rsidR="00A02428" w:rsidRDefault="00A02428" w:rsidP="00A02428">
      <w:pPr>
        <w:numPr>
          <w:ilvl w:val="0"/>
          <w:numId w:val="72"/>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Pre-specification helps control for multiplicity and reduces the risk of spurious findings from post hoc exploration.</w:t>
      </w:r>
    </w:p>
    <w:p w14:paraId="5705CACC" w14:textId="77777777" w:rsidR="00A02428" w:rsidRDefault="00A02428" w:rsidP="00A0242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3. Statistical Considerations</w:t>
      </w:r>
    </w:p>
    <w:p w14:paraId="1441E029" w14:textId="77777777" w:rsidR="00A02428" w:rsidRDefault="00A02428" w:rsidP="00A02428">
      <w:pPr>
        <w:numPr>
          <w:ilvl w:val="0"/>
          <w:numId w:val="7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Clinical trials are usually powered for overall effects, not for subgroups; thus, subgroup analyses often lack statistical power.</w:t>
      </w:r>
    </w:p>
    <w:p w14:paraId="3E413586" w14:textId="77777777" w:rsidR="00A02428" w:rsidRDefault="00A02428" w:rsidP="00A02428">
      <w:pPr>
        <w:numPr>
          <w:ilvl w:val="0"/>
          <w:numId w:val="7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Use interaction tests (e.g., treatment-by-subgroup interaction) to formally assess differences between subgroups.</w:t>
      </w:r>
    </w:p>
    <w:p w14:paraId="66AF2B19" w14:textId="77777777" w:rsidR="00A02428" w:rsidRDefault="00A02428" w:rsidP="00A02428">
      <w:pPr>
        <w:numPr>
          <w:ilvl w:val="0"/>
          <w:numId w:val="7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Multiple testing increases false positive risk; apply appropriate statistical adjustments (e.g., Bonferroni correction) if many subgroups are analyzed.</w:t>
      </w:r>
    </w:p>
    <w:p w14:paraId="69153A9E" w14:textId="77777777" w:rsidR="00A02428" w:rsidRDefault="00A02428" w:rsidP="00A02428">
      <w:pPr>
        <w:numPr>
          <w:ilvl w:val="0"/>
          <w:numId w:val="73"/>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Clearly identify and interpret exploratory (not pre-specified) subgroup analyses with caution.</w:t>
      </w:r>
    </w:p>
    <w:p w14:paraId="6E76A5BF" w14:textId="77777777" w:rsidR="00A02428" w:rsidRDefault="00A02428" w:rsidP="00A0242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4. Interpretation of Results</w:t>
      </w:r>
    </w:p>
    <w:p w14:paraId="58C1953C" w14:textId="77777777" w:rsidR="00A02428" w:rsidRDefault="00A02428" w:rsidP="00A02428">
      <w:pPr>
        <w:numPr>
          <w:ilvl w:val="0"/>
          <w:numId w:val="7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Interpret subgroup findings in the context of overall trial results and the totality of evidence.</w:t>
      </w:r>
    </w:p>
    <w:p w14:paraId="1586FA96" w14:textId="77777777" w:rsidR="00A02428" w:rsidRDefault="00A02428" w:rsidP="00A02428">
      <w:pPr>
        <w:numPr>
          <w:ilvl w:val="0"/>
          <w:numId w:val="7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Differences in subgroups may be due to chance, especially with small sample sizes or many subgroups.</w:t>
      </w:r>
    </w:p>
    <w:p w14:paraId="76481385" w14:textId="77777777" w:rsidR="00A02428" w:rsidRDefault="00A02428" w:rsidP="00A02428">
      <w:pPr>
        <w:numPr>
          <w:ilvl w:val="0"/>
          <w:numId w:val="7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Consider biological plausibility and consistency with external evidence when evaluating subgroup effects.</w:t>
      </w:r>
    </w:p>
    <w:p w14:paraId="4621DD03" w14:textId="77777777" w:rsidR="00A02428" w:rsidRDefault="00A02428" w:rsidP="00A02428">
      <w:pPr>
        <w:numPr>
          <w:ilvl w:val="0"/>
          <w:numId w:val="74"/>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Subgroup analyses should not override main trial conclusions unless evidence is strong, consistent, and credible.</w:t>
      </w:r>
    </w:p>
    <w:p w14:paraId="1C289422" w14:textId="77777777" w:rsidR="00A02428" w:rsidRDefault="00A02428" w:rsidP="00A02428">
      <w:pPr>
        <w:pStyle w:val="Heading3"/>
        <w:pBdr>
          <w:top w:val="single" w:sz="2" w:space="0" w:color="auto"/>
          <w:left w:val="single" w:sz="2" w:space="0" w:color="auto"/>
          <w:bottom w:val="single" w:sz="2" w:space="0" w:color="auto"/>
          <w:right w:val="single" w:sz="2" w:space="0" w:color="auto"/>
        </w:pBdr>
        <w:shd w:val="clear" w:color="auto" w:fill="EFF6FF"/>
        <w:spacing w:before="0"/>
        <w:rPr>
          <w:rFonts w:ascii="Source Sans Pro" w:hAnsi="Source Sans Pro"/>
          <w:color w:val="1F2937"/>
        </w:rPr>
      </w:pPr>
      <w:r>
        <w:rPr>
          <w:rFonts w:ascii="Source Sans Pro" w:hAnsi="Source Sans Pro"/>
          <w:color w:val="1F2937"/>
        </w:rPr>
        <w:t>5. Reporting</w:t>
      </w:r>
    </w:p>
    <w:p w14:paraId="5BC7A03C" w14:textId="77777777" w:rsidR="00A02428" w:rsidRDefault="00A02428" w:rsidP="00A02428">
      <w:pPr>
        <w:numPr>
          <w:ilvl w:val="0"/>
          <w:numId w:val="7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Transparently report all planned and performed subgroup analyses, including both positive and negative findings.</w:t>
      </w:r>
    </w:p>
    <w:p w14:paraId="145B0D5E" w14:textId="77777777" w:rsidR="00A02428" w:rsidRDefault="00A02428" w:rsidP="00A02428">
      <w:pPr>
        <w:numPr>
          <w:ilvl w:val="0"/>
          <w:numId w:val="75"/>
        </w:numPr>
        <w:pBdr>
          <w:top w:val="single" w:sz="2" w:space="0" w:color="auto"/>
          <w:left w:val="single" w:sz="2" w:space="0" w:color="auto"/>
          <w:bottom w:val="single" w:sz="2" w:space="0" w:color="auto"/>
          <w:right w:val="single" w:sz="2" w:space="0" w:color="auto"/>
        </w:pBdr>
        <w:shd w:val="clear" w:color="auto" w:fill="EFF6FF"/>
        <w:spacing w:before="100" w:beforeAutospacing="1" w:after="100" w:afterAutospacing="1" w:line="240" w:lineRule="auto"/>
        <w:rPr>
          <w:rFonts w:ascii="Source Sans Pro" w:hAnsi="Source Sans Pro"/>
          <w:color w:val="1F2937"/>
        </w:rPr>
      </w:pPr>
      <w:r>
        <w:rPr>
          <w:rFonts w:ascii="Source Sans Pro" w:hAnsi="Source Sans Pro"/>
          <w:color w:val="1F2937"/>
        </w:rPr>
        <w:t>Reports should include rationale for subgroup selection, statistical methods, and detailed results (effect estimates, confidence intervals, p-values).</w:t>
      </w:r>
    </w:p>
    <w:p w14:paraId="6F7FE776" w14:textId="77777777" w:rsidR="0009127E" w:rsidRDefault="0009127E" w:rsidP="0096054A"/>
    <w:p w14:paraId="5180403E" w14:textId="77777777" w:rsidR="0009127E" w:rsidRPr="0096054A" w:rsidRDefault="0009127E" w:rsidP="0096054A"/>
    <w:sectPr w:rsidR="0009127E" w:rsidRPr="0096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B94"/>
    <w:multiLevelType w:val="multilevel"/>
    <w:tmpl w:val="B28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923"/>
    <w:multiLevelType w:val="multilevel"/>
    <w:tmpl w:val="2AD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B5F"/>
    <w:multiLevelType w:val="multilevel"/>
    <w:tmpl w:val="7A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C1EDE"/>
    <w:multiLevelType w:val="multilevel"/>
    <w:tmpl w:val="A1B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12078"/>
    <w:multiLevelType w:val="multilevel"/>
    <w:tmpl w:val="B88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771DB"/>
    <w:multiLevelType w:val="multilevel"/>
    <w:tmpl w:val="560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36D9C"/>
    <w:multiLevelType w:val="multilevel"/>
    <w:tmpl w:val="AEB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C7892"/>
    <w:multiLevelType w:val="multilevel"/>
    <w:tmpl w:val="9D0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86ADE"/>
    <w:multiLevelType w:val="multilevel"/>
    <w:tmpl w:val="17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80D54"/>
    <w:multiLevelType w:val="multilevel"/>
    <w:tmpl w:val="F26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94D65"/>
    <w:multiLevelType w:val="multilevel"/>
    <w:tmpl w:val="A69C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10AA4"/>
    <w:multiLevelType w:val="multilevel"/>
    <w:tmpl w:val="E38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67899"/>
    <w:multiLevelType w:val="multilevel"/>
    <w:tmpl w:val="B146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619C7"/>
    <w:multiLevelType w:val="multilevel"/>
    <w:tmpl w:val="33A0D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150EC"/>
    <w:multiLevelType w:val="multilevel"/>
    <w:tmpl w:val="856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4080C"/>
    <w:multiLevelType w:val="multilevel"/>
    <w:tmpl w:val="ECC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56A48"/>
    <w:multiLevelType w:val="multilevel"/>
    <w:tmpl w:val="36B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B00EC"/>
    <w:multiLevelType w:val="multilevel"/>
    <w:tmpl w:val="29AA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00CA6"/>
    <w:multiLevelType w:val="multilevel"/>
    <w:tmpl w:val="D30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948EA"/>
    <w:multiLevelType w:val="multilevel"/>
    <w:tmpl w:val="E52E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C5866"/>
    <w:multiLevelType w:val="multilevel"/>
    <w:tmpl w:val="1FD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D7DB8"/>
    <w:multiLevelType w:val="multilevel"/>
    <w:tmpl w:val="98A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D65E1"/>
    <w:multiLevelType w:val="multilevel"/>
    <w:tmpl w:val="6F6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F041C"/>
    <w:multiLevelType w:val="multilevel"/>
    <w:tmpl w:val="8C3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C1C5E"/>
    <w:multiLevelType w:val="multilevel"/>
    <w:tmpl w:val="F5B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83767"/>
    <w:multiLevelType w:val="multilevel"/>
    <w:tmpl w:val="4CE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320D5"/>
    <w:multiLevelType w:val="multilevel"/>
    <w:tmpl w:val="9A7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94E79"/>
    <w:multiLevelType w:val="multilevel"/>
    <w:tmpl w:val="8C5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608B9"/>
    <w:multiLevelType w:val="multilevel"/>
    <w:tmpl w:val="AC42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122"/>
    <w:multiLevelType w:val="multilevel"/>
    <w:tmpl w:val="453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2630D"/>
    <w:multiLevelType w:val="multilevel"/>
    <w:tmpl w:val="6BF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B26AF"/>
    <w:multiLevelType w:val="multilevel"/>
    <w:tmpl w:val="76D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2185E"/>
    <w:multiLevelType w:val="multilevel"/>
    <w:tmpl w:val="2B4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A4F36"/>
    <w:multiLevelType w:val="multilevel"/>
    <w:tmpl w:val="03E0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C10D2"/>
    <w:multiLevelType w:val="multilevel"/>
    <w:tmpl w:val="15D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36A32"/>
    <w:multiLevelType w:val="multilevel"/>
    <w:tmpl w:val="99D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70047"/>
    <w:multiLevelType w:val="multilevel"/>
    <w:tmpl w:val="9D5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B6523"/>
    <w:multiLevelType w:val="multilevel"/>
    <w:tmpl w:val="9D8C7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A297E"/>
    <w:multiLevelType w:val="multilevel"/>
    <w:tmpl w:val="1BE8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7F428F"/>
    <w:multiLevelType w:val="multilevel"/>
    <w:tmpl w:val="489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A540F"/>
    <w:multiLevelType w:val="multilevel"/>
    <w:tmpl w:val="F51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D13BA"/>
    <w:multiLevelType w:val="multilevel"/>
    <w:tmpl w:val="E44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530AF"/>
    <w:multiLevelType w:val="multilevel"/>
    <w:tmpl w:val="A8C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3C5878"/>
    <w:multiLevelType w:val="multilevel"/>
    <w:tmpl w:val="947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70F32"/>
    <w:multiLevelType w:val="multilevel"/>
    <w:tmpl w:val="467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003103"/>
    <w:multiLevelType w:val="multilevel"/>
    <w:tmpl w:val="F4D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4E1AB5"/>
    <w:multiLevelType w:val="multilevel"/>
    <w:tmpl w:val="A13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2176B"/>
    <w:multiLevelType w:val="multilevel"/>
    <w:tmpl w:val="3B7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D570A"/>
    <w:multiLevelType w:val="multilevel"/>
    <w:tmpl w:val="C22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725D9B"/>
    <w:multiLevelType w:val="multilevel"/>
    <w:tmpl w:val="B6B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1A5C91"/>
    <w:multiLevelType w:val="multilevel"/>
    <w:tmpl w:val="D4A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D364C"/>
    <w:multiLevelType w:val="multilevel"/>
    <w:tmpl w:val="8BC2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C335DD"/>
    <w:multiLevelType w:val="multilevel"/>
    <w:tmpl w:val="46A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C734B"/>
    <w:multiLevelType w:val="multilevel"/>
    <w:tmpl w:val="CDF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A30645"/>
    <w:multiLevelType w:val="multilevel"/>
    <w:tmpl w:val="776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A7C97"/>
    <w:multiLevelType w:val="multilevel"/>
    <w:tmpl w:val="FA2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FD3FDC"/>
    <w:multiLevelType w:val="multilevel"/>
    <w:tmpl w:val="55F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2827A0"/>
    <w:multiLevelType w:val="multilevel"/>
    <w:tmpl w:val="D64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324A0D"/>
    <w:multiLevelType w:val="multilevel"/>
    <w:tmpl w:val="0EC6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71204"/>
    <w:multiLevelType w:val="multilevel"/>
    <w:tmpl w:val="8EE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B328A1"/>
    <w:multiLevelType w:val="multilevel"/>
    <w:tmpl w:val="E69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71197F"/>
    <w:multiLevelType w:val="multilevel"/>
    <w:tmpl w:val="AFC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1436F"/>
    <w:multiLevelType w:val="multilevel"/>
    <w:tmpl w:val="626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16687D"/>
    <w:multiLevelType w:val="multilevel"/>
    <w:tmpl w:val="867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C84C26"/>
    <w:multiLevelType w:val="multilevel"/>
    <w:tmpl w:val="101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633EA2"/>
    <w:multiLevelType w:val="multilevel"/>
    <w:tmpl w:val="1486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B706D3"/>
    <w:multiLevelType w:val="multilevel"/>
    <w:tmpl w:val="E52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41820"/>
    <w:multiLevelType w:val="multilevel"/>
    <w:tmpl w:val="617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2F1E39"/>
    <w:multiLevelType w:val="multilevel"/>
    <w:tmpl w:val="5CB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9145FA"/>
    <w:multiLevelType w:val="multilevel"/>
    <w:tmpl w:val="808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F964E8"/>
    <w:multiLevelType w:val="multilevel"/>
    <w:tmpl w:val="ADB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DD35E7"/>
    <w:multiLevelType w:val="multilevel"/>
    <w:tmpl w:val="5568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300396">
    <w:abstractNumId w:val="59"/>
  </w:num>
  <w:num w:numId="2" w16cid:durableId="789713096">
    <w:abstractNumId w:val="39"/>
  </w:num>
  <w:num w:numId="3" w16cid:durableId="136917063">
    <w:abstractNumId w:val="64"/>
  </w:num>
  <w:num w:numId="4" w16cid:durableId="717360374">
    <w:abstractNumId w:val="28"/>
  </w:num>
  <w:num w:numId="5" w16cid:durableId="2016491558">
    <w:abstractNumId w:val="47"/>
  </w:num>
  <w:num w:numId="6" w16cid:durableId="1149594347">
    <w:abstractNumId w:val="43"/>
  </w:num>
  <w:num w:numId="7" w16cid:durableId="1952319650">
    <w:abstractNumId w:val="66"/>
  </w:num>
  <w:num w:numId="8" w16cid:durableId="2098549511">
    <w:abstractNumId w:val="66"/>
  </w:num>
  <w:num w:numId="9" w16cid:durableId="1331642273">
    <w:abstractNumId w:val="66"/>
  </w:num>
  <w:num w:numId="10" w16cid:durableId="2078893232">
    <w:abstractNumId w:val="49"/>
  </w:num>
  <w:num w:numId="11" w16cid:durableId="1019745767">
    <w:abstractNumId w:val="61"/>
  </w:num>
  <w:num w:numId="12" w16cid:durableId="2069260058">
    <w:abstractNumId w:val="63"/>
  </w:num>
  <w:num w:numId="13" w16cid:durableId="456029060">
    <w:abstractNumId w:val="70"/>
  </w:num>
  <w:num w:numId="14" w16cid:durableId="315644341">
    <w:abstractNumId w:val="62"/>
  </w:num>
  <w:num w:numId="15" w16cid:durableId="1136602231">
    <w:abstractNumId w:val="36"/>
  </w:num>
  <w:num w:numId="16" w16cid:durableId="120077295">
    <w:abstractNumId w:val="69"/>
  </w:num>
  <w:num w:numId="17" w16cid:durableId="1050227808">
    <w:abstractNumId w:val="4"/>
  </w:num>
  <w:num w:numId="18" w16cid:durableId="1855806101">
    <w:abstractNumId w:val="67"/>
  </w:num>
  <w:num w:numId="19" w16cid:durableId="1504541623">
    <w:abstractNumId w:val="52"/>
  </w:num>
  <w:num w:numId="20" w16cid:durableId="1470241673">
    <w:abstractNumId w:val="65"/>
  </w:num>
  <w:num w:numId="21" w16cid:durableId="1965260516">
    <w:abstractNumId w:val="1"/>
  </w:num>
  <w:num w:numId="22" w16cid:durableId="914242857">
    <w:abstractNumId w:val="35"/>
  </w:num>
  <w:num w:numId="23" w16cid:durableId="648242220">
    <w:abstractNumId w:val="15"/>
  </w:num>
  <w:num w:numId="24" w16cid:durableId="362361526">
    <w:abstractNumId w:val="50"/>
  </w:num>
  <w:num w:numId="25" w16cid:durableId="2004578726">
    <w:abstractNumId w:val="20"/>
  </w:num>
  <w:num w:numId="26" w16cid:durableId="1868716618">
    <w:abstractNumId w:val="26"/>
  </w:num>
  <w:num w:numId="27" w16cid:durableId="199167137">
    <w:abstractNumId w:val="8"/>
  </w:num>
  <w:num w:numId="28" w16cid:durableId="2052218100">
    <w:abstractNumId w:val="16"/>
  </w:num>
  <w:num w:numId="29" w16cid:durableId="361059153">
    <w:abstractNumId w:val="24"/>
  </w:num>
  <w:num w:numId="30" w16cid:durableId="98573095">
    <w:abstractNumId w:val="2"/>
  </w:num>
  <w:num w:numId="31" w16cid:durableId="2090467500">
    <w:abstractNumId w:val="60"/>
  </w:num>
  <w:num w:numId="32" w16cid:durableId="1700738664">
    <w:abstractNumId w:val="57"/>
  </w:num>
  <w:num w:numId="33" w16cid:durableId="1928535740">
    <w:abstractNumId w:val="29"/>
  </w:num>
  <w:num w:numId="34" w16cid:durableId="1463577888">
    <w:abstractNumId w:val="31"/>
  </w:num>
  <w:num w:numId="35" w16cid:durableId="1397774990">
    <w:abstractNumId w:val="22"/>
  </w:num>
  <w:num w:numId="36" w16cid:durableId="1253511310">
    <w:abstractNumId w:val="30"/>
  </w:num>
  <w:num w:numId="37" w16cid:durableId="88741870">
    <w:abstractNumId w:val="45"/>
  </w:num>
  <w:num w:numId="38" w16cid:durableId="750277856">
    <w:abstractNumId w:val="25"/>
  </w:num>
  <w:num w:numId="39" w16cid:durableId="1356347844">
    <w:abstractNumId w:val="34"/>
  </w:num>
  <w:num w:numId="40" w16cid:durableId="938025023">
    <w:abstractNumId w:val="53"/>
  </w:num>
  <w:num w:numId="41" w16cid:durableId="1215240197">
    <w:abstractNumId w:val="41"/>
  </w:num>
  <w:num w:numId="42" w16cid:durableId="162018095">
    <w:abstractNumId w:val="27"/>
  </w:num>
  <w:num w:numId="43" w16cid:durableId="1439521079">
    <w:abstractNumId w:val="32"/>
  </w:num>
  <w:num w:numId="44" w16cid:durableId="1019820725">
    <w:abstractNumId w:val="46"/>
  </w:num>
  <w:num w:numId="45" w16cid:durableId="1551068488">
    <w:abstractNumId w:val="68"/>
  </w:num>
  <w:num w:numId="46" w16cid:durableId="1204369842">
    <w:abstractNumId w:val="23"/>
  </w:num>
  <w:num w:numId="47" w16cid:durableId="793904833">
    <w:abstractNumId w:val="17"/>
  </w:num>
  <w:num w:numId="48" w16cid:durableId="452215497">
    <w:abstractNumId w:val="42"/>
  </w:num>
  <w:num w:numId="49" w16cid:durableId="1540971342">
    <w:abstractNumId w:val="44"/>
  </w:num>
  <w:num w:numId="50" w16cid:durableId="1634751730">
    <w:abstractNumId w:val="7"/>
  </w:num>
  <w:num w:numId="51" w16cid:durableId="718289866">
    <w:abstractNumId w:val="48"/>
  </w:num>
  <w:num w:numId="52" w16cid:durableId="1679041741">
    <w:abstractNumId w:val="56"/>
  </w:num>
  <w:num w:numId="53" w16cid:durableId="135533395">
    <w:abstractNumId w:val="6"/>
  </w:num>
  <w:num w:numId="54" w16cid:durableId="91241285">
    <w:abstractNumId w:val="71"/>
  </w:num>
  <w:num w:numId="55" w16cid:durableId="942417661">
    <w:abstractNumId w:val="3"/>
  </w:num>
  <w:num w:numId="56" w16cid:durableId="2139451786">
    <w:abstractNumId w:val="54"/>
  </w:num>
  <w:num w:numId="57" w16cid:durableId="1598060370">
    <w:abstractNumId w:val="9"/>
  </w:num>
  <w:num w:numId="58" w16cid:durableId="47655235">
    <w:abstractNumId w:val="40"/>
  </w:num>
  <w:num w:numId="59" w16cid:durableId="1886795581">
    <w:abstractNumId w:val="21"/>
  </w:num>
  <w:num w:numId="60" w16cid:durableId="388497758">
    <w:abstractNumId w:val="33"/>
  </w:num>
  <w:num w:numId="61" w16cid:durableId="786891015">
    <w:abstractNumId w:val="18"/>
  </w:num>
  <w:num w:numId="62" w16cid:durableId="869956540">
    <w:abstractNumId w:val="12"/>
  </w:num>
  <w:num w:numId="63" w16cid:durableId="1332685201">
    <w:abstractNumId w:val="19"/>
  </w:num>
  <w:num w:numId="64" w16cid:durableId="1299527142">
    <w:abstractNumId w:val="37"/>
  </w:num>
  <w:num w:numId="65" w16cid:durableId="1766344522">
    <w:abstractNumId w:val="58"/>
  </w:num>
  <w:num w:numId="66" w16cid:durableId="1103724029">
    <w:abstractNumId w:val="13"/>
  </w:num>
  <w:num w:numId="67" w16cid:durableId="441582680">
    <w:abstractNumId w:val="10"/>
  </w:num>
  <w:num w:numId="68" w16cid:durableId="131366889">
    <w:abstractNumId w:val="51"/>
  </w:num>
  <w:num w:numId="69" w16cid:durableId="1562211199">
    <w:abstractNumId w:val="38"/>
  </w:num>
  <w:num w:numId="70" w16cid:durableId="253169523">
    <w:abstractNumId w:val="14"/>
  </w:num>
  <w:num w:numId="71" w16cid:durableId="1379814150">
    <w:abstractNumId w:val="5"/>
  </w:num>
  <w:num w:numId="72" w16cid:durableId="1452895996">
    <w:abstractNumId w:val="55"/>
  </w:num>
  <w:num w:numId="73" w16cid:durableId="111367870">
    <w:abstractNumId w:val="0"/>
  </w:num>
  <w:num w:numId="74" w16cid:durableId="1183714127">
    <w:abstractNumId w:val="72"/>
  </w:num>
  <w:num w:numId="75" w16cid:durableId="117915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EA"/>
    <w:rsid w:val="0009127E"/>
    <w:rsid w:val="000B092C"/>
    <w:rsid w:val="00144FDD"/>
    <w:rsid w:val="00217BF8"/>
    <w:rsid w:val="002A2F09"/>
    <w:rsid w:val="00325796"/>
    <w:rsid w:val="00330EDF"/>
    <w:rsid w:val="003F33A8"/>
    <w:rsid w:val="00402DC9"/>
    <w:rsid w:val="004605C1"/>
    <w:rsid w:val="0046543C"/>
    <w:rsid w:val="0055244A"/>
    <w:rsid w:val="00675C29"/>
    <w:rsid w:val="008365A9"/>
    <w:rsid w:val="00882A10"/>
    <w:rsid w:val="008D2289"/>
    <w:rsid w:val="00956617"/>
    <w:rsid w:val="0096054A"/>
    <w:rsid w:val="00967367"/>
    <w:rsid w:val="009714BB"/>
    <w:rsid w:val="00974531"/>
    <w:rsid w:val="00A02428"/>
    <w:rsid w:val="00B50CDF"/>
    <w:rsid w:val="00C7671C"/>
    <w:rsid w:val="00CF7914"/>
    <w:rsid w:val="00D208C8"/>
    <w:rsid w:val="00DB5D03"/>
    <w:rsid w:val="00DC4274"/>
    <w:rsid w:val="00DE2CD8"/>
    <w:rsid w:val="00E963EA"/>
    <w:rsid w:val="00EE399A"/>
    <w:rsid w:val="00F42F34"/>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7C53FBE"/>
  <w15:chartTrackingRefBased/>
  <w15:docId w15:val="{5F147C1E-EFD4-7F48-A052-9DD669A9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4A"/>
  </w:style>
  <w:style w:type="paragraph" w:styleId="Heading1">
    <w:name w:val="heading 1"/>
    <w:basedOn w:val="Normal"/>
    <w:next w:val="Normal"/>
    <w:link w:val="Heading1Char"/>
    <w:uiPriority w:val="9"/>
    <w:qFormat/>
    <w:rsid w:val="0055244A"/>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semiHidden/>
    <w:unhideWhenUsed/>
    <w:qFormat/>
    <w:rsid w:val="0055244A"/>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semiHidden/>
    <w:unhideWhenUsed/>
    <w:qFormat/>
    <w:rsid w:val="0055244A"/>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55244A"/>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55244A"/>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55244A"/>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5524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244A"/>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5524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4A"/>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semiHidden/>
    <w:rsid w:val="0055244A"/>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semiHidden/>
    <w:rsid w:val="0055244A"/>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55244A"/>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55244A"/>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55244A"/>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5524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244A"/>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5524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5244A"/>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kern w:val="28"/>
      <w:sz w:val="52"/>
      <w:szCs w:val="52"/>
    </w:rPr>
  </w:style>
  <w:style w:type="character" w:customStyle="1" w:styleId="TitleChar">
    <w:name w:val="Title Char"/>
    <w:basedOn w:val="DefaultParagraphFont"/>
    <w:link w:val="Title"/>
    <w:uiPriority w:val="10"/>
    <w:rsid w:val="0055244A"/>
    <w:rPr>
      <w:rFonts w:asciiTheme="majorHAnsi" w:eastAsiaTheme="majorEastAsia" w:hAnsiTheme="majorHAnsi" w:cstheme="majorBidi"/>
      <w:color w:val="75280A" w:themeColor="text2" w:themeShade="BF"/>
      <w:spacing w:val="5"/>
      <w:kern w:val="28"/>
      <w:sz w:val="52"/>
      <w:szCs w:val="52"/>
    </w:rPr>
  </w:style>
  <w:style w:type="paragraph" w:styleId="Subtitle">
    <w:name w:val="Subtitle"/>
    <w:basedOn w:val="Normal"/>
    <w:next w:val="Normal"/>
    <w:link w:val="SubtitleChar"/>
    <w:uiPriority w:val="11"/>
    <w:qFormat/>
    <w:rsid w:val="0055244A"/>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55244A"/>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55244A"/>
    <w:rPr>
      <w:i/>
      <w:iCs/>
      <w:color w:val="000000" w:themeColor="text1"/>
    </w:rPr>
  </w:style>
  <w:style w:type="character" w:customStyle="1" w:styleId="QuoteChar">
    <w:name w:val="Quote Char"/>
    <w:basedOn w:val="DefaultParagraphFont"/>
    <w:link w:val="Quote"/>
    <w:uiPriority w:val="29"/>
    <w:rsid w:val="0055244A"/>
    <w:rPr>
      <w:i/>
      <w:iCs/>
      <w:color w:val="000000" w:themeColor="text1"/>
    </w:rPr>
  </w:style>
  <w:style w:type="paragraph" w:styleId="ListParagraph">
    <w:name w:val="List Paragraph"/>
    <w:basedOn w:val="Normal"/>
    <w:uiPriority w:val="34"/>
    <w:qFormat/>
    <w:rsid w:val="0055244A"/>
    <w:pPr>
      <w:ind w:left="720"/>
      <w:contextualSpacing/>
    </w:pPr>
  </w:style>
  <w:style w:type="character" w:styleId="IntenseEmphasis">
    <w:name w:val="Intense Emphasis"/>
    <w:basedOn w:val="DefaultParagraphFont"/>
    <w:uiPriority w:val="21"/>
    <w:qFormat/>
    <w:rsid w:val="0055244A"/>
    <w:rPr>
      <w:b/>
      <w:bCs/>
      <w:i/>
      <w:iCs/>
      <w:color w:val="F09415" w:themeColor="accent1"/>
    </w:rPr>
  </w:style>
  <w:style w:type="paragraph" w:styleId="IntenseQuote">
    <w:name w:val="Intense Quote"/>
    <w:basedOn w:val="Normal"/>
    <w:next w:val="Normal"/>
    <w:link w:val="IntenseQuoteChar"/>
    <w:uiPriority w:val="30"/>
    <w:qFormat/>
    <w:rsid w:val="0055244A"/>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55244A"/>
    <w:rPr>
      <w:b/>
      <w:bCs/>
      <w:i/>
      <w:iCs/>
      <w:color w:val="F09415" w:themeColor="accent1"/>
    </w:rPr>
  </w:style>
  <w:style w:type="character" w:styleId="IntenseReference">
    <w:name w:val="Intense Reference"/>
    <w:basedOn w:val="DefaultParagraphFont"/>
    <w:uiPriority w:val="32"/>
    <w:qFormat/>
    <w:rsid w:val="0055244A"/>
    <w:rPr>
      <w:b/>
      <w:bCs/>
      <w:smallCaps/>
      <w:color w:val="C1B56B" w:themeColor="accent2"/>
      <w:spacing w:val="5"/>
      <w:u w:val="single"/>
    </w:rPr>
  </w:style>
  <w:style w:type="paragraph" w:styleId="NormalWeb">
    <w:name w:val="Normal (Web)"/>
    <w:basedOn w:val="Normal"/>
    <w:uiPriority w:val="99"/>
    <w:semiHidden/>
    <w:unhideWhenUsed/>
    <w:rsid w:val="00402DC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5244A"/>
    <w:rPr>
      <w:b/>
      <w:bCs/>
    </w:rPr>
  </w:style>
  <w:style w:type="paragraph" w:styleId="Caption">
    <w:name w:val="caption"/>
    <w:basedOn w:val="Normal"/>
    <w:next w:val="Normal"/>
    <w:uiPriority w:val="35"/>
    <w:semiHidden/>
    <w:unhideWhenUsed/>
    <w:qFormat/>
    <w:rsid w:val="0055244A"/>
    <w:pPr>
      <w:spacing w:line="240" w:lineRule="auto"/>
    </w:pPr>
    <w:rPr>
      <w:b/>
      <w:bCs/>
      <w:color w:val="F09415" w:themeColor="accent1"/>
      <w:sz w:val="18"/>
      <w:szCs w:val="18"/>
    </w:rPr>
  </w:style>
  <w:style w:type="character" w:styleId="Emphasis">
    <w:name w:val="Emphasis"/>
    <w:basedOn w:val="DefaultParagraphFont"/>
    <w:uiPriority w:val="20"/>
    <w:qFormat/>
    <w:rsid w:val="0055244A"/>
    <w:rPr>
      <w:i/>
      <w:iCs/>
    </w:rPr>
  </w:style>
  <w:style w:type="paragraph" w:styleId="NoSpacing">
    <w:name w:val="No Spacing"/>
    <w:link w:val="NoSpacingChar"/>
    <w:uiPriority w:val="1"/>
    <w:qFormat/>
    <w:rsid w:val="0055244A"/>
    <w:pPr>
      <w:spacing w:after="0" w:line="240" w:lineRule="auto"/>
    </w:pPr>
  </w:style>
  <w:style w:type="character" w:customStyle="1" w:styleId="NoSpacingChar">
    <w:name w:val="No Spacing Char"/>
    <w:basedOn w:val="DefaultParagraphFont"/>
    <w:link w:val="NoSpacing"/>
    <w:uiPriority w:val="1"/>
    <w:rsid w:val="0055244A"/>
  </w:style>
  <w:style w:type="character" w:styleId="SubtleEmphasis">
    <w:name w:val="Subtle Emphasis"/>
    <w:basedOn w:val="DefaultParagraphFont"/>
    <w:uiPriority w:val="19"/>
    <w:qFormat/>
    <w:rsid w:val="0055244A"/>
    <w:rPr>
      <w:i/>
      <w:iCs/>
      <w:color w:val="808080" w:themeColor="text1" w:themeTint="7F"/>
    </w:rPr>
  </w:style>
  <w:style w:type="character" w:styleId="SubtleReference">
    <w:name w:val="Subtle Reference"/>
    <w:basedOn w:val="DefaultParagraphFont"/>
    <w:uiPriority w:val="31"/>
    <w:qFormat/>
    <w:rsid w:val="0055244A"/>
    <w:rPr>
      <w:smallCaps/>
      <w:color w:val="C1B56B" w:themeColor="accent2"/>
      <w:u w:val="single"/>
    </w:rPr>
  </w:style>
  <w:style w:type="character" w:styleId="BookTitle">
    <w:name w:val="Book Title"/>
    <w:basedOn w:val="DefaultParagraphFont"/>
    <w:uiPriority w:val="33"/>
    <w:qFormat/>
    <w:rsid w:val="0055244A"/>
    <w:rPr>
      <w:b/>
      <w:bCs/>
      <w:smallCaps/>
      <w:spacing w:val="5"/>
    </w:rPr>
  </w:style>
  <w:style w:type="paragraph" w:styleId="TOCHeading">
    <w:name w:val="TOC Heading"/>
    <w:basedOn w:val="Heading1"/>
    <w:next w:val="Normal"/>
    <w:uiPriority w:val="39"/>
    <w:semiHidden/>
    <w:unhideWhenUsed/>
    <w:qFormat/>
    <w:rsid w:val="0055244A"/>
    <w:pPr>
      <w:outlineLvl w:val="9"/>
    </w:pPr>
  </w:style>
  <w:style w:type="paragraph" w:customStyle="1" w:styleId="PersonalName">
    <w:name w:val="Personal Name"/>
    <w:basedOn w:val="Title"/>
    <w:rsid w:val="00956617"/>
    <w:rPr>
      <w:b/>
      <w:caps/>
      <w:color w:val="000000"/>
      <w:sz w:val="28"/>
      <w:szCs w:val="28"/>
    </w:rPr>
  </w:style>
  <w:style w:type="character" w:customStyle="1" w:styleId="svelte-15hifvz">
    <w:name w:val="svelte-15hifvz"/>
    <w:basedOn w:val="DefaultParagraphFont"/>
    <w:rsid w:val="00330EDF"/>
  </w:style>
  <w:style w:type="character" w:styleId="Hyperlink">
    <w:name w:val="Hyperlink"/>
    <w:basedOn w:val="DefaultParagraphFont"/>
    <w:uiPriority w:val="99"/>
    <w:semiHidden/>
    <w:unhideWhenUsed/>
    <w:rsid w:val="00EE39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nsort-statement.org/extensions?content=subgroup-analysis" TargetMode="Externa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09C86-9D8D-4A40-8887-D510A6DF0D94}">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15</Pages>
  <Words>3611</Words>
  <Characters>20588</Characters>
  <Application>Microsoft Office Word</Application>
  <DocSecurity>0</DocSecurity>
  <Lines>171</Lines>
  <Paragraphs>48</Paragraphs>
  <ScaleCrop>false</ScaleCrop>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Larry</dc:creator>
  <cp:keywords/>
  <dc:description/>
  <cp:lastModifiedBy>León, Larry</cp:lastModifiedBy>
  <cp:revision>31</cp:revision>
  <dcterms:created xsi:type="dcterms:W3CDTF">2025-08-12T20:06:00Z</dcterms:created>
  <dcterms:modified xsi:type="dcterms:W3CDTF">2025-08-12T21:35:00Z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2025-08-12T20:09:06Z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f8e2b8e1-8a07-4a71-b343-3aaa928906bb</vt:lpwstr>
  </property>
  <property fmtid="{D5CDD505-2E9C-101B-9397-08002B2CF9AE}" pid="8" name="MSIP_Label_e81acc0d-dcc4-4dc9-a2c5-be70b05a2fe6_ContentBits">
    <vt:lpwstr>0</vt:lpwstr>
  </property>
  <property fmtid="{D5CDD505-2E9C-101B-9397-08002B2CF9AE}" pid="9" name="MSIP_Label_e81acc0d-dcc4-4dc9-a2c5-be70b05a2fe6_Tag">
    <vt:lpwstr>50, 0, 1, 1</vt:lpwstr>
  </property>
</Properties>
</file>