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6D485" w14:textId="77777777" w:rsidR="00236983" w:rsidRDefault="00000000">
      <w:pPr>
        <w:pStyle w:val="Title"/>
      </w:pPr>
      <w:r>
        <w:t>Comprehensive Guide: Subgroup Analyses in Clinical Trials</w:t>
      </w:r>
    </w:p>
    <w:p w14:paraId="2546D486" w14:textId="77777777" w:rsidR="00236983" w:rsidRDefault="00000000">
      <w:pPr>
        <w:pStyle w:val="Subtitle"/>
      </w:pPr>
      <w:r>
        <w:t>Regulatory Perspectives, Case Examples, and Practical Recommendations</w:t>
      </w:r>
    </w:p>
    <w:p w14:paraId="2546D487" w14:textId="77777777" w:rsidR="00236983" w:rsidRDefault="00000000">
      <w:pPr>
        <w:pStyle w:val="Author"/>
      </w:pPr>
      <w:r>
        <w:t>Larry Leon, Alison Pedley, …</w:t>
      </w:r>
    </w:p>
    <w:p w14:paraId="2546D488" w14:textId="77777777" w:rsidR="00236983" w:rsidRDefault="00000000" w:rsidP="001E422D">
      <w:pPr>
        <w:pStyle w:val="Heading1"/>
      </w:pPr>
      <w:r>
        <w:t>2025-10-15</w:t>
      </w:r>
    </w:p>
    <w:sdt>
      <w:sdtPr>
        <w:rPr>
          <w:rFonts w:asciiTheme="minorHAnsi" w:eastAsiaTheme="minorHAnsi" w:hAnsiTheme="minorHAnsi" w:cstheme="minorBidi"/>
          <w:color w:val="auto"/>
          <w:sz w:val="24"/>
          <w:szCs w:val="24"/>
        </w:rPr>
        <w:id w:val="1253782096"/>
        <w:docPartObj>
          <w:docPartGallery w:val="Table of Contents"/>
          <w:docPartUnique/>
        </w:docPartObj>
      </w:sdtPr>
      <w:sdtContent>
        <w:p w14:paraId="2546D489" w14:textId="77777777" w:rsidR="00236983" w:rsidRDefault="00000000">
          <w:pPr>
            <w:pStyle w:val="TOCHeading"/>
          </w:pPr>
          <w:r>
            <w:t>Table of contents</w:t>
          </w:r>
        </w:p>
        <w:p w14:paraId="2546D48A" w14:textId="77777777" w:rsidR="00236983" w:rsidRDefault="00000000">
          <w:r>
            <w:fldChar w:fldCharType="begin"/>
          </w:r>
          <w:r>
            <w:instrText>TOC \o "1-3" \h \z \u</w:instrText>
          </w:r>
          <w:r>
            <w:fldChar w:fldCharType="separate"/>
          </w:r>
          <w:r>
            <w:fldChar w:fldCharType="end"/>
          </w:r>
        </w:p>
      </w:sdtContent>
    </w:sdt>
    <w:p w14:paraId="2546D48B" w14:textId="77777777" w:rsidR="00236983" w:rsidRDefault="00000000">
      <w:pPr>
        <w:pStyle w:val="Heading1"/>
      </w:pPr>
      <w:bookmarkStart w:id="0" w:name="executive-summary"/>
      <w:r>
        <w:t>1. Executive Summary</w:t>
      </w:r>
    </w:p>
    <w:p w14:paraId="2546D48C" w14:textId="77777777" w:rsidR="00236983" w:rsidRDefault="00000000">
      <w:pPr>
        <w:pStyle w:val="FirstParagraph"/>
      </w:pPr>
      <w:r>
        <w:t>This document provides comprehensive guidance on conducting, interpreting, and reporting subgroup analyses in confirmatory clinical trials, with emphasis on oncology and general therapeutic areas. It synthesizes FDA and EMA regulatory perspectives, international guidelines, and real-world case examples to provide practical recommendations for researchers, sponsors, and regulatory reviewers.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236983" w14:paraId="2546D48E" w14:textId="77777777" w:rsidTr="00236983">
        <w:trPr>
          <w:cantSplit/>
        </w:trPr>
        <w:tc>
          <w:tcPr>
            <w:tcW w:w="0" w:type="auto"/>
            <w:shd w:val="clear" w:color="auto" w:fill="DAE6FB"/>
            <w:tcMar>
              <w:top w:w="92" w:type="dxa"/>
              <w:bottom w:w="92" w:type="dxa"/>
            </w:tcMar>
          </w:tcPr>
          <w:p w14:paraId="2546D48D" w14:textId="77777777" w:rsidR="00236983" w:rsidRDefault="00000000">
            <w:pPr>
              <w:pStyle w:val="BodyText"/>
              <w:spacing w:before="0" w:after="0"/>
              <w:textAlignment w:val="center"/>
            </w:pPr>
            <w:r>
              <w:rPr>
                <w:noProof/>
              </w:rPr>
              <w:drawing>
                <wp:inline distT="0" distB="0" distL="0" distR="0" wp14:anchorId="2546D700" wp14:editId="2546D701">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plications/RStudio.app/Contents/Resources/app/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Key Point</w:t>
            </w:r>
          </w:p>
        </w:tc>
      </w:tr>
      <w:tr w:rsidR="00236983" w14:paraId="2546D490" w14:textId="77777777" w:rsidTr="00236983">
        <w:trPr>
          <w:cantSplit/>
        </w:trPr>
        <w:tc>
          <w:tcPr>
            <w:tcW w:w="0" w:type="auto"/>
            <w:tcMar>
              <w:top w:w="108" w:type="dxa"/>
              <w:bottom w:w="108" w:type="dxa"/>
            </w:tcMar>
          </w:tcPr>
          <w:p w14:paraId="2546D48F" w14:textId="77777777" w:rsidR="00236983" w:rsidRDefault="00000000">
            <w:pPr>
              <w:pStyle w:val="BodyText"/>
              <w:spacing w:before="16" w:after="16"/>
            </w:pPr>
            <w:r>
              <w:t>Subgroup analyses are essential for personalized medicine and regulatory decision-making but require careful planning, rigorous methods, and cautious interpretation to avoid misleading conclusions. Both FDA and EMA emphasize the importance of pre-specification, biological plausibility, and replication.</w:t>
            </w:r>
          </w:p>
        </w:tc>
      </w:tr>
    </w:tbl>
    <w:p w14:paraId="2546D491" w14:textId="77777777" w:rsidR="00236983" w:rsidRDefault="00944016">
      <w:r>
        <w:rPr>
          <w:noProof/>
        </w:rPr>
      </w:r>
      <w:r w:rsidR="00944016">
        <w:rPr>
          <w:noProof/>
        </w:rPr>
        <w:pict w14:anchorId="2546D702">
          <v:rect id="_x0000_i1025" alt="" style="width:468pt;height:.05pt;mso-width-percent:0;mso-height-percent:0;mso-width-percent:0;mso-height-percent:0" o:hralign="center" o:hrstd="t" o:hr="t"/>
        </w:pict>
      </w:r>
    </w:p>
    <w:p w14:paraId="2546D492" w14:textId="77777777" w:rsidR="00236983" w:rsidRDefault="00000000">
      <w:pPr>
        <w:pStyle w:val="Heading1"/>
      </w:pPr>
      <w:bookmarkStart w:id="1" w:name="part-1-foundational-principles"/>
      <w:bookmarkEnd w:id="0"/>
      <w:r>
        <w:t>2. Part 1: Foundational Principles</w:t>
      </w:r>
    </w:p>
    <w:p w14:paraId="2546D493" w14:textId="77777777" w:rsidR="00236983" w:rsidRDefault="00000000">
      <w:pPr>
        <w:pStyle w:val="Heading2"/>
      </w:pPr>
      <w:bookmarkStart w:id="2" w:name="purpose-of-subgroup-analyses"/>
      <w:r>
        <w:t>2.1 Purpose of Subgroup Analyses</w:t>
      </w:r>
    </w:p>
    <w:p w14:paraId="2546D494" w14:textId="77777777" w:rsidR="00236983" w:rsidRDefault="00000000">
      <w:pPr>
        <w:pStyle w:val="FirstParagraph"/>
      </w:pPr>
      <w:r>
        <w:t>Subgroup analyses assess treatment effects in specific patient subsets within a clinical trial, typically defined by:</w:t>
      </w:r>
    </w:p>
    <w:p w14:paraId="2546D495" w14:textId="77777777" w:rsidR="00236983" w:rsidRDefault="00000000">
      <w:pPr>
        <w:pStyle w:val="Compact"/>
        <w:numPr>
          <w:ilvl w:val="0"/>
          <w:numId w:val="2"/>
        </w:numPr>
      </w:pPr>
      <w:r>
        <w:rPr>
          <w:b/>
          <w:bCs/>
        </w:rPr>
        <w:t>Demographics:</w:t>
      </w:r>
      <w:r>
        <w:t xml:space="preserve"> Age, sex, race, ethnicity</w:t>
      </w:r>
    </w:p>
    <w:p w14:paraId="2546D496" w14:textId="77777777" w:rsidR="00236983" w:rsidRDefault="00000000">
      <w:pPr>
        <w:pStyle w:val="Compact"/>
        <w:numPr>
          <w:ilvl w:val="0"/>
          <w:numId w:val="2"/>
        </w:numPr>
      </w:pPr>
      <w:r>
        <w:rPr>
          <w:b/>
          <w:bCs/>
        </w:rPr>
        <w:t>Clinical characteristics:</w:t>
      </w:r>
      <w:r>
        <w:t xml:space="preserve"> Disease severity, stage, histology, comorbidities</w:t>
      </w:r>
    </w:p>
    <w:p w14:paraId="2546D497" w14:textId="77777777" w:rsidR="00236983" w:rsidRDefault="00000000">
      <w:pPr>
        <w:pStyle w:val="Compact"/>
        <w:numPr>
          <w:ilvl w:val="0"/>
          <w:numId w:val="2"/>
        </w:numPr>
      </w:pPr>
      <w:r>
        <w:rPr>
          <w:b/>
          <w:bCs/>
        </w:rPr>
        <w:t>Molecular markers:</w:t>
      </w:r>
      <w:r>
        <w:t xml:space="preserve"> PD-L1 expression, HRD status, genetic alterations</w:t>
      </w:r>
    </w:p>
    <w:p w14:paraId="2546D498" w14:textId="77777777" w:rsidR="00236983" w:rsidRDefault="00000000">
      <w:pPr>
        <w:pStyle w:val="Compact"/>
        <w:numPr>
          <w:ilvl w:val="0"/>
          <w:numId w:val="2"/>
        </w:numPr>
      </w:pPr>
      <w:r>
        <w:rPr>
          <w:b/>
          <w:bCs/>
        </w:rPr>
        <w:t>Geographic factors:</w:t>
      </w:r>
      <w:r>
        <w:t xml:space="preserve"> Region, study site, country</w:t>
      </w:r>
    </w:p>
    <w:p w14:paraId="2546D499" w14:textId="77777777" w:rsidR="00236983" w:rsidRDefault="00000000">
      <w:pPr>
        <w:pStyle w:val="Compact"/>
        <w:numPr>
          <w:ilvl w:val="0"/>
          <w:numId w:val="2"/>
        </w:numPr>
      </w:pPr>
      <w:r>
        <w:rPr>
          <w:b/>
          <w:bCs/>
        </w:rPr>
        <w:lastRenderedPageBreak/>
        <w:t>Baseline risk factors and prognostic scores</w:t>
      </w:r>
    </w:p>
    <w:p w14:paraId="2546D49A" w14:textId="77777777" w:rsidR="00236983" w:rsidRDefault="00000000">
      <w:pPr>
        <w:pStyle w:val="Heading3"/>
      </w:pPr>
      <w:bookmarkStart w:id="3" w:name="primary-goals"/>
      <w:r>
        <w:t>2.1.1 Primary Goals</w:t>
      </w:r>
    </w:p>
    <w:p w14:paraId="2546D49B" w14:textId="77777777" w:rsidR="00236983" w:rsidRDefault="00000000">
      <w:pPr>
        <w:pStyle w:val="Compact"/>
        <w:numPr>
          <w:ilvl w:val="0"/>
          <w:numId w:val="3"/>
        </w:numPr>
      </w:pPr>
      <w:r>
        <w:t>Identify heterogeneity in treatment effects across patient populations</w:t>
      </w:r>
    </w:p>
    <w:p w14:paraId="2546D49C" w14:textId="77777777" w:rsidR="00236983" w:rsidRDefault="00000000">
      <w:pPr>
        <w:pStyle w:val="Compact"/>
        <w:numPr>
          <w:ilvl w:val="0"/>
          <w:numId w:val="3"/>
        </w:numPr>
      </w:pPr>
      <w:r>
        <w:t>Support regulatory decision-making and labeling</w:t>
      </w:r>
    </w:p>
    <w:p w14:paraId="2546D49D" w14:textId="77777777" w:rsidR="00236983" w:rsidRDefault="00000000">
      <w:pPr>
        <w:pStyle w:val="Compact"/>
        <w:numPr>
          <w:ilvl w:val="0"/>
          <w:numId w:val="3"/>
        </w:numPr>
      </w:pPr>
      <w:r>
        <w:t>Inform clinical practice and individualized treatment decisions</w:t>
      </w:r>
    </w:p>
    <w:p w14:paraId="2546D49E" w14:textId="77777777" w:rsidR="00236983" w:rsidRDefault="00000000">
      <w:pPr>
        <w:pStyle w:val="Compact"/>
        <w:numPr>
          <w:ilvl w:val="0"/>
          <w:numId w:val="3"/>
        </w:numPr>
      </w:pPr>
      <w:r>
        <w:t>Generate hypotheses for future research</w:t>
      </w:r>
    </w:p>
    <w:p w14:paraId="2546D49F" w14:textId="77777777" w:rsidR="00236983" w:rsidRDefault="00000000">
      <w:pPr>
        <w:pStyle w:val="Compact"/>
        <w:numPr>
          <w:ilvl w:val="0"/>
          <w:numId w:val="3"/>
        </w:numPr>
      </w:pPr>
      <w:r>
        <w:t>Verify consistency of overall trial conclusions across key subgroups</w:t>
      </w:r>
    </w:p>
    <w:p w14:paraId="2546D4A0" w14:textId="77777777" w:rsidR="00236983" w:rsidRDefault="00000000">
      <w:pPr>
        <w:pStyle w:val="Heading2"/>
      </w:pPr>
      <w:bookmarkStart w:id="4" w:name="key-regulatory-concepts"/>
      <w:bookmarkEnd w:id="2"/>
      <w:bookmarkEnd w:id="3"/>
      <w:r>
        <w:t>2.2 Key Regulatory Concepts</w:t>
      </w:r>
    </w:p>
    <w:p w14:paraId="2546D4A1" w14:textId="77777777" w:rsidR="00236983" w:rsidRDefault="00000000">
      <w:pPr>
        <w:pStyle w:val="Heading3"/>
      </w:pPr>
      <w:bookmarkStart w:id="5" w:name="from-ema-guideline-emachmp5391462013"/>
      <w:r>
        <w:t>2.2.1 From EMA Guideline (EMA/CHMP/539146/2013)</w:t>
      </w:r>
    </w:p>
    <w:p w14:paraId="2546D4A2" w14:textId="77777777" w:rsidR="00236983" w:rsidRDefault="00000000">
      <w:pPr>
        <w:pStyle w:val="FirstParagraph"/>
      </w:pPr>
      <w:r>
        <w:rPr>
          <w:b/>
          <w:bCs/>
        </w:rPr>
        <w:t>Heterogeneity:</w:t>
      </w:r>
      <w:r>
        <w:t xml:space="preserve"> The extent of differences within the target patient population in factors that are prognostic for outcome or predictive of treatment effects. The more heterogeneous the population, the more important the investigation of treatment effects in well-defined subgroups.</w:t>
      </w:r>
    </w:p>
    <w:p w14:paraId="2546D4A3" w14:textId="77777777" w:rsidR="00236983" w:rsidRDefault="00000000">
      <w:pPr>
        <w:pStyle w:val="BodyText"/>
      </w:pPr>
      <w:r>
        <w:rPr>
          <w:b/>
          <w:bCs/>
        </w:rPr>
        <w:t>Consistency:</w:t>
      </w:r>
      <w:r>
        <w:t xml:space="preserve"> The extent to which estimated treatment effects in relevant subgroups assure that the overall treatment effect applies to the breadth of the trial population.</w:t>
      </w:r>
    </w:p>
    <w:p w14:paraId="2546D4A4" w14:textId="77777777" w:rsidR="00236983" w:rsidRDefault="00000000">
      <w:pPr>
        <w:pStyle w:val="BodyText"/>
      </w:pPr>
      <w:r>
        <w:rPr>
          <w:b/>
          <w:bCs/>
        </w:rPr>
        <w:t>Credibility:</w:t>
      </w:r>
      <w:r>
        <w:t xml:space="preserve"> The extent to which subgroup findings can be concluded as being well substantiated and relied upon for decision making. Depends on pre-specification, biological plausibility, and replication.</w:t>
      </w:r>
    </w:p>
    <w:p w14:paraId="2546D4A5" w14:textId="77777777" w:rsidR="00236983" w:rsidRDefault="00000000">
      <w:pPr>
        <w:pStyle w:val="BodyText"/>
      </w:pPr>
      <w:r>
        <w:rPr>
          <w:b/>
          <w:bCs/>
        </w:rPr>
        <w:t>Biological Plausibility:</w:t>
      </w:r>
      <w:r>
        <w:t xml:space="preserve"> The extent to which a differential effect between subgroups might be predicted based on clinical, pharmacological, and mechanistic considerations.</w:t>
      </w:r>
    </w:p>
    <w:p w14:paraId="2546D4A6" w14:textId="77777777" w:rsidR="00236983" w:rsidRDefault="00000000">
      <w:pPr>
        <w:pStyle w:val="BodyText"/>
      </w:pPr>
      <w:r>
        <w:rPr>
          <w:b/>
          <w:bCs/>
        </w:rPr>
        <w:t>Replication:</w:t>
      </w:r>
      <w:r>
        <w:t xml:space="preserve"> Whether an effect is seen in multiple independent data sources.</w:t>
      </w:r>
    </w:p>
    <w:p w14:paraId="2546D4A7" w14:textId="77777777" w:rsidR="00236983" w:rsidRDefault="00000000">
      <w:pPr>
        <w:pStyle w:val="Heading2"/>
      </w:pPr>
      <w:bookmarkStart w:id="6" w:name="three-categories-of-subgroup-analyses"/>
      <w:bookmarkEnd w:id="4"/>
      <w:bookmarkEnd w:id="5"/>
      <w:r>
        <w:t>2.3 Three Categories of Subgroup Analyses</w:t>
      </w:r>
    </w:p>
    <w:p w14:paraId="2546D4A8" w14:textId="77777777" w:rsidR="00236983" w:rsidRDefault="00000000">
      <w:pPr>
        <w:pStyle w:val="Heading3"/>
      </w:pPr>
      <w:bookmarkStart w:id="7" w:name="inferential-subgroup-analyses"/>
      <w:r>
        <w:t>2.3.1 Inferential Subgroup Analyses</w:t>
      </w:r>
    </w:p>
    <w:p w14:paraId="2546D4A9" w14:textId="77777777" w:rsidR="00236983" w:rsidRDefault="00000000">
      <w:pPr>
        <w:pStyle w:val="Compact"/>
        <w:numPr>
          <w:ilvl w:val="0"/>
          <w:numId w:val="4"/>
        </w:numPr>
      </w:pPr>
      <w:r>
        <w:t>Pre-specified with adequate statistical power and alpha control</w:t>
      </w:r>
    </w:p>
    <w:p w14:paraId="2546D4AA" w14:textId="77777777" w:rsidR="00236983" w:rsidRDefault="00000000">
      <w:pPr>
        <w:pStyle w:val="Compact"/>
        <w:numPr>
          <w:ilvl w:val="0"/>
          <w:numId w:val="4"/>
        </w:numPr>
      </w:pPr>
      <w:r>
        <w:t>Intended to establish efficacy in a specific subgroup</w:t>
      </w:r>
    </w:p>
    <w:p w14:paraId="2546D4AB" w14:textId="77777777" w:rsidR="00236983" w:rsidRDefault="00000000">
      <w:pPr>
        <w:pStyle w:val="Compact"/>
        <w:numPr>
          <w:ilvl w:val="0"/>
          <w:numId w:val="4"/>
        </w:numPr>
      </w:pPr>
      <w:r>
        <w:t>Requires prospective planning for sample size and multiplicity control</w:t>
      </w:r>
    </w:p>
    <w:p w14:paraId="2546D4AC" w14:textId="77777777" w:rsidR="00236983" w:rsidRDefault="00000000">
      <w:pPr>
        <w:pStyle w:val="Compact"/>
        <w:numPr>
          <w:ilvl w:val="0"/>
          <w:numId w:val="4"/>
        </w:numPr>
      </w:pPr>
      <w:r>
        <w:t>Used when differential effects are anticipated based on strong biological rationale</w:t>
      </w:r>
    </w:p>
    <w:p w14:paraId="2546D4AD" w14:textId="77777777" w:rsidR="00236983" w:rsidRDefault="00000000">
      <w:pPr>
        <w:pStyle w:val="Heading3"/>
      </w:pPr>
      <w:bookmarkStart w:id="8" w:name="supportive-subgroup-analyses"/>
      <w:bookmarkEnd w:id="7"/>
      <w:r>
        <w:t>2.3.2 Supportive Subgroup Analyses</w:t>
      </w:r>
    </w:p>
    <w:p w14:paraId="2546D4AE" w14:textId="77777777" w:rsidR="00236983" w:rsidRDefault="00000000">
      <w:pPr>
        <w:pStyle w:val="Compact"/>
        <w:numPr>
          <w:ilvl w:val="0"/>
          <w:numId w:val="5"/>
        </w:numPr>
      </w:pPr>
      <w:r>
        <w:t>Pre-specified but not powered for formal hypothesis testing</w:t>
      </w:r>
    </w:p>
    <w:p w14:paraId="2546D4AF" w14:textId="77777777" w:rsidR="00236983" w:rsidRDefault="00000000">
      <w:pPr>
        <w:pStyle w:val="Compact"/>
        <w:numPr>
          <w:ilvl w:val="0"/>
          <w:numId w:val="5"/>
        </w:numPr>
      </w:pPr>
      <w:r>
        <w:t>Descriptively assess consistency of treatment effects across subgroups</w:t>
      </w:r>
    </w:p>
    <w:p w14:paraId="2546D4B0" w14:textId="77777777" w:rsidR="00236983" w:rsidRDefault="00000000">
      <w:pPr>
        <w:pStyle w:val="Compact"/>
        <w:numPr>
          <w:ilvl w:val="0"/>
          <w:numId w:val="5"/>
        </w:numPr>
      </w:pPr>
      <w:r>
        <w:t>Conducted after demonstrating significant effect in total population</w:t>
      </w:r>
    </w:p>
    <w:p w14:paraId="2546D4B1" w14:textId="77777777" w:rsidR="00236983" w:rsidRDefault="00000000">
      <w:pPr>
        <w:pStyle w:val="Compact"/>
        <w:numPr>
          <w:ilvl w:val="0"/>
          <w:numId w:val="5"/>
        </w:numPr>
      </w:pPr>
      <w:r>
        <w:t>Help ensure broad applicability of findings</w:t>
      </w:r>
    </w:p>
    <w:p w14:paraId="2546D4B2" w14:textId="77777777" w:rsidR="00236983" w:rsidRDefault="00000000">
      <w:pPr>
        <w:pStyle w:val="Heading3"/>
      </w:pPr>
      <w:bookmarkStart w:id="9" w:name="exploratory-subgroup-analyses"/>
      <w:bookmarkEnd w:id="8"/>
      <w:r>
        <w:lastRenderedPageBreak/>
        <w:t>2.3.3 Exploratory Subgroup Analyses</w:t>
      </w:r>
    </w:p>
    <w:p w14:paraId="2546D4B3" w14:textId="77777777" w:rsidR="00236983" w:rsidRDefault="00000000">
      <w:pPr>
        <w:pStyle w:val="Compact"/>
        <w:numPr>
          <w:ilvl w:val="0"/>
          <w:numId w:val="6"/>
        </w:numPr>
      </w:pPr>
      <w:r>
        <w:t>May or may not be pre-specified</w:t>
      </w:r>
    </w:p>
    <w:p w14:paraId="2546D4B4" w14:textId="77777777" w:rsidR="00236983" w:rsidRDefault="00000000">
      <w:pPr>
        <w:pStyle w:val="Compact"/>
        <w:numPr>
          <w:ilvl w:val="0"/>
          <w:numId w:val="6"/>
        </w:numPr>
      </w:pPr>
      <w:r>
        <w:t>Hypothesis-generating rather than confirmatory</w:t>
      </w:r>
    </w:p>
    <w:p w14:paraId="2546D4B5" w14:textId="77777777" w:rsidR="00236983" w:rsidRDefault="00000000">
      <w:pPr>
        <w:pStyle w:val="Compact"/>
        <w:numPr>
          <w:ilvl w:val="0"/>
          <w:numId w:val="6"/>
        </w:numPr>
      </w:pPr>
      <w:r>
        <w:t>Provide insights into treatment mechanisms and biological characteristics</w:t>
      </w:r>
    </w:p>
    <w:p w14:paraId="2546D4B6" w14:textId="77777777" w:rsidR="00236983" w:rsidRDefault="00000000">
      <w:pPr>
        <w:pStyle w:val="Compact"/>
        <w:numPr>
          <w:ilvl w:val="0"/>
          <w:numId w:val="6"/>
        </w:numPr>
      </w:pPr>
      <w:r>
        <w:t>Should be clearly labeled and interpreted with caution</w:t>
      </w:r>
    </w:p>
    <w:p w14:paraId="2546D4B7" w14:textId="77777777" w:rsidR="00236983" w:rsidRDefault="00944016">
      <w:r>
        <w:rPr>
          <w:noProof/>
        </w:rPr>
      </w:r>
      <w:r w:rsidR="00944016">
        <w:rPr>
          <w:noProof/>
        </w:rPr>
        <w:pict w14:anchorId="2546D703">
          <v:rect id="_x0000_i1026" alt="" style="width:468pt;height:.05pt;mso-width-percent:0;mso-height-percent:0;mso-width-percent:0;mso-height-percent:0" o:hralign="center" o:hrstd="t" o:hr="t"/>
        </w:pict>
      </w:r>
    </w:p>
    <w:p w14:paraId="2546D4B8" w14:textId="77777777" w:rsidR="00236983" w:rsidRDefault="00000000">
      <w:pPr>
        <w:pStyle w:val="Heading1"/>
      </w:pPr>
      <w:bookmarkStart w:id="10" w:name="part-2-planning-and-design"/>
      <w:bookmarkEnd w:id="1"/>
      <w:bookmarkEnd w:id="6"/>
      <w:bookmarkEnd w:id="9"/>
      <w:r>
        <w:t>3. Part 2: Planning and Design</w:t>
      </w:r>
    </w:p>
    <w:p w14:paraId="2546D4B9" w14:textId="77777777" w:rsidR="00236983" w:rsidRDefault="00000000">
      <w:pPr>
        <w:pStyle w:val="Heading2"/>
      </w:pPr>
      <w:bookmarkStart w:id="11" w:name="pre-specification-requirements"/>
      <w:r>
        <w:t>3.1 Pre-specification Requirements</w:t>
      </w:r>
    </w:p>
    <w:p w14:paraId="2546D4BA" w14:textId="77777777" w:rsidR="00236983" w:rsidRDefault="00000000">
      <w:pPr>
        <w:pStyle w:val="Heading3"/>
      </w:pPr>
      <w:bookmarkStart w:id="12" w:name="Xc5b7b23ea42619ed9b8312bf15b7378a2eb0a19"/>
      <w:r>
        <w:t>3.1.1 Protocol and Statistical Analysis Plan Must Include:</w:t>
      </w:r>
    </w:p>
    <w:p w14:paraId="2546D4BB" w14:textId="77777777" w:rsidR="00236983" w:rsidRDefault="00000000">
      <w:pPr>
        <w:pStyle w:val="Compact"/>
        <w:numPr>
          <w:ilvl w:val="0"/>
          <w:numId w:val="7"/>
        </w:numPr>
      </w:pPr>
      <w:r>
        <w:t>Clear definition of each subgroup with scientific/clinical rationale</w:t>
      </w:r>
    </w:p>
    <w:p w14:paraId="2546D4BC" w14:textId="77777777" w:rsidR="00236983" w:rsidRDefault="00000000">
      <w:pPr>
        <w:pStyle w:val="Compact"/>
        <w:numPr>
          <w:ilvl w:val="0"/>
          <w:numId w:val="7"/>
        </w:numPr>
      </w:pPr>
      <w:r>
        <w:t>Specification of subgroup variables and cut-points</w:t>
      </w:r>
    </w:p>
    <w:p w14:paraId="2546D4BD" w14:textId="77777777" w:rsidR="00236983" w:rsidRDefault="00000000">
      <w:pPr>
        <w:pStyle w:val="Compact"/>
        <w:numPr>
          <w:ilvl w:val="0"/>
          <w:numId w:val="7"/>
        </w:numPr>
      </w:pPr>
      <w:r>
        <w:t>Statistical methods including interaction tests</w:t>
      </w:r>
    </w:p>
    <w:p w14:paraId="2546D4BE" w14:textId="77777777" w:rsidR="00236983" w:rsidRDefault="00000000">
      <w:pPr>
        <w:pStyle w:val="Compact"/>
        <w:numPr>
          <w:ilvl w:val="0"/>
          <w:numId w:val="7"/>
        </w:numPr>
      </w:pPr>
      <w:r>
        <w:t>Plan for handling multiplicity</w:t>
      </w:r>
    </w:p>
    <w:p w14:paraId="2546D4BF" w14:textId="77777777" w:rsidR="00236983" w:rsidRDefault="00000000">
      <w:pPr>
        <w:pStyle w:val="Compact"/>
        <w:numPr>
          <w:ilvl w:val="0"/>
          <w:numId w:val="7"/>
        </w:numPr>
      </w:pPr>
      <w:r>
        <w:t>Distinction between inferential, supportive, and exploratory analyses</w:t>
      </w:r>
    </w:p>
    <w:p w14:paraId="2546D4C0" w14:textId="77777777" w:rsidR="00236983" w:rsidRDefault="00000000">
      <w:pPr>
        <w:pStyle w:val="Compact"/>
        <w:numPr>
          <w:ilvl w:val="0"/>
          <w:numId w:val="7"/>
        </w:numPr>
      </w:pPr>
      <w:r>
        <w:t>Categorization of subgroups as “key” or “exploratory”</w:t>
      </w:r>
    </w:p>
    <w:p w14:paraId="2546D4C1" w14:textId="77777777" w:rsidR="00236983" w:rsidRDefault="00000000">
      <w:pPr>
        <w:pStyle w:val="Heading3"/>
      </w:pPr>
      <w:bookmarkStart w:id="13" w:name="best-practices"/>
      <w:bookmarkEnd w:id="12"/>
      <w:r>
        <w:t>3.1.2 Best Practices</w:t>
      </w:r>
    </w:p>
    <w:p w14:paraId="2546D4C2" w14:textId="77777777" w:rsidR="00236983" w:rsidRDefault="00000000">
      <w:pPr>
        <w:pStyle w:val="Compact"/>
        <w:numPr>
          <w:ilvl w:val="0"/>
          <w:numId w:val="8"/>
        </w:numPr>
      </w:pPr>
      <w:r>
        <w:t>Limit subgroups to those with strong justification</w:t>
      </w:r>
    </w:p>
    <w:p w14:paraId="2546D4C3" w14:textId="77777777" w:rsidR="00236983" w:rsidRDefault="00000000">
      <w:pPr>
        <w:pStyle w:val="Compact"/>
        <w:numPr>
          <w:ilvl w:val="0"/>
          <w:numId w:val="8"/>
        </w:numPr>
      </w:pPr>
      <w:r>
        <w:t>Base subgroup selection on biological plausibility or prior evidence</w:t>
      </w:r>
    </w:p>
    <w:p w14:paraId="2546D4C4" w14:textId="77777777" w:rsidR="00236983" w:rsidRDefault="00000000">
      <w:pPr>
        <w:pStyle w:val="Compact"/>
        <w:numPr>
          <w:ilvl w:val="0"/>
          <w:numId w:val="8"/>
        </w:numPr>
      </w:pPr>
      <w:r>
        <w:t>Avoid data-driven post hoc subgroup definitions</w:t>
      </w:r>
    </w:p>
    <w:p w14:paraId="2546D4C5" w14:textId="77777777" w:rsidR="00236983" w:rsidRDefault="00000000">
      <w:pPr>
        <w:pStyle w:val="Compact"/>
        <w:numPr>
          <w:ilvl w:val="0"/>
          <w:numId w:val="8"/>
        </w:numPr>
      </w:pPr>
      <w:r>
        <w:t>Document decision-making process transparently</w:t>
      </w:r>
    </w:p>
    <w:p w14:paraId="2546D4C6" w14:textId="77777777" w:rsidR="00236983" w:rsidRDefault="00000000">
      <w:pPr>
        <w:pStyle w:val="Compact"/>
        <w:numPr>
          <w:ilvl w:val="0"/>
          <w:numId w:val="8"/>
        </w:numPr>
      </w:pPr>
      <w:r>
        <w:t>Consider factors used for stratification as key subgroups</w:t>
      </w:r>
    </w:p>
    <w:p w14:paraId="2546D4C7" w14:textId="77777777" w:rsidR="00236983" w:rsidRDefault="00000000">
      <w:pPr>
        <w:pStyle w:val="Heading2"/>
      </w:pPr>
      <w:bookmarkStart w:id="14" w:name="ema-strategy-for-subgroup-selection"/>
      <w:bookmarkEnd w:id="11"/>
      <w:bookmarkEnd w:id="13"/>
      <w:r>
        <w:t>3.2 EMA Strategy for Subgroup Selection</w:t>
      </w:r>
    </w:p>
    <w:p w14:paraId="2546D4C8" w14:textId="77777777" w:rsidR="00236983" w:rsidRDefault="00000000">
      <w:pPr>
        <w:pStyle w:val="Heading3"/>
      </w:pPr>
      <w:bookmarkStart w:id="15" w:name="three-categories-of-factors"/>
      <w:r>
        <w:t>3.2.1 Three Categories of Factors:</w:t>
      </w:r>
    </w:p>
    <w:p w14:paraId="2546D4C9" w14:textId="77777777" w:rsidR="00236983" w:rsidRDefault="00000000">
      <w:pPr>
        <w:pStyle w:val="FirstParagraph"/>
      </w:pPr>
      <w:r>
        <w:rPr>
          <w:b/>
          <w:bCs/>
        </w:rPr>
        <w:t>Category 1:</w:t>
      </w:r>
      <w:r>
        <w:t xml:space="preserve"> Strong reason to expect inconsistent response across levels - </w:t>
      </w:r>
      <w:r>
        <w:rPr>
          <w:b/>
          <w:bCs/>
        </w:rPr>
        <w:t>separate trials usually needed</w:t>
      </w:r>
    </w:p>
    <w:p w14:paraId="2546D4CA" w14:textId="77777777" w:rsidR="00236983" w:rsidRDefault="00000000">
      <w:pPr>
        <w:pStyle w:val="BodyText"/>
      </w:pPr>
      <w:r>
        <w:rPr>
          <w:b/>
          <w:bCs/>
        </w:rPr>
        <w:t>Category 2:</w:t>
      </w:r>
      <w:r>
        <w:t xml:space="preserve"> Reason to consider prognostic or some biological plausibility for inconsistent response: - Factors used to stratify randomization - Key demographic factors including genomic factors - Factors related to mechanism of action/pharmacology - Stage, severity, or phenotype of disease - Use of concomitant medications - Region, country, or center (where relevant)</w:t>
      </w:r>
    </w:p>
    <w:p w14:paraId="2546D4CB" w14:textId="77777777" w:rsidR="00236983" w:rsidRDefault="00000000">
      <w:pPr>
        <w:pStyle w:val="BodyText"/>
      </w:pPr>
      <w:r>
        <w:rPr>
          <w:b/>
          <w:bCs/>
        </w:rPr>
        <w:t>Category 3:</w:t>
      </w:r>
      <w:r>
        <w:t xml:space="preserve"> Good argumentation for consistent response OR absence of rationale to determine plausibility</w:t>
      </w:r>
    </w:p>
    <w:p w14:paraId="2546D4CC" w14:textId="77777777" w:rsidR="00236983" w:rsidRDefault="00000000">
      <w:pPr>
        <w:pStyle w:val="Heading2"/>
      </w:pPr>
      <w:bookmarkStart w:id="16" w:name="sample-size-and-power-considerations"/>
      <w:bookmarkEnd w:id="14"/>
      <w:bookmarkEnd w:id="15"/>
      <w:r>
        <w:lastRenderedPageBreak/>
        <w:t>3.3 Sample Size and Power Considerations</w:t>
      </w:r>
    </w:p>
    <w:p w14:paraId="2546D4CD" w14:textId="77777777" w:rsidR="00236983" w:rsidRDefault="00000000">
      <w:pPr>
        <w:pStyle w:val="Heading3"/>
      </w:pPr>
      <w:bookmarkStart w:id="17" w:name="key-challenges"/>
      <w:r>
        <w:t>3.3.1 Key Challenges</w:t>
      </w:r>
    </w:p>
    <w:p w14:paraId="2546D4CE" w14:textId="77777777" w:rsidR="00236983" w:rsidRDefault="00000000">
      <w:pPr>
        <w:pStyle w:val="Compact"/>
        <w:numPr>
          <w:ilvl w:val="0"/>
          <w:numId w:val="9"/>
        </w:numPr>
      </w:pPr>
      <w:r>
        <w:t>Trials are typically powered for overall population, not subgroups</w:t>
      </w:r>
    </w:p>
    <w:p w14:paraId="2546D4CF" w14:textId="77777777" w:rsidR="00236983" w:rsidRDefault="00000000">
      <w:pPr>
        <w:pStyle w:val="Compact"/>
        <w:numPr>
          <w:ilvl w:val="0"/>
          <w:numId w:val="9"/>
        </w:numPr>
      </w:pPr>
      <w:r>
        <w:t>Time-to-event analyses depend on number of events, not just sample size</w:t>
      </w:r>
    </w:p>
    <w:p w14:paraId="2546D4D0" w14:textId="77777777" w:rsidR="00236983" w:rsidRDefault="00000000">
      <w:pPr>
        <w:pStyle w:val="Compact"/>
        <w:numPr>
          <w:ilvl w:val="0"/>
          <w:numId w:val="9"/>
        </w:numPr>
      </w:pPr>
      <w:r>
        <w:t>Subgroups often lack adequate power for reliable inference</w:t>
      </w:r>
    </w:p>
    <w:p w14:paraId="2546D4D1" w14:textId="77777777" w:rsidR="00236983" w:rsidRDefault="00000000">
      <w:pPr>
        <w:pStyle w:val="Compact"/>
        <w:numPr>
          <w:ilvl w:val="0"/>
          <w:numId w:val="9"/>
        </w:numPr>
      </w:pPr>
      <w:r>
        <w:t>Single pivotal trials don’t allow replication of subgroup findings</w:t>
      </w:r>
    </w:p>
    <w:p w14:paraId="2546D4D2" w14:textId="77777777" w:rsidR="00236983" w:rsidRDefault="00000000">
      <w:pPr>
        <w:pStyle w:val="Heading3"/>
      </w:pPr>
      <w:bookmarkStart w:id="18" w:name="strategies"/>
      <w:bookmarkEnd w:id="17"/>
      <w:r>
        <w:t>3.3.2 Strategies</w:t>
      </w:r>
    </w:p>
    <w:p w14:paraId="2546D4D3" w14:textId="77777777" w:rsidR="00236983" w:rsidRDefault="00000000">
      <w:pPr>
        <w:pStyle w:val="Compact"/>
        <w:numPr>
          <w:ilvl w:val="0"/>
          <w:numId w:val="10"/>
        </w:numPr>
      </w:pPr>
      <w:r>
        <w:t>If subgroup is critical, design trial with adequate power for that subgroup</w:t>
      </w:r>
    </w:p>
    <w:p w14:paraId="2546D4D4" w14:textId="77777777" w:rsidR="00236983" w:rsidRDefault="00000000">
      <w:pPr>
        <w:pStyle w:val="Compact"/>
        <w:numPr>
          <w:ilvl w:val="0"/>
          <w:numId w:val="10"/>
        </w:numPr>
      </w:pPr>
      <w:r>
        <w:t>Consider enrichment strategies when appropriate</w:t>
      </w:r>
    </w:p>
    <w:p w14:paraId="2546D4D5" w14:textId="77777777" w:rsidR="00236983" w:rsidRDefault="00000000">
      <w:pPr>
        <w:pStyle w:val="Compact"/>
        <w:numPr>
          <w:ilvl w:val="0"/>
          <w:numId w:val="10"/>
        </w:numPr>
      </w:pPr>
      <w:r>
        <w:t>Use hierarchical testing to split alpha between populations</w:t>
      </w:r>
    </w:p>
    <w:p w14:paraId="2546D4D6" w14:textId="77777777" w:rsidR="00236983" w:rsidRDefault="00000000">
      <w:pPr>
        <w:pStyle w:val="Compact"/>
        <w:numPr>
          <w:ilvl w:val="0"/>
          <w:numId w:val="10"/>
        </w:numPr>
      </w:pPr>
      <w:r>
        <w:t>Plan for adequate representation in key subgroups</w:t>
      </w:r>
    </w:p>
    <w:p w14:paraId="2546D4D7" w14:textId="77777777" w:rsidR="00236983" w:rsidRDefault="00000000">
      <w:pPr>
        <w:pStyle w:val="Compact"/>
        <w:numPr>
          <w:ilvl w:val="0"/>
          <w:numId w:val="10"/>
        </w:numPr>
      </w:pPr>
      <w:r>
        <w:t>Consider whether sufficient evidence will be generated in key subgroups</w:t>
      </w:r>
    </w:p>
    <w:p w14:paraId="2546D4D8" w14:textId="77777777" w:rsidR="00236983" w:rsidRDefault="00000000">
      <w:pPr>
        <w:pStyle w:val="Heading2"/>
      </w:pPr>
      <w:bookmarkStart w:id="19" w:name="statistical-methodology"/>
      <w:bookmarkEnd w:id="16"/>
      <w:bookmarkEnd w:id="18"/>
      <w:r>
        <w:t>3.4 Statistical Methodology</w:t>
      </w:r>
    </w:p>
    <w:p w14:paraId="2546D4D9" w14:textId="77777777" w:rsidR="00236983" w:rsidRDefault="00000000">
      <w:pPr>
        <w:pStyle w:val="Heading3"/>
      </w:pPr>
      <w:bookmarkStart w:id="20" w:name="interaction-testing"/>
      <w:r>
        <w:t>3.4.1 Interaction Testing</w:t>
      </w:r>
    </w:p>
    <w:p w14:paraId="2546D4DA" w14:textId="77777777" w:rsidR="00236983" w:rsidRDefault="00000000">
      <w:pPr>
        <w:pStyle w:val="Compact"/>
        <w:numPr>
          <w:ilvl w:val="0"/>
          <w:numId w:val="11"/>
        </w:numPr>
      </w:pPr>
      <w:r>
        <w:t>Use formal tests for treatment-by-subgroup interaction</w:t>
      </w:r>
    </w:p>
    <w:p w14:paraId="2546D4DB" w14:textId="77777777" w:rsidR="00236983" w:rsidRDefault="00000000">
      <w:pPr>
        <w:pStyle w:val="Compact"/>
        <w:numPr>
          <w:ilvl w:val="0"/>
          <w:numId w:val="11"/>
        </w:numPr>
      </w:pPr>
      <w:r>
        <w:t>Don’t rely solely on within-subgroup comparisons</w:t>
      </w:r>
    </w:p>
    <w:p w14:paraId="2546D4DC" w14:textId="77777777" w:rsidR="00236983" w:rsidRDefault="00000000">
      <w:pPr>
        <w:pStyle w:val="Compact"/>
        <w:numPr>
          <w:ilvl w:val="0"/>
          <w:numId w:val="11"/>
        </w:numPr>
      </w:pPr>
      <w:r>
        <w:t>Include interaction terms in regression models</w:t>
      </w:r>
    </w:p>
    <w:p w14:paraId="2546D4DD" w14:textId="77777777" w:rsidR="00236983" w:rsidRDefault="00000000">
      <w:pPr>
        <w:pStyle w:val="Compact"/>
        <w:numPr>
          <w:ilvl w:val="0"/>
          <w:numId w:val="11"/>
        </w:numPr>
      </w:pPr>
      <w:r>
        <w:t>Report interaction p-values alongside subgroup-specific estimates</w:t>
      </w:r>
    </w:p>
    <w:p w14:paraId="2546D4DE" w14:textId="77777777" w:rsidR="00236983" w:rsidRDefault="00000000">
      <w:pPr>
        <w:pStyle w:val="Compact"/>
        <w:numPr>
          <w:ilvl w:val="0"/>
          <w:numId w:val="11"/>
        </w:numPr>
      </w:pPr>
      <w:r>
        <w:rPr>
          <w:b/>
          <w:bCs/>
        </w:rPr>
        <w:t>EMA recommendation:</w:t>
      </w:r>
      <w:r>
        <w:t xml:space="preserve"> Use nominal significance levels &gt;5% for signal generation</w:t>
      </w:r>
    </w:p>
    <w:p w14:paraId="2546D4DF" w14:textId="77777777" w:rsidR="00236983" w:rsidRDefault="00000000">
      <w:pPr>
        <w:pStyle w:val="Heading3"/>
      </w:pPr>
      <w:bookmarkStart w:id="21" w:name="multiplicity-control"/>
      <w:bookmarkEnd w:id="20"/>
      <w:r>
        <w:t>3.4.2 Multiplicity Control</w:t>
      </w:r>
    </w:p>
    <w:p w14:paraId="2546D4E0" w14:textId="77777777" w:rsidR="00236983" w:rsidRDefault="00000000">
      <w:pPr>
        <w:pStyle w:val="Compact"/>
        <w:numPr>
          <w:ilvl w:val="0"/>
          <w:numId w:val="12"/>
        </w:numPr>
      </w:pPr>
      <w:r>
        <w:t>Multiple testing increases Type I error risk</w:t>
      </w:r>
    </w:p>
    <w:p w14:paraId="2546D4E1" w14:textId="77777777" w:rsidR="00236983" w:rsidRDefault="00000000">
      <w:pPr>
        <w:pStyle w:val="Compact"/>
        <w:numPr>
          <w:ilvl w:val="0"/>
          <w:numId w:val="12"/>
        </w:numPr>
      </w:pPr>
      <w:r>
        <w:t>Consider Bonferroni or other appropriate adjustments</w:t>
      </w:r>
    </w:p>
    <w:p w14:paraId="2546D4E2" w14:textId="77777777" w:rsidR="00236983" w:rsidRDefault="00000000">
      <w:pPr>
        <w:pStyle w:val="Compact"/>
        <w:numPr>
          <w:ilvl w:val="0"/>
          <w:numId w:val="12"/>
        </w:numPr>
      </w:pPr>
      <w:r>
        <w:t>Use hierarchical testing when evaluating multiple subgroups</w:t>
      </w:r>
    </w:p>
    <w:p w14:paraId="2546D4E3" w14:textId="77777777" w:rsidR="00236983" w:rsidRDefault="00000000">
      <w:pPr>
        <w:pStyle w:val="Compact"/>
        <w:numPr>
          <w:ilvl w:val="0"/>
          <w:numId w:val="12"/>
        </w:numPr>
      </w:pPr>
      <w:r>
        <w:t>Balance statistical rigor with clinical relevance</w:t>
      </w:r>
    </w:p>
    <w:p w14:paraId="2546D4E4" w14:textId="77777777" w:rsidR="00236983" w:rsidRDefault="00000000">
      <w:pPr>
        <w:pStyle w:val="Compact"/>
        <w:numPr>
          <w:ilvl w:val="0"/>
          <w:numId w:val="12"/>
        </w:numPr>
      </w:pPr>
      <w:r>
        <w:rPr>
          <w:b/>
          <w:bCs/>
        </w:rPr>
        <w:t>Note:</w:t>
      </w:r>
      <w:r>
        <w:t xml:space="preserve"> Adjustment may be counter-intuitive for exploratory analyses meant to avoid overlooking untoward effects</w:t>
      </w:r>
    </w:p>
    <w:p w14:paraId="2546D4E5" w14:textId="77777777" w:rsidR="00236983" w:rsidRDefault="00000000">
      <w:pPr>
        <w:pStyle w:val="Heading3"/>
      </w:pPr>
      <w:bookmarkStart w:id="22" w:name="graphical-displays"/>
      <w:bookmarkEnd w:id="21"/>
      <w:r>
        <w:t>3.4.3 Graphical Displays</w:t>
      </w:r>
    </w:p>
    <w:p w14:paraId="2546D4E6" w14:textId="77777777" w:rsidR="00236983" w:rsidRDefault="00000000">
      <w:pPr>
        <w:pStyle w:val="Compact"/>
        <w:numPr>
          <w:ilvl w:val="0"/>
          <w:numId w:val="13"/>
        </w:numPr>
      </w:pPr>
      <w:r>
        <w:t>Use forest plots to visualize effects across subgroups</w:t>
      </w:r>
    </w:p>
    <w:p w14:paraId="2546D4E7" w14:textId="77777777" w:rsidR="00236983" w:rsidRDefault="00000000">
      <w:pPr>
        <w:pStyle w:val="Compact"/>
        <w:numPr>
          <w:ilvl w:val="0"/>
          <w:numId w:val="13"/>
        </w:numPr>
      </w:pPr>
      <w:r>
        <w:t>Show confidence intervals for each subgroup estimate</w:t>
      </w:r>
    </w:p>
    <w:p w14:paraId="2546D4E8" w14:textId="77777777" w:rsidR="00236983" w:rsidRDefault="00000000">
      <w:pPr>
        <w:pStyle w:val="Compact"/>
        <w:numPr>
          <w:ilvl w:val="0"/>
          <w:numId w:val="13"/>
        </w:numPr>
      </w:pPr>
      <w:r>
        <w:t>Display interaction p-values</w:t>
      </w:r>
    </w:p>
    <w:p w14:paraId="2546D4E9" w14:textId="77777777" w:rsidR="00236983" w:rsidRDefault="00000000">
      <w:pPr>
        <w:pStyle w:val="Compact"/>
        <w:numPr>
          <w:ilvl w:val="0"/>
          <w:numId w:val="13"/>
        </w:numPr>
      </w:pPr>
      <w:r>
        <w:t>Include consistency assessments</w:t>
      </w:r>
    </w:p>
    <w:p w14:paraId="2546D4EA" w14:textId="77777777" w:rsidR="00236983" w:rsidRDefault="00000000">
      <w:pPr>
        <w:pStyle w:val="Compact"/>
        <w:numPr>
          <w:ilvl w:val="0"/>
          <w:numId w:val="13"/>
        </w:numPr>
      </w:pPr>
      <w:r>
        <w:t>Always display complementary subgroups together</w:t>
      </w:r>
    </w:p>
    <w:p w14:paraId="2546D4EB" w14:textId="77777777" w:rsidR="00236983" w:rsidRDefault="00000000">
      <w:pPr>
        <w:pStyle w:val="Heading3"/>
      </w:pPr>
      <w:bookmarkStart w:id="23" w:name="ema-recommendations-on-scale"/>
      <w:bookmarkEnd w:id="22"/>
      <w:r>
        <w:lastRenderedPageBreak/>
        <w:t>3.4.4 EMA Recommendations on Scale</w:t>
      </w:r>
    </w:p>
    <w:p w14:paraId="2546D4EC" w14:textId="77777777" w:rsidR="00236983" w:rsidRDefault="00000000">
      <w:pPr>
        <w:pStyle w:val="Compact"/>
        <w:numPr>
          <w:ilvl w:val="0"/>
          <w:numId w:val="14"/>
        </w:numPr>
      </w:pPr>
      <w:r>
        <w:t>Interactions are scale and model dependent</w:t>
      </w:r>
    </w:p>
    <w:p w14:paraId="2546D4ED" w14:textId="77777777" w:rsidR="00236983" w:rsidRDefault="00000000">
      <w:pPr>
        <w:pStyle w:val="Compact"/>
        <w:numPr>
          <w:ilvl w:val="0"/>
          <w:numId w:val="14"/>
        </w:numPr>
      </w:pPr>
      <w:r>
        <w:t>Explore first on scale where endpoint is commonly analyzed</w:t>
      </w:r>
    </w:p>
    <w:p w14:paraId="2546D4EE" w14:textId="77777777" w:rsidR="00236983" w:rsidRDefault="00000000">
      <w:pPr>
        <w:pStyle w:val="Compact"/>
        <w:numPr>
          <w:ilvl w:val="0"/>
          <w:numId w:val="14"/>
        </w:numPr>
      </w:pPr>
      <w:r>
        <w:t>Present supplementary analyses on complementary scale if inconsistency observed</w:t>
      </w:r>
    </w:p>
    <w:p w14:paraId="2546D4EF" w14:textId="77777777" w:rsidR="00236983" w:rsidRDefault="00000000">
      <w:pPr>
        <w:pStyle w:val="Compact"/>
        <w:numPr>
          <w:ilvl w:val="0"/>
          <w:numId w:val="14"/>
        </w:numPr>
      </w:pPr>
      <w:r>
        <w:t>Even if relative effects similar, absolute effects may differ with clinical importance</w:t>
      </w:r>
    </w:p>
    <w:p w14:paraId="2546D4F0" w14:textId="77777777" w:rsidR="00236983" w:rsidRDefault="00000000">
      <w:pPr>
        <w:pStyle w:val="Compact"/>
        <w:numPr>
          <w:ilvl w:val="0"/>
          <w:numId w:val="14"/>
        </w:numPr>
      </w:pPr>
      <w:r>
        <w:t>Consider benefit-risk on absolute scale, especially when toxicity present</w:t>
      </w:r>
    </w:p>
    <w:p w14:paraId="2546D4F1" w14:textId="77777777" w:rsidR="00236983" w:rsidRDefault="00944016">
      <w:r>
        <w:rPr>
          <w:noProof/>
        </w:rPr>
      </w:r>
      <w:r w:rsidR="00944016">
        <w:rPr>
          <w:noProof/>
        </w:rPr>
        <w:pict w14:anchorId="2546D704">
          <v:rect id="_x0000_i1027" alt="" style="width:468pt;height:.05pt;mso-width-percent:0;mso-height-percent:0;mso-width-percent:0;mso-height-percent:0" o:hralign="center" o:hrstd="t" o:hr="t"/>
        </w:pict>
      </w:r>
    </w:p>
    <w:p w14:paraId="2546D4F2" w14:textId="77777777" w:rsidR="00236983" w:rsidRDefault="00000000">
      <w:pPr>
        <w:pStyle w:val="Heading1"/>
      </w:pPr>
      <w:bookmarkStart w:id="24" w:name="X32d52c7b92c2799bfb30916565dfc27a1241028"/>
      <w:bookmarkEnd w:id="10"/>
      <w:bookmarkEnd w:id="19"/>
      <w:bookmarkEnd w:id="23"/>
      <w:r>
        <w:t>4. Part 3: FDA Case Examples and Regulatory Decisions</w:t>
      </w:r>
    </w:p>
    <w:p w14:paraId="2546D4F3" w14:textId="77777777" w:rsidR="00236983" w:rsidRDefault="00000000">
      <w:pPr>
        <w:pStyle w:val="Heading2"/>
      </w:pPr>
      <w:bookmarkStart w:id="25" w:name="Xa5d691212f75476dc0092fd1bbdd1f901f5235d"/>
      <w:r>
        <w:t>4.1 Approvals in Total ITT Population Despite Subgroup Concerns</w:t>
      </w:r>
    </w:p>
    <w:p w14:paraId="2546D4F4" w14:textId="77777777" w:rsidR="00236983" w:rsidRDefault="00000000">
      <w:pPr>
        <w:pStyle w:val="Heading3"/>
      </w:pPr>
      <w:bookmarkStart w:id="26" w:name="case-1-nivolumab-checkmate-057"/>
      <w:r>
        <w:t>4.1.1 Case 1: Nivolumab (CHECKMATE-057)</w:t>
      </w:r>
    </w:p>
    <w:p w14:paraId="2546D4F5" w14:textId="77777777" w:rsidR="00236983" w:rsidRDefault="00000000">
      <w:pPr>
        <w:pStyle w:val="FirstParagraph"/>
      </w:pPr>
      <w:r>
        <w:rPr>
          <w:b/>
          <w:bCs/>
        </w:rPr>
        <w:t>Indication:</w:t>
      </w:r>
      <w:r>
        <w:t xml:space="preserve"> Second-line metastatic non-squamous NSCLC</w:t>
      </w:r>
    </w:p>
    <w:p w14:paraId="2546D4F6" w14:textId="77777777" w:rsidR="00236983" w:rsidRDefault="00000000">
      <w:pPr>
        <w:pStyle w:val="BodyText"/>
      </w:pPr>
      <w:r>
        <w:rPr>
          <w:b/>
          <w:bCs/>
        </w:rPr>
        <w:t>Trial Results:</w:t>
      </w:r>
    </w:p>
    <w:p w14:paraId="2546D4F7" w14:textId="77777777" w:rsidR="00236983" w:rsidRDefault="00000000">
      <w:pPr>
        <w:pStyle w:val="Compact"/>
        <w:numPr>
          <w:ilvl w:val="0"/>
          <w:numId w:val="15"/>
        </w:numPr>
      </w:pPr>
      <w:r>
        <w:t>ITT population: HR 0.73 (95% CI: 0.60-0.89), p &lt;0.002</w:t>
      </w:r>
    </w:p>
    <w:p w14:paraId="2546D4F8" w14:textId="77777777" w:rsidR="00236983" w:rsidRDefault="00000000">
      <w:pPr>
        <w:pStyle w:val="Compact"/>
        <w:numPr>
          <w:ilvl w:val="0"/>
          <w:numId w:val="15"/>
        </w:numPr>
      </w:pPr>
      <w:r>
        <w:t>PD-L1 &lt;1% subgroup: HR 0.90 (95% CI: 0.66-1.24)</w:t>
      </w:r>
    </w:p>
    <w:p w14:paraId="2546D4F9" w14:textId="77777777" w:rsidR="00236983" w:rsidRDefault="00000000">
      <w:pPr>
        <w:pStyle w:val="Compact"/>
        <w:numPr>
          <w:ilvl w:val="0"/>
          <w:numId w:val="15"/>
        </w:numPr>
      </w:pPr>
      <w:r>
        <w:t>~10% objective response rate in PD-L1 &lt;1% patients</w:t>
      </w:r>
    </w:p>
    <w:p w14:paraId="2546D4FA" w14:textId="77777777" w:rsidR="00236983" w:rsidRDefault="00000000">
      <w:pPr>
        <w:pStyle w:val="FirstParagraph"/>
      </w:pPr>
      <w:r>
        <w:rPr>
          <w:b/>
          <w:bCs/>
        </w:rPr>
        <w:t>FDA Decision:</w:t>
      </w:r>
      <w:r>
        <w:t xml:space="preserve"> Approved for entire study population</w:t>
      </w:r>
    </w:p>
    <w:p w14:paraId="2546D4FB" w14:textId="77777777" w:rsidR="00236983" w:rsidRDefault="00000000">
      <w:pPr>
        <w:pStyle w:val="BodyText"/>
      </w:pPr>
      <w:r>
        <w:rPr>
          <w:b/>
          <w:bCs/>
        </w:rPr>
        <w:t>Rationale:</w:t>
      </w:r>
    </w:p>
    <w:p w14:paraId="2546D4FC" w14:textId="77777777" w:rsidR="00236983" w:rsidRDefault="00000000">
      <w:pPr>
        <w:pStyle w:val="Compact"/>
        <w:numPr>
          <w:ilvl w:val="0"/>
          <w:numId w:val="16"/>
        </w:numPr>
      </w:pPr>
      <w:r>
        <w:t>Exploratory subgroup analysis with limited power</w:t>
      </w:r>
    </w:p>
    <w:p w14:paraId="2546D4FD" w14:textId="77777777" w:rsidR="00236983" w:rsidRDefault="00000000">
      <w:pPr>
        <w:pStyle w:val="Compact"/>
        <w:numPr>
          <w:ilvl w:val="0"/>
          <w:numId w:val="16"/>
        </w:numPr>
      </w:pPr>
      <w:r>
        <w:t>Missing PD-L1 data (22%)</w:t>
      </w:r>
    </w:p>
    <w:p w14:paraId="2546D4FE" w14:textId="77777777" w:rsidR="00236983" w:rsidRDefault="00000000">
      <w:pPr>
        <w:pStyle w:val="Compact"/>
        <w:numPr>
          <w:ilvl w:val="0"/>
          <w:numId w:val="16"/>
        </w:numPr>
      </w:pPr>
      <w:r>
        <w:t>No evidence of harm in PD-L1 &lt;1% subgroup</w:t>
      </w:r>
    </w:p>
    <w:p w14:paraId="2546D4FF" w14:textId="77777777" w:rsidR="00236983" w:rsidRDefault="00000000">
      <w:pPr>
        <w:pStyle w:val="Compact"/>
        <w:numPr>
          <w:ilvl w:val="0"/>
          <w:numId w:val="16"/>
        </w:numPr>
      </w:pPr>
      <w:r>
        <w:t>Meaningful responses observed despite modest HR</w:t>
      </w:r>
    </w:p>
    <w:p w14:paraId="2546D500" w14:textId="77777777" w:rsidR="00236983" w:rsidRDefault="00000000">
      <w:pPr>
        <w:pStyle w:val="Compact"/>
        <w:numPr>
          <w:ilvl w:val="0"/>
          <w:numId w:val="16"/>
        </w:numPr>
      </w:pPr>
      <w:r>
        <w:t>Subgroup details included in labeling for informed decision-making</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236983" w14:paraId="2546D502" w14:textId="77777777" w:rsidTr="00236983">
        <w:trPr>
          <w:cantSplit/>
        </w:trPr>
        <w:tc>
          <w:tcPr>
            <w:tcW w:w="0" w:type="auto"/>
            <w:shd w:val="clear" w:color="auto" w:fill="CCF1E3"/>
            <w:tcMar>
              <w:top w:w="92" w:type="dxa"/>
              <w:bottom w:w="92" w:type="dxa"/>
            </w:tcMar>
          </w:tcPr>
          <w:p w14:paraId="2546D501" w14:textId="77777777" w:rsidR="00236983" w:rsidRDefault="00000000">
            <w:pPr>
              <w:pStyle w:val="FirstParagraph"/>
              <w:spacing w:before="0" w:after="0"/>
              <w:textAlignment w:val="center"/>
            </w:pPr>
            <w:r>
              <w:rPr>
                <w:noProof/>
              </w:rPr>
              <w:drawing>
                <wp:inline distT="0" distB="0" distL="0" distR="0" wp14:anchorId="2546D705" wp14:editId="2546D706">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pplications/RStudio.app/Contents/Resources/app/quarto/share/formats/docx/tip.png"/>
                          <pic:cNvPicPr>
                            <a:picLocks noChangeAspect="1" noChangeArrowheads="1"/>
                          </pic:cNvPicPr>
                        </pic:nvPicPr>
                        <pic:blipFill>
                          <a:blip r:embed="rId6"/>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04" w14:textId="77777777" w:rsidTr="00236983">
        <w:trPr>
          <w:cantSplit/>
        </w:trPr>
        <w:tc>
          <w:tcPr>
            <w:tcW w:w="0" w:type="auto"/>
            <w:tcMar>
              <w:top w:w="108" w:type="dxa"/>
              <w:bottom w:w="108" w:type="dxa"/>
            </w:tcMar>
          </w:tcPr>
          <w:p w14:paraId="2546D503" w14:textId="77777777" w:rsidR="00236983" w:rsidRDefault="00000000">
            <w:pPr>
              <w:pStyle w:val="BodyText"/>
              <w:spacing w:before="16" w:after="16"/>
            </w:pPr>
            <w:r>
              <w:t>Lack of statistical significance in subgroup doesn’t preclude approval when no harm is evident and some patients benefit.</w:t>
            </w:r>
          </w:p>
        </w:tc>
      </w:tr>
    </w:tbl>
    <w:p w14:paraId="2546D505" w14:textId="77777777" w:rsidR="00236983" w:rsidRDefault="00944016">
      <w:r>
        <w:rPr>
          <w:noProof/>
        </w:rPr>
      </w:r>
      <w:r w:rsidR="00944016">
        <w:rPr>
          <w:noProof/>
        </w:rPr>
        <w:pict w14:anchorId="2546D707">
          <v:rect id="_x0000_i1028" alt="" style="width:468pt;height:.05pt;mso-width-percent:0;mso-height-percent:0;mso-width-percent:0;mso-height-percent:0" o:hralign="center" o:hrstd="t" o:hr="t"/>
        </w:pict>
      </w:r>
    </w:p>
    <w:p w14:paraId="2546D506" w14:textId="77777777" w:rsidR="00236983" w:rsidRDefault="00000000">
      <w:pPr>
        <w:pStyle w:val="Heading3"/>
      </w:pPr>
      <w:bookmarkStart w:id="27" w:name="case-2-pembrolizumab-keynote-042"/>
      <w:bookmarkEnd w:id="26"/>
      <w:r>
        <w:t>4.1.2 Case 2: Pembrolizumab (KEYNOTE-042)</w:t>
      </w:r>
    </w:p>
    <w:p w14:paraId="2546D507" w14:textId="77777777" w:rsidR="00236983" w:rsidRDefault="00000000">
      <w:pPr>
        <w:pStyle w:val="FirstParagraph"/>
      </w:pPr>
      <w:r>
        <w:rPr>
          <w:b/>
          <w:bCs/>
        </w:rPr>
        <w:t>Indication:</w:t>
      </w:r>
      <w:r>
        <w:t xml:space="preserve"> First-line advanced NSCLC with PD-L1 ≥1%</w:t>
      </w:r>
    </w:p>
    <w:p w14:paraId="2546D508" w14:textId="77777777" w:rsidR="00236983" w:rsidRDefault="00000000">
      <w:pPr>
        <w:pStyle w:val="BodyText"/>
      </w:pPr>
      <w:r>
        <w:rPr>
          <w:b/>
          <w:bCs/>
        </w:rPr>
        <w:t>Trial Results:</w:t>
      </w:r>
    </w:p>
    <w:p w14:paraId="2546D509" w14:textId="77777777" w:rsidR="00236983" w:rsidRDefault="00000000">
      <w:pPr>
        <w:pStyle w:val="Compact"/>
        <w:numPr>
          <w:ilvl w:val="0"/>
          <w:numId w:val="17"/>
        </w:numPr>
      </w:pPr>
      <w:r>
        <w:lastRenderedPageBreak/>
        <w:t>ITT (TPS ≥1%): HR 0.81 (95% CI: 0.71-0.93), median OS improvement 4.6 months</w:t>
      </w:r>
    </w:p>
    <w:p w14:paraId="2546D50A" w14:textId="77777777" w:rsidR="00236983" w:rsidRDefault="00000000">
      <w:pPr>
        <w:pStyle w:val="Compact"/>
        <w:numPr>
          <w:ilvl w:val="0"/>
          <w:numId w:val="17"/>
        </w:numPr>
      </w:pPr>
      <w:r>
        <w:t>TPS 1-49% subgroup: HR 0.92 (95% CI: 0.77-1.11), median OS 13.4 vs 12.1 months</w:t>
      </w:r>
    </w:p>
    <w:p w14:paraId="2546D50B" w14:textId="77777777" w:rsidR="00236983" w:rsidRDefault="00000000">
      <w:pPr>
        <w:pStyle w:val="Compact"/>
        <w:numPr>
          <w:ilvl w:val="0"/>
          <w:numId w:val="17"/>
        </w:numPr>
      </w:pPr>
      <w:r>
        <w:t>TPS ≥50% subgroup: Greatest benefit</w:t>
      </w:r>
    </w:p>
    <w:p w14:paraId="2546D50C" w14:textId="77777777" w:rsidR="00236983" w:rsidRDefault="00000000">
      <w:pPr>
        <w:pStyle w:val="FirstParagraph"/>
      </w:pPr>
      <w:r>
        <w:rPr>
          <w:b/>
          <w:bCs/>
        </w:rPr>
        <w:t>FDA Decision:</w:t>
      </w:r>
      <w:r>
        <w:t xml:space="preserve"> Approved for all patients with TPS ≥1%</w:t>
      </w:r>
    </w:p>
    <w:p w14:paraId="2546D50D" w14:textId="77777777" w:rsidR="00236983" w:rsidRDefault="00000000">
      <w:pPr>
        <w:pStyle w:val="BodyText"/>
      </w:pPr>
      <w:r>
        <w:rPr>
          <w:b/>
          <w:bCs/>
        </w:rPr>
        <w:t>Rationale:</w:t>
      </w:r>
    </w:p>
    <w:p w14:paraId="2546D50E" w14:textId="77777777" w:rsidR="00236983" w:rsidRDefault="00000000">
      <w:pPr>
        <w:pStyle w:val="Compact"/>
        <w:numPr>
          <w:ilvl w:val="0"/>
          <w:numId w:val="18"/>
        </w:numPr>
      </w:pPr>
      <w:r>
        <w:t>Trial not powered for TPS 1-49% subgroup analysis</w:t>
      </w:r>
    </w:p>
    <w:p w14:paraId="2546D50F" w14:textId="77777777" w:rsidR="00236983" w:rsidRDefault="00000000">
      <w:pPr>
        <w:pStyle w:val="Compact"/>
        <w:numPr>
          <w:ilvl w:val="0"/>
          <w:numId w:val="18"/>
        </w:numPr>
      </w:pPr>
      <w:r>
        <w:t>Active control (chemotherapy) as comparator</w:t>
      </w:r>
    </w:p>
    <w:p w14:paraId="2546D510" w14:textId="77777777" w:rsidR="00236983" w:rsidRDefault="00000000">
      <w:pPr>
        <w:pStyle w:val="Compact"/>
        <w:numPr>
          <w:ilvl w:val="0"/>
          <w:numId w:val="18"/>
        </w:numPr>
      </w:pPr>
      <w:r>
        <w:t>No detrimental effect on OS in lower expression subgroup</w:t>
      </w:r>
    </w:p>
    <w:p w14:paraId="2546D511" w14:textId="77777777" w:rsidR="00236983" w:rsidRDefault="00000000">
      <w:pPr>
        <w:pStyle w:val="Compact"/>
        <w:numPr>
          <w:ilvl w:val="0"/>
          <w:numId w:val="18"/>
        </w:numPr>
      </w:pPr>
      <w:r>
        <w:t>Uncertainty exists but doesn’t warrant restriction</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236983" w14:paraId="2546D513" w14:textId="77777777" w:rsidTr="00236983">
        <w:trPr>
          <w:cantSplit/>
        </w:trPr>
        <w:tc>
          <w:tcPr>
            <w:tcW w:w="0" w:type="auto"/>
            <w:shd w:val="clear" w:color="auto" w:fill="CCF1E3"/>
            <w:tcMar>
              <w:top w:w="92" w:type="dxa"/>
              <w:bottom w:w="92" w:type="dxa"/>
            </w:tcMar>
          </w:tcPr>
          <w:p w14:paraId="2546D512" w14:textId="77777777" w:rsidR="00236983" w:rsidRDefault="00000000">
            <w:pPr>
              <w:pStyle w:val="FirstParagraph"/>
              <w:spacing w:before="0" w:after="0"/>
              <w:textAlignment w:val="center"/>
            </w:pPr>
            <w:r>
              <w:rPr>
                <w:noProof/>
              </w:rPr>
              <w:drawing>
                <wp:inline distT="0" distB="0" distL="0" distR="0" wp14:anchorId="2546D708" wp14:editId="2546D709">
                  <wp:extent cx="152400" cy="152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pplications/RStudio.app/Contents/Resources/app/quarto/share/formats/docx/tip.png"/>
                          <pic:cNvPicPr>
                            <a:picLocks noChangeAspect="1" noChangeArrowheads="1"/>
                          </pic:cNvPicPr>
                        </pic:nvPicPr>
                        <pic:blipFill>
                          <a:blip r:embed="rId6"/>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15" w14:textId="77777777" w:rsidTr="00236983">
        <w:trPr>
          <w:cantSplit/>
        </w:trPr>
        <w:tc>
          <w:tcPr>
            <w:tcW w:w="0" w:type="auto"/>
            <w:tcMar>
              <w:top w:w="108" w:type="dxa"/>
              <w:bottom w:w="108" w:type="dxa"/>
            </w:tcMar>
          </w:tcPr>
          <w:p w14:paraId="2546D514" w14:textId="77777777" w:rsidR="00236983" w:rsidRDefault="00000000">
            <w:pPr>
              <w:pStyle w:val="BodyText"/>
              <w:spacing w:before="16" w:after="16"/>
            </w:pPr>
            <w:r>
              <w:t>Modest effects in exploratory subgroups with active controls may support broad approval when no harm demonstrated.</w:t>
            </w:r>
          </w:p>
        </w:tc>
      </w:tr>
    </w:tbl>
    <w:p w14:paraId="2546D516" w14:textId="77777777" w:rsidR="00236983" w:rsidRDefault="00944016">
      <w:r>
        <w:rPr>
          <w:noProof/>
        </w:rPr>
      </w:r>
      <w:r w:rsidR="00944016">
        <w:rPr>
          <w:noProof/>
        </w:rPr>
        <w:pict w14:anchorId="2546D70A">
          <v:rect id="_x0000_i1029" alt="" style="width:468pt;height:.05pt;mso-width-percent:0;mso-height-percent:0;mso-width-percent:0;mso-height-percent:0" o:hralign="center" o:hrstd="t" o:hr="t"/>
        </w:pict>
      </w:r>
    </w:p>
    <w:p w14:paraId="2546D517" w14:textId="77777777" w:rsidR="00236983" w:rsidRDefault="00000000">
      <w:pPr>
        <w:pStyle w:val="Heading3"/>
      </w:pPr>
      <w:bookmarkStart w:id="28" w:name="case-3-margetuximab-sophia"/>
      <w:bookmarkEnd w:id="27"/>
      <w:r>
        <w:t>4.1.3 Case 3: Margetuximab (SOPHIA)</w:t>
      </w:r>
    </w:p>
    <w:p w14:paraId="2546D518" w14:textId="77777777" w:rsidR="00236983" w:rsidRDefault="00000000">
      <w:pPr>
        <w:pStyle w:val="FirstParagraph"/>
      </w:pPr>
      <w:r>
        <w:rPr>
          <w:b/>
          <w:bCs/>
        </w:rPr>
        <w:t>Indication:</w:t>
      </w:r>
      <w:r>
        <w:t xml:space="preserve"> Later-line HER2+ metastatic breast cancer</w:t>
      </w:r>
    </w:p>
    <w:p w14:paraId="2546D519" w14:textId="77777777" w:rsidR="00236983" w:rsidRDefault="00000000">
      <w:pPr>
        <w:pStyle w:val="BodyText"/>
      </w:pPr>
      <w:r>
        <w:rPr>
          <w:b/>
          <w:bCs/>
        </w:rPr>
        <w:t>Trial Results:</w:t>
      </w:r>
    </w:p>
    <w:p w14:paraId="2546D51A" w14:textId="77777777" w:rsidR="00236983" w:rsidRDefault="00000000">
      <w:pPr>
        <w:pStyle w:val="Compact"/>
        <w:numPr>
          <w:ilvl w:val="0"/>
          <w:numId w:val="19"/>
        </w:numPr>
      </w:pPr>
      <w:r>
        <w:t>ITT: HR 0.76 (95% CI: 0.59-0.98) for PFS</w:t>
      </w:r>
    </w:p>
    <w:p w14:paraId="2546D51B" w14:textId="77777777" w:rsidR="00236983" w:rsidRDefault="00000000">
      <w:pPr>
        <w:pStyle w:val="Compact"/>
        <w:numPr>
          <w:ilvl w:val="0"/>
          <w:numId w:val="19"/>
        </w:numPr>
      </w:pPr>
      <w:r>
        <w:t>CD16A F/F or F/V: HR 0.68 (95% CI: 0.52-0.90)</w:t>
      </w:r>
    </w:p>
    <w:p w14:paraId="2546D51C" w14:textId="77777777" w:rsidR="00236983" w:rsidRDefault="00000000">
      <w:pPr>
        <w:pStyle w:val="Compact"/>
        <w:numPr>
          <w:ilvl w:val="0"/>
          <w:numId w:val="19"/>
        </w:numPr>
      </w:pPr>
      <w:r>
        <w:t>CD16A V/V: HR 1.78 (95% CI: 0.87-3.62) - trend favoring trastuzumab</w:t>
      </w:r>
    </w:p>
    <w:p w14:paraId="2546D51D" w14:textId="77777777" w:rsidR="00236983" w:rsidRDefault="00000000">
      <w:pPr>
        <w:pStyle w:val="FirstParagraph"/>
      </w:pPr>
      <w:r>
        <w:rPr>
          <w:b/>
          <w:bCs/>
        </w:rPr>
        <w:t>FDA Decision:</w:t>
      </w:r>
      <w:r>
        <w:t xml:space="preserve"> Approved for entire study population with post-marketing commitment</w:t>
      </w:r>
    </w:p>
    <w:p w14:paraId="2546D51E" w14:textId="77777777" w:rsidR="00236983" w:rsidRDefault="00000000">
      <w:pPr>
        <w:pStyle w:val="BodyText"/>
      </w:pPr>
      <w:r>
        <w:rPr>
          <w:b/>
          <w:bCs/>
        </w:rPr>
        <w:t>Rationale:</w:t>
      </w:r>
    </w:p>
    <w:p w14:paraId="2546D51F" w14:textId="77777777" w:rsidR="00236983" w:rsidRDefault="00000000">
      <w:pPr>
        <w:pStyle w:val="Compact"/>
        <w:numPr>
          <w:ilvl w:val="0"/>
          <w:numId w:val="20"/>
        </w:numPr>
      </w:pPr>
      <w:r>
        <w:t>No clear mechanistic basis for heterogeneity by CD16A allotypes</w:t>
      </w:r>
    </w:p>
    <w:p w14:paraId="2546D520" w14:textId="77777777" w:rsidR="00236983" w:rsidRDefault="00000000">
      <w:pPr>
        <w:pStyle w:val="Compact"/>
        <w:numPr>
          <w:ilvl w:val="0"/>
          <w:numId w:val="20"/>
        </w:numPr>
      </w:pPr>
      <w:r>
        <w:t>Small V/V subgroup (69 of 536 patients)</w:t>
      </w:r>
    </w:p>
    <w:p w14:paraId="2546D521" w14:textId="77777777" w:rsidR="00236983" w:rsidRDefault="00000000">
      <w:pPr>
        <w:pStyle w:val="Compact"/>
        <w:numPr>
          <w:ilvl w:val="0"/>
          <w:numId w:val="20"/>
        </w:numPr>
      </w:pPr>
      <w:r>
        <w:t>Imbalanced patient characteristics within V/V subgroup</w:t>
      </w:r>
    </w:p>
    <w:p w14:paraId="2546D522" w14:textId="77777777" w:rsidR="00236983" w:rsidRDefault="00000000">
      <w:pPr>
        <w:pStyle w:val="Compact"/>
        <w:numPr>
          <w:ilvl w:val="0"/>
          <w:numId w:val="20"/>
        </w:numPr>
      </w:pPr>
      <w:r>
        <w:t>Post-marketing studies required for further characterization</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236983" w14:paraId="2546D524" w14:textId="77777777" w:rsidTr="00236983">
        <w:trPr>
          <w:cantSplit/>
        </w:trPr>
        <w:tc>
          <w:tcPr>
            <w:tcW w:w="0" w:type="auto"/>
            <w:shd w:val="clear" w:color="auto" w:fill="CCF1E3"/>
            <w:tcMar>
              <w:top w:w="92" w:type="dxa"/>
              <w:bottom w:w="92" w:type="dxa"/>
            </w:tcMar>
          </w:tcPr>
          <w:p w14:paraId="2546D523" w14:textId="77777777" w:rsidR="00236983" w:rsidRDefault="00000000">
            <w:pPr>
              <w:pStyle w:val="FirstParagraph"/>
              <w:spacing w:before="0" w:after="0"/>
              <w:textAlignment w:val="center"/>
            </w:pPr>
            <w:r>
              <w:rPr>
                <w:noProof/>
              </w:rPr>
              <w:drawing>
                <wp:inline distT="0" distB="0" distL="0" distR="0" wp14:anchorId="2546D70B" wp14:editId="2546D70C">
                  <wp:extent cx="152400" cy="1524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pplications/RStudio.app/Contents/Resources/app/quarto/share/formats/docx/tip.png"/>
                          <pic:cNvPicPr>
                            <a:picLocks noChangeAspect="1" noChangeArrowheads="1"/>
                          </pic:cNvPicPr>
                        </pic:nvPicPr>
                        <pic:blipFill>
                          <a:blip r:embed="rId6"/>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26" w14:textId="77777777" w:rsidTr="00236983">
        <w:trPr>
          <w:cantSplit/>
        </w:trPr>
        <w:tc>
          <w:tcPr>
            <w:tcW w:w="0" w:type="auto"/>
            <w:tcMar>
              <w:top w:w="108" w:type="dxa"/>
              <w:bottom w:w="108" w:type="dxa"/>
            </w:tcMar>
          </w:tcPr>
          <w:p w14:paraId="2546D525" w14:textId="77777777" w:rsidR="00236983" w:rsidRDefault="00000000">
            <w:pPr>
              <w:pStyle w:val="BodyText"/>
              <w:spacing w:before="16" w:after="16"/>
            </w:pPr>
            <w:r>
              <w:t>Exploratory subgroup findings require mechanistic justification and adequate sample size to restrict indication.</w:t>
            </w:r>
          </w:p>
        </w:tc>
      </w:tr>
    </w:tbl>
    <w:p w14:paraId="2546D527" w14:textId="77777777" w:rsidR="00236983" w:rsidRDefault="00944016">
      <w:r>
        <w:rPr>
          <w:noProof/>
        </w:rPr>
      </w:r>
      <w:r w:rsidR="00944016">
        <w:rPr>
          <w:noProof/>
        </w:rPr>
        <w:pict w14:anchorId="2546D70D">
          <v:rect id="_x0000_i1030" alt="" style="width:468pt;height:.05pt;mso-width-percent:0;mso-height-percent:0;mso-width-percent:0;mso-height-percent:0" o:hralign="center" o:hrstd="t" o:hr="t"/>
        </w:pict>
      </w:r>
    </w:p>
    <w:p w14:paraId="2546D528" w14:textId="77777777" w:rsidR="00236983" w:rsidRDefault="00000000">
      <w:pPr>
        <w:pStyle w:val="Heading2"/>
      </w:pPr>
      <w:bookmarkStart w:id="29" w:name="approvals-restricted-to-subgroups"/>
      <w:bookmarkEnd w:id="25"/>
      <w:bookmarkEnd w:id="28"/>
      <w:r>
        <w:lastRenderedPageBreak/>
        <w:t>4.2 Approvals Restricted to Subgroups</w:t>
      </w:r>
    </w:p>
    <w:p w14:paraId="2546D529" w14:textId="77777777" w:rsidR="00236983" w:rsidRDefault="00000000">
      <w:pPr>
        <w:pStyle w:val="Heading3"/>
      </w:pPr>
      <w:bookmarkStart w:id="30" w:name="case-4-olaparib-bevacizumab-paola-1"/>
      <w:r>
        <w:t>4.2.1 Case 4: Olaparib + Bevacizumab (PAOLA-1)</w:t>
      </w:r>
    </w:p>
    <w:p w14:paraId="2546D52A" w14:textId="77777777" w:rsidR="00236983" w:rsidRDefault="00000000">
      <w:pPr>
        <w:pStyle w:val="FirstParagraph"/>
      </w:pPr>
      <w:r>
        <w:rPr>
          <w:b/>
          <w:bCs/>
        </w:rPr>
        <w:t>Indication:</w:t>
      </w:r>
      <w:r>
        <w:t xml:space="preserve"> First-line maintenance for HRD+ advanced ovarian cancer</w:t>
      </w:r>
    </w:p>
    <w:p w14:paraId="2546D52B" w14:textId="77777777" w:rsidR="00236983" w:rsidRDefault="00000000">
      <w:pPr>
        <w:pStyle w:val="BodyText"/>
      </w:pPr>
      <w:r>
        <w:rPr>
          <w:b/>
          <w:bCs/>
        </w:rPr>
        <w:t>Trial Results:</w:t>
      </w:r>
    </w:p>
    <w:p w14:paraId="2546D52C" w14:textId="77777777" w:rsidR="00236983" w:rsidRDefault="00000000">
      <w:pPr>
        <w:pStyle w:val="Compact"/>
        <w:numPr>
          <w:ilvl w:val="0"/>
          <w:numId w:val="21"/>
        </w:numPr>
      </w:pPr>
      <w:r>
        <w:t>ITT: HR 0.59 (95% CI: 0.49-0.72), p &lt;0.0001</w:t>
      </w:r>
    </w:p>
    <w:p w14:paraId="2546D52D" w14:textId="77777777" w:rsidR="00236983" w:rsidRDefault="00000000">
      <w:pPr>
        <w:pStyle w:val="Compact"/>
        <w:numPr>
          <w:ilvl w:val="0"/>
          <w:numId w:val="21"/>
        </w:numPr>
      </w:pPr>
      <w:r>
        <w:t>HRD-positive (66% of ITT): HR 0.33 (95% CI: 0.25-0.45)</w:t>
      </w:r>
    </w:p>
    <w:p w14:paraId="2546D52E" w14:textId="77777777" w:rsidR="00236983" w:rsidRDefault="00000000">
      <w:pPr>
        <w:pStyle w:val="Compact"/>
        <w:numPr>
          <w:ilvl w:val="0"/>
          <w:numId w:val="21"/>
        </w:numPr>
      </w:pPr>
      <w:r>
        <w:t>HRD-negative (34% of ITT): No PFS benefit, OS numerically favored control</w:t>
      </w:r>
    </w:p>
    <w:p w14:paraId="2546D52F" w14:textId="77777777" w:rsidR="00236983" w:rsidRDefault="00000000">
      <w:pPr>
        <w:pStyle w:val="FirstParagraph"/>
      </w:pPr>
      <w:r>
        <w:rPr>
          <w:b/>
          <w:bCs/>
        </w:rPr>
        <w:t>FDA Decision:</w:t>
      </w:r>
      <w:r>
        <w:t xml:space="preserve"> Restricted to HRD-positive population only</w:t>
      </w:r>
    </w:p>
    <w:p w14:paraId="2546D530" w14:textId="77777777" w:rsidR="00236983" w:rsidRDefault="00000000">
      <w:pPr>
        <w:pStyle w:val="BodyText"/>
      </w:pPr>
      <w:r>
        <w:rPr>
          <w:b/>
          <w:bCs/>
        </w:rPr>
        <w:t>Rationale:</w:t>
      </w:r>
    </w:p>
    <w:p w14:paraId="2546D531" w14:textId="77777777" w:rsidR="00236983" w:rsidRDefault="00000000">
      <w:pPr>
        <w:pStyle w:val="Compact"/>
        <w:numPr>
          <w:ilvl w:val="0"/>
          <w:numId w:val="22"/>
        </w:numPr>
      </w:pPr>
      <w:r>
        <w:t>Strong biological plausibility (PARP inhibitor mechanism in HRD tumors)</w:t>
      </w:r>
    </w:p>
    <w:p w14:paraId="2546D532" w14:textId="77777777" w:rsidR="00236983" w:rsidRDefault="00000000">
      <w:pPr>
        <w:pStyle w:val="Compact"/>
        <w:numPr>
          <w:ilvl w:val="0"/>
          <w:numId w:val="22"/>
        </w:numPr>
      </w:pPr>
      <w:r>
        <w:t>Lack of efficacy evidence in HRD-negative patients</w:t>
      </w:r>
    </w:p>
    <w:p w14:paraId="2546D533" w14:textId="77777777" w:rsidR="00236983" w:rsidRDefault="00000000">
      <w:pPr>
        <w:pStyle w:val="Compact"/>
        <w:numPr>
          <w:ilvl w:val="0"/>
          <w:numId w:val="22"/>
        </w:numPr>
      </w:pPr>
      <w:r>
        <w:t>Potential for harm suggested by OS trend</w:t>
      </w:r>
    </w:p>
    <w:p w14:paraId="2546D534" w14:textId="77777777" w:rsidR="00236983" w:rsidRDefault="00000000">
      <w:pPr>
        <w:pStyle w:val="Compact"/>
        <w:numPr>
          <w:ilvl w:val="0"/>
          <w:numId w:val="22"/>
        </w:numPr>
      </w:pPr>
      <w:r>
        <w:t>Consistent data across multiple PARP inhibitors</w:t>
      </w:r>
    </w:p>
    <w:p w14:paraId="2546D535" w14:textId="77777777" w:rsidR="00236983" w:rsidRDefault="00000000">
      <w:pPr>
        <w:pStyle w:val="Compact"/>
        <w:numPr>
          <w:ilvl w:val="0"/>
          <w:numId w:val="22"/>
        </w:numPr>
      </w:pPr>
      <w:r>
        <w:t>Well-defined biomarker with validated test</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236983" w14:paraId="2546D537" w14:textId="77777777" w:rsidTr="00236983">
        <w:trPr>
          <w:cantSplit/>
        </w:trPr>
        <w:tc>
          <w:tcPr>
            <w:tcW w:w="0" w:type="auto"/>
            <w:shd w:val="clear" w:color="auto" w:fill="F7DDDC"/>
            <w:tcMar>
              <w:top w:w="92" w:type="dxa"/>
              <w:bottom w:w="92" w:type="dxa"/>
            </w:tcMar>
          </w:tcPr>
          <w:p w14:paraId="2546D536" w14:textId="77777777" w:rsidR="00236983" w:rsidRDefault="00000000">
            <w:pPr>
              <w:pStyle w:val="FirstParagraph"/>
              <w:spacing w:before="0" w:after="0"/>
              <w:textAlignment w:val="center"/>
            </w:pPr>
            <w:r>
              <w:rPr>
                <w:noProof/>
              </w:rPr>
              <w:drawing>
                <wp:inline distT="0" distB="0" distL="0" distR="0" wp14:anchorId="2546D70E" wp14:editId="2546D70F">
                  <wp:extent cx="152400" cy="1524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Applications/RStudio.app/Contents/Resources/app/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39" w14:textId="77777777" w:rsidTr="00236983">
        <w:trPr>
          <w:cantSplit/>
        </w:trPr>
        <w:tc>
          <w:tcPr>
            <w:tcW w:w="0" w:type="auto"/>
            <w:tcMar>
              <w:top w:w="108" w:type="dxa"/>
              <w:bottom w:w="108" w:type="dxa"/>
            </w:tcMar>
          </w:tcPr>
          <w:p w14:paraId="2546D538" w14:textId="77777777" w:rsidR="00236983" w:rsidRDefault="00000000">
            <w:pPr>
              <w:pStyle w:val="BodyText"/>
              <w:spacing w:before="16" w:after="16"/>
            </w:pPr>
            <w:r>
              <w:t>Restriction warranted when clear mechanistic rationale, lack of benefit, and potential harm in complementary subgroup.</w:t>
            </w:r>
          </w:p>
        </w:tc>
      </w:tr>
    </w:tbl>
    <w:p w14:paraId="2546D53A" w14:textId="77777777" w:rsidR="00236983" w:rsidRDefault="00944016">
      <w:r>
        <w:rPr>
          <w:noProof/>
        </w:rPr>
      </w:r>
      <w:r w:rsidR="00944016">
        <w:rPr>
          <w:noProof/>
        </w:rPr>
        <w:pict w14:anchorId="2546D710">
          <v:rect id="_x0000_i1031" alt="" style="width:468pt;height:.05pt;mso-width-percent:0;mso-height-percent:0;mso-width-percent:0;mso-height-percent:0" o:hralign="center" o:hrstd="t" o:hr="t"/>
        </w:pict>
      </w:r>
    </w:p>
    <w:p w14:paraId="2546D53B" w14:textId="77777777" w:rsidR="00236983" w:rsidRDefault="00000000">
      <w:pPr>
        <w:pStyle w:val="Heading3"/>
      </w:pPr>
      <w:bookmarkStart w:id="31" w:name="case-5-eribulin-study-309"/>
      <w:bookmarkEnd w:id="30"/>
      <w:r>
        <w:t>4.2.2 Case 5: Eribulin (Study 309)</w:t>
      </w:r>
    </w:p>
    <w:p w14:paraId="2546D53C" w14:textId="77777777" w:rsidR="00236983" w:rsidRDefault="00000000">
      <w:pPr>
        <w:pStyle w:val="FirstParagraph"/>
      </w:pPr>
      <w:r>
        <w:rPr>
          <w:b/>
          <w:bCs/>
        </w:rPr>
        <w:t>Indication:</w:t>
      </w:r>
      <w:r>
        <w:t xml:space="preserve"> Unresectable or metastatic liposarcoma</w:t>
      </w:r>
    </w:p>
    <w:p w14:paraId="2546D53D" w14:textId="77777777" w:rsidR="00236983" w:rsidRDefault="00000000">
      <w:pPr>
        <w:pStyle w:val="BodyText"/>
      </w:pPr>
      <w:r>
        <w:rPr>
          <w:b/>
          <w:bCs/>
        </w:rPr>
        <w:t>Trial Results:</w:t>
      </w:r>
    </w:p>
    <w:p w14:paraId="2546D53E" w14:textId="77777777" w:rsidR="00236983" w:rsidRDefault="00000000">
      <w:pPr>
        <w:pStyle w:val="Compact"/>
        <w:numPr>
          <w:ilvl w:val="0"/>
          <w:numId w:val="23"/>
        </w:numPr>
      </w:pPr>
      <w:r>
        <w:t>ITT (liposarcoma 32%, leiomyosarcoma 68%): HR 0.75 (95% CI: 0.61-0.94)</w:t>
      </w:r>
    </w:p>
    <w:p w14:paraId="2546D53F" w14:textId="77777777" w:rsidR="00236983" w:rsidRDefault="00000000">
      <w:pPr>
        <w:pStyle w:val="Compact"/>
        <w:numPr>
          <w:ilvl w:val="0"/>
          <w:numId w:val="23"/>
        </w:numPr>
      </w:pPr>
      <w:r>
        <w:t>Liposarcoma subgroup: HR 0.51 (95% CI: 0.35-0.75)</w:t>
      </w:r>
    </w:p>
    <w:p w14:paraId="2546D540" w14:textId="77777777" w:rsidR="00236983" w:rsidRDefault="00000000">
      <w:pPr>
        <w:pStyle w:val="Compact"/>
        <w:numPr>
          <w:ilvl w:val="0"/>
          <w:numId w:val="23"/>
        </w:numPr>
      </w:pPr>
      <w:r>
        <w:t>Leiomyosarcoma subgroup: HR 0.90 (95% CI: 0.69-1.18)</w:t>
      </w:r>
    </w:p>
    <w:p w14:paraId="2546D541" w14:textId="77777777" w:rsidR="00236983" w:rsidRDefault="00000000">
      <w:pPr>
        <w:pStyle w:val="FirstParagraph"/>
      </w:pPr>
      <w:r>
        <w:rPr>
          <w:b/>
          <w:bCs/>
        </w:rPr>
        <w:t>FDA Decision:</w:t>
      </w:r>
      <w:r>
        <w:t xml:space="preserve"> Approved only for liposarcoma</w:t>
      </w:r>
    </w:p>
    <w:p w14:paraId="2546D542" w14:textId="77777777" w:rsidR="00236983" w:rsidRDefault="00000000">
      <w:pPr>
        <w:pStyle w:val="BodyText"/>
      </w:pPr>
      <w:r>
        <w:rPr>
          <w:b/>
          <w:bCs/>
        </w:rPr>
        <w:t>Rationale:</w:t>
      </w:r>
    </w:p>
    <w:p w14:paraId="2546D543" w14:textId="77777777" w:rsidR="00236983" w:rsidRDefault="00000000">
      <w:pPr>
        <w:pStyle w:val="Compact"/>
        <w:numPr>
          <w:ilvl w:val="0"/>
          <w:numId w:val="24"/>
        </w:numPr>
      </w:pPr>
      <w:r>
        <w:t>Pre-specified exploratory subgroup analysis showed strong differential effect</w:t>
      </w:r>
    </w:p>
    <w:p w14:paraId="2546D544" w14:textId="77777777" w:rsidR="00236983" w:rsidRDefault="00000000">
      <w:pPr>
        <w:pStyle w:val="Compact"/>
        <w:numPr>
          <w:ilvl w:val="0"/>
          <w:numId w:val="24"/>
        </w:numPr>
      </w:pPr>
      <w:r>
        <w:t>Biological differences between sarcoma subtypes</w:t>
      </w:r>
    </w:p>
    <w:p w14:paraId="2546D545" w14:textId="77777777" w:rsidR="00236983" w:rsidRDefault="00000000">
      <w:pPr>
        <w:pStyle w:val="Compact"/>
        <w:numPr>
          <w:ilvl w:val="0"/>
          <w:numId w:val="24"/>
        </w:numPr>
      </w:pPr>
      <w:r>
        <w:t>Consistent differential effects across secondary endpoints</w:t>
      </w:r>
    </w:p>
    <w:p w14:paraId="2546D546" w14:textId="77777777" w:rsidR="00236983" w:rsidRDefault="00000000">
      <w:pPr>
        <w:pStyle w:val="Compact"/>
        <w:numPr>
          <w:ilvl w:val="0"/>
          <w:numId w:val="24"/>
        </w:numPr>
      </w:pPr>
      <w:r>
        <w:t>Effect in larger leiomyosarcoma subgroup insufficient</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236983" w14:paraId="2546D548" w14:textId="77777777" w:rsidTr="00236983">
        <w:trPr>
          <w:cantSplit/>
        </w:trPr>
        <w:tc>
          <w:tcPr>
            <w:tcW w:w="0" w:type="auto"/>
            <w:shd w:val="clear" w:color="auto" w:fill="F7DDDC"/>
            <w:tcMar>
              <w:top w:w="92" w:type="dxa"/>
              <w:bottom w:w="92" w:type="dxa"/>
            </w:tcMar>
          </w:tcPr>
          <w:p w14:paraId="2546D547" w14:textId="77777777" w:rsidR="00236983" w:rsidRDefault="00000000">
            <w:pPr>
              <w:pStyle w:val="FirstParagraph"/>
              <w:spacing w:before="0" w:after="0"/>
              <w:textAlignment w:val="center"/>
            </w:pPr>
            <w:r>
              <w:rPr>
                <w:noProof/>
              </w:rPr>
              <w:lastRenderedPageBreak/>
              <w:drawing>
                <wp:inline distT="0" distB="0" distL="0" distR="0" wp14:anchorId="2546D711" wp14:editId="2546D712">
                  <wp:extent cx="152400" cy="1524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Applications/RStudio.app/Contents/Resources/app/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4A" w14:textId="77777777" w:rsidTr="00236983">
        <w:trPr>
          <w:cantSplit/>
        </w:trPr>
        <w:tc>
          <w:tcPr>
            <w:tcW w:w="0" w:type="auto"/>
            <w:tcMar>
              <w:top w:w="108" w:type="dxa"/>
              <w:bottom w:w="108" w:type="dxa"/>
            </w:tcMar>
          </w:tcPr>
          <w:p w14:paraId="2546D549" w14:textId="77777777" w:rsidR="00236983" w:rsidRDefault="00000000">
            <w:pPr>
              <w:pStyle w:val="BodyText"/>
              <w:spacing w:before="16" w:after="16"/>
            </w:pPr>
            <w:r>
              <w:t>Substantial evidence may be limited to subgroup when biological differences support heterogeneity.</w:t>
            </w:r>
          </w:p>
        </w:tc>
      </w:tr>
    </w:tbl>
    <w:p w14:paraId="2546D54B" w14:textId="77777777" w:rsidR="00236983" w:rsidRDefault="00944016">
      <w:r>
        <w:rPr>
          <w:noProof/>
        </w:rPr>
      </w:r>
      <w:r w:rsidR="00944016">
        <w:rPr>
          <w:noProof/>
        </w:rPr>
        <w:pict w14:anchorId="2546D713">
          <v:rect id="_x0000_i1032" alt="" style="width:468pt;height:.05pt;mso-width-percent:0;mso-height-percent:0;mso-width-percent:0;mso-height-percent:0" o:hralign="center" o:hrstd="t" o:hr="t"/>
        </w:pict>
      </w:r>
    </w:p>
    <w:p w14:paraId="2546D54C" w14:textId="77777777" w:rsidR="00236983" w:rsidRDefault="00000000">
      <w:pPr>
        <w:pStyle w:val="Heading3"/>
      </w:pPr>
      <w:bookmarkStart w:id="32" w:name="X7a1385267a9ecb6405c756e14dd8e1606767e16"/>
      <w:bookmarkEnd w:id="31"/>
      <w:r>
        <w:t>4.2.3 Case 6: Atezolizumab + Paclitaxel (IMpassion130)</w:t>
      </w:r>
    </w:p>
    <w:p w14:paraId="2546D54D" w14:textId="77777777" w:rsidR="00236983" w:rsidRDefault="00000000">
      <w:pPr>
        <w:pStyle w:val="FirstParagraph"/>
      </w:pPr>
      <w:r>
        <w:rPr>
          <w:b/>
          <w:bCs/>
        </w:rPr>
        <w:t>Indication:</w:t>
      </w:r>
      <w:r>
        <w:t xml:space="preserve"> PD-L1+ triple-negative breast cancer</w:t>
      </w:r>
    </w:p>
    <w:p w14:paraId="2546D54E" w14:textId="77777777" w:rsidR="00236983" w:rsidRDefault="00000000">
      <w:pPr>
        <w:pStyle w:val="BodyText"/>
      </w:pPr>
      <w:r>
        <w:rPr>
          <w:b/>
          <w:bCs/>
        </w:rPr>
        <w:t>Trial Results:</w:t>
      </w:r>
    </w:p>
    <w:p w14:paraId="2546D54F" w14:textId="77777777" w:rsidR="00236983" w:rsidRDefault="00000000">
      <w:pPr>
        <w:pStyle w:val="Compact"/>
        <w:numPr>
          <w:ilvl w:val="0"/>
          <w:numId w:val="25"/>
        </w:numPr>
      </w:pPr>
      <w:r>
        <w:t>ITT: HR 0.79 (95% CI: 0.68-0.92), median PFS 7.0 vs 5.5 months</w:t>
      </w:r>
    </w:p>
    <w:p w14:paraId="2546D550" w14:textId="77777777" w:rsidR="00236983" w:rsidRDefault="00000000">
      <w:pPr>
        <w:pStyle w:val="Compact"/>
        <w:numPr>
          <w:ilvl w:val="0"/>
          <w:numId w:val="25"/>
        </w:numPr>
      </w:pPr>
      <w:r>
        <w:t>PD-L1+: HR 0.60 (95% CI: 0.48-0.77), median PFS 7.4 vs 4.8 months, OS HR 0.71</w:t>
      </w:r>
    </w:p>
    <w:p w14:paraId="2546D551" w14:textId="77777777" w:rsidR="00236983" w:rsidRDefault="00000000">
      <w:pPr>
        <w:pStyle w:val="FirstParagraph"/>
      </w:pPr>
      <w:r>
        <w:rPr>
          <w:b/>
          <w:bCs/>
        </w:rPr>
        <w:t>FDA Decision:</w:t>
      </w:r>
      <w:r>
        <w:t xml:space="preserve"> Accelerated approval limited to PD-L1+ population</w:t>
      </w:r>
    </w:p>
    <w:p w14:paraId="2546D552" w14:textId="77777777" w:rsidR="00236983" w:rsidRDefault="00000000">
      <w:pPr>
        <w:pStyle w:val="BodyText"/>
      </w:pPr>
      <w:r>
        <w:rPr>
          <w:b/>
          <w:bCs/>
        </w:rPr>
        <w:t>Rationale:</w:t>
      </w:r>
    </w:p>
    <w:p w14:paraId="2546D553" w14:textId="77777777" w:rsidR="00236983" w:rsidRDefault="00000000">
      <w:pPr>
        <w:pStyle w:val="Compact"/>
        <w:numPr>
          <w:ilvl w:val="0"/>
          <w:numId w:val="26"/>
        </w:numPr>
      </w:pPr>
      <w:r>
        <w:t>Trial designed with formal testing in both ITT and PD-L1+ populations</w:t>
      </w:r>
    </w:p>
    <w:p w14:paraId="2546D554" w14:textId="77777777" w:rsidR="00236983" w:rsidRDefault="00000000">
      <w:pPr>
        <w:pStyle w:val="Compact"/>
        <w:numPr>
          <w:ilvl w:val="0"/>
          <w:numId w:val="26"/>
        </w:numPr>
      </w:pPr>
      <w:r>
        <w:t>ITT benefit magnitude modest (1.5 months) creating uncertainty</w:t>
      </w:r>
    </w:p>
    <w:p w14:paraId="2546D555" w14:textId="77777777" w:rsidR="00236983" w:rsidRDefault="00000000">
      <w:pPr>
        <w:pStyle w:val="Compact"/>
        <w:numPr>
          <w:ilvl w:val="0"/>
          <w:numId w:val="26"/>
        </w:numPr>
      </w:pPr>
      <w:r>
        <w:t>PD-L1+ subgroup showed greater PFS benefit (2.6 months)</w:t>
      </w:r>
    </w:p>
    <w:p w14:paraId="2546D556" w14:textId="77777777" w:rsidR="00236983" w:rsidRDefault="00000000">
      <w:pPr>
        <w:pStyle w:val="Compact"/>
        <w:numPr>
          <w:ilvl w:val="0"/>
          <w:numId w:val="26"/>
        </w:numPr>
      </w:pPr>
      <w:r>
        <w:t>Favorable OS trend in PD-L1+ subgroup</w:t>
      </w:r>
    </w:p>
    <w:p w14:paraId="2546D557" w14:textId="77777777" w:rsidR="00236983" w:rsidRDefault="00000000">
      <w:pPr>
        <w:pStyle w:val="Compact"/>
        <w:numPr>
          <w:ilvl w:val="0"/>
          <w:numId w:val="26"/>
        </w:numPr>
      </w:pPr>
      <w:r>
        <w:t>Alpha split justified focused approval</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236983" w14:paraId="2546D559" w14:textId="77777777" w:rsidTr="00236983">
        <w:trPr>
          <w:cantSplit/>
        </w:trPr>
        <w:tc>
          <w:tcPr>
            <w:tcW w:w="0" w:type="auto"/>
            <w:shd w:val="clear" w:color="auto" w:fill="F7DDDC"/>
            <w:tcMar>
              <w:top w:w="92" w:type="dxa"/>
              <w:bottom w:w="92" w:type="dxa"/>
            </w:tcMar>
          </w:tcPr>
          <w:p w14:paraId="2546D558" w14:textId="77777777" w:rsidR="00236983" w:rsidRDefault="00000000">
            <w:pPr>
              <w:pStyle w:val="FirstParagraph"/>
              <w:spacing w:before="0" w:after="0"/>
              <w:textAlignment w:val="center"/>
            </w:pPr>
            <w:r>
              <w:rPr>
                <w:noProof/>
              </w:rPr>
              <w:drawing>
                <wp:inline distT="0" distB="0" distL="0" distR="0" wp14:anchorId="2546D714" wp14:editId="2546D715">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Applications/RStudio.app/Contents/Resources/app/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Key Lesson</w:t>
            </w:r>
          </w:p>
        </w:tc>
      </w:tr>
      <w:tr w:rsidR="00236983" w14:paraId="2546D55B" w14:textId="77777777" w:rsidTr="00236983">
        <w:trPr>
          <w:cantSplit/>
        </w:trPr>
        <w:tc>
          <w:tcPr>
            <w:tcW w:w="0" w:type="auto"/>
            <w:tcMar>
              <w:top w:w="108" w:type="dxa"/>
              <w:bottom w:w="108" w:type="dxa"/>
            </w:tcMar>
          </w:tcPr>
          <w:p w14:paraId="2546D55A" w14:textId="77777777" w:rsidR="00236983" w:rsidRDefault="00000000">
            <w:pPr>
              <w:pStyle w:val="BodyText"/>
              <w:spacing w:before="16" w:after="16"/>
            </w:pPr>
            <w:r>
              <w:t>Pre-specified formal subgroup testing enables regulatory decision to focus on subgroup with more robust benefit.</w:t>
            </w:r>
          </w:p>
        </w:tc>
      </w:tr>
    </w:tbl>
    <w:p w14:paraId="2546D55C" w14:textId="77777777" w:rsidR="00236983" w:rsidRDefault="00944016">
      <w:r>
        <w:rPr>
          <w:noProof/>
        </w:rPr>
      </w:r>
      <w:r w:rsidR="00944016">
        <w:rPr>
          <w:noProof/>
        </w:rPr>
        <w:pict w14:anchorId="2546D716">
          <v:rect id="_x0000_i1033" alt="" style="width:468pt;height:.05pt;mso-width-percent:0;mso-height-percent:0;mso-width-percent:0;mso-height-percent:0" o:hralign="center" o:hrstd="t" o:hr="t"/>
        </w:pict>
      </w:r>
    </w:p>
    <w:p w14:paraId="2546D55D" w14:textId="77777777" w:rsidR="00236983" w:rsidRDefault="00000000">
      <w:pPr>
        <w:pStyle w:val="Heading1"/>
      </w:pPr>
      <w:bookmarkStart w:id="33" w:name="part-4-ema-assessment-scenarios"/>
      <w:bookmarkEnd w:id="24"/>
      <w:bookmarkEnd w:id="29"/>
      <w:bookmarkEnd w:id="32"/>
      <w:r>
        <w:t>5. Part 4: EMA Assessment Scenarios</w:t>
      </w:r>
    </w:p>
    <w:p w14:paraId="2546D55E" w14:textId="77777777" w:rsidR="00236983" w:rsidRDefault="00000000">
      <w:pPr>
        <w:pStyle w:val="Heading2"/>
      </w:pPr>
      <w:bookmarkStart w:id="34" w:name="X670a01ef114301d43f7cbeaa4220d2aa48c7eac"/>
      <w:r>
        <w:t>5.1 Scenario 1: Overall Statistically Persuasive Evidence</w:t>
      </w:r>
    </w:p>
    <w:p w14:paraId="2546D55F" w14:textId="77777777" w:rsidR="00236983" w:rsidRDefault="00000000">
      <w:pPr>
        <w:pStyle w:val="FirstParagraph"/>
      </w:pPr>
      <w:r>
        <w:rPr>
          <w:b/>
          <w:bCs/>
        </w:rPr>
        <w:t>Situation:</w:t>
      </w:r>
      <w:r>
        <w:t xml:space="preserve"> Clinical data are overall statistically persuasive with therapeutic efficacy demonstrated in primary analysis population.</w:t>
      </w:r>
    </w:p>
    <w:p w14:paraId="2546D560" w14:textId="77777777" w:rsidR="00236983" w:rsidRDefault="00000000">
      <w:pPr>
        <w:pStyle w:val="BodyText"/>
      </w:pPr>
      <w:r>
        <w:rPr>
          <w:b/>
          <w:bCs/>
        </w:rPr>
        <w:t>Goal:</w:t>
      </w:r>
      <w:r>
        <w:t xml:space="preserve"> Verify that conclusions of therapeutic efficacy and safety apply consistently across subgroups.</w:t>
      </w:r>
    </w:p>
    <w:p w14:paraId="2546D561" w14:textId="77777777" w:rsidR="00236983" w:rsidRDefault="00000000">
      <w:pPr>
        <w:pStyle w:val="Heading3"/>
      </w:pPr>
      <w:bookmarkStart w:id="35" w:name="assessment-approach"/>
      <w:r>
        <w:t>5.1.1 Assessment Approach:</w:t>
      </w:r>
    </w:p>
    <w:p w14:paraId="2546D562" w14:textId="77777777" w:rsidR="00236983" w:rsidRDefault="00000000">
      <w:pPr>
        <w:pStyle w:val="Compact"/>
        <w:numPr>
          <w:ilvl w:val="0"/>
          <w:numId w:val="27"/>
        </w:numPr>
      </w:pPr>
      <w:r>
        <w:t>Explore consistency using forest plots and interaction tests</w:t>
      </w:r>
    </w:p>
    <w:p w14:paraId="2546D563" w14:textId="77777777" w:rsidR="00236983" w:rsidRDefault="00000000">
      <w:pPr>
        <w:pStyle w:val="Compact"/>
        <w:numPr>
          <w:ilvl w:val="0"/>
          <w:numId w:val="27"/>
        </w:numPr>
      </w:pPr>
      <w:r>
        <w:t>If well-planned assessment shows no inconsistency → investigation complete</w:t>
      </w:r>
    </w:p>
    <w:p w14:paraId="2546D564" w14:textId="77777777" w:rsidR="00236983" w:rsidRDefault="00000000">
      <w:pPr>
        <w:pStyle w:val="Compact"/>
        <w:numPr>
          <w:ilvl w:val="0"/>
          <w:numId w:val="27"/>
        </w:numPr>
      </w:pPr>
      <w:r>
        <w:t>If inconsistency observed in key subgroup → finding may be credible if:</w:t>
      </w:r>
    </w:p>
    <w:p w14:paraId="2546D565" w14:textId="77777777" w:rsidR="00236983" w:rsidRDefault="00000000">
      <w:pPr>
        <w:pStyle w:val="Compact"/>
        <w:numPr>
          <w:ilvl w:val="1"/>
          <w:numId w:val="28"/>
        </w:numPr>
      </w:pPr>
      <w:r>
        <w:rPr>
          <w:b/>
          <w:bCs/>
        </w:rPr>
        <w:lastRenderedPageBreak/>
        <w:t>Biological plausibility</w:t>
      </w:r>
      <w:r>
        <w:t xml:space="preserve"> for inconsistent effect in expected direction, OR</w:t>
      </w:r>
    </w:p>
    <w:p w14:paraId="2546D566" w14:textId="77777777" w:rsidR="00236983" w:rsidRDefault="00000000">
      <w:pPr>
        <w:pStyle w:val="Compact"/>
        <w:numPr>
          <w:ilvl w:val="1"/>
          <w:numId w:val="28"/>
        </w:numPr>
      </w:pPr>
      <w:r>
        <w:rPr>
          <w:b/>
          <w:bCs/>
        </w:rPr>
        <w:t>Replication</w:t>
      </w:r>
      <w:r>
        <w:t xml:space="preserve"> across multiple data sources</w:t>
      </w:r>
    </w:p>
    <w:p w14:paraId="2546D567" w14:textId="77777777" w:rsidR="00236983" w:rsidRDefault="00000000">
      <w:pPr>
        <w:pStyle w:val="Compact"/>
        <w:numPr>
          <w:ilvl w:val="1"/>
          <w:numId w:val="28"/>
        </w:numPr>
      </w:pPr>
      <w:r>
        <w:t>Further supported by nominally significant interaction tests</w:t>
      </w:r>
    </w:p>
    <w:p w14:paraId="2546D568" w14:textId="77777777" w:rsidR="00236983" w:rsidRDefault="00000000">
      <w:pPr>
        <w:pStyle w:val="Compact"/>
        <w:numPr>
          <w:ilvl w:val="1"/>
          <w:numId w:val="28"/>
        </w:numPr>
      </w:pPr>
      <w:r>
        <w:t>Evidence across different endpoints</w:t>
      </w:r>
    </w:p>
    <w:p w14:paraId="2546D569" w14:textId="77777777" w:rsidR="00236983" w:rsidRDefault="00000000">
      <w:pPr>
        <w:pStyle w:val="Heading3"/>
      </w:pPr>
      <w:bookmarkStart w:id="36" w:name="decision-framework-see-annex-flowchart"/>
      <w:bookmarkEnd w:id="35"/>
      <w:r>
        <w:t>5.1.2 Decision Framework (See Annex flowchart):</w:t>
      </w:r>
    </w:p>
    <w:p w14:paraId="2546D56A" w14:textId="77777777" w:rsidR="00236983" w:rsidRDefault="00000000">
      <w:pPr>
        <w:pStyle w:val="Compact"/>
        <w:numPr>
          <w:ilvl w:val="0"/>
          <w:numId w:val="29"/>
        </w:numPr>
      </w:pPr>
      <w:r>
        <w:rPr>
          <w:b/>
          <w:bCs/>
        </w:rPr>
        <w:t>Exploratory subgroups:</w:t>
      </w:r>
      <w:r>
        <w:t xml:space="preserve"> Generally disregard unless extreme or replicated</w:t>
      </w:r>
    </w:p>
    <w:p w14:paraId="2546D56B" w14:textId="77777777" w:rsidR="00236983" w:rsidRDefault="00000000">
      <w:pPr>
        <w:pStyle w:val="Compact"/>
        <w:numPr>
          <w:ilvl w:val="0"/>
          <w:numId w:val="29"/>
        </w:numPr>
      </w:pPr>
      <w:r>
        <w:rPr>
          <w:b/>
          <w:bCs/>
        </w:rPr>
        <w:t>Key subgroups:</w:t>
      </w:r>
      <w:r>
        <w:t xml:space="preserve"> Pursue if biological plausibility OR replication exists</w:t>
      </w:r>
    </w:p>
    <w:p w14:paraId="2546D56C" w14:textId="77777777" w:rsidR="00236983" w:rsidRDefault="00000000">
      <w:pPr>
        <w:pStyle w:val="Compact"/>
        <w:numPr>
          <w:ilvl w:val="0"/>
          <w:numId w:val="29"/>
        </w:numPr>
      </w:pPr>
      <w:r>
        <w:rPr>
          <w:b/>
          <w:bCs/>
        </w:rPr>
        <w:t>Not available to replicate:</w:t>
      </w:r>
      <w:r>
        <w:t xml:space="preserve"> Apply precautionary principle if possibly credible</w:t>
      </w:r>
    </w:p>
    <w:p w14:paraId="2546D56D" w14:textId="77777777" w:rsidR="00236983" w:rsidRDefault="00944016">
      <w:r>
        <w:rPr>
          <w:noProof/>
        </w:rPr>
      </w:r>
      <w:r w:rsidR="00944016">
        <w:rPr>
          <w:noProof/>
        </w:rPr>
        <w:pict w14:anchorId="2546D717">
          <v:rect id="_x0000_i1034" alt="" style="width:468pt;height:.05pt;mso-width-percent:0;mso-height-percent:0;mso-width-percent:0;mso-height-percent:0" o:hralign="center" o:hrstd="t" o:hr="t"/>
        </w:pict>
      </w:r>
    </w:p>
    <w:p w14:paraId="2546D56E" w14:textId="77777777" w:rsidR="00236983" w:rsidRDefault="00000000">
      <w:pPr>
        <w:pStyle w:val="Heading2"/>
      </w:pPr>
      <w:bookmarkStart w:id="37" w:name="X60865bf496c30e024a2ead4b666dda7f12e5b42"/>
      <w:bookmarkEnd w:id="34"/>
      <w:bookmarkEnd w:id="36"/>
      <w:r>
        <w:t>5.2 Scenario 2: Borderline or Unconvincing Efficacy/Risk-Benefit</w:t>
      </w:r>
    </w:p>
    <w:p w14:paraId="2546D56F" w14:textId="77777777" w:rsidR="00236983" w:rsidRDefault="00000000">
      <w:pPr>
        <w:pStyle w:val="FirstParagraph"/>
      </w:pPr>
      <w:r>
        <w:rPr>
          <w:b/>
          <w:bCs/>
        </w:rPr>
        <w:t>Situation:</w:t>
      </w:r>
      <w:r>
        <w:t xml:space="preserve"> Clinical data statistically persuasive but therapeutic efficacy or risk-benefit borderline or unconvincing across breadth of population.</w:t>
      </w:r>
    </w:p>
    <w:p w14:paraId="2546D570" w14:textId="77777777" w:rsidR="00236983" w:rsidRDefault="00000000">
      <w:pPr>
        <w:pStyle w:val="BodyText"/>
      </w:pPr>
      <w:r>
        <w:rPr>
          <w:b/>
          <w:bCs/>
        </w:rPr>
        <w:t>Sub-scenarios:</w:t>
      </w:r>
    </w:p>
    <w:p w14:paraId="2546D571" w14:textId="77777777" w:rsidR="00236983" w:rsidRDefault="00000000">
      <w:pPr>
        <w:pStyle w:val="Compact"/>
        <w:numPr>
          <w:ilvl w:val="0"/>
          <w:numId w:val="30"/>
        </w:numPr>
      </w:pPr>
      <w:r>
        <w:t>Benefit statistically but not clinically persuasive across breadth</w:t>
      </w:r>
    </w:p>
    <w:p w14:paraId="2546D572" w14:textId="77777777" w:rsidR="00236983" w:rsidRDefault="00000000">
      <w:pPr>
        <w:pStyle w:val="Compact"/>
        <w:numPr>
          <w:ilvl w:val="0"/>
          <w:numId w:val="30"/>
        </w:numPr>
      </w:pPr>
      <w:r>
        <w:t>Benefit persuasive but risks prevent positive risk-benefit across breadth</w:t>
      </w:r>
    </w:p>
    <w:p w14:paraId="2546D573" w14:textId="77777777" w:rsidR="00236983" w:rsidRDefault="00000000">
      <w:pPr>
        <w:pStyle w:val="Compact"/>
        <w:numPr>
          <w:ilvl w:val="0"/>
          <w:numId w:val="30"/>
        </w:numPr>
      </w:pPr>
      <w:r>
        <w:t>Benefit persuasive but risks prevent positive risk-benefit in subset</w:t>
      </w:r>
    </w:p>
    <w:p w14:paraId="2546D574" w14:textId="77777777" w:rsidR="00236983" w:rsidRDefault="00000000">
      <w:pPr>
        <w:pStyle w:val="Heading3"/>
      </w:pPr>
      <w:bookmarkStart w:id="38" w:name="Xc2bb4a7a29020c3115a5e463b73c7896b5fc525"/>
      <w:r>
        <w:t>5.2.1 Minimum Criteria for Credible Subgroup (ALL required):</w:t>
      </w:r>
    </w:p>
    <w:p w14:paraId="2546D575" w14:textId="77777777" w:rsidR="00236983" w:rsidRDefault="00000000">
      <w:pPr>
        <w:numPr>
          <w:ilvl w:val="0"/>
          <w:numId w:val="31"/>
        </w:numPr>
      </w:pPr>
      <w:r>
        <w:rPr>
          <w:b/>
          <w:bCs/>
        </w:rPr>
        <w:t>Well-defined subgroup:</w:t>
      </w:r>
      <w:r>
        <w:t xml:space="preserve"> External evidence it is clinically relevant entity</w:t>
      </w:r>
    </w:p>
    <w:p w14:paraId="2546D576" w14:textId="77777777" w:rsidR="00236983" w:rsidRDefault="00000000">
      <w:pPr>
        <w:pStyle w:val="Compact"/>
        <w:numPr>
          <w:ilvl w:val="1"/>
          <w:numId w:val="32"/>
        </w:numPr>
      </w:pPr>
      <w:r>
        <w:t>Usually expected to be considered at planning (stratification or key subgroup)</w:t>
      </w:r>
    </w:p>
    <w:p w14:paraId="2546D577" w14:textId="77777777" w:rsidR="00236983" w:rsidRDefault="00000000">
      <w:pPr>
        <w:numPr>
          <w:ilvl w:val="0"/>
          <w:numId w:val="31"/>
        </w:numPr>
      </w:pPr>
      <w:r>
        <w:rPr>
          <w:b/>
          <w:bCs/>
        </w:rPr>
        <w:t>Mechanistic rationale:</w:t>
      </w:r>
      <w:r>
        <w:t xml:space="preserve"> Pharmacological or plausible explanation why drug could have different efficacy/risk-benefit in subgroup and complement</w:t>
      </w:r>
    </w:p>
    <w:p w14:paraId="2546D578" w14:textId="77777777" w:rsidR="00236983" w:rsidRDefault="00000000">
      <w:pPr>
        <w:numPr>
          <w:ilvl w:val="0"/>
          <w:numId w:val="31"/>
        </w:numPr>
      </w:pPr>
      <w:r>
        <w:rPr>
          <w:b/>
          <w:bCs/>
        </w:rPr>
        <w:t>Larger treatment effect in subgroup:</w:t>
      </w:r>
      <w:r>
        <w:t xml:space="preserve"> Statistical evidence should meet same standards as would be expected for full population</w:t>
      </w:r>
    </w:p>
    <w:p w14:paraId="2546D579" w14:textId="77777777" w:rsidR="00236983" w:rsidRDefault="00000000">
      <w:pPr>
        <w:numPr>
          <w:ilvl w:val="0"/>
          <w:numId w:val="31"/>
        </w:numPr>
      </w:pPr>
      <w:r>
        <w:rPr>
          <w:b/>
          <w:bCs/>
        </w:rPr>
        <w:t>Replication:</w:t>
      </w:r>
      <w:r>
        <w:t xml:space="preserve"> Findings from other relevant trials (internal or external)</w:t>
      </w:r>
    </w:p>
    <w:p w14:paraId="2546D57A" w14:textId="77777777" w:rsidR="00236983" w:rsidRDefault="00000000">
      <w:pPr>
        <w:pStyle w:val="Compact"/>
        <w:numPr>
          <w:ilvl w:val="1"/>
          <w:numId w:val="33"/>
        </w:numPr>
      </w:pPr>
      <w:r>
        <w:rPr>
          <w:b/>
          <w:bCs/>
        </w:rPr>
        <w:t>Challenge for single pivotal study:</w:t>
      </w:r>
      <w:r>
        <w:t xml:space="preserve"> Biological plausibility and data must be exceptionally strong</w:t>
      </w:r>
    </w:p>
    <w:p w14:paraId="2546D57B" w14:textId="77777777" w:rsidR="00236983" w:rsidRDefault="00000000">
      <w:pPr>
        <w:numPr>
          <w:ilvl w:val="0"/>
          <w:numId w:val="31"/>
        </w:numPr>
      </w:pPr>
      <w:r>
        <w:rPr>
          <w:b/>
          <w:bCs/>
        </w:rPr>
        <w:t>Risk-benefit in subgroup:</w:t>
      </w:r>
      <w:r>
        <w:t xml:space="preserve"> Carefully inspected with relevance of safety data from ITT population considered</w:t>
      </w:r>
    </w:p>
    <w:p w14:paraId="2546D57C" w14:textId="77777777" w:rsidR="00236983" w:rsidRDefault="00000000">
      <w:pPr>
        <w:numPr>
          <w:ilvl w:val="0"/>
          <w:numId w:val="31"/>
        </w:numPr>
      </w:pPr>
      <w:r>
        <w:rPr>
          <w:b/>
          <w:bCs/>
        </w:rPr>
        <w:t>Baseline balance:</w:t>
      </w:r>
      <w:r>
        <w:t xml:space="preserve"> Close inspection required; adjustment for imbalances may be needed</w:t>
      </w:r>
    </w:p>
    <w:p w14:paraId="2546D57D" w14:textId="77777777" w:rsidR="00236983" w:rsidRDefault="00000000">
      <w:pPr>
        <w:pStyle w:val="Heading3"/>
      </w:pPr>
      <w:bookmarkStart w:id="39" w:name="decision-framework-see-annex-flowchart-1"/>
      <w:bookmarkEnd w:id="38"/>
      <w:r>
        <w:lastRenderedPageBreak/>
        <w:t>5.2.2 Decision Framework (See Annex flowchart):</w:t>
      </w:r>
    </w:p>
    <w:p w14:paraId="2546D57E" w14:textId="77777777" w:rsidR="00236983" w:rsidRDefault="00000000">
      <w:pPr>
        <w:pStyle w:val="FirstParagraph"/>
      </w:pPr>
      <w:r>
        <w:rPr>
          <w:b/>
          <w:bCs/>
        </w:rPr>
        <w:t>If subgroup identified a priori:</w:t>
      </w:r>
      <w:r>
        <w:t xml:space="preserve"> - Check directional consistency - If YES and statistically significant → Check replication - If replicated → </w:t>
      </w:r>
      <w:r>
        <w:rPr>
          <w:b/>
          <w:bCs/>
        </w:rPr>
        <w:t>CREDIBLE</w:t>
      </w:r>
      <w:r>
        <w:t xml:space="preserve"> - If not available → </w:t>
      </w:r>
      <w:r>
        <w:rPr>
          <w:b/>
          <w:bCs/>
        </w:rPr>
        <w:t>POSSIBLY CREDIBLE</w:t>
      </w:r>
      <w:r>
        <w:t xml:space="preserve"> (high-risk decision)</w:t>
      </w:r>
    </w:p>
    <w:p w14:paraId="2546D57F" w14:textId="77777777" w:rsidR="00236983" w:rsidRDefault="00000000">
      <w:pPr>
        <w:pStyle w:val="BodyText"/>
      </w:pPr>
      <w:r>
        <w:rPr>
          <w:b/>
          <w:bCs/>
        </w:rPr>
        <w:t>If subgroup not identified a priori:</w:t>
      </w:r>
      <w:r>
        <w:t xml:space="preserve"> - Requires clinically and statistically extreme evidence - PLUS compelling retrospective explanation for plausibility - May be credible but </w:t>
      </w:r>
      <w:r>
        <w:rPr>
          <w:b/>
          <w:bCs/>
        </w:rPr>
        <w:t>HIGH-RISK DECISION</w:t>
      </w:r>
    </w:p>
    <w:p w14:paraId="2546D580" w14:textId="77777777" w:rsidR="00236983" w:rsidRDefault="00944016">
      <w:r>
        <w:rPr>
          <w:noProof/>
        </w:rPr>
      </w:r>
      <w:r w:rsidR="00944016">
        <w:rPr>
          <w:noProof/>
        </w:rPr>
        <w:pict w14:anchorId="2546D718">
          <v:rect id="_x0000_i1035" alt="" style="width:468pt;height:.05pt;mso-width-percent:0;mso-height-percent:0;mso-width-percent:0;mso-height-percent:0" o:hralign="center" o:hrstd="t" o:hr="t"/>
        </w:pict>
      </w:r>
    </w:p>
    <w:p w14:paraId="2546D581" w14:textId="77777777" w:rsidR="00236983" w:rsidRDefault="00000000">
      <w:pPr>
        <w:pStyle w:val="Heading2"/>
      </w:pPr>
      <w:bookmarkStart w:id="40" w:name="scenario-3-failed-primary-analysis"/>
      <w:bookmarkEnd w:id="37"/>
      <w:bookmarkEnd w:id="39"/>
      <w:r>
        <w:t>5.3 Scenario 3: Failed Primary Analysis</w:t>
      </w:r>
    </w:p>
    <w:p w14:paraId="2546D582" w14:textId="77777777" w:rsidR="00236983" w:rsidRDefault="00000000">
      <w:pPr>
        <w:pStyle w:val="FirstParagraph"/>
      </w:pPr>
      <w:r>
        <w:rPr>
          <w:b/>
          <w:bCs/>
        </w:rPr>
        <w:t>Situation:</w:t>
      </w:r>
      <w:r>
        <w:t xml:space="preserve"> Clinical data fail to establish statistically persuasive evidence in primary analysis population.</w:t>
      </w:r>
    </w:p>
    <w:p w14:paraId="2546D583" w14:textId="77777777" w:rsidR="00236983" w:rsidRDefault="00000000">
      <w:pPr>
        <w:pStyle w:val="BodyText"/>
      </w:pPr>
      <w:r>
        <w:rPr>
          <w:b/>
          <w:bCs/>
        </w:rPr>
        <w:t>EMA Position:</w:t>
      </w:r>
      <w:r>
        <w:t xml:space="preserve"> From formal statistical point of view, no further confirmatory conclusions possible.</w:t>
      </w:r>
    </w:p>
    <w:p w14:paraId="2546D584" w14:textId="77777777" w:rsidR="00236983" w:rsidRDefault="00000000">
      <w:pPr>
        <w:pStyle w:val="Heading3"/>
      </w:pPr>
      <w:bookmarkStart w:id="41" w:name="X372da4fa52735a57a974b2d8210b2d963e88508"/>
      <w:r>
        <w:t>5.3.1 Exceptional Circumstances for Consideration:</w:t>
      </w:r>
    </w:p>
    <w:p w14:paraId="2546D585" w14:textId="77777777" w:rsidR="00236983" w:rsidRDefault="00000000">
      <w:pPr>
        <w:pStyle w:val="FirstParagraph"/>
      </w:pPr>
      <w:r>
        <w:t>May pursue approval without additional studies ONLY if:</w:t>
      </w:r>
    </w:p>
    <w:p w14:paraId="2546D586" w14:textId="77777777" w:rsidR="00236983" w:rsidRDefault="00000000">
      <w:pPr>
        <w:pStyle w:val="Compact"/>
        <w:numPr>
          <w:ilvl w:val="0"/>
          <w:numId w:val="34"/>
        </w:numPr>
      </w:pPr>
      <w:r>
        <w:t>Clinical setting where trials not feasible to repeat, OR</w:t>
      </w:r>
    </w:p>
    <w:p w14:paraId="2546D587" w14:textId="77777777" w:rsidR="00236983" w:rsidRDefault="00000000">
      <w:pPr>
        <w:pStyle w:val="Compact"/>
        <w:numPr>
          <w:ilvl w:val="0"/>
          <w:numId w:val="34"/>
        </w:numPr>
      </w:pPr>
      <w:r>
        <w:t>Trials of considerable size where even subpopulations have considerable randomized evidence</w:t>
      </w:r>
    </w:p>
    <w:p w14:paraId="2546D588" w14:textId="77777777" w:rsidR="00236983" w:rsidRDefault="00000000">
      <w:pPr>
        <w:pStyle w:val="Heading3"/>
      </w:pPr>
      <w:bookmarkStart w:id="42" w:name="requirements-beyond-scenario-2-criteria"/>
      <w:bookmarkEnd w:id="41"/>
      <w:r>
        <w:t>5.3.2 Requirements (Beyond Scenario 2 criteria):</w:t>
      </w:r>
    </w:p>
    <w:p w14:paraId="2546D589" w14:textId="77777777" w:rsidR="00236983" w:rsidRDefault="00000000">
      <w:pPr>
        <w:pStyle w:val="Compact"/>
        <w:numPr>
          <w:ilvl w:val="0"/>
          <w:numId w:val="35"/>
        </w:numPr>
      </w:pPr>
      <w:r>
        <w:rPr>
          <w:b/>
          <w:bCs/>
        </w:rPr>
        <w:t>ALL</w:t>
      </w:r>
      <w:r>
        <w:t xml:space="preserve"> Scenario 2 minimum criteria must be fulfilled</w:t>
      </w:r>
    </w:p>
    <w:p w14:paraId="2546D58A" w14:textId="77777777" w:rsidR="00236983" w:rsidRDefault="00000000">
      <w:pPr>
        <w:pStyle w:val="Compact"/>
        <w:numPr>
          <w:ilvl w:val="0"/>
          <w:numId w:val="35"/>
        </w:numPr>
      </w:pPr>
      <w:r>
        <w:rPr>
          <w:b/>
          <w:bCs/>
        </w:rPr>
        <w:t>PLUS:</w:t>
      </w:r>
      <w:r>
        <w:t xml:space="preserve"> Clear rationale why properly planned trial failed despite drug being efficacious</w:t>
      </w:r>
    </w:p>
    <w:p w14:paraId="2546D58B" w14:textId="77777777" w:rsidR="00236983" w:rsidRDefault="00000000">
      <w:pPr>
        <w:pStyle w:val="Compact"/>
        <w:numPr>
          <w:ilvl w:val="0"/>
          <w:numId w:val="35"/>
        </w:numPr>
      </w:pPr>
      <w:r>
        <w:rPr>
          <w:b/>
          <w:bCs/>
        </w:rPr>
        <w:t>AND:</w:t>
      </w:r>
      <w:r>
        <w:t xml:space="preserve"> Why additional prospective studies unfeasible or unwarranted</w:t>
      </w:r>
    </w:p>
    <w:p w14:paraId="2546D58C" w14:textId="77777777" w:rsidR="00236983" w:rsidRDefault="00000000">
      <w:pPr>
        <w:pStyle w:val="FirstParagraph"/>
      </w:pPr>
      <w:r>
        <w:rPr>
          <w:b/>
          <w:bCs/>
        </w:rPr>
        <w:t>EMA Warning:</w:t>
      </w:r>
      <w:r>
        <w:t xml:space="preserve"> This would be regarded as inadequate in most instances.</w:t>
      </w:r>
    </w:p>
    <w:p w14:paraId="2546D58D" w14:textId="77777777" w:rsidR="00236983" w:rsidRDefault="00944016">
      <w:r>
        <w:rPr>
          <w:noProof/>
        </w:rPr>
      </w:r>
      <w:r w:rsidR="00944016">
        <w:rPr>
          <w:noProof/>
        </w:rPr>
        <w:pict w14:anchorId="2546D719">
          <v:rect id="_x0000_i1036" alt="" style="width:468pt;height:.05pt;mso-width-percent:0;mso-height-percent:0;mso-width-percent:0;mso-height-percent:0" o:hralign="center" o:hrstd="t" o:hr="t"/>
        </w:pict>
      </w:r>
    </w:p>
    <w:p w14:paraId="2546D58E" w14:textId="77777777" w:rsidR="00236983" w:rsidRDefault="00000000">
      <w:pPr>
        <w:pStyle w:val="Heading1"/>
      </w:pPr>
      <w:bookmarkStart w:id="43" w:name="part-5-interpretation-framework"/>
      <w:bookmarkEnd w:id="33"/>
      <w:bookmarkEnd w:id="40"/>
      <w:bookmarkEnd w:id="42"/>
      <w:r>
        <w:t>6. Part 5: Interpretation Framework</w:t>
      </w:r>
    </w:p>
    <w:p w14:paraId="2546D58F" w14:textId="77777777" w:rsidR="00236983" w:rsidRDefault="00000000">
      <w:pPr>
        <w:pStyle w:val="Heading2"/>
      </w:pPr>
      <w:bookmarkStart w:id="44" w:name="X3a58f0b016168eeac1039aeb0247fab2f2dcc8c"/>
      <w:r>
        <w:t>6.1 Factors Supporting Credibility of Subgroup Findings</w:t>
      </w:r>
    </w:p>
    <w:p w14:paraId="2546D590" w14:textId="77777777" w:rsidR="00236983" w:rsidRDefault="00000000">
      <w:pPr>
        <w:pStyle w:val="Heading3"/>
      </w:pPr>
      <w:bookmarkStart w:id="45" w:name="strong-evidence-emafda"/>
      <w:r>
        <w:t>6.1.1 Strong Evidence (EMA/FDA):</w:t>
      </w:r>
    </w:p>
    <w:p w14:paraId="2546D591" w14:textId="77777777" w:rsidR="00236983" w:rsidRDefault="00000000">
      <w:pPr>
        <w:pStyle w:val="Compact"/>
        <w:numPr>
          <w:ilvl w:val="0"/>
          <w:numId w:val="36"/>
        </w:numPr>
      </w:pPr>
      <w:r>
        <w:t>Pre-specification in protocol with clear rationale</w:t>
      </w:r>
    </w:p>
    <w:p w14:paraId="2546D592" w14:textId="77777777" w:rsidR="00236983" w:rsidRDefault="00000000">
      <w:pPr>
        <w:pStyle w:val="Compact"/>
        <w:numPr>
          <w:ilvl w:val="0"/>
          <w:numId w:val="36"/>
        </w:numPr>
      </w:pPr>
      <w:r>
        <w:t>Adequate statistical power</w:t>
      </w:r>
    </w:p>
    <w:p w14:paraId="2546D593" w14:textId="77777777" w:rsidR="00236983" w:rsidRDefault="00000000">
      <w:pPr>
        <w:pStyle w:val="Compact"/>
        <w:numPr>
          <w:ilvl w:val="0"/>
          <w:numId w:val="36"/>
        </w:numPr>
      </w:pPr>
      <w:r>
        <w:t>Biological/mechanistic plausibility</w:t>
      </w:r>
    </w:p>
    <w:p w14:paraId="2546D594" w14:textId="77777777" w:rsidR="00236983" w:rsidRDefault="00000000">
      <w:pPr>
        <w:pStyle w:val="Compact"/>
        <w:numPr>
          <w:ilvl w:val="0"/>
          <w:numId w:val="36"/>
        </w:numPr>
      </w:pPr>
      <w:r>
        <w:lastRenderedPageBreak/>
        <w:t>Consistency across multiple endpoints</w:t>
      </w:r>
    </w:p>
    <w:p w14:paraId="2546D595" w14:textId="77777777" w:rsidR="00236983" w:rsidRDefault="00000000">
      <w:pPr>
        <w:pStyle w:val="Compact"/>
        <w:numPr>
          <w:ilvl w:val="0"/>
          <w:numId w:val="36"/>
        </w:numPr>
      </w:pPr>
      <w:r>
        <w:t>Consistency with external evidence</w:t>
      </w:r>
    </w:p>
    <w:p w14:paraId="2546D596" w14:textId="77777777" w:rsidR="00236983" w:rsidRDefault="00000000">
      <w:pPr>
        <w:pStyle w:val="Compact"/>
        <w:numPr>
          <w:ilvl w:val="0"/>
          <w:numId w:val="36"/>
        </w:numPr>
      </w:pPr>
      <w:r>
        <w:t>Formal interaction test showing significant difference</w:t>
      </w:r>
    </w:p>
    <w:p w14:paraId="2546D597" w14:textId="77777777" w:rsidR="00236983" w:rsidRDefault="00000000">
      <w:pPr>
        <w:pStyle w:val="Compact"/>
        <w:numPr>
          <w:ilvl w:val="0"/>
          <w:numId w:val="36"/>
        </w:numPr>
      </w:pPr>
      <w:r>
        <w:t>Large effect size in subgroup</w:t>
      </w:r>
    </w:p>
    <w:p w14:paraId="2546D598" w14:textId="77777777" w:rsidR="00236983" w:rsidRDefault="00000000">
      <w:pPr>
        <w:pStyle w:val="Compact"/>
        <w:numPr>
          <w:ilvl w:val="0"/>
          <w:numId w:val="36"/>
        </w:numPr>
      </w:pPr>
      <w:r>
        <w:t>Directional consistency with prior expectations</w:t>
      </w:r>
    </w:p>
    <w:p w14:paraId="2546D599" w14:textId="77777777" w:rsidR="00236983" w:rsidRDefault="00000000">
      <w:pPr>
        <w:pStyle w:val="Compact"/>
        <w:numPr>
          <w:ilvl w:val="0"/>
          <w:numId w:val="36"/>
        </w:numPr>
      </w:pPr>
      <w:r>
        <w:t>Replication across trials</w:t>
      </w:r>
    </w:p>
    <w:p w14:paraId="2546D59A" w14:textId="77777777" w:rsidR="00236983" w:rsidRDefault="00000000">
      <w:pPr>
        <w:pStyle w:val="Heading3"/>
      </w:pPr>
      <w:bookmarkStart w:id="46" w:name="weak-evidence"/>
      <w:bookmarkEnd w:id="45"/>
      <w:r>
        <w:t>6.1.2 Weak Evidence:</w:t>
      </w:r>
    </w:p>
    <w:p w14:paraId="2546D59B" w14:textId="77777777" w:rsidR="00236983" w:rsidRDefault="00000000">
      <w:pPr>
        <w:pStyle w:val="Compact"/>
        <w:numPr>
          <w:ilvl w:val="0"/>
          <w:numId w:val="37"/>
        </w:numPr>
      </w:pPr>
      <w:r>
        <w:t>Post hoc, exploratory analysis</w:t>
      </w:r>
    </w:p>
    <w:p w14:paraId="2546D59C" w14:textId="77777777" w:rsidR="00236983" w:rsidRDefault="00000000">
      <w:pPr>
        <w:pStyle w:val="Compact"/>
        <w:numPr>
          <w:ilvl w:val="0"/>
          <w:numId w:val="37"/>
        </w:numPr>
      </w:pPr>
      <w:r>
        <w:t>Small sample size</w:t>
      </w:r>
    </w:p>
    <w:p w14:paraId="2546D59D" w14:textId="77777777" w:rsidR="00236983" w:rsidRDefault="00000000">
      <w:pPr>
        <w:pStyle w:val="Compact"/>
        <w:numPr>
          <w:ilvl w:val="0"/>
          <w:numId w:val="37"/>
        </w:numPr>
      </w:pPr>
      <w:r>
        <w:t>One of many subgroups examined</w:t>
      </w:r>
    </w:p>
    <w:p w14:paraId="2546D59E" w14:textId="77777777" w:rsidR="00236983" w:rsidRDefault="00000000">
      <w:pPr>
        <w:pStyle w:val="Compact"/>
        <w:numPr>
          <w:ilvl w:val="0"/>
          <w:numId w:val="37"/>
        </w:numPr>
      </w:pPr>
      <w:r>
        <w:t>No biological rationale</w:t>
      </w:r>
    </w:p>
    <w:p w14:paraId="2546D59F" w14:textId="77777777" w:rsidR="00236983" w:rsidRDefault="00000000">
      <w:pPr>
        <w:pStyle w:val="Compact"/>
        <w:numPr>
          <w:ilvl w:val="0"/>
          <w:numId w:val="37"/>
        </w:numPr>
      </w:pPr>
      <w:r>
        <w:t>Inconsistent across endpoints</w:t>
      </w:r>
    </w:p>
    <w:p w14:paraId="2546D5A0" w14:textId="77777777" w:rsidR="00236983" w:rsidRDefault="00000000">
      <w:pPr>
        <w:pStyle w:val="Compact"/>
        <w:numPr>
          <w:ilvl w:val="0"/>
          <w:numId w:val="37"/>
        </w:numPr>
      </w:pPr>
      <w:r>
        <w:t>Isolated finding not replicated</w:t>
      </w:r>
    </w:p>
    <w:p w14:paraId="2546D5A1" w14:textId="77777777" w:rsidR="00236983" w:rsidRDefault="00000000">
      <w:pPr>
        <w:pStyle w:val="Compact"/>
        <w:numPr>
          <w:ilvl w:val="0"/>
          <w:numId w:val="37"/>
        </w:numPr>
      </w:pPr>
      <w:r>
        <w:t>Non-significant interaction test</w:t>
      </w:r>
    </w:p>
    <w:p w14:paraId="2546D5A2" w14:textId="77777777" w:rsidR="00236983" w:rsidRDefault="00000000">
      <w:pPr>
        <w:pStyle w:val="Compact"/>
        <w:numPr>
          <w:ilvl w:val="0"/>
          <w:numId w:val="37"/>
        </w:numPr>
      </w:pPr>
      <w:r>
        <w:t>Baseline imbalances within subgroup</w:t>
      </w:r>
    </w:p>
    <w:p w14:paraId="2546D5A3" w14:textId="77777777" w:rsidR="00236983" w:rsidRDefault="00000000">
      <w:pPr>
        <w:pStyle w:val="Heading2"/>
      </w:pPr>
      <w:bookmarkStart w:id="47" w:name="red-flags-for-over-interpretation"/>
      <w:bookmarkEnd w:id="44"/>
      <w:bookmarkEnd w:id="46"/>
      <w:r>
        <w:t>6.2 Red Flags for Over-interpretation</w:t>
      </w:r>
    </w:p>
    <w:p w14:paraId="2546D5A4" w14:textId="77777777" w:rsidR="00236983" w:rsidRDefault="00000000">
      <w:pPr>
        <w:pStyle w:val="Heading3"/>
      </w:pPr>
      <w:bookmarkStart w:id="48" w:name="beware-of"/>
      <w:r>
        <w:t>6.2.1 Beware of:</w:t>
      </w:r>
    </w:p>
    <w:p w14:paraId="2546D5A5" w14:textId="77777777" w:rsidR="00236983" w:rsidRDefault="00000000">
      <w:pPr>
        <w:pStyle w:val="Compact"/>
        <w:numPr>
          <w:ilvl w:val="0"/>
          <w:numId w:val="38"/>
        </w:numPr>
      </w:pPr>
      <w:r>
        <w:t>Ecological bias (aggregate-level associations)</w:t>
      </w:r>
    </w:p>
    <w:p w14:paraId="2546D5A6" w14:textId="77777777" w:rsidR="00236983" w:rsidRDefault="00000000">
      <w:pPr>
        <w:pStyle w:val="Compact"/>
        <w:numPr>
          <w:ilvl w:val="0"/>
          <w:numId w:val="38"/>
        </w:numPr>
      </w:pPr>
      <w:r>
        <w:t>Chance findings from multiple comparisons</w:t>
      </w:r>
    </w:p>
    <w:p w14:paraId="2546D5A7" w14:textId="77777777" w:rsidR="00236983" w:rsidRDefault="00000000">
      <w:pPr>
        <w:pStyle w:val="Compact"/>
        <w:numPr>
          <w:ilvl w:val="0"/>
          <w:numId w:val="38"/>
        </w:numPr>
      </w:pPr>
      <w:r>
        <w:t>Small subgroups with wide confidence intervals</w:t>
      </w:r>
    </w:p>
    <w:p w14:paraId="2546D5A8" w14:textId="77777777" w:rsidR="00236983" w:rsidRDefault="00000000">
      <w:pPr>
        <w:pStyle w:val="Compact"/>
        <w:numPr>
          <w:ilvl w:val="0"/>
          <w:numId w:val="38"/>
        </w:numPr>
      </w:pPr>
      <w:r>
        <w:t>Lack of biological plausibility</w:t>
      </w:r>
    </w:p>
    <w:p w14:paraId="2546D5A9" w14:textId="77777777" w:rsidR="00236983" w:rsidRDefault="00000000">
      <w:pPr>
        <w:pStyle w:val="Compact"/>
        <w:numPr>
          <w:ilvl w:val="0"/>
          <w:numId w:val="38"/>
        </w:numPr>
      </w:pPr>
      <w:r>
        <w:t>Selective reporting of positive findings</w:t>
      </w:r>
    </w:p>
    <w:p w14:paraId="2546D5AA" w14:textId="77777777" w:rsidR="00236983" w:rsidRDefault="00000000">
      <w:pPr>
        <w:pStyle w:val="Compact"/>
        <w:numPr>
          <w:ilvl w:val="0"/>
          <w:numId w:val="38"/>
        </w:numPr>
      </w:pPr>
      <w:r>
        <w:t>Confounding within subgroups</w:t>
      </w:r>
    </w:p>
    <w:p w14:paraId="2546D5AB" w14:textId="77777777" w:rsidR="00236983" w:rsidRDefault="00000000">
      <w:pPr>
        <w:pStyle w:val="Compact"/>
        <w:numPr>
          <w:ilvl w:val="0"/>
          <w:numId w:val="38"/>
        </w:numPr>
      </w:pPr>
      <w:r>
        <w:t>Departure from pre-specified analysis plan</w:t>
      </w:r>
    </w:p>
    <w:p w14:paraId="2546D5AC" w14:textId="77777777" w:rsidR="00236983" w:rsidRDefault="00000000">
      <w:pPr>
        <w:pStyle w:val="Compact"/>
        <w:numPr>
          <w:ilvl w:val="0"/>
          <w:numId w:val="38"/>
        </w:numPr>
      </w:pPr>
      <w:r>
        <w:t>Selection bias from data-driven subgroup identification</w:t>
      </w:r>
    </w:p>
    <w:p w14:paraId="2546D5AD" w14:textId="77777777" w:rsidR="00236983" w:rsidRDefault="00000000">
      <w:pPr>
        <w:pStyle w:val="Heading2"/>
      </w:pPr>
      <w:bookmarkStart w:id="49" w:name="ema-guidance-on-interaction-tests"/>
      <w:bookmarkEnd w:id="47"/>
      <w:bookmarkEnd w:id="48"/>
      <w:r>
        <w:t>6.3 EMA Guidance on Interaction Tests</w:t>
      </w: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648"/>
      </w:tblGrid>
      <w:tr w:rsidR="00236983" w14:paraId="2546D5AF" w14:textId="77777777" w:rsidTr="00236983">
        <w:trPr>
          <w:cantSplit/>
        </w:trPr>
        <w:tc>
          <w:tcPr>
            <w:tcW w:w="0" w:type="auto"/>
            <w:shd w:val="clear" w:color="auto" w:fill="FCEFDC"/>
            <w:tcMar>
              <w:top w:w="92" w:type="dxa"/>
              <w:bottom w:w="92" w:type="dxa"/>
            </w:tcMar>
          </w:tcPr>
          <w:p w14:paraId="2546D5AE" w14:textId="77777777" w:rsidR="00236983" w:rsidRDefault="00000000">
            <w:pPr>
              <w:pStyle w:val="FirstParagraph"/>
              <w:spacing w:before="0" w:after="0"/>
              <w:textAlignment w:val="center"/>
            </w:pPr>
            <w:r>
              <w:rPr>
                <w:noProof/>
              </w:rPr>
              <w:drawing>
                <wp:inline distT="0" distB="0" distL="0" distR="0" wp14:anchorId="2546D71A" wp14:editId="2546D71B">
                  <wp:extent cx="152400" cy="1524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Applications/RStudio.app/Contents/Resources/app/quarto/share/formats/docx/warning.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Limited Role of Interaction Tests</w:t>
            </w:r>
          </w:p>
        </w:tc>
      </w:tr>
      <w:tr w:rsidR="00236983" w14:paraId="2546D5B2" w14:textId="77777777" w:rsidTr="00236983">
        <w:trPr>
          <w:cantSplit/>
        </w:trPr>
        <w:tc>
          <w:tcPr>
            <w:tcW w:w="0" w:type="auto"/>
            <w:tcMar>
              <w:top w:w="108" w:type="dxa"/>
              <w:bottom w:w="108" w:type="dxa"/>
            </w:tcMar>
          </w:tcPr>
          <w:p w14:paraId="2546D5B0" w14:textId="77777777" w:rsidR="00236983" w:rsidRDefault="00000000">
            <w:pPr>
              <w:pStyle w:val="BodyText"/>
              <w:spacing w:before="16"/>
            </w:pPr>
            <w:r>
              <w:t xml:space="preserve">Currently available tests lack power (sensitivity) to detect clinically important inconsistency while losing specificity if assessed at increased Type I error levels. The role is therefore </w:t>
            </w:r>
            <w:r>
              <w:rPr>
                <w:b/>
                <w:bCs/>
              </w:rPr>
              <w:t>limited to signal generation only</w:t>
            </w:r>
            <w:r>
              <w:t>.</w:t>
            </w:r>
          </w:p>
          <w:p w14:paraId="2546D5B1" w14:textId="77777777" w:rsidR="00236983" w:rsidRDefault="00000000">
            <w:pPr>
              <w:pStyle w:val="BodyText"/>
              <w:spacing w:after="16"/>
            </w:pPr>
            <w:r>
              <w:rPr>
                <w:b/>
                <w:bCs/>
              </w:rPr>
              <w:t>Recommendation:</w:t>
            </w:r>
            <w:r>
              <w:t xml:space="preserve"> If conducted, use nominal significance levels </w:t>
            </w:r>
            <w:r>
              <w:rPr>
                <w:b/>
                <w:bCs/>
              </w:rPr>
              <w:t>greater than 5%</w:t>
            </w:r>
            <w:r>
              <w:t xml:space="preserve"> for signal generation purposes.</w:t>
            </w:r>
          </w:p>
        </w:tc>
      </w:tr>
    </w:tbl>
    <w:p w14:paraId="2546D5B3" w14:textId="77777777" w:rsidR="00236983" w:rsidRDefault="00000000">
      <w:pPr>
        <w:pStyle w:val="Heading3"/>
      </w:pPr>
      <w:bookmarkStart w:id="50" w:name="limitations"/>
      <w:r>
        <w:lastRenderedPageBreak/>
        <w:t>6.3.1 Limitations:</w:t>
      </w:r>
    </w:p>
    <w:p w14:paraId="2546D5B4" w14:textId="77777777" w:rsidR="00236983" w:rsidRDefault="00000000">
      <w:pPr>
        <w:pStyle w:val="Compact"/>
        <w:numPr>
          <w:ilvl w:val="0"/>
          <w:numId w:val="39"/>
        </w:numPr>
      </w:pPr>
      <w:r>
        <w:t>Power further reduced if subgroup and complement differ in size</w:t>
      </w:r>
    </w:p>
    <w:p w14:paraId="2546D5B5" w14:textId="77777777" w:rsidR="00236983" w:rsidRDefault="00000000">
      <w:pPr>
        <w:pStyle w:val="Compact"/>
        <w:numPr>
          <w:ilvl w:val="0"/>
          <w:numId w:val="39"/>
        </w:numPr>
      </w:pPr>
      <w:r>
        <w:t>Interaction tests alone inadequate for decision making</w:t>
      </w:r>
    </w:p>
    <w:p w14:paraId="2546D5B6" w14:textId="77777777" w:rsidR="00236983" w:rsidRDefault="00000000">
      <w:pPr>
        <w:pStyle w:val="Compact"/>
        <w:numPr>
          <w:ilvl w:val="0"/>
          <w:numId w:val="39"/>
        </w:numPr>
      </w:pPr>
      <w:r>
        <w:t>Must assess estimated treatment effects and clinical relevance</w:t>
      </w:r>
    </w:p>
    <w:p w14:paraId="2546D5B7" w14:textId="77777777" w:rsidR="00236983" w:rsidRDefault="00000000">
      <w:pPr>
        <w:pStyle w:val="Compact"/>
        <w:numPr>
          <w:ilvl w:val="0"/>
          <w:numId w:val="39"/>
        </w:numPr>
      </w:pPr>
      <w:r>
        <w:t>Scale and model dependent (additive vs. multiplicative)</w:t>
      </w:r>
    </w:p>
    <w:p w14:paraId="2546D5B8" w14:textId="77777777" w:rsidR="00236983" w:rsidRDefault="00000000">
      <w:pPr>
        <w:pStyle w:val="Heading2"/>
      </w:pPr>
      <w:bookmarkStart w:id="51" w:name="totality-of-evidence-approach"/>
      <w:bookmarkEnd w:id="49"/>
      <w:bookmarkEnd w:id="50"/>
      <w:r>
        <w:t>6.4 Totality of Evidence Approach</w:t>
      </w:r>
    </w:p>
    <w:p w14:paraId="2546D5B9" w14:textId="77777777" w:rsidR="00236983" w:rsidRDefault="00000000">
      <w:pPr>
        <w:pStyle w:val="Heading3"/>
      </w:pPr>
      <w:bookmarkStart w:id="52" w:name="regulatory-decision-making-considers"/>
      <w:r>
        <w:t>6.4.1 Regulatory Decision-Making Considers:</w:t>
      </w:r>
    </w:p>
    <w:p w14:paraId="2546D5BA" w14:textId="77777777" w:rsidR="00236983" w:rsidRDefault="00000000">
      <w:pPr>
        <w:pStyle w:val="Compact"/>
        <w:numPr>
          <w:ilvl w:val="0"/>
          <w:numId w:val="40"/>
        </w:numPr>
      </w:pPr>
      <w:r>
        <w:t>Statistical evidence and interaction tests</w:t>
      </w:r>
    </w:p>
    <w:p w14:paraId="2546D5BB" w14:textId="77777777" w:rsidR="00236983" w:rsidRDefault="00000000">
      <w:pPr>
        <w:pStyle w:val="Compact"/>
        <w:numPr>
          <w:ilvl w:val="0"/>
          <w:numId w:val="40"/>
        </w:numPr>
      </w:pPr>
      <w:r>
        <w:t>Biological plausibility and mechanism of action</w:t>
      </w:r>
    </w:p>
    <w:p w14:paraId="2546D5BC" w14:textId="77777777" w:rsidR="00236983" w:rsidRDefault="00000000">
      <w:pPr>
        <w:pStyle w:val="Compact"/>
        <w:numPr>
          <w:ilvl w:val="0"/>
          <w:numId w:val="40"/>
        </w:numPr>
      </w:pPr>
      <w:r>
        <w:t>Preclinical and pharmacologic support</w:t>
      </w:r>
    </w:p>
    <w:p w14:paraId="2546D5BD" w14:textId="77777777" w:rsidR="00236983" w:rsidRDefault="00000000">
      <w:pPr>
        <w:pStyle w:val="Compact"/>
        <w:numPr>
          <w:ilvl w:val="0"/>
          <w:numId w:val="40"/>
        </w:numPr>
      </w:pPr>
      <w:r>
        <w:t>Clinical experience with similar agents</w:t>
      </w:r>
    </w:p>
    <w:p w14:paraId="2546D5BE" w14:textId="77777777" w:rsidR="00236983" w:rsidRDefault="00000000">
      <w:pPr>
        <w:pStyle w:val="Compact"/>
        <w:numPr>
          <w:ilvl w:val="0"/>
          <w:numId w:val="40"/>
        </w:numPr>
      </w:pPr>
      <w:r>
        <w:t>Consistency across efficacy endpoints (PFS, OS, ORR)</w:t>
      </w:r>
    </w:p>
    <w:p w14:paraId="2546D5BF" w14:textId="77777777" w:rsidR="00236983" w:rsidRDefault="00000000">
      <w:pPr>
        <w:pStyle w:val="Compact"/>
        <w:numPr>
          <w:ilvl w:val="0"/>
          <w:numId w:val="40"/>
        </w:numPr>
      </w:pPr>
      <w:r>
        <w:t>Safety profile in different subgroups</w:t>
      </w:r>
    </w:p>
    <w:p w14:paraId="2546D5C0" w14:textId="77777777" w:rsidR="00236983" w:rsidRDefault="00000000">
      <w:pPr>
        <w:pStyle w:val="Compact"/>
        <w:numPr>
          <w:ilvl w:val="0"/>
          <w:numId w:val="40"/>
        </w:numPr>
      </w:pPr>
      <w:r>
        <w:t>Medical need and available treatment alternatives</w:t>
      </w:r>
    </w:p>
    <w:p w14:paraId="2546D5C1" w14:textId="77777777" w:rsidR="00236983" w:rsidRDefault="00000000">
      <w:pPr>
        <w:pStyle w:val="Compact"/>
        <w:numPr>
          <w:ilvl w:val="0"/>
          <w:numId w:val="40"/>
        </w:numPr>
      </w:pPr>
      <w:r>
        <w:t>Quality and validation of biomarker tests</w:t>
      </w:r>
    </w:p>
    <w:p w14:paraId="2546D5C2" w14:textId="77777777" w:rsidR="00236983" w:rsidRDefault="00000000">
      <w:pPr>
        <w:pStyle w:val="Compact"/>
        <w:numPr>
          <w:ilvl w:val="0"/>
          <w:numId w:val="40"/>
        </w:numPr>
      </w:pPr>
      <w:r>
        <w:t>Practical feasibility of patient selection</w:t>
      </w:r>
    </w:p>
    <w:p w14:paraId="2546D5C3" w14:textId="77777777" w:rsidR="00236983" w:rsidRDefault="00000000">
      <w:pPr>
        <w:pStyle w:val="Compact"/>
        <w:numPr>
          <w:ilvl w:val="0"/>
          <w:numId w:val="40"/>
        </w:numPr>
      </w:pPr>
      <w:r>
        <w:t>Baseline covariate imbalances and need for adjustment</w:t>
      </w:r>
    </w:p>
    <w:p w14:paraId="2546D5C4" w14:textId="77777777" w:rsidR="00236983" w:rsidRDefault="00944016">
      <w:r>
        <w:rPr>
          <w:noProof/>
        </w:rPr>
      </w:r>
      <w:r w:rsidR="00944016">
        <w:rPr>
          <w:noProof/>
        </w:rPr>
        <w:pict w14:anchorId="2546D71C">
          <v:rect id="_x0000_i1037" alt="" style="width:468pt;height:.05pt;mso-width-percent:0;mso-height-percent:0;mso-width-percent:0;mso-height-percent:0" o:hralign="center" o:hrstd="t" o:hr="t"/>
        </w:pict>
      </w:r>
    </w:p>
    <w:p w14:paraId="2546D5C5" w14:textId="77777777" w:rsidR="00236983" w:rsidRDefault="00000000">
      <w:pPr>
        <w:pStyle w:val="Heading1"/>
      </w:pPr>
      <w:bookmarkStart w:id="53" w:name="part-6-practical-recommendations"/>
      <w:bookmarkEnd w:id="43"/>
      <w:bookmarkEnd w:id="51"/>
      <w:bookmarkEnd w:id="52"/>
      <w:r>
        <w:t>7. Part 6: Practical Recommendations</w:t>
      </w:r>
    </w:p>
    <w:p w14:paraId="2546D5C6" w14:textId="77777777" w:rsidR="00236983" w:rsidRDefault="00000000">
      <w:pPr>
        <w:pStyle w:val="Heading2"/>
      </w:pPr>
      <w:bookmarkStart w:id="54" w:name="for-trial-sponsors-and-investigators"/>
      <w:r>
        <w:t>7.1 For Trial Sponsors and Investigators</w:t>
      </w:r>
    </w:p>
    <w:p w14:paraId="2546D5C7" w14:textId="77777777" w:rsidR="00236983" w:rsidRDefault="00000000">
      <w:pPr>
        <w:pStyle w:val="Heading3"/>
      </w:pPr>
      <w:bookmarkStart w:id="55" w:name="during-trial-design"/>
      <w:r>
        <w:t>7.1.1 During Trial Design</w:t>
      </w:r>
    </w:p>
    <w:p w14:paraId="2546D5C8" w14:textId="77777777" w:rsidR="00236983" w:rsidRDefault="00000000">
      <w:pPr>
        <w:pStyle w:val="Compact"/>
        <w:numPr>
          <w:ilvl w:val="0"/>
          <w:numId w:val="41"/>
        </w:numPr>
      </w:pPr>
      <w:r>
        <w:t>Engage statisticians and regulatory experts early</w:t>
      </w:r>
    </w:p>
    <w:p w14:paraId="2546D5C9" w14:textId="77777777" w:rsidR="00236983" w:rsidRDefault="00000000">
      <w:pPr>
        <w:pStyle w:val="Compact"/>
        <w:numPr>
          <w:ilvl w:val="0"/>
          <w:numId w:val="41"/>
        </w:numPr>
      </w:pPr>
      <w:r>
        <w:t>Identify subgroups based on strong scientific rationale</w:t>
      </w:r>
    </w:p>
    <w:p w14:paraId="2546D5CA" w14:textId="77777777" w:rsidR="00236983" w:rsidRDefault="00000000">
      <w:pPr>
        <w:pStyle w:val="Compact"/>
        <w:numPr>
          <w:ilvl w:val="0"/>
          <w:numId w:val="41"/>
        </w:numPr>
      </w:pPr>
      <w:r>
        <w:t>Categorize subgroups as Category 1, 2, or 3 per EMA framework</w:t>
      </w:r>
    </w:p>
    <w:p w14:paraId="2546D5CB" w14:textId="77777777" w:rsidR="00236983" w:rsidRDefault="00000000">
      <w:pPr>
        <w:pStyle w:val="Compact"/>
        <w:numPr>
          <w:ilvl w:val="0"/>
          <w:numId w:val="41"/>
        </w:numPr>
      </w:pPr>
      <w:r>
        <w:t>Limit number of subgroups to avoid multiplicity</w:t>
      </w:r>
    </w:p>
    <w:p w14:paraId="2546D5CC" w14:textId="77777777" w:rsidR="00236983" w:rsidRDefault="00000000">
      <w:pPr>
        <w:pStyle w:val="Compact"/>
        <w:numPr>
          <w:ilvl w:val="0"/>
          <w:numId w:val="41"/>
        </w:numPr>
      </w:pPr>
      <w:r>
        <w:t>Power trial adequately if subgroup analysis is critical</w:t>
      </w:r>
    </w:p>
    <w:p w14:paraId="2546D5CD" w14:textId="77777777" w:rsidR="00236983" w:rsidRDefault="00000000">
      <w:pPr>
        <w:pStyle w:val="Compact"/>
        <w:numPr>
          <w:ilvl w:val="0"/>
          <w:numId w:val="41"/>
        </w:numPr>
      </w:pPr>
      <w:r>
        <w:t>Pre-specify all planned subgroup analyses in protocol</w:t>
      </w:r>
    </w:p>
    <w:p w14:paraId="2546D5CE" w14:textId="77777777" w:rsidR="00236983" w:rsidRDefault="00000000">
      <w:pPr>
        <w:pStyle w:val="Compact"/>
        <w:numPr>
          <w:ilvl w:val="0"/>
          <w:numId w:val="41"/>
        </w:numPr>
      </w:pPr>
      <w:r>
        <w:t>Plan for biomarker assessment with validated assays</w:t>
      </w:r>
    </w:p>
    <w:p w14:paraId="2546D5CF" w14:textId="77777777" w:rsidR="00236983" w:rsidRDefault="00000000">
      <w:pPr>
        <w:pStyle w:val="Compact"/>
        <w:numPr>
          <w:ilvl w:val="0"/>
          <w:numId w:val="41"/>
        </w:numPr>
      </w:pPr>
      <w:r>
        <w:t>Ensure adequate representation in key subgroups</w:t>
      </w:r>
    </w:p>
    <w:p w14:paraId="2546D5D0" w14:textId="77777777" w:rsidR="00236983" w:rsidRDefault="00000000">
      <w:pPr>
        <w:pStyle w:val="Compact"/>
        <w:numPr>
          <w:ilvl w:val="0"/>
          <w:numId w:val="41"/>
        </w:numPr>
      </w:pPr>
      <w:r>
        <w:t>Consider enrichment strategies when appropriate</w:t>
      </w:r>
    </w:p>
    <w:p w14:paraId="2546D5D1" w14:textId="77777777" w:rsidR="00236983" w:rsidRDefault="00000000">
      <w:pPr>
        <w:pStyle w:val="Compact"/>
        <w:numPr>
          <w:ilvl w:val="0"/>
          <w:numId w:val="41"/>
        </w:numPr>
      </w:pPr>
      <w:r>
        <w:t>Include country/region as stratification factor in multi-regional trials</w:t>
      </w:r>
    </w:p>
    <w:p w14:paraId="2546D5D2" w14:textId="77777777" w:rsidR="00236983" w:rsidRDefault="00000000">
      <w:pPr>
        <w:pStyle w:val="Compact"/>
        <w:numPr>
          <w:ilvl w:val="0"/>
          <w:numId w:val="41"/>
        </w:numPr>
      </w:pPr>
      <w:r>
        <w:t>Discuss expected heterogeneity in target population</w:t>
      </w:r>
    </w:p>
    <w:p w14:paraId="2546D5D3" w14:textId="77777777" w:rsidR="00236983" w:rsidRDefault="00000000">
      <w:pPr>
        <w:pStyle w:val="Compact"/>
        <w:numPr>
          <w:ilvl w:val="0"/>
          <w:numId w:val="41"/>
        </w:numPr>
      </w:pPr>
      <w:r>
        <w:t>Document why any sub-populations excluded from trial</w:t>
      </w:r>
    </w:p>
    <w:p w14:paraId="2546D5D4" w14:textId="77777777" w:rsidR="00236983" w:rsidRDefault="00000000">
      <w:pPr>
        <w:pStyle w:val="Heading3"/>
      </w:pPr>
      <w:bookmarkStart w:id="56" w:name="during-trial-conduct"/>
      <w:bookmarkEnd w:id="55"/>
      <w:r>
        <w:lastRenderedPageBreak/>
        <w:t>7.1.2 During Trial Conduct</w:t>
      </w:r>
    </w:p>
    <w:p w14:paraId="2546D5D5" w14:textId="77777777" w:rsidR="00236983" w:rsidRDefault="00000000">
      <w:pPr>
        <w:pStyle w:val="Compact"/>
        <w:numPr>
          <w:ilvl w:val="0"/>
          <w:numId w:val="42"/>
        </w:numPr>
      </w:pPr>
      <w:r>
        <w:t>Collect subgroup data systematically and completely</w:t>
      </w:r>
    </w:p>
    <w:p w14:paraId="2546D5D6" w14:textId="77777777" w:rsidR="00236983" w:rsidRDefault="00000000">
      <w:pPr>
        <w:pStyle w:val="Compact"/>
        <w:numPr>
          <w:ilvl w:val="0"/>
          <w:numId w:val="42"/>
        </w:numPr>
      </w:pPr>
      <w:r>
        <w:t>Minimize missing biomarker or covariate data</w:t>
      </w:r>
    </w:p>
    <w:p w14:paraId="2546D5D7" w14:textId="77777777" w:rsidR="00236983" w:rsidRDefault="00000000">
      <w:pPr>
        <w:pStyle w:val="Compact"/>
        <w:numPr>
          <w:ilvl w:val="0"/>
          <w:numId w:val="42"/>
        </w:numPr>
      </w:pPr>
      <w:r>
        <w:t>Maintain blinding to subgroup analyses until appropriate</w:t>
      </w:r>
    </w:p>
    <w:p w14:paraId="2546D5D8" w14:textId="77777777" w:rsidR="00236983" w:rsidRDefault="00000000">
      <w:pPr>
        <w:pStyle w:val="Compact"/>
        <w:numPr>
          <w:ilvl w:val="0"/>
          <w:numId w:val="42"/>
        </w:numPr>
      </w:pPr>
      <w:r>
        <w:t>Follow pre-specified analysis plan</w:t>
      </w:r>
    </w:p>
    <w:p w14:paraId="2546D5D9" w14:textId="77777777" w:rsidR="00236983" w:rsidRDefault="00000000">
      <w:pPr>
        <w:pStyle w:val="Compact"/>
        <w:numPr>
          <w:ilvl w:val="0"/>
          <w:numId w:val="42"/>
        </w:numPr>
      </w:pPr>
      <w:r>
        <w:t>Consider blind review to update planning based on emerging evidence</w:t>
      </w:r>
    </w:p>
    <w:p w14:paraId="2546D5DA" w14:textId="77777777" w:rsidR="00236983" w:rsidRDefault="00000000">
      <w:pPr>
        <w:pStyle w:val="Heading3"/>
      </w:pPr>
      <w:bookmarkStart w:id="57" w:name="during-analysis-and-reporting"/>
      <w:bookmarkEnd w:id="56"/>
      <w:r>
        <w:t>7.1.3 During Analysis and Reporting</w:t>
      </w:r>
    </w:p>
    <w:p w14:paraId="2546D5DB" w14:textId="77777777" w:rsidR="00236983" w:rsidRDefault="00000000">
      <w:pPr>
        <w:pStyle w:val="Compact"/>
        <w:numPr>
          <w:ilvl w:val="0"/>
          <w:numId w:val="43"/>
        </w:numPr>
      </w:pPr>
      <w:r>
        <w:t>Conduct pre-specified analyses as planned</w:t>
      </w:r>
    </w:p>
    <w:p w14:paraId="2546D5DC" w14:textId="77777777" w:rsidR="00236983" w:rsidRDefault="00000000">
      <w:pPr>
        <w:pStyle w:val="Compact"/>
        <w:numPr>
          <w:ilvl w:val="0"/>
          <w:numId w:val="43"/>
        </w:numPr>
      </w:pPr>
      <w:r>
        <w:t>Use interaction tests appropriately (signal generation)</w:t>
      </w:r>
    </w:p>
    <w:p w14:paraId="2546D5DD" w14:textId="77777777" w:rsidR="00236983" w:rsidRDefault="00000000">
      <w:pPr>
        <w:pStyle w:val="Compact"/>
        <w:numPr>
          <w:ilvl w:val="0"/>
          <w:numId w:val="43"/>
        </w:numPr>
      </w:pPr>
      <w:r>
        <w:t>Apply multiplicity adjustments when warranted</w:t>
      </w:r>
    </w:p>
    <w:p w14:paraId="2546D5DE" w14:textId="77777777" w:rsidR="00236983" w:rsidRDefault="00000000">
      <w:pPr>
        <w:pStyle w:val="Compact"/>
        <w:numPr>
          <w:ilvl w:val="0"/>
          <w:numId w:val="43"/>
        </w:numPr>
      </w:pPr>
      <w:r>
        <w:t>Clearly distinguish pre-specified vs exploratory analyses</w:t>
      </w:r>
    </w:p>
    <w:p w14:paraId="2546D5DF" w14:textId="77777777" w:rsidR="00236983" w:rsidRDefault="00000000">
      <w:pPr>
        <w:pStyle w:val="Compact"/>
        <w:numPr>
          <w:ilvl w:val="0"/>
          <w:numId w:val="43"/>
        </w:numPr>
      </w:pPr>
      <w:r>
        <w:t>Report all subgroup analyses transparently (positive and negative)</w:t>
      </w:r>
    </w:p>
    <w:p w14:paraId="2546D5E0" w14:textId="77777777" w:rsidR="00236983" w:rsidRDefault="00000000">
      <w:pPr>
        <w:pStyle w:val="Compact"/>
        <w:numPr>
          <w:ilvl w:val="0"/>
          <w:numId w:val="43"/>
        </w:numPr>
      </w:pPr>
      <w:r>
        <w:t>Use forest plots and graphical displays</w:t>
      </w:r>
    </w:p>
    <w:p w14:paraId="2546D5E1" w14:textId="77777777" w:rsidR="00236983" w:rsidRDefault="00000000">
      <w:pPr>
        <w:pStyle w:val="Compact"/>
        <w:numPr>
          <w:ilvl w:val="0"/>
          <w:numId w:val="43"/>
        </w:numPr>
      </w:pPr>
      <w:r>
        <w:t>Always present complementary subgroups together</w:t>
      </w:r>
    </w:p>
    <w:p w14:paraId="2546D5E2" w14:textId="77777777" w:rsidR="00236983" w:rsidRDefault="00000000">
      <w:pPr>
        <w:pStyle w:val="Compact"/>
        <w:numPr>
          <w:ilvl w:val="0"/>
          <w:numId w:val="43"/>
        </w:numPr>
      </w:pPr>
      <w:r>
        <w:t>Interpret findings in context of overall trial results</w:t>
      </w:r>
    </w:p>
    <w:p w14:paraId="2546D5E3" w14:textId="77777777" w:rsidR="00236983" w:rsidRDefault="00000000">
      <w:pPr>
        <w:pStyle w:val="Compact"/>
        <w:numPr>
          <w:ilvl w:val="0"/>
          <w:numId w:val="43"/>
        </w:numPr>
      </w:pPr>
      <w:r>
        <w:t>Check for baseline imbalances; adjust if needed</w:t>
      </w:r>
    </w:p>
    <w:p w14:paraId="2546D5E4" w14:textId="77777777" w:rsidR="00236983" w:rsidRDefault="00000000">
      <w:pPr>
        <w:pStyle w:val="Compact"/>
        <w:numPr>
          <w:ilvl w:val="0"/>
          <w:numId w:val="43"/>
        </w:numPr>
      </w:pPr>
      <w:r>
        <w:t>Acknowledge limitations and uncertainties</w:t>
      </w:r>
    </w:p>
    <w:p w14:paraId="2546D5E5" w14:textId="77777777" w:rsidR="00236983" w:rsidRDefault="00000000">
      <w:pPr>
        <w:pStyle w:val="Compact"/>
        <w:numPr>
          <w:ilvl w:val="0"/>
          <w:numId w:val="43"/>
        </w:numPr>
      </w:pPr>
      <w:r>
        <w:t>Consider analyses on alternative scales if interaction scale-dependent</w:t>
      </w:r>
    </w:p>
    <w:p w14:paraId="2546D5E6" w14:textId="77777777" w:rsidR="00236983" w:rsidRDefault="00000000">
      <w:pPr>
        <w:pStyle w:val="Heading2"/>
      </w:pPr>
      <w:bookmarkStart w:id="58" w:name="for-regulatory-reviewers"/>
      <w:bookmarkEnd w:id="54"/>
      <w:bookmarkEnd w:id="57"/>
      <w:r>
        <w:t>7.2 For Regulatory Reviewers</w:t>
      </w:r>
    </w:p>
    <w:p w14:paraId="2546D5E7" w14:textId="77777777" w:rsidR="00236983" w:rsidRDefault="00000000">
      <w:pPr>
        <w:pStyle w:val="Heading3"/>
      </w:pPr>
      <w:bookmarkStart w:id="59" w:name="assessment-framework"/>
      <w:r>
        <w:t>7.2.1 Assessment Framework</w:t>
      </w:r>
    </w:p>
    <w:p w14:paraId="2546D5E8" w14:textId="77777777" w:rsidR="00236983" w:rsidRDefault="00000000">
      <w:pPr>
        <w:pStyle w:val="Compact"/>
        <w:numPr>
          <w:ilvl w:val="0"/>
          <w:numId w:val="44"/>
        </w:numPr>
      </w:pPr>
      <w:r>
        <w:t>Verify pre-specification and scientific justification</w:t>
      </w:r>
    </w:p>
    <w:p w14:paraId="2546D5E9" w14:textId="77777777" w:rsidR="00236983" w:rsidRDefault="00000000">
      <w:pPr>
        <w:pStyle w:val="Compact"/>
        <w:numPr>
          <w:ilvl w:val="0"/>
          <w:numId w:val="44"/>
        </w:numPr>
      </w:pPr>
      <w:r>
        <w:t>Evaluate adequacy of sample size and power</w:t>
      </w:r>
    </w:p>
    <w:p w14:paraId="2546D5EA" w14:textId="77777777" w:rsidR="00236983" w:rsidRDefault="00000000">
      <w:pPr>
        <w:pStyle w:val="Compact"/>
        <w:numPr>
          <w:ilvl w:val="0"/>
          <w:numId w:val="44"/>
        </w:numPr>
      </w:pPr>
      <w:r>
        <w:t>Review statistical methods and multiplicity control</w:t>
      </w:r>
    </w:p>
    <w:p w14:paraId="2546D5EB" w14:textId="77777777" w:rsidR="00236983" w:rsidRDefault="00000000">
      <w:pPr>
        <w:pStyle w:val="Compact"/>
        <w:numPr>
          <w:ilvl w:val="0"/>
          <w:numId w:val="44"/>
        </w:numPr>
      </w:pPr>
      <w:r>
        <w:t>Assess biological plausibility of findings</w:t>
      </w:r>
    </w:p>
    <w:p w14:paraId="2546D5EC" w14:textId="77777777" w:rsidR="00236983" w:rsidRDefault="00000000">
      <w:pPr>
        <w:pStyle w:val="Compact"/>
        <w:numPr>
          <w:ilvl w:val="0"/>
          <w:numId w:val="44"/>
        </w:numPr>
      </w:pPr>
      <w:r>
        <w:t>Consider consistency across endpoints</w:t>
      </w:r>
    </w:p>
    <w:p w14:paraId="2546D5ED" w14:textId="77777777" w:rsidR="00236983" w:rsidRDefault="00000000">
      <w:pPr>
        <w:pStyle w:val="Compact"/>
        <w:numPr>
          <w:ilvl w:val="0"/>
          <w:numId w:val="44"/>
        </w:numPr>
      </w:pPr>
      <w:r>
        <w:t>Evaluate complementary subgroup data</w:t>
      </w:r>
    </w:p>
    <w:p w14:paraId="2546D5EE" w14:textId="77777777" w:rsidR="00236983" w:rsidRDefault="00000000">
      <w:pPr>
        <w:pStyle w:val="Compact"/>
        <w:numPr>
          <w:ilvl w:val="0"/>
          <w:numId w:val="44"/>
        </w:numPr>
      </w:pPr>
      <w:r>
        <w:t>Review safety across subgroups</w:t>
      </w:r>
    </w:p>
    <w:p w14:paraId="2546D5EF" w14:textId="77777777" w:rsidR="00236983" w:rsidRDefault="00000000">
      <w:pPr>
        <w:pStyle w:val="Compact"/>
        <w:numPr>
          <w:ilvl w:val="0"/>
          <w:numId w:val="44"/>
        </w:numPr>
      </w:pPr>
      <w:r>
        <w:t>Check for baseline imbalances within subgroups</w:t>
      </w:r>
    </w:p>
    <w:p w14:paraId="2546D5F0" w14:textId="77777777" w:rsidR="00236983" w:rsidRDefault="00000000">
      <w:pPr>
        <w:pStyle w:val="Compact"/>
        <w:numPr>
          <w:ilvl w:val="0"/>
          <w:numId w:val="44"/>
        </w:numPr>
      </w:pPr>
      <w:r>
        <w:t>Consider available treatment alternatives</w:t>
      </w:r>
    </w:p>
    <w:p w14:paraId="2546D5F1" w14:textId="77777777" w:rsidR="00236983" w:rsidRDefault="00000000">
      <w:pPr>
        <w:pStyle w:val="Compact"/>
        <w:numPr>
          <w:ilvl w:val="0"/>
          <w:numId w:val="44"/>
        </w:numPr>
      </w:pPr>
      <w:r>
        <w:t>Assess medical need and benefit-risk balance</w:t>
      </w:r>
    </w:p>
    <w:p w14:paraId="2546D5F2" w14:textId="77777777" w:rsidR="00236983" w:rsidRDefault="00000000">
      <w:pPr>
        <w:pStyle w:val="Compact"/>
        <w:numPr>
          <w:ilvl w:val="0"/>
          <w:numId w:val="44"/>
        </w:numPr>
      </w:pPr>
      <w:r>
        <w:t>Determine appropriate scope of indication</w:t>
      </w:r>
    </w:p>
    <w:p w14:paraId="2546D5F3" w14:textId="77777777" w:rsidR="00236983" w:rsidRDefault="00000000">
      <w:pPr>
        <w:pStyle w:val="Compact"/>
        <w:numPr>
          <w:ilvl w:val="0"/>
          <w:numId w:val="44"/>
        </w:numPr>
      </w:pPr>
      <w:r>
        <w:t>Apply appropriate assessment scenario (1, 2, or 3)</w:t>
      </w:r>
    </w:p>
    <w:p w14:paraId="2546D5F4" w14:textId="77777777" w:rsidR="00236983" w:rsidRDefault="00000000">
      <w:pPr>
        <w:pStyle w:val="Compact"/>
        <w:numPr>
          <w:ilvl w:val="0"/>
          <w:numId w:val="44"/>
        </w:numPr>
      </w:pPr>
      <w:r>
        <w:t>Use EMA decision flowcharts for systematic assessment</w:t>
      </w:r>
    </w:p>
    <w:p w14:paraId="2546D5F5" w14:textId="77777777" w:rsidR="00236983" w:rsidRDefault="00000000">
      <w:pPr>
        <w:pStyle w:val="Heading3"/>
      </w:pPr>
      <w:bookmarkStart w:id="60" w:name="labeling-considerations"/>
      <w:bookmarkEnd w:id="59"/>
      <w:r>
        <w:t>7.2.2 Labeling Considerations</w:t>
      </w:r>
    </w:p>
    <w:p w14:paraId="2546D5F6" w14:textId="77777777" w:rsidR="00236983" w:rsidRDefault="00000000">
      <w:pPr>
        <w:pStyle w:val="Compact"/>
        <w:numPr>
          <w:ilvl w:val="0"/>
          <w:numId w:val="45"/>
        </w:numPr>
      </w:pPr>
      <w:r>
        <w:t>Include relevant subgroup data to inform practice</w:t>
      </w:r>
    </w:p>
    <w:p w14:paraId="2546D5F7" w14:textId="77777777" w:rsidR="00236983" w:rsidRDefault="00000000">
      <w:pPr>
        <w:pStyle w:val="Compact"/>
        <w:numPr>
          <w:ilvl w:val="0"/>
          <w:numId w:val="45"/>
        </w:numPr>
      </w:pPr>
      <w:r>
        <w:t>Present both favorable and unfavorable findings</w:t>
      </w:r>
    </w:p>
    <w:p w14:paraId="2546D5F8" w14:textId="77777777" w:rsidR="00236983" w:rsidRDefault="00000000">
      <w:pPr>
        <w:pStyle w:val="Compact"/>
        <w:numPr>
          <w:ilvl w:val="0"/>
          <w:numId w:val="45"/>
        </w:numPr>
      </w:pPr>
      <w:r>
        <w:lastRenderedPageBreak/>
        <w:t>Use clear language about strength of evidence</w:t>
      </w:r>
    </w:p>
    <w:p w14:paraId="2546D5F9" w14:textId="77777777" w:rsidR="00236983" w:rsidRDefault="00000000">
      <w:pPr>
        <w:pStyle w:val="Compact"/>
        <w:numPr>
          <w:ilvl w:val="0"/>
          <w:numId w:val="45"/>
        </w:numPr>
      </w:pPr>
      <w:r>
        <w:t>Distinguish formal vs exploratory analyses</w:t>
      </w:r>
    </w:p>
    <w:p w14:paraId="2546D5FA" w14:textId="77777777" w:rsidR="00236983" w:rsidRDefault="00000000">
      <w:pPr>
        <w:pStyle w:val="Compact"/>
        <w:numPr>
          <w:ilvl w:val="0"/>
          <w:numId w:val="45"/>
        </w:numPr>
      </w:pPr>
      <w:r>
        <w:t>Provide information for individualized decisions</w:t>
      </w:r>
    </w:p>
    <w:p w14:paraId="2546D5FB" w14:textId="77777777" w:rsidR="00236983" w:rsidRDefault="00000000">
      <w:pPr>
        <w:pStyle w:val="Compact"/>
        <w:numPr>
          <w:ilvl w:val="0"/>
          <w:numId w:val="45"/>
        </w:numPr>
      </w:pPr>
      <w:r>
        <w:t>Consider Section 4.1, 4.3, 4.4, or 5.1 as appropriate</w:t>
      </w:r>
    </w:p>
    <w:p w14:paraId="2546D5FC" w14:textId="77777777" w:rsidR="00236983" w:rsidRDefault="00000000">
      <w:pPr>
        <w:pStyle w:val="Compact"/>
        <w:numPr>
          <w:ilvl w:val="0"/>
          <w:numId w:val="45"/>
        </w:numPr>
      </w:pPr>
      <w:r>
        <w:t>Justify in assessment report why subgroup findings credible/not credible</w:t>
      </w:r>
    </w:p>
    <w:p w14:paraId="2546D5FD" w14:textId="77777777" w:rsidR="00236983" w:rsidRDefault="00000000">
      <w:pPr>
        <w:pStyle w:val="Heading2"/>
      </w:pPr>
      <w:bookmarkStart w:id="61" w:name="for-clinicians-and-healthcare-providers"/>
      <w:bookmarkEnd w:id="58"/>
      <w:bookmarkEnd w:id="60"/>
      <w:r>
        <w:t>7.3 For Clinicians and Healthcare Providers</w:t>
      </w:r>
    </w:p>
    <w:p w14:paraId="2546D5FE" w14:textId="77777777" w:rsidR="00236983" w:rsidRDefault="00000000">
      <w:pPr>
        <w:pStyle w:val="Heading3"/>
      </w:pPr>
      <w:bookmarkStart w:id="62" w:name="using-subgroup-information"/>
      <w:r>
        <w:t>7.3.1 Using Subgroup Information</w:t>
      </w:r>
    </w:p>
    <w:p w14:paraId="2546D5FF" w14:textId="77777777" w:rsidR="00236983" w:rsidRDefault="00000000">
      <w:pPr>
        <w:pStyle w:val="Compact"/>
        <w:numPr>
          <w:ilvl w:val="0"/>
          <w:numId w:val="46"/>
        </w:numPr>
      </w:pPr>
      <w:r>
        <w:t>Understand distinction between pre-specified and exploratory analyses</w:t>
      </w:r>
    </w:p>
    <w:p w14:paraId="2546D600" w14:textId="77777777" w:rsidR="00236983" w:rsidRDefault="00000000">
      <w:pPr>
        <w:pStyle w:val="Compact"/>
        <w:numPr>
          <w:ilvl w:val="0"/>
          <w:numId w:val="46"/>
        </w:numPr>
      </w:pPr>
      <w:r>
        <w:t>Consider biological plausibility of subgroup effects</w:t>
      </w:r>
    </w:p>
    <w:p w14:paraId="2546D601" w14:textId="77777777" w:rsidR="00236983" w:rsidRDefault="00000000">
      <w:pPr>
        <w:pStyle w:val="Compact"/>
        <w:numPr>
          <w:ilvl w:val="0"/>
          <w:numId w:val="46"/>
        </w:numPr>
      </w:pPr>
      <w:r>
        <w:t>Recognize limitations of small subgroup samples</w:t>
      </w:r>
    </w:p>
    <w:p w14:paraId="2546D602" w14:textId="77777777" w:rsidR="00236983" w:rsidRDefault="00000000">
      <w:pPr>
        <w:pStyle w:val="Compact"/>
        <w:numPr>
          <w:ilvl w:val="0"/>
          <w:numId w:val="46"/>
        </w:numPr>
      </w:pPr>
      <w:r>
        <w:t>Look for consistency across multiple studies</w:t>
      </w:r>
    </w:p>
    <w:p w14:paraId="2546D603" w14:textId="77777777" w:rsidR="00236983" w:rsidRDefault="00000000">
      <w:pPr>
        <w:pStyle w:val="Compact"/>
        <w:numPr>
          <w:ilvl w:val="0"/>
          <w:numId w:val="46"/>
        </w:numPr>
      </w:pPr>
      <w:r>
        <w:t>Integrate subgroup data with other clinical factors</w:t>
      </w:r>
    </w:p>
    <w:p w14:paraId="2546D604" w14:textId="77777777" w:rsidR="00236983" w:rsidRDefault="00000000">
      <w:pPr>
        <w:pStyle w:val="Compact"/>
        <w:numPr>
          <w:ilvl w:val="0"/>
          <w:numId w:val="46"/>
        </w:numPr>
      </w:pPr>
      <w:r>
        <w:t>Discuss uncertainties with patients</w:t>
      </w:r>
    </w:p>
    <w:p w14:paraId="2546D605" w14:textId="77777777" w:rsidR="00236983" w:rsidRDefault="00000000">
      <w:pPr>
        <w:pStyle w:val="Compact"/>
        <w:numPr>
          <w:ilvl w:val="0"/>
          <w:numId w:val="46"/>
        </w:numPr>
      </w:pPr>
      <w:r>
        <w:t>Consider individual patient characteristics and preferences</w:t>
      </w:r>
    </w:p>
    <w:p w14:paraId="2546D606" w14:textId="77777777" w:rsidR="00236983" w:rsidRDefault="00000000">
      <w:pPr>
        <w:pStyle w:val="Compact"/>
        <w:numPr>
          <w:ilvl w:val="0"/>
          <w:numId w:val="46"/>
        </w:numPr>
      </w:pPr>
      <w:r>
        <w:t>Use validated biomarker tests when available</w:t>
      </w:r>
    </w:p>
    <w:p w14:paraId="2546D607" w14:textId="77777777" w:rsidR="00236983" w:rsidRDefault="00000000">
      <w:pPr>
        <w:pStyle w:val="Compact"/>
        <w:numPr>
          <w:ilvl w:val="0"/>
          <w:numId w:val="46"/>
        </w:numPr>
      </w:pPr>
      <w:r>
        <w:t>Participate in post-marketing studies when appropriate</w:t>
      </w:r>
    </w:p>
    <w:p w14:paraId="2546D608" w14:textId="77777777" w:rsidR="00236983" w:rsidRDefault="00000000">
      <w:pPr>
        <w:pStyle w:val="Compact"/>
        <w:numPr>
          <w:ilvl w:val="0"/>
          <w:numId w:val="46"/>
        </w:numPr>
      </w:pPr>
      <w:r>
        <w:t>Report real-world outcomes to enhance evidence base</w:t>
      </w:r>
    </w:p>
    <w:p w14:paraId="2546D609" w14:textId="77777777" w:rsidR="00236983" w:rsidRDefault="00000000">
      <w:pPr>
        <w:pStyle w:val="Compact"/>
        <w:numPr>
          <w:ilvl w:val="0"/>
          <w:numId w:val="46"/>
        </w:numPr>
      </w:pPr>
      <w:r>
        <w:t>Be aware of scale dependence of effects (relative vs. absolute)</w:t>
      </w:r>
    </w:p>
    <w:p w14:paraId="2546D60A" w14:textId="77777777" w:rsidR="00236983" w:rsidRDefault="00000000">
      <w:pPr>
        <w:pStyle w:val="Compact"/>
        <w:numPr>
          <w:ilvl w:val="0"/>
          <w:numId w:val="46"/>
        </w:numPr>
      </w:pPr>
      <w:r>
        <w:t>Consider absolute benefit in context of toxicity for risk-benefit</w:t>
      </w:r>
    </w:p>
    <w:p w14:paraId="2546D60B" w14:textId="77777777" w:rsidR="00236983" w:rsidRDefault="00944016">
      <w:r>
        <w:rPr>
          <w:noProof/>
        </w:rPr>
      </w:r>
      <w:r w:rsidR="00944016">
        <w:rPr>
          <w:noProof/>
        </w:rPr>
        <w:pict w14:anchorId="2546D71D">
          <v:rect id="_x0000_i1038" alt="" style="width:468pt;height:.05pt;mso-width-percent:0;mso-height-percent:0;mso-width-percent:0;mso-height-percent:0" o:hralign="center" o:hrstd="t" o:hr="t"/>
        </w:pict>
      </w:r>
    </w:p>
    <w:p w14:paraId="2546D60C" w14:textId="77777777" w:rsidR="00236983" w:rsidRDefault="00000000">
      <w:pPr>
        <w:pStyle w:val="Heading1"/>
      </w:pPr>
      <w:bookmarkStart w:id="63" w:name="part-7-reporting-standards"/>
      <w:bookmarkEnd w:id="53"/>
      <w:bookmarkEnd w:id="61"/>
      <w:bookmarkEnd w:id="62"/>
      <w:r>
        <w:t>8. Part 7: Reporting Standards</w:t>
      </w:r>
    </w:p>
    <w:p w14:paraId="2546D60D" w14:textId="77777777" w:rsidR="00236983" w:rsidRDefault="00000000">
      <w:pPr>
        <w:pStyle w:val="Heading2"/>
      </w:pPr>
      <w:bookmarkStart w:id="64" w:name="consort-extension-for-subgroup-analyses"/>
      <w:r>
        <w:t>8.1 CONSORT Extension for Subgroup Analyses</w:t>
      </w:r>
    </w:p>
    <w:p w14:paraId="2546D60E" w14:textId="77777777" w:rsidR="00236983" w:rsidRDefault="00000000">
      <w:pPr>
        <w:pStyle w:val="Heading3"/>
      </w:pPr>
      <w:bookmarkStart w:id="65" w:name="required-elements"/>
      <w:r>
        <w:t>8.1.1 Required Elements</w:t>
      </w:r>
    </w:p>
    <w:p w14:paraId="2546D60F" w14:textId="77777777" w:rsidR="00236983" w:rsidRDefault="00000000">
      <w:pPr>
        <w:pStyle w:val="Compact"/>
        <w:numPr>
          <w:ilvl w:val="0"/>
          <w:numId w:val="47"/>
        </w:numPr>
      </w:pPr>
      <w:r>
        <w:t>Rationale and pre-specification status for each subgroup</w:t>
      </w:r>
    </w:p>
    <w:p w14:paraId="2546D610" w14:textId="77777777" w:rsidR="00236983" w:rsidRDefault="00000000">
      <w:pPr>
        <w:pStyle w:val="Compact"/>
        <w:numPr>
          <w:ilvl w:val="0"/>
          <w:numId w:val="47"/>
        </w:numPr>
      </w:pPr>
      <w:r>
        <w:t>Definition of subgroup variables and cut-points</w:t>
      </w:r>
    </w:p>
    <w:p w14:paraId="2546D611" w14:textId="77777777" w:rsidR="00236983" w:rsidRDefault="00000000">
      <w:pPr>
        <w:pStyle w:val="Compact"/>
        <w:numPr>
          <w:ilvl w:val="0"/>
          <w:numId w:val="47"/>
        </w:numPr>
      </w:pPr>
      <w:r>
        <w:t>Statistical methods including interaction tests</w:t>
      </w:r>
    </w:p>
    <w:p w14:paraId="2546D612" w14:textId="77777777" w:rsidR="00236983" w:rsidRDefault="00000000">
      <w:pPr>
        <w:pStyle w:val="Compact"/>
        <w:numPr>
          <w:ilvl w:val="0"/>
          <w:numId w:val="47"/>
        </w:numPr>
      </w:pPr>
      <w:r>
        <w:t>Effect estimates with confidence intervals</w:t>
      </w:r>
    </w:p>
    <w:p w14:paraId="2546D613" w14:textId="77777777" w:rsidR="00236983" w:rsidRDefault="00000000">
      <w:pPr>
        <w:pStyle w:val="Compact"/>
        <w:numPr>
          <w:ilvl w:val="0"/>
          <w:numId w:val="47"/>
        </w:numPr>
      </w:pPr>
      <w:r>
        <w:t>Interaction p-values</w:t>
      </w:r>
    </w:p>
    <w:p w14:paraId="2546D614" w14:textId="77777777" w:rsidR="00236983" w:rsidRDefault="00000000">
      <w:pPr>
        <w:pStyle w:val="Compact"/>
        <w:numPr>
          <w:ilvl w:val="0"/>
          <w:numId w:val="47"/>
        </w:numPr>
      </w:pPr>
      <w:r>
        <w:t>Forest plots showing all subgroups</w:t>
      </w:r>
    </w:p>
    <w:p w14:paraId="2546D615" w14:textId="77777777" w:rsidR="00236983" w:rsidRDefault="00000000">
      <w:pPr>
        <w:pStyle w:val="Compact"/>
        <w:numPr>
          <w:ilvl w:val="0"/>
          <w:numId w:val="47"/>
        </w:numPr>
      </w:pPr>
      <w:r>
        <w:t>Distinction between pre-specified and exploratory analyses</w:t>
      </w:r>
    </w:p>
    <w:p w14:paraId="2546D616" w14:textId="77777777" w:rsidR="00236983" w:rsidRDefault="00000000">
      <w:pPr>
        <w:pStyle w:val="Compact"/>
        <w:numPr>
          <w:ilvl w:val="0"/>
          <w:numId w:val="47"/>
        </w:numPr>
      </w:pPr>
      <w:r>
        <w:t>Complete reporting (not selective)</w:t>
      </w:r>
    </w:p>
    <w:p w14:paraId="2546D617" w14:textId="77777777" w:rsidR="00236983" w:rsidRDefault="00000000">
      <w:pPr>
        <w:pStyle w:val="Compact"/>
        <w:numPr>
          <w:ilvl w:val="0"/>
          <w:numId w:val="47"/>
        </w:numPr>
      </w:pPr>
      <w:r>
        <w:t>Presentation of complementary subgroups</w:t>
      </w:r>
    </w:p>
    <w:p w14:paraId="2546D618" w14:textId="77777777" w:rsidR="00236983" w:rsidRDefault="00000000">
      <w:pPr>
        <w:pStyle w:val="Heading2"/>
      </w:pPr>
      <w:bookmarkStart w:id="66" w:name="ema-reporting-recommendations"/>
      <w:bookmarkEnd w:id="64"/>
      <w:bookmarkEnd w:id="65"/>
      <w:r>
        <w:lastRenderedPageBreak/>
        <w:t>8.2 EMA Reporting Recommendations</w:t>
      </w:r>
    </w:p>
    <w:p w14:paraId="2546D619" w14:textId="77777777" w:rsidR="00236983" w:rsidRDefault="00000000">
      <w:pPr>
        <w:pStyle w:val="Heading3"/>
      </w:pPr>
      <w:bookmarkStart w:id="67" w:name="in-assessment-reports"/>
      <w:r>
        <w:t>8.2.1 In Assessment Reports:</w:t>
      </w:r>
    </w:p>
    <w:p w14:paraId="2546D61A" w14:textId="77777777" w:rsidR="00236983" w:rsidRDefault="00000000">
      <w:pPr>
        <w:pStyle w:val="Compact"/>
        <w:numPr>
          <w:ilvl w:val="0"/>
          <w:numId w:val="48"/>
        </w:numPr>
      </w:pPr>
      <w:r>
        <w:t>Reflect sponsor discussion of heterogeneity</w:t>
      </w:r>
    </w:p>
    <w:p w14:paraId="2546D61B" w14:textId="77777777" w:rsidR="00236983" w:rsidRDefault="00000000">
      <w:pPr>
        <w:pStyle w:val="Compact"/>
        <w:numPr>
          <w:ilvl w:val="0"/>
          <w:numId w:val="48"/>
        </w:numPr>
      </w:pPr>
      <w:r>
        <w:t>Address completeness and balance of discussion</w:t>
      </w:r>
    </w:p>
    <w:p w14:paraId="2546D61C" w14:textId="77777777" w:rsidR="00236983" w:rsidRDefault="00000000">
      <w:pPr>
        <w:pStyle w:val="Compact"/>
        <w:numPr>
          <w:ilvl w:val="0"/>
          <w:numId w:val="48"/>
        </w:numPr>
      </w:pPr>
      <w:r>
        <w:t>Present consistency results (forest plots)</w:t>
      </w:r>
    </w:p>
    <w:p w14:paraId="2546D61D" w14:textId="77777777" w:rsidR="00236983" w:rsidRDefault="00000000">
      <w:pPr>
        <w:pStyle w:val="Compact"/>
        <w:numPr>
          <w:ilvl w:val="0"/>
          <w:numId w:val="48"/>
        </w:numPr>
      </w:pPr>
      <w:r>
        <w:t>Discuss any inconsistency for credibility</w:t>
      </w:r>
    </w:p>
    <w:p w14:paraId="2546D61E" w14:textId="77777777" w:rsidR="00236983" w:rsidRDefault="00000000">
      <w:pPr>
        <w:pStyle w:val="Compact"/>
        <w:numPr>
          <w:ilvl w:val="0"/>
          <w:numId w:val="48"/>
        </w:numPr>
      </w:pPr>
      <w:r>
        <w:t>Explicitly state if inconsistent results not credible</w:t>
      </w:r>
    </w:p>
    <w:p w14:paraId="2546D61F" w14:textId="77777777" w:rsidR="00236983" w:rsidRDefault="00000000">
      <w:pPr>
        <w:pStyle w:val="Compact"/>
        <w:numPr>
          <w:ilvl w:val="0"/>
          <w:numId w:val="48"/>
        </w:numPr>
      </w:pPr>
      <w:r>
        <w:t>Provide extensive justification for Scenarios 2 and 3</w:t>
      </w:r>
    </w:p>
    <w:p w14:paraId="2546D620" w14:textId="77777777" w:rsidR="00236983" w:rsidRDefault="00000000">
      <w:pPr>
        <w:pStyle w:val="Heading3"/>
      </w:pPr>
      <w:bookmarkStart w:id="68" w:name="Xc05d5e02861c14469cdc458469dadf45d5e90fd"/>
      <w:bookmarkEnd w:id="67"/>
      <w:r>
        <w:t>8.2.2 In SmPC (Summary of Product Characteristics):</w:t>
      </w:r>
    </w:p>
    <w:p w14:paraId="2546D621" w14:textId="77777777" w:rsidR="00236983" w:rsidRDefault="00000000">
      <w:pPr>
        <w:pStyle w:val="Compact"/>
        <w:numPr>
          <w:ilvl w:val="0"/>
          <w:numId w:val="49"/>
        </w:numPr>
      </w:pPr>
      <w:r>
        <w:rPr>
          <w:b/>
          <w:bCs/>
        </w:rPr>
        <w:t>Section 4.1 (Indication):</w:t>
      </w:r>
      <w:r>
        <w:t xml:space="preserve"> Restriction if efficacy not established</w:t>
      </w:r>
    </w:p>
    <w:p w14:paraId="2546D622" w14:textId="77777777" w:rsidR="00236983" w:rsidRDefault="00000000">
      <w:pPr>
        <w:pStyle w:val="Compact"/>
        <w:numPr>
          <w:ilvl w:val="0"/>
          <w:numId w:val="49"/>
        </w:numPr>
      </w:pPr>
      <w:r>
        <w:rPr>
          <w:b/>
          <w:bCs/>
        </w:rPr>
        <w:t>Section 4.3 (Contraindications):</w:t>
      </w:r>
      <w:r>
        <w:t xml:space="preserve"> If risk-benefit negative</w:t>
      </w:r>
    </w:p>
    <w:p w14:paraId="2546D623" w14:textId="77777777" w:rsidR="00236983" w:rsidRDefault="00000000">
      <w:pPr>
        <w:pStyle w:val="Compact"/>
        <w:numPr>
          <w:ilvl w:val="0"/>
          <w:numId w:val="49"/>
        </w:numPr>
      </w:pPr>
      <w:r>
        <w:rPr>
          <w:b/>
          <w:bCs/>
        </w:rPr>
        <w:t>Section 4.4 (Warnings):</w:t>
      </w:r>
      <w:r>
        <w:t xml:space="preserve"> If important uncertainty in key subgroup</w:t>
      </w:r>
    </w:p>
    <w:p w14:paraId="2546D624" w14:textId="77777777" w:rsidR="00236983" w:rsidRDefault="00000000">
      <w:pPr>
        <w:pStyle w:val="Compact"/>
        <w:numPr>
          <w:ilvl w:val="0"/>
          <w:numId w:val="49"/>
        </w:numPr>
      </w:pPr>
      <w:r>
        <w:rPr>
          <w:b/>
          <w:bCs/>
        </w:rPr>
        <w:t>Section 5.1 (Pharmacodynamics):</w:t>
      </w:r>
      <w:r>
        <w:t xml:space="preserve"> Subgroup efficacy data</w:t>
      </w:r>
    </w:p>
    <w:p w14:paraId="2546D625" w14:textId="77777777" w:rsidR="00236983" w:rsidRDefault="00000000">
      <w:pPr>
        <w:pStyle w:val="Compact"/>
        <w:numPr>
          <w:ilvl w:val="0"/>
          <w:numId w:val="49"/>
        </w:numPr>
      </w:pPr>
      <w:r>
        <w:t>Not usually necessary to highlight consistency</w:t>
      </w:r>
    </w:p>
    <w:p w14:paraId="2546D626" w14:textId="77777777" w:rsidR="00236983" w:rsidRDefault="00000000">
      <w:pPr>
        <w:pStyle w:val="Compact"/>
        <w:numPr>
          <w:ilvl w:val="0"/>
          <w:numId w:val="49"/>
        </w:numPr>
      </w:pPr>
      <w:r>
        <w:t>Present ITT results first if population restricted to subgroup</w:t>
      </w:r>
    </w:p>
    <w:p w14:paraId="2546D627" w14:textId="77777777" w:rsidR="00236983" w:rsidRDefault="00000000">
      <w:pPr>
        <w:pStyle w:val="Compact"/>
        <w:numPr>
          <w:ilvl w:val="0"/>
          <w:numId w:val="49"/>
        </w:numPr>
      </w:pPr>
      <w:r>
        <w:t>Explain briefly why subgroup findings credible (if can be communicated succinctly)</w:t>
      </w:r>
    </w:p>
    <w:p w14:paraId="2546D628" w14:textId="77777777" w:rsidR="00236983" w:rsidRDefault="00000000">
      <w:pPr>
        <w:pStyle w:val="Heading2"/>
      </w:pPr>
      <w:bookmarkStart w:id="69" w:name="transparency-checklist"/>
      <w:bookmarkEnd w:id="66"/>
      <w:bookmarkEnd w:id="68"/>
      <w:r>
        <w:t>8.3 Transparency Checklist</w:t>
      </w:r>
    </w:p>
    <w:p w14:paraId="2546D629" w14:textId="77777777" w:rsidR="00236983" w:rsidRDefault="00000000">
      <w:pPr>
        <w:pStyle w:val="Heading3"/>
      </w:pPr>
      <w:bookmarkStart w:id="70" w:name="protocolsap"/>
      <w:r>
        <w:t>8.3.1 Protocol/SAP</w:t>
      </w:r>
    </w:p>
    <w:p w14:paraId="2546D62A" w14:textId="77777777" w:rsidR="00236983" w:rsidRDefault="00000000">
      <w:pPr>
        <w:pStyle w:val="Compact"/>
        <w:numPr>
          <w:ilvl w:val="0"/>
          <w:numId w:val="50"/>
        </w:numPr>
      </w:pPr>
      <w:r>
        <w:t>Subgroups defined with rationale</w:t>
      </w:r>
    </w:p>
    <w:p w14:paraId="2546D62B" w14:textId="77777777" w:rsidR="00236983" w:rsidRDefault="00000000">
      <w:pPr>
        <w:pStyle w:val="Compact"/>
        <w:numPr>
          <w:ilvl w:val="0"/>
          <w:numId w:val="51"/>
        </w:numPr>
      </w:pPr>
      <w:r>
        <w:t>Categorization as key vs. exploratory</w:t>
      </w:r>
    </w:p>
    <w:p w14:paraId="2546D62C" w14:textId="77777777" w:rsidR="00236983" w:rsidRDefault="00000000">
      <w:pPr>
        <w:pStyle w:val="Compact"/>
        <w:numPr>
          <w:ilvl w:val="0"/>
          <w:numId w:val="52"/>
        </w:numPr>
      </w:pPr>
      <w:r>
        <w:t>Analysis methods specified</w:t>
      </w:r>
    </w:p>
    <w:p w14:paraId="2546D62D" w14:textId="77777777" w:rsidR="00236983" w:rsidRDefault="00000000">
      <w:pPr>
        <w:pStyle w:val="Compact"/>
        <w:numPr>
          <w:ilvl w:val="0"/>
          <w:numId w:val="53"/>
        </w:numPr>
      </w:pPr>
      <w:r>
        <w:t>Multiplicity approach described</w:t>
      </w:r>
    </w:p>
    <w:p w14:paraId="2546D62E" w14:textId="77777777" w:rsidR="00236983" w:rsidRDefault="00000000">
      <w:pPr>
        <w:pStyle w:val="Compact"/>
        <w:numPr>
          <w:ilvl w:val="0"/>
          <w:numId w:val="54"/>
        </w:numPr>
      </w:pPr>
      <w:r>
        <w:t>Power considerations addressed</w:t>
      </w:r>
    </w:p>
    <w:p w14:paraId="2546D62F" w14:textId="77777777" w:rsidR="00236983" w:rsidRDefault="00000000">
      <w:pPr>
        <w:pStyle w:val="Compact"/>
        <w:numPr>
          <w:ilvl w:val="0"/>
          <w:numId w:val="55"/>
        </w:numPr>
      </w:pPr>
      <w:r>
        <w:t>Stratification factors identified</w:t>
      </w:r>
    </w:p>
    <w:p w14:paraId="2546D630" w14:textId="77777777" w:rsidR="00236983" w:rsidRDefault="00000000">
      <w:pPr>
        <w:pStyle w:val="Compact"/>
        <w:numPr>
          <w:ilvl w:val="0"/>
          <w:numId w:val="56"/>
        </w:numPr>
      </w:pPr>
      <w:r>
        <w:t>Expected heterogeneity discussed</w:t>
      </w:r>
    </w:p>
    <w:p w14:paraId="2546D631" w14:textId="77777777" w:rsidR="00236983" w:rsidRDefault="00000000">
      <w:pPr>
        <w:pStyle w:val="Heading3"/>
      </w:pPr>
      <w:bookmarkStart w:id="71" w:name="reporting"/>
      <w:bookmarkEnd w:id="70"/>
      <w:r>
        <w:t>8.3.2 Reporting</w:t>
      </w:r>
    </w:p>
    <w:p w14:paraId="2546D632" w14:textId="77777777" w:rsidR="00236983" w:rsidRDefault="00000000">
      <w:pPr>
        <w:pStyle w:val="Compact"/>
        <w:numPr>
          <w:ilvl w:val="0"/>
          <w:numId w:val="57"/>
        </w:numPr>
      </w:pPr>
      <w:r>
        <w:t>All planned analyses reported</w:t>
      </w:r>
    </w:p>
    <w:p w14:paraId="2546D633" w14:textId="77777777" w:rsidR="00236983" w:rsidRDefault="00000000">
      <w:pPr>
        <w:pStyle w:val="Compact"/>
        <w:numPr>
          <w:ilvl w:val="0"/>
          <w:numId w:val="58"/>
        </w:numPr>
      </w:pPr>
      <w:r>
        <w:t>Pre-specified vs exploratory clearly labeled</w:t>
      </w:r>
    </w:p>
    <w:p w14:paraId="2546D634" w14:textId="77777777" w:rsidR="00236983" w:rsidRDefault="00000000">
      <w:pPr>
        <w:pStyle w:val="Compact"/>
        <w:numPr>
          <w:ilvl w:val="0"/>
          <w:numId w:val="59"/>
        </w:numPr>
      </w:pPr>
      <w:r>
        <w:t>Interaction tests included</w:t>
      </w:r>
    </w:p>
    <w:p w14:paraId="2546D635" w14:textId="77777777" w:rsidR="00236983" w:rsidRDefault="00000000">
      <w:pPr>
        <w:pStyle w:val="Compact"/>
        <w:numPr>
          <w:ilvl w:val="0"/>
          <w:numId w:val="60"/>
        </w:numPr>
      </w:pPr>
      <w:r>
        <w:t>Forest plots provided</w:t>
      </w:r>
    </w:p>
    <w:p w14:paraId="2546D636" w14:textId="77777777" w:rsidR="00236983" w:rsidRDefault="00000000">
      <w:pPr>
        <w:pStyle w:val="Compact"/>
        <w:numPr>
          <w:ilvl w:val="0"/>
          <w:numId w:val="61"/>
        </w:numPr>
      </w:pPr>
      <w:r>
        <w:t>Complementary subgroups shown</w:t>
      </w:r>
    </w:p>
    <w:p w14:paraId="2546D637" w14:textId="77777777" w:rsidR="00236983" w:rsidRDefault="00000000">
      <w:pPr>
        <w:pStyle w:val="Compact"/>
        <w:numPr>
          <w:ilvl w:val="0"/>
          <w:numId w:val="62"/>
        </w:numPr>
      </w:pPr>
      <w:r>
        <w:t>Negative findings reported</w:t>
      </w:r>
    </w:p>
    <w:p w14:paraId="2546D638" w14:textId="77777777" w:rsidR="00236983" w:rsidRDefault="00000000">
      <w:pPr>
        <w:pStyle w:val="Compact"/>
        <w:numPr>
          <w:ilvl w:val="0"/>
          <w:numId w:val="63"/>
        </w:numPr>
      </w:pPr>
      <w:r>
        <w:t>Limitations acknowledged</w:t>
      </w:r>
    </w:p>
    <w:p w14:paraId="2546D639" w14:textId="77777777" w:rsidR="00236983" w:rsidRDefault="00000000">
      <w:pPr>
        <w:pStyle w:val="Compact"/>
        <w:numPr>
          <w:ilvl w:val="0"/>
          <w:numId w:val="64"/>
        </w:numPr>
      </w:pPr>
      <w:r>
        <w:t>Interpretation appropriately cautious</w:t>
      </w:r>
    </w:p>
    <w:p w14:paraId="2546D63A" w14:textId="77777777" w:rsidR="00236983" w:rsidRDefault="00000000">
      <w:pPr>
        <w:pStyle w:val="Compact"/>
        <w:numPr>
          <w:ilvl w:val="0"/>
          <w:numId w:val="65"/>
        </w:numPr>
      </w:pPr>
      <w:r>
        <w:t>Baseline imbalances addressed</w:t>
      </w:r>
    </w:p>
    <w:p w14:paraId="2546D63B" w14:textId="77777777" w:rsidR="00236983" w:rsidRDefault="00944016">
      <w:r>
        <w:rPr>
          <w:noProof/>
        </w:rPr>
        <w:lastRenderedPageBreak/>
      </w:r>
      <w:r w:rsidR="00944016">
        <w:rPr>
          <w:noProof/>
        </w:rPr>
        <w:pict w14:anchorId="2546D71E">
          <v:rect id="_x0000_i1039" alt="" style="width:468pt;height:.05pt;mso-width-percent:0;mso-height-percent:0;mso-width-percent:0;mso-height-percent:0" o:hralign="center" o:hrstd="t" o:hr="t"/>
        </w:pict>
      </w:r>
    </w:p>
    <w:p w14:paraId="2546D63C" w14:textId="77777777" w:rsidR="00236983" w:rsidRDefault="00000000">
      <w:pPr>
        <w:pStyle w:val="Heading1"/>
      </w:pPr>
      <w:bookmarkStart w:id="72" w:name="part-8-common-pitfalls-and-solutions"/>
      <w:bookmarkEnd w:id="63"/>
      <w:bookmarkEnd w:id="69"/>
      <w:bookmarkEnd w:id="71"/>
      <w:r>
        <w:t>9. Part 8: Common Pitfalls and Solutions</w:t>
      </w:r>
    </w:p>
    <w:p w14:paraId="2546D63D" w14:textId="77777777" w:rsidR="00236983" w:rsidRDefault="00000000">
      <w:pPr>
        <w:pStyle w:val="Heading2"/>
      </w:pPr>
      <w:bookmarkStart w:id="73" w:name="pitfall-1-data-driven-subgroup-selection"/>
      <w:r>
        <w:t>9.1 Pitfall 1: Data-Driven Subgroup Selection</w:t>
      </w:r>
    </w:p>
    <w:p w14:paraId="2546D63E" w14:textId="77777777" w:rsidR="00236983" w:rsidRDefault="00000000">
      <w:pPr>
        <w:pStyle w:val="FirstParagraph"/>
      </w:pPr>
      <w:r>
        <w:rPr>
          <w:b/>
          <w:bCs/>
        </w:rPr>
        <w:t>Problem:</w:t>
      </w:r>
      <w:r>
        <w:t xml:space="preserve"> Choosing subgroups after seeing data increases false positives</w:t>
      </w:r>
    </w:p>
    <w:p w14:paraId="2546D63F" w14:textId="77777777" w:rsidR="00236983" w:rsidRDefault="00000000">
      <w:pPr>
        <w:pStyle w:val="BodyText"/>
      </w:pPr>
      <w:r>
        <w:rPr>
          <w:b/>
          <w:bCs/>
        </w:rPr>
        <w:t>Solution:</w:t>
      </w:r>
      <w:r>
        <w:t xml:space="preserve"> Pre-specify all subgroups in protocol with clear rationale; categorize as key or exploratory</w:t>
      </w:r>
    </w:p>
    <w:p w14:paraId="2546D640" w14:textId="77777777" w:rsidR="00236983" w:rsidRDefault="00000000">
      <w:pPr>
        <w:pStyle w:val="Heading2"/>
      </w:pPr>
      <w:bookmarkStart w:id="74" w:name="X31ea9179767895cf039c30b2449651a22709744"/>
      <w:bookmarkEnd w:id="73"/>
      <w:r>
        <w:t>9.2 Pitfall 2: Multiple Testing Without Adjustment</w:t>
      </w:r>
    </w:p>
    <w:p w14:paraId="2546D641" w14:textId="77777777" w:rsidR="00236983" w:rsidRDefault="00000000">
      <w:pPr>
        <w:pStyle w:val="FirstParagraph"/>
      </w:pPr>
      <w:r>
        <w:rPr>
          <w:b/>
          <w:bCs/>
        </w:rPr>
        <w:t>Problem:</w:t>
      </w:r>
      <w:r>
        <w:t xml:space="preserve"> Examining many subgroups inflates Type I error</w:t>
      </w:r>
    </w:p>
    <w:p w14:paraId="2546D642" w14:textId="77777777" w:rsidR="00236983" w:rsidRDefault="00000000">
      <w:pPr>
        <w:pStyle w:val="BodyText"/>
      </w:pPr>
      <w:r>
        <w:rPr>
          <w:b/>
          <w:bCs/>
        </w:rPr>
        <w:t>Solution:</w:t>
      </w:r>
      <w:r>
        <w:t xml:space="preserve"> Apply appropriate multiplicity adjustments OR label as exploratory; recognize that adjustment counter-intuitive for safety signal detection</w:t>
      </w:r>
    </w:p>
    <w:p w14:paraId="2546D643" w14:textId="77777777" w:rsidR="00236983" w:rsidRDefault="00000000">
      <w:pPr>
        <w:pStyle w:val="Heading2"/>
      </w:pPr>
      <w:bookmarkStart w:id="75" w:name="pitfall-3-within-group-comparisons-only"/>
      <w:bookmarkEnd w:id="74"/>
      <w:r>
        <w:t>9.3 Pitfall 3: Within-Group Comparisons Only</w:t>
      </w:r>
    </w:p>
    <w:p w14:paraId="2546D644" w14:textId="77777777" w:rsidR="00236983" w:rsidRDefault="00000000">
      <w:pPr>
        <w:pStyle w:val="FirstParagraph"/>
      </w:pPr>
      <w:r>
        <w:rPr>
          <w:b/>
          <w:bCs/>
        </w:rPr>
        <w:t>Problem:</w:t>
      </w:r>
      <w:r>
        <w:t xml:space="preserve"> Comparing p-values between subgroups is misleading</w:t>
      </w:r>
    </w:p>
    <w:p w14:paraId="2546D645" w14:textId="77777777" w:rsidR="00236983" w:rsidRDefault="00000000">
      <w:pPr>
        <w:pStyle w:val="BodyText"/>
      </w:pPr>
      <w:r>
        <w:rPr>
          <w:b/>
          <w:bCs/>
        </w:rPr>
        <w:t>Solution:</w:t>
      </w:r>
      <w:r>
        <w:t xml:space="preserve"> Use formal interaction tests; remember they have limited power</w:t>
      </w:r>
    </w:p>
    <w:p w14:paraId="2546D646" w14:textId="77777777" w:rsidR="00236983" w:rsidRDefault="00000000">
      <w:pPr>
        <w:pStyle w:val="Heading2"/>
      </w:pPr>
      <w:bookmarkStart w:id="76" w:name="X98f5c7121f38cdfdc0027878718ed30f30c62e3"/>
      <w:bookmarkEnd w:id="75"/>
      <w:r>
        <w:t>9.4 Pitfall 4: Overinterpretation of Small Subgroups</w:t>
      </w:r>
    </w:p>
    <w:p w14:paraId="2546D647" w14:textId="77777777" w:rsidR="00236983" w:rsidRDefault="00000000">
      <w:pPr>
        <w:pStyle w:val="FirstParagraph"/>
      </w:pPr>
      <w:r>
        <w:rPr>
          <w:b/>
          <w:bCs/>
        </w:rPr>
        <w:t>Problem:</w:t>
      </w:r>
      <w:r>
        <w:t xml:space="preserve"> Small samples yield unreliable estimates with wide CIs</w:t>
      </w:r>
    </w:p>
    <w:p w14:paraId="2546D648" w14:textId="77777777" w:rsidR="00236983" w:rsidRDefault="00000000">
      <w:pPr>
        <w:pStyle w:val="BodyText"/>
      </w:pPr>
      <w:r>
        <w:rPr>
          <w:b/>
          <w:bCs/>
        </w:rPr>
        <w:t>Solution:</w:t>
      </w:r>
      <w:r>
        <w:t xml:space="preserve"> Acknowledge uncertainty; seek replication; consider power limitations</w:t>
      </w:r>
    </w:p>
    <w:p w14:paraId="2546D649" w14:textId="77777777" w:rsidR="00236983" w:rsidRDefault="00000000">
      <w:pPr>
        <w:pStyle w:val="Heading2"/>
      </w:pPr>
      <w:bookmarkStart w:id="77" w:name="Xfbbb320a5bbac8608eef04da1284569d18360cd"/>
      <w:bookmarkEnd w:id="76"/>
      <w:r>
        <w:t>9.5 Pitfall 5: Ignoring Biological Plausibility</w:t>
      </w:r>
    </w:p>
    <w:p w14:paraId="2546D64A" w14:textId="77777777" w:rsidR="00236983" w:rsidRDefault="00000000">
      <w:pPr>
        <w:pStyle w:val="FirstParagraph"/>
      </w:pPr>
      <w:r>
        <w:rPr>
          <w:b/>
          <w:bCs/>
        </w:rPr>
        <w:t>Problem:</w:t>
      </w:r>
      <w:r>
        <w:t xml:space="preserve"> Spurious findings lack mechanistic basis</w:t>
      </w:r>
    </w:p>
    <w:p w14:paraId="2546D64B" w14:textId="77777777" w:rsidR="00236983" w:rsidRDefault="00000000">
      <w:pPr>
        <w:pStyle w:val="BodyText"/>
      </w:pPr>
      <w:r>
        <w:rPr>
          <w:b/>
          <w:bCs/>
        </w:rPr>
        <w:t>Solution:</w:t>
      </w:r>
      <w:r>
        <w:t xml:space="preserve"> Integrate biological understanding into interpretation; weight plausibility heavily</w:t>
      </w:r>
    </w:p>
    <w:p w14:paraId="2546D64C" w14:textId="77777777" w:rsidR="00236983" w:rsidRDefault="00000000">
      <w:pPr>
        <w:pStyle w:val="Heading2"/>
      </w:pPr>
      <w:bookmarkStart w:id="78" w:name="pitfall-6-selective-reporting"/>
      <w:bookmarkEnd w:id="77"/>
      <w:r>
        <w:t>9.6 Pitfall 6: Selective Reporting</w:t>
      </w:r>
    </w:p>
    <w:p w14:paraId="2546D64D" w14:textId="77777777" w:rsidR="00236983" w:rsidRDefault="00000000">
      <w:pPr>
        <w:pStyle w:val="FirstParagraph"/>
      </w:pPr>
      <w:r>
        <w:rPr>
          <w:b/>
          <w:bCs/>
        </w:rPr>
        <w:t>Problem:</w:t>
      </w:r>
      <w:r>
        <w:t xml:space="preserve"> Publishing only positive subgroup findings distorts evidence</w:t>
      </w:r>
    </w:p>
    <w:p w14:paraId="2546D64E" w14:textId="77777777" w:rsidR="00236983" w:rsidRDefault="00000000">
      <w:pPr>
        <w:pStyle w:val="BodyText"/>
      </w:pPr>
      <w:r>
        <w:rPr>
          <w:b/>
          <w:bCs/>
        </w:rPr>
        <w:t>Solution:</w:t>
      </w:r>
      <w:r>
        <w:t xml:space="preserve"> Report all pre-specified analyses regardless of results</w:t>
      </w:r>
    </w:p>
    <w:p w14:paraId="2546D64F" w14:textId="77777777" w:rsidR="00236983" w:rsidRDefault="00000000">
      <w:pPr>
        <w:pStyle w:val="Heading2"/>
      </w:pPr>
      <w:bookmarkStart w:id="79" w:name="pitfall-7-overriding-main-results"/>
      <w:bookmarkEnd w:id="78"/>
      <w:r>
        <w:t>9.7 Pitfall 7: Overriding Main Results</w:t>
      </w:r>
    </w:p>
    <w:p w14:paraId="2546D650" w14:textId="77777777" w:rsidR="00236983" w:rsidRDefault="00000000">
      <w:pPr>
        <w:pStyle w:val="FirstParagraph"/>
      </w:pPr>
      <w:r>
        <w:rPr>
          <w:b/>
          <w:bCs/>
        </w:rPr>
        <w:t>Problem:</w:t>
      </w:r>
      <w:r>
        <w:t xml:space="preserve"> Focusing on subgroup contradicting overall findings</w:t>
      </w:r>
    </w:p>
    <w:p w14:paraId="2546D651" w14:textId="77777777" w:rsidR="00236983" w:rsidRDefault="00000000">
      <w:pPr>
        <w:pStyle w:val="BodyText"/>
      </w:pPr>
      <w:r>
        <w:rPr>
          <w:b/>
          <w:bCs/>
        </w:rPr>
        <w:t>Solution:</w:t>
      </w:r>
      <w:r>
        <w:t xml:space="preserve"> Require strong, consistent, credible evidence before overriding main trial conclusions</w:t>
      </w:r>
    </w:p>
    <w:p w14:paraId="2546D652" w14:textId="77777777" w:rsidR="00236983" w:rsidRDefault="00000000">
      <w:pPr>
        <w:pStyle w:val="Heading2"/>
      </w:pPr>
      <w:bookmarkStart w:id="80" w:name="pitfall-8-ignoring-scale-dependence"/>
      <w:bookmarkEnd w:id="79"/>
      <w:r>
        <w:lastRenderedPageBreak/>
        <w:t>9.8 Pitfall 8: Ignoring Scale Dependence</w:t>
      </w:r>
    </w:p>
    <w:p w14:paraId="2546D653" w14:textId="77777777" w:rsidR="00236983" w:rsidRDefault="00000000">
      <w:pPr>
        <w:pStyle w:val="FirstParagraph"/>
      </w:pPr>
      <w:r>
        <w:rPr>
          <w:b/>
          <w:bCs/>
        </w:rPr>
        <w:t>Problem:</w:t>
      </w:r>
      <w:r>
        <w:t xml:space="preserve"> Interactions may differ on relative vs. absolute scale</w:t>
      </w:r>
    </w:p>
    <w:p w14:paraId="2546D654" w14:textId="77777777" w:rsidR="00236983" w:rsidRDefault="00000000">
      <w:pPr>
        <w:pStyle w:val="BodyText"/>
      </w:pPr>
      <w:r>
        <w:rPr>
          <w:b/>
          <w:bCs/>
        </w:rPr>
        <w:t>Solution:</w:t>
      </w:r>
      <w:r>
        <w:t xml:space="preserve"> Analyze on common scale first; present supplementary analyses on alternative scale; consider clinical relevance</w:t>
      </w:r>
    </w:p>
    <w:p w14:paraId="2546D655" w14:textId="77777777" w:rsidR="00236983" w:rsidRDefault="00000000">
      <w:pPr>
        <w:pStyle w:val="Heading2"/>
      </w:pPr>
      <w:bookmarkStart w:id="81" w:name="Xb64dd0fd67d1ce319de9bb51230a59897e808f6"/>
      <w:bookmarkEnd w:id="80"/>
      <w:r>
        <w:t>9.9 Pitfall 9: Assuming Consistency Without Investigation</w:t>
      </w:r>
    </w:p>
    <w:p w14:paraId="2546D656" w14:textId="77777777" w:rsidR="00236983" w:rsidRDefault="00000000">
      <w:pPr>
        <w:pStyle w:val="FirstParagraph"/>
      </w:pPr>
      <w:r>
        <w:rPr>
          <w:b/>
          <w:bCs/>
        </w:rPr>
        <w:t>Problem:</w:t>
      </w:r>
      <w:r>
        <w:t xml:space="preserve"> Not investigating whether treatment effect consistent across subgroups</w:t>
      </w:r>
    </w:p>
    <w:p w14:paraId="2546D657" w14:textId="77777777" w:rsidR="00236983" w:rsidRDefault="00000000">
      <w:pPr>
        <w:pStyle w:val="BodyText"/>
      </w:pPr>
      <w:r>
        <w:rPr>
          <w:b/>
          <w:bCs/>
        </w:rPr>
        <w:t>Solution:</w:t>
      </w:r>
      <w:r>
        <w:t xml:space="preserve"> Strategy that assumes consistency without investigation is insufficient per EMA</w:t>
      </w:r>
    </w:p>
    <w:p w14:paraId="2546D658" w14:textId="77777777" w:rsidR="00236983" w:rsidRDefault="00000000">
      <w:pPr>
        <w:pStyle w:val="Heading2"/>
      </w:pPr>
      <w:bookmarkStart w:id="82" w:name="Xd9f13a2038c353463e4f7ff9fa7aa6eada5dab4"/>
      <w:bookmarkEnd w:id="81"/>
      <w:r>
        <w:t>9.10 Pitfall 10: Over-reliance on Interaction Tests</w:t>
      </w:r>
    </w:p>
    <w:p w14:paraId="2546D659" w14:textId="77777777" w:rsidR="00236983" w:rsidRDefault="00000000">
      <w:pPr>
        <w:pStyle w:val="FirstParagraph"/>
      </w:pPr>
      <w:r>
        <w:rPr>
          <w:b/>
          <w:bCs/>
        </w:rPr>
        <w:t>Problem:</w:t>
      </w:r>
      <w:r>
        <w:t xml:space="preserve"> Non-significant interaction test used to dismiss clinically important differences</w:t>
      </w:r>
    </w:p>
    <w:p w14:paraId="2546D65A" w14:textId="77777777" w:rsidR="00236983" w:rsidRDefault="00000000">
      <w:pPr>
        <w:pStyle w:val="BodyText"/>
      </w:pPr>
      <w:r>
        <w:rPr>
          <w:b/>
          <w:bCs/>
        </w:rPr>
        <w:t>Solution:</w:t>
      </w:r>
      <w:r>
        <w:t xml:space="preserve"> Remember tests lack power; assess estimated effects and clinical relevance</w:t>
      </w:r>
    </w:p>
    <w:p w14:paraId="2546D65B" w14:textId="77777777" w:rsidR="00236983" w:rsidRDefault="00944016">
      <w:r>
        <w:rPr>
          <w:noProof/>
        </w:rPr>
      </w:r>
      <w:r w:rsidR="00944016">
        <w:rPr>
          <w:noProof/>
        </w:rPr>
        <w:pict w14:anchorId="2546D71F">
          <v:rect id="_x0000_i1040" alt="" style="width:468pt;height:.05pt;mso-width-percent:0;mso-height-percent:0;mso-width-percent:0;mso-height-percent:0" o:hralign="center" o:hrstd="t" o:hr="t"/>
        </w:pict>
      </w:r>
    </w:p>
    <w:p w14:paraId="2546D65C" w14:textId="77777777" w:rsidR="00236983" w:rsidRDefault="00000000">
      <w:pPr>
        <w:pStyle w:val="Heading1"/>
      </w:pPr>
      <w:bookmarkStart w:id="83" w:name="part-9-key-references-and-guidelines"/>
      <w:bookmarkEnd w:id="72"/>
      <w:bookmarkEnd w:id="82"/>
      <w:r>
        <w:t>10. Part 9: Key References and Guidelines</w:t>
      </w:r>
    </w:p>
    <w:p w14:paraId="2546D65D" w14:textId="77777777" w:rsidR="00236983" w:rsidRDefault="00000000">
      <w:pPr>
        <w:pStyle w:val="Heading2"/>
      </w:pPr>
      <w:bookmarkStart w:id="84" w:name="regulatory-guidance"/>
      <w:r>
        <w:t>10.1 Regulatory Guidance</w:t>
      </w:r>
    </w:p>
    <w:p w14:paraId="2546D65E" w14:textId="77777777" w:rsidR="00236983" w:rsidRDefault="00000000">
      <w:pPr>
        <w:pStyle w:val="Heading3"/>
      </w:pPr>
      <w:bookmarkStart w:id="85" w:name="fda"/>
      <w:r>
        <w:t>10.1.1 FDA:</w:t>
      </w:r>
    </w:p>
    <w:p w14:paraId="2546D65F" w14:textId="77777777" w:rsidR="00236983" w:rsidRDefault="00000000">
      <w:pPr>
        <w:pStyle w:val="Compact"/>
        <w:numPr>
          <w:ilvl w:val="0"/>
          <w:numId w:val="66"/>
        </w:numPr>
      </w:pPr>
      <w:r>
        <w:t>Developing Targeted Therapies in Low-Frequency Molecular Subsets</w:t>
      </w:r>
    </w:p>
    <w:p w14:paraId="2546D660" w14:textId="77777777" w:rsidR="00236983" w:rsidRDefault="00000000">
      <w:pPr>
        <w:pStyle w:val="Compact"/>
        <w:numPr>
          <w:ilvl w:val="0"/>
          <w:numId w:val="66"/>
        </w:numPr>
      </w:pPr>
      <w:r>
        <w:t>Enrichment Strategies for Clinical Trials</w:t>
      </w:r>
    </w:p>
    <w:p w14:paraId="2546D661" w14:textId="77777777" w:rsidR="00236983" w:rsidRDefault="00000000">
      <w:pPr>
        <w:pStyle w:val="Compact"/>
        <w:numPr>
          <w:ilvl w:val="0"/>
          <w:numId w:val="66"/>
        </w:numPr>
      </w:pPr>
      <w:r>
        <w:t>Inclusion of Older Adults in Cancer Clinical Trials</w:t>
      </w:r>
    </w:p>
    <w:p w14:paraId="2546D662" w14:textId="77777777" w:rsidR="00236983" w:rsidRDefault="00000000">
      <w:pPr>
        <w:pStyle w:val="Compact"/>
        <w:numPr>
          <w:ilvl w:val="0"/>
          <w:numId w:val="66"/>
        </w:numPr>
      </w:pPr>
      <w:r>
        <w:t>21 CFR 314.50: Effectiveness data by subgroups</w:t>
      </w:r>
    </w:p>
    <w:p w14:paraId="2546D663" w14:textId="77777777" w:rsidR="00236983" w:rsidRDefault="00000000">
      <w:pPr>
        <w:pStyle w:val="Heading3"/>
      </w:pPr>
      <w:bookmarkStart w:id="86" w:name="ema"/>
      <w:bookmarkEnd w:id="85"/>
      <w:r>
        <w:t>10.1.2 EMA:</w:t>
      </w:r>
    </w:p>
    <w:p w14:paraId="2546D664" w14:textId="77777777" w:rsidR="00236983" w:rsidRDefault="00000000">
      <w:pPr>
        <w:pStyle w:val="Compact"/>
        <w:numPr>
          <w:ilvl w:val="0"/>
          <w:numId w:val="67"/>
        </w:numPr>
      </w:pPr>
      <w:r>
        <w:rPr>
          <w:b/>
          <w:bCs/>
        </w:rPr>
        <w:t>Guideline on the investigation of subgroups in confirmatory clinical trials (EMA/CHMP/539146/2013)</w:t>
      </w:r>
      <w:r>
        <w:t xml:space="preserve"> - Effective August 1, 2019</w:t>
      </w:r>
    </w:p>
    <w:p w14:paraId="2546D665" w14:textId="77777777" w:rsidR="00236983" w:rsidRDefault="00000000">
      <w:pPr>
        <w:pStyle w:val="Compact"/>
        <w:numPr>
          <w:ilvl w:val="0"/>
          <w:numId w:val="67"/>
        </w:numPr>
      </w:pPr>
      <w:r>
        <w:t>Points to consider on multiplicity issues in clinical trials (CPMP/EWP/908/99)</w:t>
      </w:r>
    </w:p>
    <w:p w14:paraId="2546D666" w14:textId="77777777" w:rsidR="00236983" w:rsidRDefault="00000000">
      <w:pPr>
        <w:pStyle w:val="Compact"/>
        <w:numPr>
          <w:ilvl w:val="0"/>
          <w:numId w:val="67"/>
        </w:numPr>
      </w:pPr>
      <w:r>
        <w:t>Points to consider on adjustment for baseline covariates (CHMP/EMA/295050/2013)</w:t>
      </w:r>
    </w:p>
    <w:p w14:paraId="2546D667" w14:textId="77777777" w:rsidR="00236983" w:rsidRDefault="00000000">
      <w:pPr>
        <w:pStyle w:val="Heading3"/>
      </w:pPr>
      <w:bookmarkStart w:id="87" w:name="ich"/>
      <w:bookmarkEnd w:id="86"/>
      <w:r>
        <w:t>10.1.3 ICH:</w:t>
      </w:r>
    </w:p>
    <w:p w14:paraId="2546D668" w14:textId="77777777" w:rsidR="00236983" w:rsidRDefault="00000000">
      <w:pPr>
        <w:pStyle w:val="Compact"/>
        <w:numPr>
          <w:ilvl w:val="0"/>
          <w:numId w:val="68"/>
        </w:numPr>
      </w:pPr>
      <w:r>
        <w:t>ICH E9: Statistical Principles for Clinical Trials (CPMP/ICH/363/96)</w:t>
      </w:r>
    </w:p>
    <w:p w14:paraId="2546D669" w14:textId="77777777" w:rsidR="00236983" w:rsidRDefault="00000000">
      <w:pPr>
        <w:pStyle w:val="Compact"/>
        <w:numPr>
          <w:ilvl w:val="0"/>
          <w:numId w:val="68"/>
        </w:numPr>
      </w:pPr>
      <w:r>
        <w:t>ICH E5: Ethnic Factors in the Acceptability of Foreign Clinical Data</w:t>
      </w:r>
    </w:p>
    <w:p w14:paraId="2546D66A" w14:textId="77777777" w:rsidR="00236983" w:rsidRDefault="00000000">
      <w:pPr>
        <w:pStyle w:val="Compact"/>
        <w:numPr>
          <w:ilvl w:val="0"/>
          <w:numId w:val="68"/>
        </w:numPr>
      </w:pPr>
      <w:r>
        <w:t>ICH E17: Multi-Regional Clinical Trials (EMA/CHMP/ICH/453276/2016)</w:t>
      </w:r>
    </w:p>
    <w:p w14:paraId="2546D66B" w14:textId="77777777" w:rsidR="00236983" w:rsidRDefault="00000000">
      <w:pPr>
        <w:pStyle w:val="Heading2"/>
      </w:pPr>
      <w:bookmarkStart w:id="88" w:name="methodological-standards"/>
      <w:bookmarkEnd w:id="84"/>
      <w:bookmarkEnd w:id="87"/>
      <w:r>
        <w:lastRenderedPageBreak/>
        <w:t>10.2 Methodological Standards</w:t>
      </w:r>
    </w:p>
    <w:p w14:paraId="2546D66C" w14:textId="77777777" w:rsidR="00236983" w:rsidRDefault="00000000">
      <w:pPr>
        <w:pStyle w:val="Compact"/>
        <w:numPr>
          <w:ilvl w:val="0"/>
          <w:numId w:val="69"/>
        </w:numPr>
      </w:pPr>
      <w:r>
        <w:t>CONSORT Extension for Subgroup Analyses</w:t>
      </w:r>
    </w:p>
    <w:p w14:paraId="2546D66D" w14:textId="77777777" w:rsidR="00236983" w:rsidRDefault="00000000">
      <w:pPr>
        <w:pStyle w:val="Compact"/>
        <w:numPr>
          <w:ilvl w:val="0"/>
          <w:numId w:val="69"/>
        </w:numPr>
      </w:pPr>
      <w:r>
        <w:rPr>
          <w:b/>
          <w:bCs/>
        </w:rPr>
        <w:t>Amatya et al. (2021):</w:t>
      </w:r>
      <w:r>
        <w:t xml:space="preserve"> Subgroup Analyses in Oncology Trials: Regulatory Considerations and Case Examples. </w:t>
      </w:r>
      <w:r>
        <w:rPr>
          <w:i/>
          <w:iCs/>
        </w:rPr>
        <w:t>Clinical Cancer Research</w:t>
      </w:r>
      <w:r>
        <w:t>, 27(21), 5753-5756</w:t>
      </w:r>
    </w:p>
    <w:p w14:paraId="2546D66E" w14:textId="77777777" w:rsidR="00236983" w:rsidRDefault="00000000">
      <w:pPr>
        <w:pStyle w:val="Compact"/>
        <w:numPr>
          <w:ilvl w:val="0"/>
          <w:numId w:val="69"/>
        </w:numPr>
      </w:pPr>
      <w:r>
        <w:t>BMJ Open (2019): Scoping Review of Guidance on Subgroup Effects</w:t>
      </w:r>
    </w:p>
    <w:p w14:paraId="2546D66F" w14:textId="77777777" w:rsidR="00236983" w:rsidRDefault="00944016">
      <w:r>
        <w:rPr>
          <w:noProof/>
        </w:rPr>
      </w:r>
      <w:r w:rsidR="00944016">
        <w:rPr>
          <w:noProof/>
        </w:rPr>
        <w:pict w14:anchorId="2546D720">
          <v:rect id="_x0000_i1041" alt="" style="width:468pt;height:.05pt;mso-width-percent:0;mso-height-percent:0;mso-width-percent:0;mso-height-percent:0" o:hralign="center" o:hrstd="t" o:hr="t"/>
        </w:pict>
      </w:r>
    </w:p>
    <w:p w14:paraId="2546D670" w14:textId="77777777" w:rsidR="00236983" w:rsidRDefault="00000000">
      <w:pPr>
        <w:pStyle w:val="Heading1"/>
      </w:pPr>
      <w:bookmarkStart w:id="89" w:name="summary-key-takeaways"/>
      <w:bookmarkEnd w:id="83"/>
      <w:bookmarkEnd w:id="88"/>
      <w:r>
        <w:t>11. Summary: Key Takeaways</w:t>
      </w:r>
    </w:p>
    <w:p w14:paraId="2546D671" w14:textId="77777777" w:rsidR="00236983" w:rsidRDefault="00000000">
      <w:pPr>
        <w:pStyle w:val="Heading2"/>
      </w:pPr>
      <w:bookmarkStart w:id="90" w:name="for-successful-subgroup-analyses"/>
      <w:r>
        <w:t>11.1 For Successful Subgroup Analyses</w:t>
      </w:r>
    </w:p>
    <w:p w14:paraId="2546D672" w14:textId="77777777" w:rsidR="00236983" w:rsidRDefault="00000000">
      <w:pPr>
        <w:pStyle w:val="Heading3"/>
      </w:pPr>
      <w:bookmarkStart w:id="91" w:name="planning"/>
      <w:r>
        <w:t>11.1.1 Planning:</w:t>
      </w:r>
    </w:p>
    <w:p w14:paraId="2546D673" w14:textId="77777777" w:rsidR="00236983" w:rsidRDefault="00000000">
      <w:pPr>
        <w:pStyle w:val="Compact"/>
        <w:numPr>
          <w:ilvl w:val="0"/>
          <w:numId w:val="70"/>
        </w:numPr>
      </w:pPr>
      <w:r>
        <w:rPr>
          <w:b/>
          <w:bCs/>
        </w:rPr>
        <w:t>Pre-specify</w:t>
      </w:r>
      <w:r>
        <w:t xml:space="preserve"> subgroups with clear scientific rationale</w:t>
      </w:r>
    </w:p>
    <w:p w14:paraId="2546D674" w14:textId="77777777" w:rsidR="00236983" w:rsidRDefault="00000000">
      <w:pPr>
        <w:pStyle w:val="Compact"/>
        <w:numPr>
          <w:ilvl w:val="0"/>
          <w:numId w:val="70"/>
        </w:numPr>
      </w:pPr>
      <w:r>
        <w:rPr>
          <w:b/>
          <w:bCs/>
        </w:rPr>
        <w:t>Categorize</w:t>
      </w:r>
      <w:r>
        <w:t xml:space="preserve"> as key (Category 2) or exploratory (Category 3)</w:t>
      </w:r>
    </w:p>
    <w:p w14:paraId="2546D675" w14:textId="77777777" w:rsidR="00236983" w:rsidRDefault="00000000">
      <w:pPr>
        <w:pStyle w:val="Compact"/>
        <w:numPr>
          <w:ilvl w:val="0"/>
          <w:numId w:val="70"/>
        </w:numPr>
      </w:pPr>
      <w:r>
        <w:rPr>
          <w:b/>
          <w:bCs/>
        </w:rPr>
        <w:t>Limit</w:t>
      </w:r>
      <w:r>
        <w:t xml:space="preserve"> the number to those clinically meaningful</w:t>
      </w:r>
    </w:p>
    <w:p w14:paraId="2546D676" w14:textId="77777777" w:rsidR="00236983" w:rsidRDefault="00000000">
      <w:pPr>
        <w:pStyle w:val="Compact"/>
        <w:numPr>
          <w:ilvl w:val="0"/>
          <w:numId w:val="70"/>
        </w:numPr>
      </w:pPr>
      <w:r>
        <w:rPr>
          <w:b/>
          <w:bCs/>
        </w:rPr>
        <w:t>Power adequately</w:t>
      </w:r>
      <w:r>
        <w:t xml:space="preserve"> if subgroup analysis is critical</w:t>
      </w:r>
    </w:p>
    <w:p w14:paraId="2546D677" w14:textId="77777777" w:rsidR="00236983" w:rsidRDefault="00000000">
      <w:pPr>
        <w:pStyle w:val="Compact"/>
        <w:numPr>
          <w:ilvl w:val="0"/>
          <w:numId w:val="70"/>
        </w:numPr>
      </w:pPr>
      <w:r>
        <w:rPr>
          <w:b/>
          <w:bCs/>
        </w:rPr>
        <w:t>Document</w:t>
      </w:r>
      <w:r>
        <w:t xml:space="preserve"> expected heterogeneity in target population</w:t>
      </w:r>
    </w:p>
    <w:p w14:paraId="2546D678" w14:textId="77777777" w:rsidR="00236983" w:rsidRDefault="00000000">
      <w:pPr>
        <w:pStyle w:val="Heading3"/>
      </w:pPr>
      <w:bookmarkStart w:id="92" w:name="analysis"/>
      <w:bookmarkEnd w:id="91"/>
      <w:r>
        <w:t>11.1.2 Analysis:</w:t>
      </w:r>
    </w:p>
    <w:p w14:paraId="2546D679" w14:textId="77777777" w:rsidR="00236983" w:rsidRDefault="00000000">
      <w:pPr>
        <w:pStyle w:val="Compact"/>
        <w:numPr>
          <w:ilvl w:val="0"/>
          <w:numId w:val="71"/>
        </w:numPr>
      </w:pPr>
      <w:r>
        <w:rPr>
          <w:b/>
          <w:bCs/>
        </w:rPr>
        <w:t>Use interaction tests</w:t>
      </w:r>
      <w:r>
        <w:t xml:space="preserve"> for signal generation (not definitive)</w:t>
      </w:r>
    </w:p>
    <w:p w14:paraId="2546D67A" w14:textId="77777777" w:rsidR="00236983" w:rsidRDefault="00000000">
      <w:pPr>
        <w:pStyle w:val="Compact"/>
        <w:numPr>
          <w:ilvl w:val="0"/>
          <w:numId w:val="71"/>
        </w:numPr>
      </w:pPr>
      <w:r>
        <w:rPr>
          <w:b/>
          <w:bCs/>
        </w:rPr>
        <w:t>Control multiplicity</w:t>
      </w:r>
      <w:r>
        <w:t xml:space="preserve"> appropriately</w:t>
      </w:r>
    </w:p>
    <w:p w14:paraId="2546D67B" w14:textId="77777777" w:rsidR="00236983" w:rsidRDefault="00000000">
      <w:pPr>
        <w:pStyle w:val="Compact"/>
        <w:numPr>
          <w:ilvl w:val="0"/>
          <w:numId w:val="71"/>
        </w:numPr>
      </w:pPr>
      <w:r>
        <w:rPr>
          <w:b/>
          <w:bCs/>
        </w:rPr>
        <w:t>Consider scale</w:t>
      </w:r>
      <w:r>
        <w:t xml:space="preserve"> dependence of interactions</w:t>
      </w:r>
    </w:p>
    <w:p w14:paraId="2546D67C" w14:textId="77777777" w:rsidR="00236983" w:rsidRDefault="00000000">
      <w:pPr>
        <w:pStyle w:val="Compact"/>
        <w:numPr>
          <w:ilvl w:val="0"/>
          <w:numId w:val="71"/>
        </w:numPr>
      </w:pPr>
      <w:r>
        <w:rPr>
          <w:b/>
          <w:bCs/>
        </w:rPr>
        <w:t>Adjust</w:t>
      </w:r>
      <w:r>
        <w:t xml:space="preserve"> for baseline imbalances if needed</w:t>
      </w:r>
    </w:p>
    <w:p w14:paraId="2546D67D" w14:textId="77777777" w:rsidR="00236983" w:rsidRDefault="00000000">
      <w:pPr>
        <w:pStyle w:val="Compact"/>
        <w:numPr>
          <w:ilvl w:val="0"/>
          <w:numId w:val="71"/>
        </w:numPr>
      </w:pPr>
      <w:r>
        <w:rPr>
          <w:b/>
          <w:bCs/>
        </w:rPr>
        <w:t>Present</w:t>
      </w:r>
      <w:r>
        <w:t xml:space="preserve"> forest plots with complementary subgroups</w:t>
      </w:r>
    </w:p>
    <w:p w14:paraId="2546D67E" w14:textId="77777777" w:rsidR="00236983" w:rsidRDefault="00000000">
      <w:pPr>
        <w:pStyle w:val="Heading3"/>
      </w:pPr>
      <w:bookmarkStart w:id="93" w:name="interpretation"/>
      <w:bookmarkEnd w:id="92"/>
      <w:r>
        <w:t>11.1.3 Interpretation:</w:t>
      </w:r>
    </w:p>
    <w:p w14:paraId="2546D67F" w14:textId="77777777" w:rsidR="00236983" w:rsidRDefault="00000000">
      <w:pPr>
        <w:pStyle w:val="Compact"/>
        <w:numPr>
          <w:ilvl w:val="0"/>
          <w:numId w:val="72"/>
        </w:numPr>
      </w:pPr>
      <w:r>
        <w:rPr>
          <w:b/>
          <w:bCs/>
        </w:rPr>
        <w:t>Interpret cautiously</w:t>
      </w:r>
      <w:r>
        <w:t xml:space="preserve"> in context of totality of evidence</w:t>
      </w:r>
    </w:p>
    <w:p w14:paraId="2546D680" w14:textId="77777777" w:rsidR="00236983" w:rsidRDefault="00000000">
      <w:pPr>
        <w:pStyle w:val="Compact"/>
        <w:numPr>
          <w:ilvl w:val="0"/>
          <w:numId w:val="72"/>
        </w:numPr>
      </w:pPr>
      <w:r>
        <w:rPr>
          <w:b/>
          <w:bCs/>
        </w:rPr>
        <w:t>Weight</w:t>
      </w:r>
      <w:r>
        <w:t xml:space="preserve"> biological plausibility and replication heavily</w:t>
      </w:r>
    </w:p>
    <w:p w14:paraId="2546D681" w14:textId="77777777" w:rsidR="00236983" w:rsidRDefault="00000000">
      <w:pPr>
        <w:pStyle w:val="Compact"/>
        <w:numPr>
          <w:ilvl w:val="0"/>
          <w:numId w:val="72"/>
        </w:numPr>
      </w:pPr>
      <w:r>
        <w:rPr>
          <w:b/>
          <w:bCs/>
        </w:rPr>
        <w:t>Apply</w:t>
      </w:r>
      <w:r>
        <w:t xml:space="preserve"> appropriate assessment scenario framework</w:t>
      </w:r>
    </w:p>
    <w:p w14:paraId="2546D682" w14:textId="77777777" w:rsidR="00236983" w:rsidRDefault="00000000">
      <w:pPr>
        <w:pStyle w:val="Compact"/>
        <w:numPr>
          <w:ilvl w:val="0"/>
          <w:numId w:val="72"/>
        </w:numPr>
      </w:pPr>
      <w:r>
        <w:rPr>
          <w:b/>
          <w:bCs/>
        </w:rPr>
        <w:t>Consider</w:t>
      </w:r>
      <w:r>
        <w:t xml:space="preserve"> both relative and absolute effects for risk-benefit</w:t>
      </w:r>
    </w:p>
    <w:p w14:paraId="2546D683" w14:textId="77777777" w:rsidR="00236983" w:rsidRDefault="00000000">
      <w:pPr>
        <w:pStyle w:val="Compact"/>
        <w:numPr>
          <w:ilvl w:val="0"/>
          <w:numId w:val="72"/>
        </w:numPr>
      </w:pPr>
      <w:r>
        <w:rPr>
          <w:b/>
          <w:bCs/>
        </w:rPr>
        <w:t>Distinguish</w:t>
      </w:r>
      <w:r>
        <w:t xml:space="preserve"> between key and exploratory subgroups</w:t>
      </w:r>
    </w:p>
    <w:p w14:paraId="2546D684" w14:textId="77777777" w:rsidR="00236983" w:rsidRDefault="00000000">
      <w:pPr>
        <w:pStyle w:val="Heading3"/>
      </w:pPr>
      <w:bookmarkStart w:id="94" w:name="reporting-1"/>
      <w:bookmarkEnd w:id="93"/>
      <w:r>
        <w:t>11.1.4 Reporting:</w:t>
      </w:r>
    </w:p>
    <w:p w14:paraId="2546D685" w14:textId="77777777" w:rsidR="00236983" w:rsidRDefault="00000000">
      <w:pPr>
        <w:pStyle w:val="Compact"/>
        <w:numPr>
          <w:ilvl w:val="0"/>
          <w:numId w:val="73"/>
        </w:numPr>
      </w:pPr>
      <w:r>
        <w:rPr>
          <w:b/>
          <w:bCs/>
        </w:rPr>
        <w:t>Report transparently</w:t>
      </w:r>
      <w:r>
        <w:t xml:space="preserve"> all pre-specified and exploratory analyses</w:t>
      </w:r>
    </w:p>
    <w:p w14:paraId="2546D686" w14:textId="77777777" w:rsidR="00236983" w:rsidRDefault="00000000">
      <w:pPr>
        <w:pStyle w:val="Compact"/>
        <w:numPr>
          <w:ilvl w:val="0"/>
          <w:numId w:val="73"/>
        </w:numPr>
      </w:pPr>
      <w:r>
        <w:rPr>
          <w:b/>
          <w:bCs/>
        </w:rPr>
        <w:t>Communicate</w:t>
      </w:r>
      <w:r>
        <w:t xml:space="preserve"> uncertainties clearly</w:t>
      </w:r>
    </w:p>
    <w:p w14:paraId="2546D687" w14:textId="77777777" w:rsidR="00236983" w:rsidRDefault="00000000">
      <w:pPr>
        <w:pStyle w:val="Compact"/>
        <w:numPr>
          <w:ilvl w:val="0"/>
          <w:numId w:val="73"/>
        </w:numPr>
      </w:pPr>
      <w:r>
        <w:rPr>
          <w:b/>
          <w:bCs/>
        </w:rPr>
        <w:t>Justify</w:t>
      </w:r>
      <w:r>
        <w:t xml:space="preserve"> credibility of subgroup findings</w:t>
      </w:r>
    </w:p>
    <w:p w14:paraId="2546D688" w14:textId="77777777" w:rsidR="00236983" w:rsidRDefault="00000000">
      <w:pPr>
        <w:pStyle w:val="Compact"/>
        <w:numPr>
          <w:ilvl w:val="0"/>
          <w:numId w:val="73"/>
        </w:numPr>
      </w:pPr>
      <w:r>
        <w:rPr>
          <w:b/>
          <w:bCs/>
        </w:rPr>
        <w:t>Include</w:t>
      </w:r>
      <w:r>
        <w:t xml:space="preserve"> relevant information in labeling</w:t>
      </w:r>
    </w:p>
    <w:p w14:paraId="2546D689" w14:textId="77777777" w:rsidR="00236983" w:rsidRDefault="00000000">
      <w:pPr>
        <w:pStyle w:val="Compact"/>
        <w:numPr>
          <w:ilvl w:val="0"/>
          <w:numId w:val="73"/>
        </w:numPr>
      </w:pPr>
      <w:r>
        <w:rPr>
          <w:b/>
          <w:bCs/>
        </w:rPr>
        <w:t>Use</w:t>
      </w:r>
      <w:r>
        <w:t xml:space="preserve"> EMA/FDA frameworks for systematic assessment</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236983" w14:paraId="2546D68B" w14:textId="77777777" w:rsidTr="00236983">
        <w:trPr>
          <w:cantSplit/>
        </w:trPr>
        <w:tc>
          <w:tcPr>
            <w:tcW w:w="0" w:type="auto"/>
            <w:shd w:val="clear" w:color="auto" w:fill="DAE6FB"/>
            <w:tcMar>
              <w:top w:w="92" w:type="dxa"/>
              <w:bottom w:w="92" w:type="dxa"/>
            </w:tcMar>
          </w:tcPr>
          <w:p w14:paraId="2546D68A" w14:textId="77777777" w:rsidR="00236983" w:rsidRDefault="00000000">
            <w:pPr>
              <w:pStyle w:val="FirstParagraph"/>
              <w:spacing w:before="0" w:after="0"/>
              <w:textAlignment w:val="center"/>
            </w:pPr>
            <w:r>
              <w:rPr>
                <w:noProof/>
              </w:rPr>
              <w:drawing>
                <wp:inline distT="0" distB="0" distL="0" distR="0" wp14:anchorId="2546D721" wp14:editId="2546D722">
                  <wp:extent cx="152400" cy="152400"/>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Applications/RStudio.app/Contents/Resources/app/quarto/share/formats/docx/note.png"/>
                          <pic:cNvPicPr>
                            <a:picLocks noChangeAspect="1" noChangeArrowheads="1"/>
                          </pic:cNvPicPr>
                        </pic:nvPicPr>
                        <pic:blipFill>
                          <a:blip r:embed="rId5"/>
                          <a:stretch>
                            <a:fillRect/>
                          </a:stretch>
                        </pic:blipFill>
                        <pic:spPr bwMode="auto">
                          <a:xfrm>
                            <a:off x="0" y="0"/>
                            <a:ext cx="152400" cy="152400"/>
                          </a:xfrm>
                          <a:prstGeom prst="rect">
                            <a:avLst/>
                          </a:prstGeom>
                          <a:noFill/>
                          <a:ln w="9525">
                            <a:noFill/>
                            <a:headEnd/>
                            <a:tailEnd/>
                          </a:ln>
                        </pic:spPr>
                      </pic:pic>
                    </a:graphicData>
                  </a:graphic>
                </wp:inline>
              </w:drawing>
            </w:r>
            <w:r>
              <w:t xml:space="preserve">  Bottom Line</w:t>
            </w:r>
          </w:p>
        </w:tc>
      </w:tr>
      <w:tr w:rsidR="00236983" w14:paraId="2546D694" w14:textId="77777777" w:rsidTr="00236983">
        <w:trPr>
          <w:cantSplit/>
        </w:trPr>
        <w:tc>
          <w:tcPr>
            <w:tcW w:w="0" w:type="auto"/>
            <w:tcMar>
              <w:top w:w="108" w:type="dxa"/>
              <w:bottom w:w="108" w:type="dxa"/>
            </w:tcMar>
          </w:tcPr>
          <w:p w14:paraId="2546D68C" w14:textId="77777777" w:rsidR="00236983" w:rsidRDefault="00000000">
            <w:pPr>
              <w:pStyle w:val="BodyText"/>
              <w:spacing w:before="16"/>
            </w:pPr>
            <w:r>
              <w:lastRenderedPageBreak/>
              <w:t>Subgroup analyses are essential tools for personalized medicine and regulatory decision-making. Success requires:</w:t>
            </w:r>
          </w:p>
          <w:p w14:paraId="2546D68D" w14:textId="77777777" w:rsidR="00236983" w:rsidRDefault="00000000">
            <w:pPr>
              <w:pStyle w:val="Compact"/>
              <w:numPr>
                <w:ilvl w:val="0"/>
                <w:numId w:val="74"/>
              </w:numPr>
            </w:pPr>
            <w:r>
              <w:rPr>
                <w:b/>
                <w:bCs/>
              </w:rPr>
              <w:t>Careful planning</w:t>
            </w:r>
            <w:r>
              <w:t xml:space="preserve"> with pre-specification and categorization</w:t>
            </w:r>
          </w:p>
          <w:p w14:paraId="2546D68E" w14:textId="77777777" w:rsidR="00236983" w:rsidRDefault="00000000">
            <w:pPr>
              <w:pStyle w:val="Compact"/>
              <w:numPr>
                <w:ilvl w:val="0"/>
                <w:numId w:val="74"/>
              </w:numPr>
            </w:pPr>
            <w:r>
              <w:rPr>
                <w:b/>
                <w:bCs/>
              </w:rPr>
              <w:t>Rigorous statistical methods</w:t>
            </w:r>
            <w:r>
              <w:t xml:space="preserve"> recognizing their limitations</w:t>
            </w:r>
          </w:p>
          <w:p w14:paraId="2546D68F" w14:textId="77777777" w:rsidR="00236983" w:rsidRDefault="00000000">
            <w:pPr>
              <w:pStyle w:val="Compact"/>
              <w:numPr>
                <w:ilvl w:val="0"/>
                <w:numId w:val="74"/>
              </w:numPr>
            </w:pPr>
            <w:r>
              <w:rPr>
                <w:b/>
                <w:bCs/>
              </w:rPr>
              <w:t>Biological plausibility</w:t>
            </w:r>
            <w:r>
              <w:t xml:space="preserve"> and mechanistic understanding</w:t>
            </w:r>
          </w:p>
          <w:p w14:paraId="2546D690" w14:textId="77777777" w:rsidR="00236983" w:rsidRDefault="00000000">
            <w:pPr>
              <w:pStyle w:val="Compact"/>
              <w:numPr>
                <w:ilvl w:val="0"/>
                <w:numId w:val="74"/>
              </w:numPr>
            </w:pPr>
            <w:r>
              <w:rPr>
                <w:b/>
                <w:bCs/>
              </w:rPr>
              <w:t>Transparent reporting</w:t>
            </w:r>
            <w:r>
              <w:t xml:space="preserve"> of all analyses</w:t>
            </w:r>
          </w:p>
          <w:p w14:paraId="2546D691" w14:textId="77777777" w:rsidR="00236983" w:rsidRDefault="00000000">
            <w:pPr>
              <w:pStyle w:val="Compact"/>
              <w:numPr>
                <w:ilvl w:val="0"/>
                <w:numId w:val="74"/>
              </w:numPr>
            </w:pPr>
            <w:r>
              <w:rPr>
                <w:b/>
                <w:bCs/>
              </w:rPr>
              <w:t>Cautious interpretation</w:t>
            </w:r>
            <w:r>
              <w:t xml:space="preserve"> considering totality of evidence</w:t>
            </w:r>
          </w:p>
          <w:p w14:paraId="2546D692" w14:textId="77777777" w:rsidR="00236983" w:rsidRDefault="00000000">
            <w:pPr>
              <w:pStyle w:val="Compact"/>
              <w:numPr>
                <w:ilvl w:val="0"/>
                <w:numId w:val="74"/>
              </w:numPr>
            </w:pPr>
            <w:r>
              <w:rPr>
                <w:b/>
                <w:bCs/>
              </w:rPr>
              <w:t>Regulatory alignment</w:t>
            </w:r>
            <w:r>
              <w:t xml:space="preserve"> with EMA and FDA frameworks</w:t>
            </w:r>
          </w:p>
          <w:p w14:paraId="2546D693" w14:textId="77777777" w:rsidR="00236983" w:rsidRDefault="00000000">
            <w:pPr>
              <w:pStyle w:val="FirstParagraph"/>
              <w:spacing w:after="16"/>
            </w:pPr>
            <w:r>
              <w:t>Both FDA and EMA take comprehensive, case-by-case approaches considering statistical evidence, mechanistic understanding, clinical meaningfulness, and medical need to ensure appropriate patient populations benefit from new therapies.</w:t>
            </w:r>
          </w:p>
        </w:tc>
      </w:tr>
    </w:tbl>
    <w:p w14:paraId="2546D695" w14:textId="77777777" w:rsidR="00236983" w:rsidRDefault="00944016">
      <w:r>
        <w:rPr>
          <w:noProof/>
        </w:rPr>
      </w:r>
      <w:r w:rsidR="00944016">
        <w:rPr>
          <w:noProof/>
        </w:rPr>
        <w:pict w14:anchorId="2546D723">
          <v:rect id="_x0000_i1042" alt="" style="width:468pt;height:.05pt;mso-width-percent:0;mso-height-percent:0;mso-width-percent:0;mso-height-percent:0" o:hralign="center" o:hrstd="t" o:hr="t"/>
        </w:pict>
      </w:r>
    </w:p>
    <w:p w14:paraId="2546D696" w14:textId="77777777" w:rsidR="00236983" w:rsidRDefault="00000000">
      <w:pPr>
        <w:pStyle w:val="Heading1"/>
      </w:pPr>
      <w:bookmarkStart w:id="95" w:name="appendix-a-ema-assessment-flowcharts"/>
      <w:bookmarkEnd w:id="89"/>
      <w:bookmarkEnd w:id="90"/>
      <w:bookmarkEnd w:id="94"/>
      <w:r>
        <w:t>12. Appendix A: EMA Assessment Flowcharts</w:t>
      </w:r>
    </w:p>
    <w:p w14:paraId="2546D697" w14:textId="77777777" w:rsidR="00236983" w:rsidRDefault="00000000">
      <w:pPr>
        <w:pStyle w:val="Heading2"/>
      </w:pPr>
      <w:bookmarkStart w:id="96" w:name="X5e27d9f48717d8c65342f5fb5ed5753ba18731c"/>
      <w:r>
        <w:t>12.1 Flowchart 1: Scenario 1 (Consistency Assessment)</w:t>
      </w:r>
    </w:p>
    <w:p w14:paraId="2546D698" w14:textId="77777777" w:rsidR="00236983" w:rsidRDefault="00000000">
      <w:pPr>
        <w:pStyle w:val="FirstParagraph"/>
      </w:pPr>
      <w:r>
        <w:rPr>
          <w:i/>
          <w:iCs/>
        </w:rPr>
        <w:t>(See EMA Guideline Annex 1, Page 19)</w:t>
      </w:r>
    </w:p>
    <w:p w14:paraId="2546D699" w14:textId="77777777" w:rsidR="00236983" w:rsidRDefault="00000000">
      <w:pPr>
        <w:pStyle w:val="BodyText"/>
      </w:pPr>
      <w:r>
        <w:rPr>
          <w:b/>
          <w:bCs/>
        </w:rPr>
        <w:t>Purpose:</w:t>
      </w:r>
      <w:r>
        <w:t xml:space="preserve"> Establishing credibility when considering consistency with overall statistically persuasive evidence</w:t>
      </w:r>
    </w:p>
    <w:p w14:paraId="2546D69A" w14:textId="77777777" w:rsidR="00236983" w:rsidRDefault="00000000">
      <w:pPr>
        <w:pStyle w:val="BodyText"/>
      </w:pPr>
      <w:r>
        <w:rPr>
          <w:b/>
          <w:bCs/>
        </w:rPr>
        <w:t>Key Decision Points:</w:t>
      </w:r>
    </w:p>
    <w:p w14:paraId="2546D69B" w14:textId="77777777" w:rsidR="00236983" w:rsidRDefault="00000000">
      <w:pPr>
        <w:pStyle w:val="Compact"/>
        <w:numPr>
          <w:ilvl w:val="0"/>
          <w:numId w:val="75"/>
        </w:numPr>
      </w:pPr>
      <w:r>
        <w:t>Consider heterogeneity and biological plausibility</w:t>
      </w:r>
    </w:p>
    <w:p w14:paraId="2546D69C" w14:textId="77777777" w:rsidR="00236983" w:rsidRDefault="00000000">
      <w:pPr>
        <w:pStyle w:val="Compact"/>
        <w:numPr>
          <w:ilvl w:val="0"/>
          <w:numId w:val="75"/>
        </w:numPr>
      </w:pPr>
      <w:r>
        <w:t>Classify as “key subgroup” (some plausibility) or “exploratory subgroup” (no obvious plausibility)</w:t>
      </w:r>
    </w:p>
    <w:p w14:paraId="2546D69D" w14:textId="77777777" w:rsidR="00236983" w:rsidRDefault="00000000">
      <w:pPr>
        <w:pStyle w:val="Compact"/>
        <w:numPr>
          <w:ilvl w:val="0"/>
          <w:numId w:val="75"/>
        </w:numPr>
      </w:pPr>
      <w:r>
        <w:t>Is differential or inconsistent effect observed?</w:t>
      </w:r>
    </w:p>
    <w:p w14:paraId="2546D69E" w14:textId="77777777" w:rsidR="00236983" w:rsidRDefault="00000000">
      <w:pPr>
        <w:pStyle w:val="Compact"/>
        <w:numPr>
          <w:ilvl w:val="0"/>
          <w:numId w:val="75"/>
        </w:numPr>
      </w:pPr>
      <w:r>
        <w:t>If key subgroup: Is effect directionally consistent with prior expectations?</w:t>
      </w:r>
    </w:p>
    <w:p w14:paraId="2546D69F" w14:textId="77777777" w:rsidR="00236983" w:rsidRDefault="00000000">
      <w:pPr>
        <w:pStyle w:val="Compact"/>
        <w:numPr>
          <w:ilvl w:val="0"/>
          <w:numId w:val="75"/>
        </w:numPr>
      </w:pPr>
      <w:r>
        <w:t>Is effect replicated across trials?</w:t>
      </w:r>
    </w:p>
    <w:p w14:paraId="2546D6A0" w14:textId="77777777" w:rsidR="00236983" w:rsidRDefault="00000000">
      <w:pPr>
        <w:pStyle w:val="FirstParagraph"/>
      </w:pPr>
      <w:r>
        <w:rPr>
          <w:b/>
          <w:bCs/>
        </w:rPr>
        <w:t>Outcomes:</w:t>
      </w:r>
      <w:r>
        <w:t xml:space="preserve"> - </w:t>
      </w:r>
      <w:r>
        <w:rPr>
          <w:b/>
          <w:bCs/>
        </w:rPr>
        <w:t>CREDIBLE:</w:t>
      </w:r>
      <w:r>
        <w:t xml:space="preserve"> Plausibility + replication - </w:t>
      </w:r>
      <w:r>
        <w:rPr>
          <w:b/>
          <w:bCs/>
        </w:rPr>
        <w:t>POSSIBLY CREDIBLE:</w:t>
      </w:r>
      <w:r>
        <w:t xml:space="preserve"> Plausibility OR replication (if data not available) - </w:t>
      </w:r>
      <w:r>
        <w:rPr>
          <w:b/>
          <w:bCs/>
        </w:rPr>
        <w:t>NOT CREDIBLE:</w:t>
      </w:r>
      <w:r>
        <w:t xml:space="preserve"> Neither plausibility nor replication</w:t>
      </w:r>
    </w:p>
    <w:p w14:paraId="2546D6A1" w14:textId="77777777" w:rsidR="00236983" w:rsidRDefault="00000000">
      <w:pPr>
        <w:pStyle w:val="Heading2"/>
      </w:pPr>
      <w:bookmarkStart w:id="97" w:name="X14ab56934a8711802370210f8ab7bf9c0e7a470"/>
      <w:bookmarkEnd w:id="96"/>
      <w:r>
        <w:t>12.2 Flowchart 2: Scenario 2 (Borderline Efficacy/Risk-Benefit)</w:t>
      </w:r>
    </w:p>
    <w:p w14:paraId="2546D6A2" w14:textId="77777777" w:rsidR="00236983" w:rsidRDefault="00000000">
      <w:pPr>
        <w:pStyle w:val="FirstParagraph"/>
      </w:pPr>
      <w:r>
        <w:rPr>
          <w:i/>
          <w:iCs/>
        </w:rPr>
        <w:t>(See EMA Guideline Annex 2, Page 20)</w:t>
      </w:r>
    </w:p>
    <w:p w14:paraId="2546D6A3" w14:textId="77777777" w:rsidR="00236983" w:rsidRDefault="00000000">
      <w:pPr>
        <w:pStyle w:val="BodyText"/>
      </w:pPr>
      <w:r>
        <w:rPr>
          <w:b/>
          <w:bCs/>
        </w:rPr>
        <w:t>Purpose:</w:t>
      </w:r>
      <w:r>
        <w:t xml:space="preserve"> Establishing credibility to find subgroup with clinically relevant efficacy or improved risk-benefit</w:t>
      </w:r>
    </w:p>
    <w:p w14:paraId="2546D6A4" w14:textId="77777777" w:rsidR="00236983" w:rsidRDefault="00000000">
      <w:pPr>
        <w:pStyle w:val="BodyText"/>
      </w:pPr>
      <w:r>
        <w:rPr>
          <w:b/>
          <w:bCs/>
        </w:rPr>
        <w:t>Key Decision Points:</w:t>
      </w:r>
    </w:p>
    <w:p w14:paraId="2546D6A5" w14:textId="77777777" w:rsidR="00236983" w:rsidRDefault="00000000">
      <w:pPr>
        <w:pStyle w:val="Compact"/>
        <w:numPr>
          <w:ilvl w:val="0"/>
          <w:numId w:val="76"/>
        </w:numPr>
      </w:pPr>
      <w:r>
        <w:lastRenderedPageBreak/>
        <w:t>Consider heterogeneity and biological plausibility</w:t>
      </w:r>
    </w:p>
    <w:p w14:paraId="2546D6A6" w14:textId="77777777" w:rsidR="00236983" w:rsidRDefault="00000000">
      <w:pPr>
        <w:pStyle w:val="Compact"/>
        <w:numPr>
          <w:ilvl w:val="0"/>
          <w:numId w:val="76"/>
        </w:numPr>
      </w:pPr>
      <w:r>
        <w:t>Was subgroup identified and discussed a priori?</w:t>
      </w:r>
    </w:p>
    <w:p w14:paraId="2546D6A7" w14:textId="77777777" w:rsidR="00236983" w:rsidRDefault="00000000">
      <w:pPr>
        <w:pStyle w:val="Compact"/>
        <w:numPr>
          <w:ilvl w:val="0"/>
          <w:numId w:val="76"/>
        </w:numPr>
      </w:pPr>
      <w:r>
        <w:t>If YES: Is effect directionally consistent? Is evidence statistically significant? Is effect replicated?</w:t>
      </w:r>
    </w:p>
    <w:p w14:paraId="2546D6A8" w14:textId="77777777" w:rsidR="00236983" w:rsidRDefault="00000000">
      <w:pPr>
        <w:pStyle w:val="Compact"/>
        <w:numPr>
          <w:ilvl w:val="0"/>
          <w:numId w:val="76"/>
        </w:numPr>
      </w:pPr>
      <w:r>
        <w:t>If NO: Is there extreme evidence + retrospective compelling explanation?</w:t>
      </w:r>
    </w:p>
    <w:p w14:paraId="2546D6A9" w14:textId="77777777" w:rsidR="00236983" w:rsidRDefault="00000000">
      <w:pPr>
        <w:pStyle w:val="FirstParagraph"/>
      </w:pPr>
      <w:r>
        <w:rPr>
          <w:b/>
          <w:bCs/>
        </w:rPr>
        <w:t>Outcomes:</w:t>
      </w:r>
      <w:r>
        <w:t xml:space="preserve"> - </w:t>
      </w:r>
      <w:r>
        <w:rPr>
          <w:b/>
          <w:bCs/>
        </w:rPr>
        <w:t>CREDIBLE:</w:t>
      </w:r>
      <w:r>
        <w:t xml:space="preserve"> A priori + consistent + significant + replicated - </w:t>
      </w:r>
      <w:r>
        <w:rPr>
          <w:b/>
          <w:bCs/>
        </w:rPr>
        <w:t>POSSIBLY CREDIBLE:</w:t>
      </w:r>
      <w:r>
        <w:t xml:space="preserve"> A priori + significant but not replicated (HIGH-RISK) - </w:t>
      </w:r>
      <w:r>
        <w:rPr>
          <w:b/>
          <w:bCs/>
        </w:rPr>
        <w:t>CREDIBLE but HIGH-RISK:</w:t>
      </w:r>
      <w:r>
        <w:t xml:space="preserve"> Not a priori but extreme evidence + explanation + replicated - </w:t>
      </w:r>
      <w:r>
        <w:rPr>
          <w:b/>
          <w:bCs/>
        </w:rPr>
        <w:t>NOT CREDIBLE:</w:t>
      </w:r>
      <w:r>
        <w:t xml:space="preserve"> Insufficient evidence on multiple criteria</w:t>
      </w:r>
    </w:p>
    <w:p w14:paraId="2546D6AA" w14:textId="77777777" w:rsidR="00236983" w:rsidRDefault="00944016">
      <w:r>
        <w:rPr>
          <w:noProof/>
        </w:rPr>
      </w:r>
      <w:r w:rsidR="00944016">
        <w:rPr>
          <w:noProof/>
        </w:rPr>
        <w:pict w14:anchorId="2546D724">
          <v:rect id="_x0000_i1043" alt="" style="width:468pt;height:.05pt;mso-width-percent:0;mso-height-percent:0;mso-width-percent:0;mso-height-percent:0" o:hralign="center" o:hrstd="t" o:hr="t"/>
        </w:pict>
      </w:r>
    </w:p>
    <w:p w14:paraId="2546D6AB" w14:textId="77777777" w:rsidR="00236983" w:rsidRDefault="00000000">
      <w:pPr>
        <w:pStyle w:val="Heading1"/>
      </w:pPr>
      <w:bookmarkStart w:id="98" w:name="X75060d2c09839cb0077b55790b415ba67787dd5"/>
      <w:bookmarkEnd w:id="95"/>
      <w:bookmarkEnd w:id="97"/>
      <w:r>
        <w:t>13. Appendix B: Example Subgroup Analysis Table</w:t>
      </w:r>
    </w:p>
    <w:p w14:paraId="2546D6AC" w14:textId="77777777" w:rsidR="00236983" w:rsidRDefault="00000000">
      <w:pPr>
        <w:pStyle w:val="TableCaption"/>
      </w:pPr>
      <w:r>
        <w:t>Example Subgroup Analysis Results with Treatment-by-Subgroup Interaction Assessment</w:t>
      </w:r>
    </w:p>
    <w:tbl>
      <w:tblPr>
        <w:tblStyle w:val="Table"/>
        <w:tblW w:w="0" w:type="auto"/>
        <w:tblLook w:val="0020" w:firstRow="1" w:lastRow="0" w:firstColumn="0" w:lastColumn="0" w:noHBand="0" w:noVBand="0"/>
        <w:tblCaption w:val="Example Subgroup Analysis Results with Treatment-by-Subgroup Interaction Assessment"/>
      </w:tblPr>
      <w:tblGrid>
        <w:gridCol w:w="1808"/>
        <w:gridCol w:w="601"/>
        <w:gridCol w:w="2472"/>
        <w:gridCol w:w="2173"/>
      </w:tblGrid>
      <w:tr w:rsidR="00236983" w14:paraId="2546D6B1" w14:textId="77777777" w:rsidTr="00236983">
        <w:trPr>
          <w:cnfStyle w:val="100000000000" w:firstRow="1" w:lastRow="0" w:firstColumn="0" w:lastColumn="0" w:oddVBand="0" w:evenVBand="0" w:oddHBand="0" w:evenHBand="0" w:firstRowFirstColumn="0" w:firstRowLastColumn="0" w:lastRowFirstColumn="0" w:lastRowLastColumn="0"/>
          <w:tblHeader/>
        </w:trPr>
        <w:tc>
          <w:tcPr>
            <w:tcW w:w="0" w:type="auto"/>
          </w:tcPr>
          <w:p w14:paraId="2546D6AD" w14:textId="77777777" w:rsidR="00236983" w:rsidRDefault="00000000">
            <w:pPr>
              <w:pStyle w:val="Compact"/>
            </w:pPr>
            <w:r>
              <w:t>Subgroup</w:t>
            </w:r>
          </w:p>
        </w:tc>
        <w:tc>
          <w:tcPr>
            <w:tcW w:w="0" w:type="auto"/>
          </w:tcPr>
          <w:p w14:paraId="2546D6AE" w14:textId="77777777" w:rsidR="00236983" w:rsidRDefault="00000000">
            <w:pPr>
              <w:pStyle w:val="Compact"/>
              <w:jc w:val="center"/>
            </w:pPr>
            <w:r>
              <w:t>N</w:t>
            </w:r>
          </w:p>
        </w:tc>
        <w:tc>
          <w:tcPr>
            <w:tcW w:w="0" w:type="auto"/>
          </w:tcPr>
          <w:p w14:paraId="2546D6AF" w14:textId="77777777" w:rsidR="00236983" w:rsidRDefault="00000000">
            <w:pPr>
              <w:pStyle w:val="Compact"/>
              <w:jc w:val="center"/>
            </w:pPr>
            <w:r>
              <w:t>Hazard Ratio (95% CI)</w:t>
            </w:r>
          </w:p>
        </w:tc>
        <w:tc>
          <w:tcPr>
            <w:tcW w:w="0" w:type="auto"/>
          </w:tcPr>
          <w:p w14:paraId="2546D6B0" w14:textId="77777777" w:rsidR="00236983" w:rsidRDefault="00000000">
            <w:pPr>
              <w:pStyle w:val="Compact"/>
              <w:jc w:val="center"/>
            </w:pPr>
            <w:r>
              <w:t>Interaction p-value</w:t>
            </w:r>
          </w:p>
        </w:tc>
      </w:tr>
      <w:tr w:rsidR="00236983" w14:paraId="2546D6B6" w14:textId="77777777">
        <w:tc>
          <w:tcPr>
            <w:tcW w:w="0" w:type="auto"/>
          </w:tcPr>
          <w:p w14:paraId="2546D6B2" w14:textId="77777777" w:rsidR="00236983" w:rsidRDefault="00000000">
            <w:pPr>
              <w:pStyle w:val="Compact"/>
            </w:pPr>
            <w:r>
              <w:rPr>
                <w:b/>
                <w:bCs/>
              </w:rPr>
              <w:t>Overall</w:t>
            </w:r>
          </w:p>
        </w:tc>
        <w:tc>
          <w:tcPr>
            <w:tcW w:w="0" w:type="auto"/>
          </w:tcPr>
          <w:p w14:paraId="2546D6B3" w14:textId="77777777" w:rsidR="00236983" w:rsidRDefault="00000000">
            <w:pPr>
              <w:pStyle w:val="Compact"/>
              <w:jc w:val="center"/>
            </w:pPr>
            <w:r>
              <w:t>500</w:t>
            </w:r>
          </w:p>
        </w:tc>
        <w:tc>
          <w:tcPr>
            <w:tcW w:w="0" w:type="auto"/>
          </w:tcPr>
          <w:p w14:paraId="2546D6B4" w14:textId="77777777" w:rsidR="00236983" w:rsidRDefault="00000000">
            <w:pPr>
              <w:pStyle w:val="Compact"/>
              <w:jc w:val="center"/>
            </w:pPr>
            <w:r>
              <w:t>0.75 (0.60, 0.93)</w:t>
            </w:r>
          </w:p>
        </w:tc>
        <w:tc>
          <w:tcPr>
            <w:tcW w:w="0" w:type="auto"/>
          </w:tcPr>
          <w:p w14:paraId="2546D6B5" w14:textId="77777777" w:rsidR="00236983" w:rsidRDefault="00000000">
            <w:pPr>
              <w:pStyle w:val="Compact"/>
              <w:jc w:val="center"/>
            </w:pPr>
            <w:r>
              <w:t>-</w:t>
            </w:r>
          </w:p>
        </w:tc>
      </w:tr>
      <w:tr w:rsidR="00236983" w14:paraId="2546D6BB" w14:textId="77777777">
        <w:tc>
          <w:tcPr>
            <w:tcW w:w="0" w:type="auto"/>
          </w:tcPr>
          <w:p w14:paraId="2546D6B7" w14:textId="77777777" w:rsidR="00236983" w:rsidRDefault="00000000">
            <w:pPr>
              <w:pStyle w:val="Compact"/>
            </w:pPr>
            <w:r>
              <w:rPr>
                <w:b/>
                <w:bCs/>
              </w:rPr>
              <w:t>Age</w:t>
            </w:r>
          </w:p>
        </w:tc>
        <w:tc>
          <w:tcPr>
            <w:tcW w:w="0" w:type="auto"/>
          </w:tcPr>
          <w:p w14:paraId="2546D6B8" w14:textId="77777777" w:rsidR="00236983" w:rsidRDefault="00236983">
            <w:pPr>
              <w:pStyle w:val="Compact"/>
            </w:pPr>
          </w:p>
        </w:tc>
        <w:tc>
          <w:tcPr>
            <w:tcW w:w="0" w:type="auto"/>
          </w:tcPr>
          <w:p w14:paraId="2546D6B9" w14:textId="77777777" w:rsidR="00236983" w:rsidRDefault="00236983">
            <w:pPr>
              <w:pStyle w:val="Compact"/>
            </w:pPr>
          </w:p>
        </w:tc>
        <w:tc>
          <w:tcPr>
            <w:tcW w:w="0" w:type="auto"/>
          </w:tcPr>
          <w:p w14:paraId="2546D6BA" w14:textId="77777777" w:rsidR="00236983" w:rsidRDefault="00236983">
            <w:pPr>
              <w:pStyle w:val="Compact"/>
            </w:pPr>
          </w:p>
        </w:tc>
      </w:tr>
      <w:tr w:rsidR="00236983" w14:paraId="2546D6C0" w14:textId="77777777">
        <w:tc>
          <w:tcPr>
            <w:tcW w:w="0" w:type="auto"/>
          </w:tcPr>
          <w:p w14:paraId="2546D6BC" w14:textId="77777777" w:rsidR="00236983" w:rsidRDefault="00000000">
            <w:pPr>
              <w:pStyle w:val="Compact"/>
            </w:pPr>
            <w:r>
              <w:t>Age &lt;65</w:t>
            </w:r>
          </w:p>
        </w:tc>
        <w:tc>
          <w:tcPr>
            <w:tcW w:w="0" w:type="auto"/>
          </w:tcPr>
          <w:p w14:paraId="2546D6BD" w14:textId="77777777" w:rsidR="00236983" w:rsidRDefault="00000000">
            <w:pPr>
              <w:pStyle w:val="Compact"/>
              <w:jc w:val="center"/>
            </w:pPr>
            <w:r>
              <w:t>300</w:t>
            </w:r>
          </w:p>
        </w:tc>
        <w:tc>
          <w:tcPr>
            <w:tcW w:w="0" w:type="auto"/>
          </w:tcPr>
          <w:p w14:paraId="2546D6BE" w14:textId="77777777" w:rsidR="00236983" w:rsidRDefault="00000000">
            <w:pPr>
              <w:pStyle w:val="Compact"/>
              <w:jc w:val="center"/>
            </w:pPr>
            <w:r>
              <w:t>0.78 (0.61, 1.00)</w:t>
            </w:r>
          </w:p>
        </w:tc>
        <w:tc>
          <w:tcPr>
            <w:tcW w:w="0" w:type="auto"/>
          </w:tcPr>
          <w:p w14:paraId="2546D6BF" w14:textId="77777777" w:rsidR="00236983" w:rsidRDefault="00000000">
            <w:pPr>
              <w:pStyle w:val="Compact"/>
              <w:jc w:val="center"/>
            </w:pPr>
            <w:r>
              <w:t>0.45</w:t>
            </w:r>
          </w:p>
        </w:tc>
      </w:tr>
      <w:tr w:rsidR="00236983" w14:paraId="2546D6C5" w14:textId="77777777">
        <w:tc>
          <w:tcPr>
            <w:tcW w:w="0" w:type="auto"/>
          </w:tcPr>
          <w:p w14:paraId="2546D6C1" w14:textId="77777777" w:rsidR="00236983" w:rsidRDefault="00000000">
            <w:pPr>
              <w:pStyle w:val="Compact"/>
            </w:pPr>
            <w:r>
              <w:t>Age ≥65</w:t>
            </w:r>
          </w:p>
        </w:tc>
        <w:tc>
          <w:tcPr>
            <w:tcW w:w="0" w:type="auto"/>
          </w:tcPr>
          <w:p w14:paraId="2546D6C2" w14:textId="77777777" w:rsidR="00236983" w:rsidRDefault="00000000">
            <w:pPr>
              <w:pStyle w:val="Compact"/>
              <w:jc w:val="center"/>
            </w:pPr>
            <w:r>
              <w:t>200</w:t>
            </w:r>
          </w:p>
        </w:tc>
        <w:tc>
          <w:tcPr>
            <w:tcW w:w="0" w:type="auto"/>
          </w:tcPr>
          <w:p w14:paraId="2546D6C3" w14:textId="77777777" w:rsidR="00236983" w:rsidRDefault="00000000">
            <w:pPr>
              <w:pStyle w:val="Compact"/>
              <w:jc w:val="center"/>
            </w:pPr>
            <w:r>
              <w:t>0.70 (0.50, 0.98)</w:t>
            </w:r>
          </w:p>
        </w:tc>
        <w:tc>
          <w:tcPr>
            <w:tcW w:w="0" w:type="auto"/>
          </w:tcPr>
          <w:p w14:paraId="2546D6C4" w14:textId="77777777" w:rsidR="00236983" w:rsidRDefault="00236983">
            <w:pPr>
              <w:pStyle w:val="Compact"/>
            </w:pPr>
          </w:p>
        </w:tc>
      </w:tr>
      <w:tr w:rsidR="00236983" w14:paraId="2546D6CA" w14:textId="77777777">
        <w:tc>
          <w:tcPr>
            <w:tcW w:w="0" w:type="auto"/>
          </w:tcPr>
          <w:p w14:paraId="2546D6C6" w14:textId="77777777" w:rsidR="00236983" w:rsidRDefault="00000000">
            <w:pPr>
              <w:pStyle w:val="Compact"/>
            </w:pPr>
            <w:r>
              <w:rPr>
                <w:b/>
                <w:bCs/>
              </w:rPr>
              <w:t>Sex</w:t>
            </w:r>
          </w:p>
        </w:tc>
        <w:tc>
          <w:tcPr>
            <w:tcW w:w="0" w:type="auto"/>
          </w:tcPr>
          <w:p w14:paraId="2546D6C7" w14:textId="77777777" w:rsidR="00236983" w:rsidRDefault="00236983">
            <w:pPr>
              <w:pStyle w:val="Compact"/>
            </w:pPr>
          </w:p>
        </w:tc>
        <w:tc>
          <w:tcPr>
            <w:tcW w:w="0" w:type="auto"/>
          </w:tcPr>
          <w:p w14:paraId="2546D6C8" w14:textId="77777777" w:rsidR="00236983" w:rsidRDefault="00236983">
            <w:pPr>
              <w:pStyle w:val="Compact"/>
            </w:pPr>
          </w:p>
        </w:tc>
        <w:tc>
          <w:tcPr>
            <w:tcW w:w="0" w:type="auto"/>
          </w:tcPr>
          <w:p w14:paraId="2546D6C9" w14:textId="77777777" w:rsidR="00236983" w:rsidRDefault="00236983">
            <w:pPr>
              <w:pStyle w:val="Compact"/>
            </w:pPr>
          </w:p>
        </w:tc>
      </w:tr>
      <w:tr w:rsidR="00236983" w14:paraId="2546D6CF" w14:textId="77777777">
        <w:tc>
          <w:tcPr>
            <w:tcW w:w="0" w:type="auto"/>
          </w:tcPr>
          <w:p w14:paraId="2546D6CB" w14:textId="77777777" w:rsidR="00236983" w:rsidRDefault="00000000">
            <w:pPr>
              <w:pStyle w:val="Compact"/>
            </w:pPr>
            <w:r>
              <w:t>Male</w:t>
            </w:r>
          </w:p>
        </w:tc>
        <w:tc>
          <w:tcPr>
            <w:tcW w:w="0" w:type="auto"/>
          </w:tcPr>
          <w:p w14:paraId="2546D6CC" w14:textId="77777777" w:rsidR="00236983" w:rsidRDefault="00000000">
            <w:pPr>
              <w:pStyle w:val="Compact"/>
              <w:jc w:val="center"/>
            </w:pPr>
            <w:r>
              <w:t>250</w:t>
            </w:r>
          </w:p>
        </w:tc>
        <w:tc>
          <w:tcPr>
            <w:tcW w:w="0" w:type="auto"/>
          </w:tcPr>
          <w:p w14:paraId="2546D6CD" w14:textId="77777777" w:rsidR="00236983" w:rsidRDefault="00000000">
            <w:pPr>
              <w:pStyle w:val="Compact"/>
              <w:jc w:val="center"/>
            </w:pPr>
            <w:r>
              <w:t>0.80 (0.62, 1.03)</w:t>
            </w:r>
          </w:p>
        </w:tc>
        <w:tc>
          <w:tcPr>
            <w:tcW w:w="0" w:type="auto"/>
          </w:tcPr>
          <w:p w14:paraId="2546D6CE" w14:textId="77777777" w:rsidR="00236983" w:rsidRDefault="00000000">
            <w:pPr>
              <w:pStyle w:val="Compact"/>
              <w:jc w:val="center"/>
            </w:pPr>
            <w:r>
              <w:t>0.60</w:t>
            </w:r>
          </w:p>
        </w:tc>
      </w:tr>
      <w:tr w:rsidR="00236983" w14:paraId="2546D6D4" w14:textId="77777777">
        <w:tc>
          <w:tcPr>
            <w:tcW w:w="0" w:type="auto"/>
          </w:tcPr>
          <w:p w14:paraId="2546D6D0" w14:textId="77777777" w:rsidR="00236983" w:rsidRDefault="00000000">
            <w:pPr>
              <w:pStyle w:val="Compact"/>
            </w:pPr>
            <w:r>
              <w:t>Female</w:t>
            </w:r>
          </w:p>
        </w:tc>
        <w:tc>
          <w:tcPr>
            <w:tcW w:w="0" w:type="auto"/>
          </w:tcPr>
          <w:p w14:paraId="2546D6D1" w14:textId="77777777" w:rsidR="00236983" w:rsidRDefault="00000000">
            <w:pPr>
              <w:pStyle w:val="Compact"/>
              <w:jc w:val="center"/>
            </w:pPr>
            <w:r>
              <w:t>250</w:t>
            </w:r>
          </w:p>
        </w:tc>
        <w:tc>
          <w:tcPr>
            <w:tcW w:w="0" w:type="auto"/>
          </w:tcPr>
          <w:p w14:paraId="2546D6D2" w14:textId="77777777" w:rsidR="00236983" w:rsidRDefault="00000000">
            <w:pPr>
              <w:pStyle w:val="Compact"/>
              <w:jc w:val="center"/>
            </w:pPr>
            <w:r>
              <w:t>0.70 (0.52, 0.94)</w:t>
            </w:r>
          </w:p>
        </w:tc>
        <w:tc>
          <w:tcPr>
            <w:tcW w:w="0" w:type="auto"/>
          </w:tcPr>
          <w:p w14:paraId="2546D6D3" w14:textId="77777777" w:rsidR="00236983" w:rsidRDefault="00236983">
            <w:pPr>
              <w:pStyle w:val="Compact"/>
            </w:pPr>
          </w:p>
        </w:tc>
      </w:tr>
      <w:tr w:rsidR="00236983" w14:paraId="2546D6D9" w14:textId="77777777">
        <w:tc>
          <w:tcPr>
            <w:tcW w:w="0" w:type="auto"/>
          </w:tcPr>
          <w:p w14:paraId="2546D6D5" w14:textId="77777777" w:rsidR="00236983" w:rsidRDefault="00000000">
            <w:pPr>
              <w:pStyle w:val="Compact"/>
            </w:pPr>
            <w:r>
              <w:rPr>
                <w:b/>
                <w:bCs/>
              </w:rPr>
              <w:t>PD-L1 Status</w:t>
            </w:r>
          </w:p>
        </w:tc>
        <w:tc>
          <w:tcPr>
            <w:tcW w:w="0" w:type="auto"/>
          </w:tcPr>
          <w:p w14:paraId="2546D6D6" w14:textId="77777777" w:rsidR="00236983" w:rsidRDefault="00236983">
            <w:pPr>
              <w:pStyle w:val="Compact"/>
            </w:pPr>
          </w:p>
        </w:tc>
        <w:tc>
          <w:tcPr>
            <w:tcW w:w="0" w:type="auto"/>
          </w:tcPr>
          <w:p w14:paraId="2546D6D7" w14:textId="77777777" w:rsidR="00236983" w:rsidRDefault="00236983">
            <w:pPr>
              <w:pStyle w:val="Compact"/>
            </w:pPr>
          </w:p>
        </w:tc>
        <w:tc>
          <w:tcPr>
            <w:tcW w:w="0" w:type="auto"/>
          </w:tcPr>
          <w:p w14:paraId="2546D6D8" w14:textId="77777777" w:rsidR="00236983" w:rsidRDefault="00236983">
            <w:pPr>
              <w:pStyle w:val="Compact"/>
            </w:pPr>
          </w:p>
        </w:tc>
      </w:tr>
      <w:tr w:rsidR="00236983" w14:paraId="2546D6DE" w14:textId="77777777">
        <w:tc>
          <w:tcPr>
            <w:tcW w:w="0" w:type="auto"/>
          </w:tcPr>
          <w:p w14:paraId="2546D6DA" w14:textId="77777777" w:rsidR="00236983" w:rsidRDefault="00000000">
            <w:pPr>
              <w:pStyle w:val="Compact"/>
            </w:pPr>
            <w:r>
              <w:t>PD-L1 Positive</w:t>
            </w:r>
          </w:p>
        </w:tc>
        <w:tc>
          <w:tcPr>
            <w:tcW w:w="0" w:type="auto"/>
          </w:tcPr>
          <w:p w14:paraId="2546D6DB" w14:textId="77777777" w:rsidR="00236983" w:rsidRDefault="00000000">
            <w:pPr>
              <w:pStyle w:val="Compact"/>
              <w:jc w:val="center"/>
            </w:pPr>
            <w:r>
              <w:t>150</w:t>
            </w:r>
          </w:p>
        </w:tc>
        <w:tc>
          <w:tcPr>
            <w:tcW w:w="0" w:type="auto"/>
          </w:tcPr>
          <w:p w14:paraId="2546D6DC" w14:textId="77777777" w:rsidR="00236983" w:rsidRDefault="00000000">
            <w:pPr>
              <w:pStyle w:val="Compact"/>
              <w:jc w:val="center"/>
            </w:pPr>
            <w:r>
              <w:t>0.60 (0.40, 0.90)</w:t>
            </w:r>
          </w:p>
        </w:tc>
        <w:tc>
          <w:tcPr>
            <w:tcW w:w="0" w:type="auto"/>
          </w:tcPr>
          <w:p w14:paraId="2546D6DD" w14:textId="77777777" w:rsidR="00236983" w:rsidRDefault="00000000">
            <w:pPr>
              <w:pStyle w:val="Compact"/>
              <w:jc w:val="center"/>
            </w:pPr>
            <w:r>
              <w:t>0.10</w:t>
            </w:r>
          </w:p>
        </w:tc>
      </w:tr>
      <w:tr w:rsidR="00236983" w14:paraId="2546D6E3" w14:textId="77777777">
        <w:tc>
          <w:tcPr>
            <w:tcW w:w="0" w:type="auto"/>
          </w:tcPr>
          <w:p w14:paraId="2546D6DF" w14:textId="77777777" w:rsidR="00236983" w:rsidRDefault="00000000">
            <w:pPr>
              <w:pStyle w:val="Compact"/>
            </w:pPr>
            <w:r>
              <w:t>PD-L1 Negative</w:t>
            </w:r>
          </w:p>
        </w:tc>
        <w:tc>
          <w:tcPr>
            <w:tcW w:w="0" w:type="auto"/>
          </w:tcPr>
          <w:p w14:paraId="2546D6E0" w14:textId="77777777" w:rsidR="00236983" w:rsidRDefault="00000000">
            <w:pPr>
              <w:pStyle w:val="Compact"/>
              <w:jc w:val="center"/>
            </w:pPr>
            <w:r>
              <w:t>350</w:t>
            </w:r>
          </w:p>
        </w:tc>
        <w:tc>
          <w:tcPr>
            <w:tcW w:w="0" w:type="auto"/>
          </w:tcPr>
          <w:p w14:paraId="2546D6E1" w14:textId="77777777" w:rsidR="00236983" w:rsidRDefault="00000000">
            <w:pPr>
              <w:pStyle w:val="Compact"/>
              <w:jc w:val="center"/>
            </w:pPr>
            <w:r>
              <w:t>0.85 (0.65, 1.10)</w:t>
            </w:r>
          </w:p>
        </w:tc>
        <w:tc>
          <w:tcPr>
            <w:tcW w:w="0" w:type="auto"/>
          </w:tcPr>
          <w:p w14:paraId="2546D6E2" w14:textId="77777777" w:rsidR="00236983" w:rsidRDefault="00236983">
            <w:pPr>
              <w:pStyle w:val="Compact"/>
            </w:pPr>
          </w:p>
        </w:tc>
      </w:tr>
    </w:tbl>
    <w:p w14:paraId="2546D6E4" w14:textId="77777777" w:rsidR="00236983" w:rsidRDefault="00000000">
      <w:pPr>
        <w:pStyle w:val="BodyText"/>
      </w:pPr>
      <w:r>
        <w:rPr>
          <w:b/>
          <w:bCs/>
        </w:rPr>
        <w:t>Interpretation Notes:</w:t>
      </w:r>
    </w:p>
    <w:p w14:paraId="2546D6E5" w14:textId="77777777" w:rsidR="00236983" w:rsidRDefault="00000000">
      <w:pPr>
        <w:pStyle w:val="Compact"/>
        <w:numPr>
          <w:ilvl w:val="0"/>
          <w:numId w:val="77"/>
        </w:numPr>
      </w:pPr>
      <w:r>
        <w:t>Overall effect statistically significant and clinically meaningful</w:t>
      </w:r>
    </w:p>
    <w:p w14:paraId="2546D6E6" w14:textId="77777777" w:rsidR="00236983" w:rsidRDefault="00000000">
      <w:pPr>
        <w:pStyle w:val="Compact"/>
        <w:numPr>
          <w:ilvl w:val="0"/>
          <w:numId w:val="77"/>
        </w:numPr>
      </w:pPr>
      <w:r>
        <w:t>Age subgroups show consistent direction; interaction p=0.45 (not significant)</w:t>
      </w:r>
    </w:p>
    <w:p w14:paraId="2546D6E7" w14:textId="77777777" w:rsidR="00236983" w:rsidRDefault="00000000">
      <w:pPr>
        <w:pStyle w:val="Compact"/>
        <w:numPr>
          <w:ilvl w:val="0"/>
          <w:numId w:val="77"/>
        </w:numPr>
      </w:pPr>
      <w:r>
        <w:t>Sex subgroups show consistent direction; interaction p=0.60 (not significant)</w:t>
      </w:r>
    </w:p>
    <w:p w14:paraId="2546D6E8" w14:textId="77777777" w:rsidR="00236983" w:rsidRDefault="00000000">
      <w:pPr>
        <w:pStyle w:val="Compact"/>
        <w:numPr>
          <w:ilvl w:val="0"/>
          <w:numId w:val="77"/>
        </w:numPr>
      </w:pPr>
      <w:r>
        <w:t>PD-L1 subgroups show larger effect in positive group; interaction p=0.10 (borderline)</w:t>
      </w:r>
    </w:p>
    <w:p w14:paraId="2546D6E9" w14:textId="77777777" w:rsidR="00236983" w:rsidRDefault="00000000">
      <w:pPr>
        <w:pStyle w:val="Compact"/>
        <w:numPr>
          <w:ilvl w:val="0"/>
          <w:numId w:val="77"/>
        </w:numPr>
      </w:pPr>
      <w:r>
        <w:t>All confidence intervals overlap, suggesting consistency</w:t>
      </w:r>
    </w:p>
    <w:p w14:paraId="2546D6EA" w14:textId="77777777" w:rsidR="00236983" w:rsidRDefault="00000000">
      <w:pPr>
        <w:pStyle w:val="Compact"/>
        <w:numPr>
          <w:ilvl w:val="0"/>
          <w:numId w:val="77"/>
        </w:numPr>
      </w:pPr>
      <w:r>
        <w:t>PD-L1 finding warrants further investigation given biological plausibility</w:t>
      </w:r>
    </w:p>
    <w:p w14:paraId="2546D6EB" w14:textId="77777777" w:rsidR="00236983" w:rsidRDefault="00944016">
      <w:r>
        <w:rPr>
          <w:noProof/>
        </w:rPr>
      </w:r>
      <w:r w:rsidR="00944016">
        <w:rPr>
          <w:noProof/>
        </w:rPr>
        <w:pict w14:anchorId="2546D725">
          <v:rect id="_x0000_i1044" alt="" style="width:468pt;height:.05pt;mso-width-percent:0;mso-height-percent:0;mso-width-percent:0;mso-height-percent:0" o:hralign="center" o:hrstd="t" o:hr="t"/>
        </w:pict>
      </w:r>
    </w:p>
    <w:p w14:paraId="2546D6EC" w14:textId="77777777" w:rsidR="00236983" w:rsidRDefault="00000000">
      <w:pPr>
        <w:pStyle w:val="Heading1"/>
      </w:pPr>
      <w:bookmarkStart w:id="99" w:name="key-abbreviations"/>
      <w:bookmarkEnd w:id="98"/>
      <w:r>
        <w:lastRenderedPageBreak/>
        <w:t>14. Key Abbreviations</w:t>
      </w:r>
    </w:p>
    <w:p w14:paraId="2546D6ED" w14:textId="77777777" w:rsidR="00236983" w:rsidRDefault="00000000">
      <w:pPr>
        <w:pStyle w:val="Compact"/>
        <w:numPr>
          <w:ilvl w:val="0"/>
          <w:numId w:val="78"/>
        </w:numPr>
      </w:pPr>
      <w:r>
        <w:rPr>
          <w:b/>
          <w:bCs/>
        </w:rPr>
        <w:t>CHMP</w:t>
      </w:r>
      <w:r>
        <w:t>: Committee for Medicinal Products for Human Use (EMA)</w:t>
      </w:r>
    </w:p>
    <w:p w14:paraId="2546D6EE" w14:textId="77777777" w:rsidR="00236983" w:rsidRDefault="00000000">
      <w:pPr>
        <w:pStyle w:val="Compact"/>
        <w:numPr>
          <w:ilvl w:val="0"/>
          <w:numId w:val="78"/>
        </w:numPr>
      </w:pPr>
      <w:r>
        <w:rPr>
          <w:b/>
          <w:bCs/>
        </w:rPr>
        <w:t>CI</w:t>
      </w:r>
      <w:r>
        <w:t>: Confidence Interval</w:t>
      </w:r>
    </w:p>
    <w:p w14:paraId="2546D6EF" w14:textId="77777777" w:rsidR="00236983" w:rsidRDefault="00000000">
      <w:pPr>
        <w:pStyle w:val="Compact"/>
        <w:numPr>
          <w:ilvl w:val="0"/>
          <w:numId w:val="78"/>
        </w:numPr>
      </w:pPr>
      <w:r>
        <w:rPr>
          <w:b/>
          <w:bCs/>
        </w:rPr>
        <w:t>CPS</w:t>
      </w:r>
      <w:r>
        <w:t>: Combined Positive Score</w:t>
      </w:r>
    </w:p>
    <w:p w14:paraId="2546D6F0" w14:textId="77777777" w:rsidR="00236983" w:rsidRDefault="00000000">
      <w:pPr>
        <w:pStyle w:val="Compact"/>
        <w:numPr>
          <w:ilvl w:val="0"/>
          <w:numId w:val="78"/>
        </w:numPr>
      </w:pPr>
      <w:r>
        <w:rPr>
          <w:b/>
          <w:bCs/>
        </w:rPr>
        <w:t>EMA</w:t>
      </w:r>
      <w:r>
        <w:t>: European Medicines Agency</w:t>
      </w:r>
    </w:p>
    <w:p w14:paraId="2546D6F1" w14:textId="77777777" w:rsidR="00236983" w:rsidRDefault="00000000">
      <w:pPr>
        <w:pStyle w:val="Compact"/>
        <w:numPr>
          <w:ilvl w:val="0"/>
          <w:numId w:val="78"/>
        </w:numPr>
      </w:pPr>
      <w:r>
        <w:rPr>
          <w:b/>
          <w:bCs/>
        </w:rPr>
        <w:t>FDA</w:t>
      </w:r>
      <w:r>
        <w:t>: Food and Drug Administration</w:t>
      </w:r>
    </w:p>
    <w:p w14:paraId="2546D6F2" w14:textId="77777777" w:rsidR="00236983" w:rsidRDefault="00000000">
      <w:pPr>
        <w:pStyle w:val="Compact"/>
        <w:numPr>
          <w:ilvl w:val="0"/>
          <w:numId w:val="78"/>
        </w:numPr>
      </w:pPr>
      <w:r>
        <w:rPr>
          <w:b/>
          <w:bCs/>
        </w:rPr>
        <w:t>HRD</w:t>
      </w:r>
      <w:r>
        <w:t>: Homologous Recombination Deficiency</w:t>
      </w:r>
    </w:p>
    <w:p w14:paraId="2546D6F3" w14:textId="77777777" w:rsidR="00236983" w:rsidRDefault="00000000">
      <w:pPr>
        <w:pStyle w:val="Compact"/>
        <w:numPr>
          <w:ilvl w:val="0"/>
          <w:numId w:val="78"/>
        </w:numPr>
      </w:pPr>
      <w:r>
        <w:rPr>
          <w:b/>
          <w:bCs/>
        </w:rPr>
        <w:t>HR</w:t>
      </w:r>
      <w:r>
        <w:t>: Hazard Ratio</w:t>
      </w:r>
    </w:p>
    <w:p w14:paraId="2546D6F4" w14:textId="77777777" w:rsidR="00236983" w:rsidRDefault="00000000">
      <w:pPr>
        <w:pStyle w:val="Compact"/>
        <w:numPr>
          <w:ilvl w:val="0"/>
          <w:numId w:val="78"/>
        </w:numPr>
      </w:pPr>
      <w:r>
        <w:rPr>
          <w:b/>
          <w:bCs/>
        </w:rPr>
        <w:t>ICH</w:t>
      </w:r>
      <w:r>
        <w:t>: International Council for Harmonisation</w:t>
      </w:r>
    </w:p>
    <w:p w14:paraId="2546D6F5" w14:textId="77777777" w:rsidR="00236983" w:rsidRDefault="00000000">
      <w:pPr>
        <w:pStyle w:val="Compact"/>
        <w:numPr>
          <w:ilvl w:val="0"/>
          <w:numId w:val="78"/>
        </w:numPr>
      </w:pPr>
      <w:r>
        <w:rPr>
          <w:b/>
          <w:bCs/>
        </w:rPr>
        <w:t>ITT</w:t>
      </w:r>
      <w:r>
        <w:t>: Intention-to-Treat</w:t>
      </w:r>
    </w:p>
    <w:p w14:paraId="2546D6F6" w14:textId="77777777" w:rsidR="00236983" w:rsidRDefault="00000000">
      <w:pPr>
        <w:pStyle w:val="Compact"/>
        <w:numPr>
          <w:ilvl w:val="0"/>
          <w:numId w:val="78"/>
        </w:numPr>
      </w:pPr>
      <w:r>
        <w:rPr>
          <w:b/>
          <w:bCs/>
        </w:rPr>
        <w:t>MAA</w:t>
      </w:r>
      <w:r>
        <w:t>: Marketing Authorisation Application</w:t>
      </w:r>
    </w:p>
    <w:p w14:paraId="2546D6F7" w14:textId="77777777" w:rsidR="00236983" w:rsidRDefault="00000000">
      <w:pPr>
        <w:pStyle w:val="Compact"/>
        <w:numPr>
          <w:ilvl w:val="0"/>
          <w:numId w:val="78"/>
        </w:numPr>
      </w:pPr>
      <w:r>
        <w:rPr>
          <w:b/>
          <w:bCs/>
        </w:rPr>
        <w:t>NSCLC</w:t>
      </w:r>
      <w:r>
        <w:t>: Non-Small Cell Lung Cancer</w:t>
      </w:r>
    </w:p>
    <w:p w14:paraId="2546D6F8" w14:textId="77777777" w:rsidR="00236983" w:rsidRDefault="00000000">
      <w:pPr>
        <w:pStyle w:val="Compact"/>
        <w:numPr>
          <w:ilvl w:val="0"/>
          <w:numId w:val="78"/>
        </w:numPr>
      </w:pPr>
      <w:r>
        <w:rPr>
          <w:b/>
          <w:bCs/>
        </w:rPr>
        <w:t>ORR</w:t>
      </w:r>
      <w:r>
        <w:t>: Objective Response Rate</w:t>
      </w:r>
    </w:p>
    <w:p w14:paraId="2546D6F9" w14:textId="77777777" w:rsidR="00236983" w:rsidRDefault="00000000">
      <w:pPr>
        <w:pStyle w:val="Compact"/>
        <w:numPr>
          <w:ilvl w:val="0"/>
          <w:numId w:val="78"/>
        </w:numPr>
      </w:pPr>
      <w:r>
        <w:rPr>
          <w:b/>
          <w:bCs/>
        </w:rPr>
        <w:t>OS</w:t>
      </w:r>
      <w:r>
        <w:t>: Overall Survival</w:t>
      </w:r>
    </w:p>
    <w:p w14:paraId="2546D6FA" w14:textId="77777777" w:rsidR="00236983" w:rsidRDefault="00000000">
      <w:pPr>
        <w:pStyle w:val="Compact"/>
        <w:numPr>
          <w:ilvl w:val="0"/>
          <w:numId w:val="78"/>
        </w:numPr>
      </w:pPr>
      <w:r>
        <w:rPr>
          <w:b/>
          <w:bCs/>
        </w:rPr>
        <w:t>PFS</w:t>
      </w:r>
      <w:r>
        <w:t>: Progression-Free Survival</w:t>
      </w:r>
    </w:p>
    <w:p w14:paraId="2546D6FB" w14:textId="77777777" w:rsidR="00236983" w:rsidRDefault="00000000">
      <w:pPr>
        <w:pStyle w:val="Compact"/>
        <w:numPr>
          <w:ilvl w:val="0"/>
          <w:numId w:val="78"/>
        </w:numPr>
      </w:pPr>
      <w:r>
        <w:rPr>
          <w:b/>
          <w:bCs/>
        </w:rPr>
        <w:t>SAP</w:t>
      </w:r>
      <w:r>
        <w:t>: Statistical Analysis Plan</w:t>
      </w:r>
    </w:p>
    <w:p w14:paraId="2546D6FC" w14:textId="77777777" w:rsidR="00236983" w:rsidRDefault="00000000">
      <w:pPr>
        <w:pStyle w:val="Compact"/>
        <w:numPr>
          <w:ilvl w:val="0"/>
          <w:numId w:val="78"/>
        </w:numPr>
      </w:pPr>
      <w:r>
        <w:rPr>
          <w:b/>
          <w:bCs/>
        </w:rPr>
        <w:t>SmPC</w:t>
      </w:r>
      <w:r>
        <w:t>: Summary of Product Characteristics</w:t>
      </w:r>
    </w:p>
    <w:p w14:paraId="2546D6FD" w14:textId="77777777" w:rsidR="00236983" w:rsidRDefault="00000000">
      <w:pPr>
        <w:pStyle w:val="Compact"/>
        <w:numPr>
          <w:ilvl w:val="0"/>
          <w:numId w:val="78"/>
        </w:numPr>
      </w:pPr>
      <w:r>
        <w:rPr>
          <w:b/>
          <w:bCs/>
        </w:rPr>
        <w:t>TPS</w:t>
      </w:r>
      <w:r>
        <w:t>: Tumor Proportion Score</w:t>
      </w:r>
    </w:p>
    <w:p w14:paraId="2546D6FE" w14:textId="77777777" w:rsidR="00236983" w:rsidRDefault="00944016">
      <w:r>
        <w:rPr>
          <w:noProof/>
        </w:rPr>
      </w:r>
      <w:r w:rsidR="00944016">
        <w:rPr>
          <w:noProof/>
        </w:rPr>
        <w:pict w14:anchorId="2546D726">
          <v:rect id="_x0000_i1045" alt="" style="width:468pt;height:.05pt;mso-width-percent:0;mso-height-percent:0;mso-width-percent:0;mso-height-percent:0" o:hralign="center" o:hrstd="t" o:hr="t"/>
        </w:pict>
      </w:r>
    </w:p>
    <w:p w14:paraId="2546D6FF" w14:textId="77777777" w:rsidR="00236983" w:rsidRDefault="00000000">
      <w:pPr>
        <w:pStyle w:val="FirstParagraph"/>
      </w:pPr>
      <w:r>
        <w:rPr>
          <w:b/>
          <w:bCs/>
        </w:rPr>
        <w:t>Document Version:</w:t>
      </w:r>
      <w:r>
        <w:t xml:space="preserve"> 2.0</w:t>
      </w:r>
      <w:r>
        <w:br/>
      </w:r>
      <w:r>
        <w:rPr>
          <w:b/>
          <w:bCs/>
        </w:rPr>
        <w:t>Last Updated:</w:t>
      </w:r>
      <w:r>
        <w:t xml:space="preserve"> October 15, 2025</w:t>
      </w:r>
      <w:r>
        <w:br/>
      </w:r>
      <w:r>
        <w:rPr>
          <w:b/>
          <w:bCs/>
        </w:rPr>
        <w:t>Includes:</w:t>
      </w:r>
      <w:r>
        <w:t xml:space="preserve"> FDA Guidance, EMA CHMP Guideline (EMA/CHMP/539146/2013), ICH Guidelines, Case Examples</w:t>
      </w:r>
      <w:bookmarkEnd w:id="99"/>
    </w:p>
    <w:sectPr w:rsidR="002369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2A61A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A06C1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C3C84FBC"/>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11"/>
    <w:multiLevelType w:val="multilevel"/>
    <w:tmpl w:val="263884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16"/>
    <w:multiLevelType w:val="multilevel"/>
    <w:tmpl w:val="9B34846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5" w15:restartNumberingAfterBreak="0">
    <w:nsid w:val="0A994111"/>
    <w:multiLevelType w:val="multilevel"/>
    <w:tmpl w:val="E63AE950"/>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6" w15:restartNumberingAfterBreak="0">
    <w:nsid w:val="0A994113"/>
    <w:multiLevelType w:val="multilevel"/>
    <w:tmpl w:val="AE5EF1A4"/>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7" w15:restartNumberingAfterBreak="0">
    <w:nsid w:val="0A994114"/>
    <w:multiLevelType w:val="multilevel"/>
    <w:tmpl w:val="3E0A5092"/>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8" w15:restartNumberingAfterBreak="0">
    <w:nsid w:val="0A994116"/>
    <w:multiLevelType w:val="multilevel"/>
    <w:tmpl w:val="DBDAB75C"/>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 w15:restartNumberingAfterBreak="0">
    <w:nsid w:val="0A994118"/>
    <w:multiLevelType w:val="multilevel"/>
    <w:tmpl w:val="D7B4D052"/>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num w:numId="1" w16cid:durableId="460729322">
    <w:abstractNumId w:val="0"/>
  </w:num>
  <w:num w:numId="2" w16cid:durableId="1313563222">
    <w:abstractNumId w:val="1"/>
  </w:num>
  <w:num w:numId="3" w16cid:durableId="1418331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420389">
    <w:abstractNumId w:val="1"/>
  </w:num>
  <w:num w:numId="5" w16cid:durableId="817262661">
    <w:abstractNumId w:val="1"/>
  </w:num>
  <w:num w:numId="6" w16cid:durableId="114951901">
    <w:abstractNumId w:val="1"/>
  </w:num>
  <w:num w:numId="7" w16cid:durableId="1375884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4024969">
    <w:abstractNumId w:val="1"/>
  </w:num>
  <w:num w:numId="9" w16cid:durableId="485439060">
    <w:abstractNumId w:val="1"/>
  </w:num>
  <w:num w:numId="10" w16cid:durableId="7737855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383680">
    <w:abstractNumId w:val="1"/>
  </w:num>
  <w:num w:numId="12" w16cid:durableId="1849371769">
    <w:abstractNumId w:val="1"/>
  </w:num>
  <w:num w:numId="13" w16cid:durableId="2060008957">
    <w:abstractNumId w:val="1"/>
  </w:num>
  <w:num w:numId="14" w16cid:durableId="475730176">
    <w:abstractNumId w:val="1"/>
  </w:num>
  <w:num w:numId="15" w16cid:durableId="1163206736">
    <w:abstractNumId w:val="1"/>
  </w:num>
  <w:num w:numId="16" w16cid:durableId="39477234">
    <w:abstractNumId w:val="1"/>
  </w:num>
  <w:num w:numId="17" w16cid:durableId="895236183">
    <w:abstractNumId w:val="1"/>
  </w:num>
  <w:num w:numId="18" w16cid:durableId="1975676913">
    <w:abstractNumId w:val="1"/>
  </w:num>
  <w:num w:numId="19" w16cid:durableId="1024406703">
    <w:abstractNumId w:val="1"/>
  </w:num>
  <w:num w:numId="20" w16cid:durableId="324750140">
    <w:abstractNumId w:val="1"/>
  </w:num>
  <w:num w:numId="21" w16cid:durableId="1038624324">
    <w:abstractNumId w:val="1"/>
  </w:num>
  <w:num w:numId="22" w16cid:durableId="67726321">
    <w:abstractNumId w:val="1"/>
  </w:num>
  <w:num w:numId="23" w16cid:durableId="1519154851">
    <w:abstractNumId w:val="1"/>
  </w:num>
  <w:num w:numId="24" w16cid:durableId="2115399632">
    <w:abstractNumId w:val="1"/>
  </w:num>
  <w:num w:numId="25" w16cid:durableId="2015961676">
    <w:abstractNumId w:val="1"/>
  </w:num>
  <w:num w:numId="26" w16cid:durableId="1259292563">
    <w:abstractNumId w:val="1"/>
  </w:num>
  <w:num w:numId="27" w16cid:durableId="1218592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68762567">
    <w:abstractNumId w:val="1"/>
  </w:num>
  <w:num w:numId="29" w16cid:durableId="1784613169">
    <w:abstractNumId w:val="1"/>
  </w:num>
  <w:num w:numId="30" w16cid:durableId="836579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13354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92894023">
    <w:abstractNumId w:val="1"/>
  </w:num>
  <w:num w:numId="33" w16cid:durableId="1187908244">
    <w:abstractNumId w:val="1"/>
  </w:num>
  <w:num w:numId="34" w16cid:durableId="928390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34356331">
    <w:abstractNumId w:val="1"/>
  </w:num>
  <w:num w:numId="36" w16cid:durableId="241986543">
    <w:abstractNumId w:val="1"/>
  </w:num>
  <w:num w:numId="37" w16cid:durableId="82654514">
    <w:abstractNumId w:val="1"/>
  </w:num>
  <w:num w:numId="38" w16cid:durableId="201748199">
    <w:abstractNumId w:val="1"/>
  </w:num>
  <w:num w:numId="39" w16cid:durableId="674109352">
    <w:abstractNumId w:val="1"/>
  </w:num>
  <w:num w:numId="40" w16cid:durableId="8928905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747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61805729">
    <w:abstractNumId w:val="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43" w16cid:durableId="1818766359">
    <w:abstractNumId w:val="9"/>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44" w16cid:durableId="18492468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08502643">
    <w:abstractNumId w:val="7"/>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46" w16cid:durableId="121701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64409485">
    <w:abstractNumId w:val="1"/>
  </w:num>
  <w:num w:numId="48" w16cid:durableId="1242984929">
    <w:abstractNumId w:val="1"/>
  </w:num>
  <w:num w:numId="49" w16cid:durableId="1454250365">
    <w:abstractNumId w:val="1"/>
  </w:num>
  <w:num w:numId="50" w16cid:durableId="1185902808">
    <w:abstractNumId w:val="2"/>
  </w:num>
  <w:num w:numId="51" w16cid:durableId="360668058">
    <w:abstractNumId w:val="2"/>
  </w:num>
  <w:num w:numId="52" w16cid:durableId="1734892911">
    <w:abstractNumId w:val="2"/>
  </w:num>
  <w:num w:numId="53" w16cid:durableId="284820459">
    <w:abstractNumId w:val="2"/>
  </w:num>
  <w:num w:numId="54" w16cid:durableId="393893325">
    <w:abstractNumId w:val="2"/>
  </w:num>
  <w:num w:numId="55" w16cid:durableId="1823110395">
    <w:abstractNumId w:val="2"/>
  </w:num>
  <w:num w:numId="56" w16cid:durableId="1794061246">
    <w:abstractNumId w:val="2"/>
  </w:num>
  <w:num w:numId="57" w16cid:durableId="1624995714">
    <w:abstractNumId w:val="2"/>
  </w:num>
  <w:num w:numId="58" w16cid:durableId="2072803632">
    <w:abstractNumId w:val="2"/>
  </w:num>
  <w:num w:numId="59" w16cid:durableId="871260561">
    <w:abstractNumId w:val="2"/>
  </w:num>
  <w:num w:numId="60" w16cid:durableId="319962337">
    <w:abstractNumId w:val="2"/>
  </w:num>
  <w:num w:numId="61" w16cid:durableId="1782914053">
    <w:abstractNumId w:val="2"/>
  </w:num>
  <w:num w:numId="62" w16cid:durableId="397485990">
    <w:abstractNumId w:val="2"/>
  </w:num>
  <w:num w:numId="63" w16cid:durableId="309553487">
    <w:abstractNumId w:val="2"/>
  </w:num>
  <w:num w:numId="64" w16cid:durableId="577054324">
    <w:abstractNumId w:val="2"/>
  </w:num>
  <w:num w:numId="65" w16cid:durableId="977034705">
    <w:abstractNumId w:val="2"/>
  </w:num>
  <w:num w:numId="66" w16cid:durableId="1982924056">
    <w:abstractNumId w:val="1"/>
  </w:num>
  <w:num w:numId="67" w16cid:durableId="325130564">
    <w:abstractNumId w:val="1"/>
  </w:num>
  <w:num w:numId="68" w16cid:durableId="1922138075">
    <w:abstractNumId w:val="1"/>
  </w:num>
  <w:num w:numId="69" w16cid:durableId="1055927139">
    <w:abstractNumId w:val="1"/>
  </w:num>
  <w:num w:numId="70" w16cid:durableId="421533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4135064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2" w16cid:durableId="1496798811">
    <w:abstractNumId w:val="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73" w16cid:durableId="791019572">
    <w:abstractNumId w:val="8"/>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74" w16cid:durableId="1556770332">
    <w:abstractNumId w:val="1"/>
  </w:num>
  <w:num w:numId="75" w16cid:durableId="20489454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25665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887254332">
    <w:abstractNumId w:val="1"/>
  </w:num>
  <w:num w:numId="78" w16cid:durableId="181524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36983"/>
    <w:rsid w:val="001E422D"/>
    <w:rsid w:val="00236983"/>
    <w:rsid w:val="007F2D92"/>
    <w:rsid w:val="0094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D485"/>
  <w15:docId w15:val="{3CF4639F-51D3-AF44-8B01-D3212E98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4606</Words>
  <Characters>26255</Characters>
  <Application>Microsoft Office Word</Application>
  <DocSecurity>0</DocSecurity>
  <Lines>218</Lines>
  <Paragraphs>61</Paragraphs>
  <ScaleCrop>false</ScaleCrop>
  <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Guide: Subgroup Analyses in Clinical Trials</dc:title>
  <dc:creator>Larry Leon, Alison Pedley, …</dc:creator>
  <cp:keywords/>
  <cp:lastModifiedBy>León, Larry</cp:lastModifiedBy>
  <cp:revision>3</cp:revision>
  <dcterms:created xsi:type="dcterms:W3CDTF">2025-10-16T06:58:00Z</dcterms:created>
  <dcterms:modified xsi:type="dcterms:W3CDTF">2025-10-17T15:39:00Z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2025-10-15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Regulatory Perspectives, Case Examples, and Practical Recommendations</vt:lpwstr>
  </property>
  <property fmtid="{D5CDD505-2E9C-101B-9397-08002B2CF9AE}" pid="11" name="toc-title">
    <vt:lpwstr>Table of contents</vt:lpwstr>
  </property>
  <property fmtid="{D5CDD505-2E9C-101B-9397-08002B2CF9AE}" pid="12" name="MSIP_Label_e81acc0d-dcc4-4dc9-a2c5-be70b05a2fe6_Enabled">
    <vt:lpwstr>true</vt:lpwstr>
  </property>
  <property fmtid="{D5CDD505-2E9C-101B-9397-08002B2CF9AE}" pid="13" name="MSIP_Label_e81acc0d-dcc4-4dc9-a2c5-be70b05a2fe6_SetDate">
    <vt:lpwstr>2025-10-16T19:01:13Z</vt:lpwstr>
  </property>
  <property fmtid="{D5CDD505-2E9C-101B-9397-08002B2CF9AE}" pid="14" name="MSIP_Label_e81acc0d-dcc4-4dc9-a2c5-be70b05a2fe6_Method">
    <vt:lpwstr>Privileged</vt:lpwstr>
  </property>
  <property fmtid="{D5CDD505-2E9C-101B-9397-08002B2CF9AE}" pid="15" name="MSIP_Label_e81acc0d-dcc4-4dc9-a2c5-be70b05a2fe6_Name">
    <vt:lpwstr>e81acc0d-dcc4-4dc9-a2c5-be70b05a2fe6</vt:lpwstr>
  </property>
  <property fmtid="{D5CDD505-2E9C-101B-9397-08002B2CF9AE}" pid="16" name="MSIP_Label_e81acc0d-dcc4-4dc9-a2c5-be70b05a2fe6_SiteId">
    <vt:lpwstr>a00de4ec-48a8-43a6-be74-e31274e2060d</vt:lpwstr>
  </property>
  <property fmtid="{D5CDD505-2E9C-101B-9397-08002B2CF9AE}" pid="17" name="MSIP_Label_e81acc0d-dcc4-4dc9-a2c5-be70b05a2fe6_ActionId">
    <vt:lpwstr>5c905f7b-f276-4b89-97cf-1f98d5caae09</vt:lpwstr>
  </property>
  <property fmtid="{D5CDD505-2E9C-101B-9397-08002B2CF9AE}" pid="18" name="MSIP_Label_e81acc0d-dcc4-4dc9-a2c5-be70b05a2fe6_ContentBits">
    <vt:lpwstr>0</vt:lpwstr>
  </property>
  <property fmtid="{D5CDD505-2E9C-101B-9397-08002B2CF9AE}" pid="19" name="MSIP_Label_e81acc0d-dcc4-4dc9-a2c5-be70b05a2fe6_Tag">
    <vt:lpwstr>50, 0, 1, 1</vt:lpwstr>
  </property>
</Properties>
</file>