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Informativeness of Small PICO Subpopulations in HTA</w:t>
      </w:r>
    </w:p>
    <w:p>
      <w:pPr>
        <w:pStyle w:val="Subtitle"/>
      </w:pPr>
      <w:r>
        <w:t xml:space="preserve">Manuscript feasibility assessment — version 2</w:t>
      </w:r>
    </w:p>
    <w:p>
      <w:pPr>
        <w:pStyle w:val="Author"/>
      </w:pPr>
      <w:r>
        <w:t xml:space="preserve">Prepared for L. F. León</w:t>
      </w:r>
    </w:p>
    <w:p>
      <w:pPr>
        <w:pStyle w:val="Date"/>
      </w:pPr>
      <w:r>
        <w:t xml:space="preserve">2026-10-18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Provenance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Supersedes v1 (16 Sept 2026). Incorporates the external evaluation received 18 Oct 2026, verification of its two factual claims, and Larry’s dispositions on framing, scope, datasets and venue. Companion files:</w:t>
            </w:r>
            <w:r>
              <w:t xml:space="preserve"> </w:t>
            </w:r>
            <w:r>
              <w:rPr>
                <w:rStyle w:val="VerbatimChar"/>
              </w:rPr>
              <w:t xml:space="preserve">FEASIBILITY_HTA_subpopulations_v2.docx</w:t>
            </w:r>
            <w:r>
              <w:t xml:space="preserve"> </w:t>
            </w:r>
            <w:r>
              <w:t xml:space="preserve">(Word),</w:t>
            </w:r>
            <w:r>
              <w:t xml:space="preserve"> </w:t>
            </w:r>
            <w:r>
              <w:rPr>
                <w:rStyle w:val="VerbatimChar"/>
              </w:rPr>
              <w:t xml:space="preserve">FEASIBILITY_extreme_subgroups_HTA.md</w:t>
            </w:r>
            <w:r>
              <w:t xml:space="preserve"> </w:t>
            </w:r>
            <w:r>
              <w:t xml:space="preserve">(v1).</w:t>
            </w:r>
          </w:p>
          <w:p/>
        </w:tc>
      </w:tr>
    </w:tbl>
    <w:bookmarkStart w:id="12" w:name="what-changed-from-v1"/>
    <w:p>
      <w:pPr>
        <w:pStyle w:val="Heading2"/>
      </w:pPr>
      <w:r>
        <w:t xml:space="preserve">0. What changed from v1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6"/>
        <w:gridCol w:w="1775"/>
        <w:gridCol w:w="5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v1 position</w:t>
            </w:r>
          </w:p>
        </w:tc>
        <w:tc>
          <w:tcPr/>
          <w:p>
            <w:pPr>
              <w:pStyle w:val="Compact"/>
            </w:pPr>
            <w:r>
              <w:t xml:space="preserve">v2 position (disposition)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object</w:t>
            </w:r>
          </w:p>
        </w:tc>
        <w:tc>
          <w:tcPr/>
          <w:p>
            <w:pPr>
              <w:pStyle w:val="Compact"/>
            </w:pPr>
            <w:r>
              <w:t xml:space="preserve">“Extreme subgroups” — chance behaviour of small trial subgroups</w:t>
            </w:r>
          </w:p>
        </w:tc>
        <w:tc>
          <w:tcPr/>
          <w:p>
            <w:pPr>
              <w:pStyle w:val="Compact"/>
            </w:pPr>
            <w:r>
              <w:t xml:space="preserve">Informativeness of policy-defined PICO subpopulations (JCA / Member-State requests); “subgroup” reserved for effect-modification within a PICO. Approved.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Novelty claim</w:t>
            </w:r>
          </w:p>
        </w:tc>
        <w:tc>
          <w:tcPr/>
          <w:p>
            <w:pPr>
              <w:pStyle w:val="Compact"/>
            </w:pPr>
            <w:r>
              <w:t xml:space="preserve">“Nothing published does this”</w:t>
            </w:r>
          </w:p>
        </w:tc>
        <w:tc>
          <w:tcPr/>
          <w:p>
            <w:pPr>
              <w:pStyle w:val="Compact"/>
            </w:pPr>
            <w:r>
              <w:t xml:space="preserve">Narrowed: no trial-specific, computable assessment of whether a requested subpopulation can be informatively analysed, with a calibration benchmark; conference precursor exists (own group, PSI June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Size dimension only</w:t>
            </w:r>
          </w:p>
        </w:tc>
        <w:tc>
          <w:tcPr/>
          <w:p>
            <w:pPr>
              <w:pStyle w:val="Compact"/>
            </w:pPr>
            <w:r>
              <w:t xml:space="preserve">Two-comparison problem first (requested subpopulation and its complement); K-population extension recorded as essential but deferred to a second paper. Approved.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Datasets</w:t>
            </w:r>
          </w:p>
        </w:tc>
        <w:tc>
          <w:tcPr/>
          <w:p>
            <w:pPr>
              <w:pStyle w:val="Compact"/>
            </w:pPr>
            <w:r>
              <w:t xml:space="preserve">GBSG only</w:t>
            </w:r>
          </w:p>
        </w:tc>
        <w:tc>
          <w:tcPr/>
          <w:p>
            <w:pPr>
              <w:pStyle w:val="Compact"/>
            </w:pPr>
            <w:r>
              <w:t xml:space="preserve">GBSG and ACTG-175. Approved.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</w:t>
            </w:r>
          </w:p>
        </w:tc>
        <w:tc>
          <w:tcPr/>
          <w:p>
            <w:pPr>
              <w:pStyle w:val="Compact"/>
            </w:pPr>
            <w:r>
              <w:t xml:space="preserve">Pharmaceutical Statistics → Value in Health</w:t>
            </w:r>
          </w:p>
        </w:tc>
        <w:tc>
          <w:tcPr/>
          <w:p>
            <w:pPr>
              <w:pStyle w:val="Compact"/>
            </w:pPr>
            <w:r>
              <w:t xml:space="preserve">Pharmaceutical Statistics → IJTAHC; Value in Health reserved for the K-population paper. Detailed in §6.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Terminology</w:t>
            </w:r>
          </w:p>
        </w:tc>
        <w:tc>
          <w:tcPr/>
          <w:p>
            <w:pPr>
              <w:pStyle w:val="Compact"/>
            </w:pPr>
            <w:r>
              <w:t xml:space="preserve">“False alarm rate”; UB ≥ 2 / ≥ 3</w:t>
            </w:r>
          </w:p>
        </w:tc>
        <w:tc>
          <w:tcPr/>
          <w:p>
            <w:pPr>
              <w:pStyle w:val="Compact"/>
            </w:pPr>
            <w:r>
              <w:t xml:space="preserve">“Threshold-crossing probability”; thresholds tied to clinically meaningful loss of benefit; add P(CI excludes minimum worthwhile benefit) and P(point estimate reverses)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Co-authorship risk</w:t>
            </w:r>
          </w:p>
        </w:tc>
        <w:tc>
          <w:tcPr/>
          <w:p>
            <w:pPr>
              <w:pStyle w:val="Compact"/>
            </w:pPr>
            <w:r>
              <w:t xml:space="preserve">Needs an HTA practitioner</w:t>
            </w:r>
          </w:p>
        </w:tc>
        <w:tc>
          <w:tcPr/>
          <w:p>
            <w:pPr>
              <w:pStyle w:val="Compact"/>
            </w:pPr>
            <w:r>
              <w:t xml:space="preserve">Largely closed: PSI abstract co-authors (MSD, Lilly, Novo Nordisk, UCB, Cogent) are the HTA-SIG constituency</w:t>
            </w:r>
          </w:p>
        </w:tc>
      </w:tr>
    </w:tbl>
    <w:bookmarkEnd w:id="12"/>
    <w:bookmarkStart w:id="13" w:name="bottom-line"/>
    <w:p>
      <w:pPr>
        <w:pStyle w:val="Heading2"/>
      </w:pPr>
      <w:r>
        <w:t xml:space="preserve">1. Bottom line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Verdict: feasible; publishable with the reframing and the additions</w:t>
      </w:r>
      <w:r>
        <w:rPr>
          <w:b/>
          <w:bCs/>
        </w:rPr>
        <w:t xml:space="preserve"> </w:t>
      </w:r>
      <w:r>
        <w:rPr>
          <w:b/>
          <w:bCs/>
        </w:rPr>
        <w:t xml:space="preserve">below.</w:t>
      </w:r>
      <w:r>
        <w:t xml:space="preserve"> </w:t>
      </w:r>
      <w:r>
        <w:t xml:space="preserve">The external evaluation is right that v1 overstated the gap</w:t>
      </w:r>
      <w:r>
        <w:t xml:space="preserve"> </w:t>
      </w:r>
      <w:r>
        <w:t xml:space="preserve">and wrong that the PSI abstract makes the paper incremental — the</w:t>
      </w:r>
      <w:r>
        <w:t xml:space="preserve"> </w:t>
      </w:r>
      <w:r>
        <w:t xml:space="preserve">abstract is this group’s own precursor and the journal paper is its</w:t>
      </w:r>
      <w:r>
        <w:t xml:space="preserve"> </w:t>
      </w:r>
      <w:r>
        <w:t xml:space="preserve">full report.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Defensible claim:</w:t>
      </w:r>
      <w:r>
        <w:t xml:space="preserve"> </w:t>
      </w:r>
      <w:r>
        <w:t xml:space="preserve">existing guidance identifies the risks of small</w:t>
      </w:r>
      <w:r>
        <w:t xml:space="preserve"> </w:t>
      </w:r>
      <w:r>
        <w:t xml:space="preserve">and multiple subgroup analyses, and JCA evidence documents</w:t>
      </w:r>
      <w:r>
        <w:t xml:space="preserve"> </w:t>
      </w:r>
      <w:r>
        <w:t xml:space="preserve">proliferation of policy-defined PICO subpopulations; what is missing</w:t>
      </w:r>
      <w:r>
        <w:t xml:space="preserve"> </w:t>
      </w:r>
      <w:r>
        <w:t xml:space="preserve">is a transparent, trial-specific way to quantify whether the available</w:t>
      </w:r>
      <w:r>
        <w:t xml:space="preserve"> </w:t>
      </w:r>
      <w:r>
        <w:t xml:space="preserve">randomised evidence can support stable interpretation for a requested</w:t>
      </w:r>
      <w:r>
        <w:t xml:space="preserve"> </w:t>
      </w:r>
      <w:r>
        <w:t xml:space="preserve">subpopulation. The paper supplies that, calibrated against same-size</w:t>
      </w:r>
      <w:r>
        <w:t xml:space="preserve"> </w:t>
      </w:r>
      <w:r>
        <w:t xml:space="preserve">random subsets and against the analytical normal approximation.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decision framing:</w:t>
      </w:r>
      <w:r>
        <w:t xml:space="preserve"> </w:t>
      </w:r>
      <w:r>
        <w:t xml:space="preserve">a rule that permits a subpopulation analysis</w:t>
      </w:r>
      <w:r>
        <w:t xml:space="preserve"> </w:t>
      </w:r>
      <w:r>
        <w:t xml:space="preserve">to be processed (IQWiG ≥10 patients / ≥10 events; rule-of-thumb N ≥ 20</w:t>
      </w:r>
      <w:r>
        <w:t xml:space="preserve"> </w:t>
      </w:r>
      <w:r>
        <w:t xml:space="preserve">per arm) is not a rule that the result is decision-informative. The</w:t>
      </w:r>
      <w:r>
        <w:t xml:space="preserve"> </w:t>
      </w:r>
      <w:r>
        <w:t xml:space="preserve">output is a transparent qualification of informativeness, not a</w:t>
      </w:r>
      <w:r>
        <w:t xml:space="preserve"> </w:t>
      </w:r>
      <w:r>
        <w:t xml:space="preserve">refusal of a requested PICO.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Venue:</w:t>
      </w:r>
      <w:r>
        <w:t xml:space="preserve"> </w:t>
      </w:r>
      <w:r>
        <w:t xml:space="preserve">Pharmaceutical Statistics (primary), IJTAHC (secondary);</w:t>
      </w:r>
      <w:r>
        <w:t xml:space="preserve"> </w:t>
      </w:r>
      <w:r>
        <w:t xml:space="preserve">Value in Health for the later K-population paper.</w:t>
      </w:r>
    </w:p>
    <w:bookmarkEnd w:id="13"/>
    <w:bookmarkStart w:id="16" w:name="verification-of-the-external-evaluation"/>
    <w:p>
      <w:pPr>
        <w:pStyle w:val="Heading2"/>
      </w:pPr>
      <w:r>
        <w:t xml:space="preserve">2. Verification of the external evaluation</w:t>
      </w:r>
    </w:p>
    <w:bookmarkStart w:id="14" w:name="the-two-factual-claims"/>
    <w:p>
      <w:pPr>
        <w:pStyle w:val="Heading3"/>
      </w:pPr>
      <w:r>
        <w:t xml:space="preserve">2.1 The two factual claims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62"/>
        <w:gridCol w:w="5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2026 PSI abstract already discloses the concept</w:t>
            </w:r>
          </w:p>
        </w:tc>
        <w:tc>
          <w:tcPr/>
          <w:p>
            <w:pPr>
              <w:pStyle w:val="Compact"/>
            </w:pPr>
            <w:r>
              <w:t xml:space="preserve">Yes — own group</w:t>
            </w:r>
          </w:p>
        </w:tc>
        <w:tc>
          <w:tcPr/>
          <w:p>
            <w:pPr>
              <w:pStyle w:val="Compact"/>
            </w:pPr>
            <w:r>
              <w:t xml:space="preserve">“All PICOs Great and Small: Dealing with small subpopulations in the EU HTA landscape”, PSI Conference 15 June 2026. Gelb (MSD), Baldwin (Cogent), Masoudi (Lilly), Ivkovic (Novo Nordisk), Berggren (UCB), Leon (Merck). GBSG; uniform benefit; upper-CI behaviour; objective “simulations add rigour to rule-of-thumb (N ≥ 20/arm)”. Reports mean UB = 3.84 at N = 66 vs 0.87 for ITT (N = 686).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FDA presentation gives P(≥1 negative subset) analytically and distinguishes subgroup from subpopulation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Sue-Jane Wang (FDA), EMA subgroup workshop, Nov 2011. Product-of-normal-CDFs expression across S mutually exclusive subgroups under a common effect, attributed to Li et al. 2007. Subpopulation = label-restricted subset. No numerical results for that probability.</w:t>
            </w:r>
          </w:p>
        </w:tc>
      </w:tr>
    </w:tbl>
    <w:bookmarkEnd w:id="14"/>
    <w:bookmarkStart w:id="15" w:name="point-by-point-response"/>
    <w:p>
      <w:pPr>
        <w:pStyle w:val="Heading3"/>
      </w:pPr>
      <w:r>
        <w:t xml:space="preserve">2.2 Point-by-point response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5"/>
        <w:gridCol w:w="1336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Evaluation point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Action in the manuscript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Subpopulation (PICO) ≠ subgroup (effect modification)</w:t>
            </w:r>
          </w:p>
        </w:tc>
        <w:tc>
          <w:tcPr/>
          <w:p>
            <w:pPr>
              <w:pStyle w:val="Compact"/>
            </w:pPr>
            <w:r>
              <w:t xml:space="preserve">Agree; the PSI abstract already uses this vocabulary</w:t>
            </w:r>
          </w:p>
        </w:tc>
        <w:tc>
          <w:tcPr/>
          <w:p>
            <w:pPr>
              <w:pStyle w:val="Compact"/>
            </w:pPr>
            <w:r>
              <w:t xml:space="preserve">Adopt as organising distinction; title and abstract use “subpopulation”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“Nothing published does this” overstated</w:t>
            </w:r>
          </w:p>
        </w:tc>
        <w:tc>
          <w:tcPr/>
          <w:p>
            <w:pPr>
              <w:pStyle w:val="Compact"/>
            </w:pPr>
            <w:r>
              <w:t xml:space="preserve">Agree</w:t>
            </w:r>
          </w:p>
        </w:tc>
        <w:tc>
          <w:tcPr/>
          <w:p>
            <w:pPr>
              <w:pStyle w:val="Compact"/>
            </w:pPr>
            <w:r>
              <w:t xml:space="preserve">Replace with the narrowed claim in 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 abstract makes the paper incremental</w:t>
            </w:r>
          </w:p>
        </w:tc>
        <w:tc>
          <w:tcPr/>
          <w:p>
            <w:pPr>
              <w:pStyle w:val="Compact"/>
            </w:pPr>
            <w:r>
              <w:t xml:space="preserve">Disagree in part</w:t>
            </w:r>
          </w:p>
        </w:tc>
        <w:tc>
          <w:tcPr/>
          <w:p>
            <w:pPr>
              <w:pStyle w:val="Compact"/>
            </w:pPr>
            <w:r>
              <w:t xml:space="preserve">Cite as precursor; the paper adds ACTG-175, formal definitions, analytical comparison, shrinkage positioning and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Many-subpopulation dimension missing</w:t>
            </w:r>
          </w:p>
        </w:tc>
        <w:tc>
          <w:tcPr/>
          <w:p>
            <w:pPr>
              <w:pStyle w:val="Compact"/>
            </w:pPr>
            <w:r>
              <w:t xml:space="preserve">Agree; deferred by disposition</w:t>
            </w:r>
          </w:p>
        </w:tc>
        <w:tc>
          <w:tcPr/>
          <w:p>
            <w:pPr>
              <w:pStyle w:val="Compact"/>
            </w:pPr>
            <w:r>
              <w:t xml:space="preserve">Record as essential; second paper; one paragraph in 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“Clinical subgroup of size N behaves exactly like random subgroup of size N” needs qualification</w:t>
            </w:r>
          </w:p>
        </w:tc>
        <w:tc>
          <w:tcPr/>
          <w:p>
            <w:pPr>
              <w:pStyle w:val="Compact"/>
            </w:pPr>
            <w:r>
              <w:t xml:space="preserve">Agree</w:t>
            </w:r>
          </w:p>
        </w:tc>
        <w:tc>
          <w:tcPr/>
          <w:p>
            <w:pPr>
              <w:pStyle w:val="Compact"/>
            </w:pPr>
            <w:r>
              <w:t xml:space="preserve">State: under uniform HR, conditional on N and events, the chance distribution coincides; definition can still change baseline hazard, event count and transportability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Thresholds UB ≥ 2 / ≥ 3 look arbitrary; “false alarm” is wrong</w:t>
            </w:r>
          </w:p>
        </w:tc>
        <w:tc>
          <w:tcPr/>
          <w:p>
            <w:pPr>
              <w:pStyle w:val="Compact"/>
            </w:pPr>
            <w:r>
              <w:t xml:space="preserve">Agree on wording; partly on thresholds</w:t>
            </w:r>
          </w:p>
        </w:tc>
        <w:tc>
          <w:tcPr/>
          <w:p>
            <w:pPr>
              <w:pStyle w:val="Compact"/>
            </w:pPr>
            <w:r>
              <w:t xml:space="preserve">Keep as illustrative; add P(CI excludes minimum worthwhile benefit), P(point estimate reverses direction), expected log-HR CI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 with simpler alternatives</w:t>
            </w:r>
          </w:p>
        </w:tc>
        <w:tc>
          <w:tcPr/>
          <w:p>
            <w:pPr>
              <w:pStyle w:val="Compact"/>
            </w:pPr>
            <w:r>
              <w:t xml:space="preserve">Agree</w:t>
            </w:r>
          </w:p>
        </w:tc>
        <w:tc>
          <w:tcPr/>
          <w:p>
            <w:pPr>
              <w:pStyle w:val="Compact"/>
            </w:pPr>
            <w:r>
              <w:t xml:space="preserve">Panel: normal approximation on log-HR vs simulation; event-count rule; shrinkage positioned as complementary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beyond GBSG</w:t>
            </w:r>
          </w:p>
        </w:tc>
        <w:tc>
          <w:tcPr/>
          <w:p>
            <w:pPr>
              <w:pStyle w:val="Compact"/>
            </w:pPr>
            <w:r>
              <w:t xml:space="preserve">Agree</w:t>
            </w:r>
          </w:p>
        </w:tc>
        <w:tc>
          <w:tcPr/>
          <w:p>
            <w:pPr>
              <w:pStyle w:val="Compact"/>
            </w:pPr>
            <w:r>
              <w:t xml:space="preserve">ACTG-175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IQWiG 10/10 is a processing threshold; rare-disease “small populations” are a different thing</w:t>
            </w:r>
          </w:p>
        </w:tc>
        <w:tc>
          <w:tcPr/>
          <w:p>
            <w:pPr>
              <w:pStyle w:val="Compact"/>
            </w:pPr>
            <w:r>
              <w:t xml:space="preserve">Agree</w:t>
            </w:r>
          </w:p>
        </w:tc>
        <w:tc>
          <w:tcPr/>
          <w:p>
            <w:pPr>
              <w:pStyle w:val="Compact"/>
            </w:pPr>
            <w:r>
              <w:t xml:space="preserve">Reframe; keep the three situations separate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“Disallow” is the wrong framing under JCA</w:t>
            </w:r>
          </w:p>
        </w:tc>
        <w:tc>
          <w:tcPr/>
          <w:p>
            <w:pPr>
              <w:pStyle w:val="Compact"/>
            </w:pPr>
            <w:r>
              <w:t xml:space="preserve">Agree</w:t>
            </w:r>
          </w:p>
        </w:tc>
        <w:tc>
          <w:tcPr/>
          <w:p>
            <w:pPr>
              <w:pStyle w:val="Compact"/>
            </w:pPr>
            <w:r>
              <w:t xml:space="preserve">Qualification of informativeness, with reporting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IJTAHC may be the best fit</w:t>
            </w:r>
          </w:p>
        </w:tc>
        <w:tc>
          <w:tcPr/>
          <w:p>
            <w:pPr>
              <w:pStyle w:val="Compact"/>
            </w:pPr>
            <w:r>
              <w:t xml:space="preserve">Partly</w:t>
            </w:r>
          </w:p>
        </w:tc>
        <w:tc>
          <w:tcPr/>
          <w:p>
            <w:pPr>
              <w:pStyle w:val="Compact"/>
            </w:pPr>
            <w:r>
              <w:t xml:space="preserve">IJTAHC moves to secondary; see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an HTA practitioner co-author</w:t>
            </w:r>
          </w:p>
        </w:tc>
        <w:tc>
          <w:tcPr/>
          <w:p>
            <w:pPr>
              <w:pStyle w:val="Compact"/>
            </w:pPr>
            <w:r>
              <w:t xml:space="preserve">Largely moot</w:t>
            </w:r>
          </w:p>
        </w:tc>
        <w:tc>
          <w:tcPr/>
          <w:p>
            <w:pPr>
              <w:pStyle w:val="Compact"/>
            </w:pPr>
            <w:r>
              <w:t xml:space="preserve">PSI co-author group</w:t>
            </w:r>
          </w:p>
        </w:tc>
      </w:tr>
    </w:tbl>
    <w:bookmarkEnd w:id="15"/>
    <w:bookmarkEnd w:id="16"/>
    <w:bookmarkStart w:id="21" w:name="the-reframed-paper"/>
    <w:p>
      <w:pPr>
        <w:pStyle w:val="Heading2"/>
      </w:pPr>
      <w:r>
        <w:t xml:space="preserve">3. The reframed paper</w:t>
      </w:r>
    </w:p>
    <w:bookmarkStart w:id="17" w:name="title-and-question"/>
    <w:p>
      <w:pPr>
        <w:pStyle w:val="Heading3"/>
      </w:pPr>
      <w:r>
        <w:t xml:space="preserve">3.1 Title and question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Working title:</w:t>
      </w:r>
      <w:r>
        <w:t xml:space="preserve"> </w:t>
      </w:r>
      <w:r>
        <w:t xml:space="preserve">Assessing the informativeness of small PICO</w:t>
      </w:r>
      <w:r>
        <w:t xml:space="preserve"> </w:t>
      </w:r>
      <w:r>
        <w:t xml:space="preserve">subpopulations in health technology assessment: trial-specific</w:t>
      </w:r>
      <w:r>
        <w:t xml:space="preserve"> </w:t>
      </w:r>
      <w:r>
        <w:t xml:space="preserve">simulation and calibration.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Question:</w:t>
      </w:r>
      <w:r>
        <w:t xml:space="preserve"> </w:t>
      </w:r>
      <w:r>
        <w:t xml:space="preserve">before a requested subpopulation effect is interpreted</w:t>
      </w:r>
      <w:r>
        <w:t xml:space="preserve"> </w:t>
      </w:r>
      <w:r>
        <w:t xml:space="preserve">or reported, can the completed trial provide a stated level of</w:t>
      </w:r>
      <w:r>
        <w:t xml:space="preserve"> </w:t>
      </w:r>
      <w:r>
        <w:t xml:space="preserve">precision or decision stability for that subpopulation under plausible</w:t>
      </w:r>
      <w:r>
        <w:t xml:space="preserve"> </w:t>
      </w:r>
      <w:r>
        <w:t xml:space="preserve">outcome and treatment-effect models?</w:t>
      </w:r>
    </w:p>
    <w:bookmarkEnd w:id="17"/>
    <w:bookmarkStart w:id="18" w:name="X0318e3ea7de3aa81520cf9313dc8155d4fb3041"/>
    <w:p>
      <w:pPr>
        <w:pStyle w:val="Heading3"/>
      </w:pPr>
      <w:r>
        <w:t xml:space="preserve">3.2 The two-comparison problem (scope of this paper)</w:t>
      </w:r>
    </w:p>
    <w:p>
      <w:pPr>
        <w:numPr>
          <w:ilvl w:val="0"/>
          <w:numId w:val="1003"/>
        </w:numPr>
      </w:pPr>
      <w:r>
        <w:t xml:space="preserve">Setting: one PICO request splits the trial into a requested</w:t>
      </w:r>
      <w:r>
        <w:t xml:space="preserve"> </w:t>
      </w:r>
      <w:r>
        <w:t xml:space="preserve">subpopulation and its complement (biomarker-positive / negative;</w:t>
      </w:r>
      <w:r>
        <w:t xml:space="preserve"> </w:t>
      </w:r>
      <w:r>
        <w:t xml:space="preserve">region / rest of world; age band / rest). This is the most frequent</w:t>
      </w:r>
      <w:r>
        <w:t xml:space="preserve"> </w:t>
      </w:r>
      <w:r>
        <w:t xml:space="preserve">single request and the S = 2 case of the Wang/Li analytical</w:t>
      </w:r>
      <w:r>
        <w:t xml:space="preserve"> </w:t>
      </w:r>
      <w:r>
        <w:t xml:space="preserve">expression, which gives a closed-form benchmark.</w:t>
      </w:r>
    </w:p>
    <w:p>
      <w:pPr>
        <w:numPr>
          <w:ilvl w:val="0"/>
          <w:numId w:val="1003"/>
        </w:numPr>
      </w:pPr>
      <w:r>
        <w:t xml:space="preserve">Quantities per subpopulation and complement, under a uniform true</w:t>
      </w:r>
      <w:r>
        <w:t xml:space="preserve"> </w:t>
      </w:r>
      <w:r>
        <w:t xml:space="preserve">effect: threshold-crossing probabilities for the upper bound at</w:t>
      </w:r>
      <w:r>
        <w:t xml:space="preserve"> </w:t>
      </w:r>
      <w:r>
        <w:t xml:space="preserve">clinically defined thresholds; P(CI excludes a minimum worthwhile</w:t>
      </w:r>
      <w:r>
        <w:t xml:space="preserve"> </w:t>
      </w:r>
      <w:r>
        <w:t xml:space="preserve">benefit); P(point estimate on the wrong side of no effect); median and</w:t>
      </w:r>
      <w:r>
        <w:t xml:space="preserve"> </w:t>
      </w:r>
      <w:r>
        <w:t xml:space="preserve">1st–99th percentile of estimate and upper bound.</w:t>
      </w:r>
    </w:p>
    <w:p>
      <w:pPr>
        <w:numPr>
          <w:ilvl w:val="0"/>
          <w:numId w:val="1003"/>
        </w:numPr>
      </w:pPr>
      <w:r>
        <w:t xml:space="preserve">Calibration: same-size random subsets as a negative-control benchmark;</w:t>
      </w:r>
      <w:r>
        <w:t xml:space="preserve"> </w:t>
      </w:r>
      <w:r>
        <w:t xml:space="preserve">normal approximation on the log-HR scale as the analytical check;</w:t>
      </w:r>
      <w:r>
        <w:t xml:space="preserve"> </w:t>
      </w:r>
      <w:r>
        <w:t xml:space="preserve">where they diverge (few events) is itself a finding.</w:t>
      </w:r>
    </w:p>
    <w:p>
      <w:pPr>
        <w:numPr>
          <w:ilvl w:val="0"/>
          <w:numId w:val="1003"/>
        </w:numPr>
      </w:pPr>
      <w:r>
        <w:t xml:space="preserve">Heterogeneous-effect appendix: same tool with a genuine effect</w:t>
      </w:r>
      <w:r>
        <w:t xml:space="preserve"> </w:t>
      </w:r>
      <w:r>
        <w:t xml:space="preserve">modifier, to show the envelope separates signal from size.</w:t>
      </w:r>
    </w:p>
    <w:p>
      <w:pPr>
        <w:numPr>
          <w:ilvl w:val="0"/>
          <w:numId w:val="1003"/>
        </w:numPr>
      </w:pPr>
      <w:r>
        <w:t xml:space="preserve">Fixed-baseline (conditional-on-X) design retained as the primary;</w:t>
      </w:r>
      <w:r>
        <w:t xml:space="preserve"> </w:t>
      </w:r>
      <w:r>
        <w:t xml:space="preserve">random-X as sensitivity. The paper must reconcile with the PSI</w:t>
      </w:r>
      <w:r>
        <w:t xml:space="preserve"> </w:t>
      </w:r>
      <w:r>
        <w:t xml:space="preserve">abstract’s mean UB = 3.84 at N = 66 (presumably random-X, mean) versus</w:t>
      </w:r>
      <w:r>
        <w:t xml:space="preserve"> </w:t>
      </w:r>
      <w:r>
        <w:t xml:space="preserve">the fixed-baseline median UB = 1.63 at N = 60, and carry one</w:t>
      </w:r>
      <w:r>
        <w:t xml:space="preserve"> </w:t>
      </w:r>
      <w:r>
        <w:t xml:space="preserve">consistent set of numbers.</w:t>
      </w:r>
    </w:p>
    <w:bookmarkEnd w:id="18"/>
    <w:bookmarkStart w:id="19" w:name="datasets"/>
    <w:p>
      <w:pPr>
        <w:pStyle w:val="Heading3"/>
      </w:pPr>
      <w:r>
        <w:t xml:space="preserve">3.3 Datasets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7"/>
        <w:gridCol w:w="1646"/>
        <w:gridCol w:w="2355"/>
        <w:gridCol w:w="30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Endpoint(s)</w:t>
            </w:r>
          </w:p>
        </w:tc>
        <w:tc>
          <w:tcPr/>
          <w:p>
            <w:pPr>
              <w:pStyle w:val="Compact"/>
            </w:pPr>
            <w:r>
              <w:t xml:space="preserve">Subpopulation structure available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GBSG (survival::gbsg), N = 686</w:t>
            </w:r>
          </w:p>
        </w:tc>
        <w:tc>
          <w:tcPr/>
          <w:p>
            <w:pPr>
              <w:pStyle w:val="Compact"/>
            </w:pPr>
            <w:r>
              <w:t xml:space="preserve">Recurrence-free survival (time-to-event)</w:t>
            </w:r>
          </w:p>
        </w:tc>
        <w:tc>
          <w:tcPr/>
          <w:p>
            <w:pPr>
              <w:pStyle w:val="Compact"/>
            </w:pPr>
            <w:r>
              <w:t xml:space="preserve">Menopausal status, age, grade, nodes, ER/PGR; combinations down to N ≈ 35</w:t>
            </w:r>
          </w:p>
        </w:tc>
        <w:tc>
          <w:tcPr/>
          <w:p>
            <w:pPr>
              <w:pStyle w:val="Compact"/>
            </w:pPr>
            <w:r>
              <w:t xml:space="preserve">Lacks sex and region; continuity with PSI 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ACTG-175 (speff2trial::ACTG175), N ≈ 2,139</w:t>
            </w:r>
          </w:p>
        </w:tc>
        <w:tc>
          <w:tcPr/>
          <w:p>
            <w:pPr>
              <w:pStyle w:val="Compact"/>
            </w:pPr>
            <w:r>
              <w:t xml:space="preserve">Time to AIDS/death (survival); CD4 at 20 weeks (continuous); binary derivable</w:t>
            </w:r>
          </w:p>
        </w:tc>
        <w:tc>
          <w:tcPr/>
          <w:p>
            <w:pPr>
              <w:pStyle w:val="Compact"/>
            </w:pPr>
            <w:r>
              <w:t xml:space="preserve">Sex, race, age, IDU history, prior ZDV, Karnofsky, baseline CD4 strata; four arms — choose one two-arm contrast</w:t>
            </w:r>
          </w:p>
        </w:tc>
        <w:tc>
          <w:tcPr/>
          <w:p>
            <w:pPr>
              <w:pStyle w:val="Compact"/>
            </w:pPr>
            <w:r>
              <w:t xml:space="preserve">Supplies the second endpoint type and a larger trial with small natural subpopulations; existing self-contained application folder in the repo</w:t>
            </w:r>
          </w:p>
        </w:tc>
      </w:tr>
    </w:tbl>
    <w:bookmarkEnd w:id="19"/>
    <w:bookmarkStart w:id="20" w:name="X0681bfc7b6766c1313cac31679f17c987428eb7"/>
    <w:p>
      <w:pPr>
        <w:pStyle w:val="Heading3"/>
      </w:pPr>
      <w:r>
        <w:t xml:space="preserve">3.4 K-population extension (deferred; second paper)</w:t>
      </w:r>
    </w:p>
    <w:p>
      <w:pPr>
        <w:numPr>
          <w:ilvl w:val="0"/>
          <w:numId w:val="1004"/>
        </w:numPr>
      </w:pPr>
      <w:r>
        <w:t xml:space="preserve">Vary K; prevalence and event count; mutually exclusive vs nested vs</w:t>
      </w:r>
      <w:r>
        <w:t xml:space="preserve"> </w:t>
      </w:r>
      <w:r>
        <w:t xml:space="preserve">overlapping definitions; correlation among defining characteristics;</w:t>
      </w:r>
      <w:r>
        <w:t xml:space="preserve"> </w:t>
      </w:r>
      <w:r>
        <w:t xml:space="preserve">imbalance; one true effect modifier vs uniform effect; survival,</w:t>
      </w:r>
      <w:r>
        <w:t xml:space="preserve"> </w:t>
      </w:r>
      <w:r>
        <w:t xml:space="preserve">binary and continuous endpoints.</w:t>
      </w:r>
    </w:p>
    <w:p>
      <w:pPr>
        <w:numPr>
          <w:ilvl w:val="0"/>
          <w:numId w:val="1004"/>
        </w:numPr>
      </w:pPr>
      <w:r>
        <w:t xml:space="preserve">Report per-population threshold-crossing and family-level P(at least</w:t>
      </w:r>
      <w:r>
        <w:t xml:space="preserve"> </w:t>
      </w:r>
      <w:r>
        <w:t xml:space="preserve">one discordant population). Compare with the Wang/Li</w:t>
      </w:r>
      <w:r>
        <w:t xml:space="preserve"> </w:t>
      </w:r>
      <w:r>
        <w:t xml:space="preserve">mutually-exclusive formula.</w:t>
      </w:r>
    </w:p>
    <w:p>
      <w:pPr>
        <w:numPr>
          <w:ilvl w:val="0"/>
          <w:numId w:val="1004"/>
        </w:numPr>
      </w:pPr>
      <w:r>
        <w:t xml:space="preserve">Natural home: Value in Health (methodological, policy hook = PICO</w:t>
      </w:r>
      <w:r>
        <w:t xml:space="preserve"> </w:t>
      </w:r>
      <w:r>
        <w:t xml:space="preserve">proliferation) or IJTAHC.</w:t>
      </w:r>
    </w:p>
    <w:bookmarkEnd w:id="20"/>
    <w:bookmarkEnd w:id="21"/>
    <w:bookmarkStart w:id="24" w:name="precedent-updated"/>
    <w:p>
      <w:pPr>
        <w:pStyle w:val="Heading2"/>
      </w:pPr>
      <w:r>
        <w:t xml:space="preserve">4. Precedent (updated)</w:t>
      </w:r>
    </w:p>
    <w:bookmarkStart w:id="22" w:name="directly-about-hta-subpopulations"/>
    <w:p>
      <w:pPr>
        <w:pStyle w:val="Heading3"/>
      </w:pPr>
      <w:r>
        <w:t xml:space="preserve">4.1 Directly about HTA subpopulations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555"/>
        <w:gridCol w:w="24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What it gives</w:t>
            </w:r>
          </w:p>
        </w:tc>
        <w:tc>
          <w:tcPr/>
          <w:p>
            <w:pPr>
              <w:pStyle w:val="Compact"/>
            </w:pPr>
            <w:r>
              <w:t xml:space="preserve">What it lacks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 2026 abstract (own group)</w:t>
            </w:r>
          </w:p>
        </w:tc>
        <w:tc>
          <w:tcPr/>
          <w:p>
            <w:pPr>
              <w:pStyle w:val="Compact"/>
            </w:pPr>
            <w:r>
              <w:t xml:space="preserve">The question, the vocabulary, GBSG simulation, UB behaviour, rule-of-thumb critique</w:t>
            </w:r>
          </w:p>
        </w:tc>
        <w:tc>
          <w:tcPr/>
          <w:p>
            <w:pPr>
              <w:pStyle w:val="Compact"/>
            </w:pPr>
            <w:r>
              <w:t xml:space="preserve">Second dataset, formal definitions, analytical comparison, shrinkage positioning,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Steck et al. 2026, JMAHP</w:t>
            </w:r>
          </w:p>
        </w:tc>
        <w:tc>
          <w:tcPr/>
          <w:p>
            <w:pPr>
              <w:pStyle w:val="Compact"/>
            </w:pPr>
            <w:r>
              <w:t xml:space="preserve">35 PICO exercises; ~8 consolidated PICOs per assessment; 67 in a 25-country NSCLC simulation; consolidation criteria undefined</w:t>
            </w:r>
          </w:p>
        </w:tc>
        <w:tc>
          <w:tcPr/>
          <w:p>
            <w:pPr>
              <w:pStyle w:val="Compact"/>
            </w:pPr>
            <w:r>
              <w:t xml:space="preserve">Any statistical informativeness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ISPOR Europe 2026 poster (Evalueserve): inaugural JCA (tovorafenib)</w:t>
            </w:r>
          </w:p>
        </w:tc>
        <w:tc>
          <w:tcPr/>
          <w:p>
            <w:pPr>
              <w:pStyle w:val="Compact"/>
            </w:pPr>
            <w:r>
              <w:t xml:space="preserve">8 consolidated PICOs; 3 target subpopulations; only 1 PICO fully matched by direct evidence</w:t>
            </w:r>
          </w:p>
        </w:tc>
        <w:tc>
          <w:tcPr/>
          <w:p>
            <w:pPr>
              <w:pStyle w:val="Compact"/>
            </w:pPr>
            <w:r>
              <w:t xml:space="preserve">Statistical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HTACG guideline (direct/indirect comparisons) and JCA scoping Q&amp;A</w:t>
            </w:r>
          </w:p>
        </w:tc>
        <w:tc>
          <w:tcPr/>
          <w:p>
            <w:pPr>
              <w:pStyle w:val="Compact"/>
            </w:pPr>
            <w:r>
              <w:t xml:space="preserve">Different PICOs may need different syntheses; trial population wider than PICO; overlapping subgroup analyses and PICO populations</w:t>
            </w:r>
          </w:p>
        </w:tc>
        <w:tc>
          <w:tcPr/>
          <w:p>
            <w:pPr>
              <w:pStyle w:val="Compact"/>
            </w:pPr>
            <w:r>
              <w:t xml:space="preserve">Thresholds, minimum sizes, multiplicity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IQWiG General Methods v8.0; Grouven 2024; EFSPI 2025 white paper</w:t>
            </w:r>
          </w:p>
        </w:tc>
        <w:tc>
          <w:tcPr/>
          <w:p>
            <w:pPr>
              <w:pStyle w:val="Compact"/>
            </w:pPr>
            <w:r>
              <w:t xml:space="preserve">Mandatory subgroups; p &lt; 0.05 / &lt; 0.20 tiers; ≥10 patients, ≥10 events; separate “small populations” (rare disease) section</w:t>
            </w:r>
          </w:p>
        </w:tc>
        <w:tc>
          <w:tcPr/>
          <w:p>
            <w:pPr>
              <w:pStyle w:val="Compact"/>
            </w:pPr>
            <w:r>
              <w:t xml:space="preserve">Any statement that the floor yields a decision-informative estimate</w:t>
            </w:r>
          </w:p>
        </w:tc>
      </w:tr>
    </w:tbl>
    <w:bookmarkEnd w:id="22"/>
    <w:bookmarkStart w:id="23" w:name="regulatory-and-methodological-background"/>
    <w:p>
      <w:pPr>
        <w:pStyle w:val="Heading3"/>
      </w:pPr>
      <w:r>
        <w:t xml:space="preserve">4.2 Regulatory and methodological background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 2019 subgroup guideline</w:t>
            </w:r>
          </w:p>
        </w:tc>
        <w:tc>
          <w:tcPr/>
          <w:p>
            <w:pPr>
              <w:pStyle w:val="Compact"/>
            </w:pPr>
            <w:r>
              <w:t xml:space="preserve">Defines subgroup vs subpopulation; small, multiple, correlated subsets; forest-plot attention to extremes; “no formal rule”; no variability quantification 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(FDA) 2011, EMA workshop; Li et al. 2007</w:t>
            </w:r>
          </w:p>
        </w:tc>
        <w:tc>
          <w:tcPr/>
          <w:p>
            <w:pPr>
              <w:pStyle w:val="Compact"/>
            </w:pPr>
            <w:r>
              <w:t xml:space="preserve">Analytical P(≥1 negative subset) under common effect; the S = 2 case is the benchmark for this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Dane et al. 2019 (EFSPI/PSI white paper); Hemmings &amp; Koch 2019</w:t>
            </w:r>
          </w:p>
        </w:tc>
        <w:tc>
          <w:tcPr/>
          <w:p>
            <w:pPr>
              <w:pStyle w:val="Compact"/>
            </w:pPr>
            <w:r>
              <w:t xml:space="preserve">Standardised effect plots; interaction tests “a crude tool”; shrinkage/bootstrap for small subgroups; no HTA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Brookes 2004; Tanniou 2016; Webster-Clark 2020</w:t>
            </w:r>
          </w:p>
        </w:tc>
        <w:tc>
          <w:tcPr/>
          <w:p>
            <w:pPr>
              <w:pStyle w:val="Compact"/>
            </w:pPr>
            <w:r>
              <w:t xml:space="preserve">Spurious subgroup significance 7–64%; purposes taxonomy; selection bias in forest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Paget 2011; Fletcher 2014 (Pharmaceutical Statistics)</w:t>
            </w:r>
          </w:p>
        </w:tc>
        <w:tc>
          <w:tcPr/>
          <w:p>
            <w:pPr>
              <w:pStyle w:val="Compact"/>
            </w:pPr>
            <w:r>
              <w:t xml:space="preserve">HTA subgroup principles, clinical and cost-effectiveness; no quantification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Empirical priors for interaction heterogeneity (RSM 2026); Bayesian shrinkage literature</w:t>
            </w:r>
          </w:p>
        </w:tc>
        <w:tc>
          <w:tcPr/>
          <w:p>
            <w:pPr>
              <w:pStyle w:val="Compact"/>
            </w:pPr>
            <w:r>
              <w:t xml:space="preserve">Modern alternatives for sparse subgroup evidence; must be positioned as complementary, not ignored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 Beekhuizen, ISPOR 2024</w:t>
            </w:r>
          </w:p>
        </w:tc>
        <w:tc>
          <w:tcPr/>
          <w:p>
            <w:pPr>
              <w:pStyle w:val="Compact"/>
            </w:pPr>
            <w:r>
              <w:t xml:space="preserve">23 EUnetHTA assessments: assessor criticisms heterogeneity 42%, sample size 16%, subgroup data 10%</w:t>
            </w:r>
          </w:p>
        </w:tc>
      </w:tr>
    </w:tbl>
    <w:bookmarkEnd w:id="23"/>
    <w:bookmarkEnd w:id="24"/>
    <w:bookmarkStart w:id="25" w:name="feasibility-revised"/>
    <w:p>
      <w:pPr>
        <w:pStyle w:val="Heading2"/>
      </w:pPr>
      <w:r>
        <w:t xml:space="preserve">5. Feasibility (revised)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0"/>
        <w:gridCol w:w="7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Novelty</w:t>
            </w:r>
          </w:p>
        </w:tc>
        <w:tc>
          <w:tcPr/>
          <w:p>
            <w:pPr>
              <w:pStyle w:val="Compact"/>
            </w:pPr>
            <w:r>
              <w:t xml:space="preserve">Adequate under the narrowed claim: trial-specific informativeness assessment for a requested subpopulation, calibrated against random subsets and the analytical approximation, replicated on two trials and two endpoint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 to PSI abstract</w:t>
            </w:r>
          </w:p>
        </w:tc>
        <w:tc>
          <w:tcPr/>
          <w:p>
            <w:pPr>
              <w:pStyle w:val="Compact"/>
            </w:pPr>
            <w:r>
              <w:t xml:space="preserve">Full report of own conference work; cite transparently; must exceed it (it does, by the additions in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Favourable; inaugural JCA report published June 2026; PICO multiplicity now documented in real assessments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Machinery</w:t>
            </w:r>
          </w:p>
        </w:tc>
        <w:tc>
          <w:tcPr/>
          <w:p>
            <w:pPr>
              <w:pStyle w:val="Compact"/>
            </w:pPr>
            <w:r>
              <w:t xml:space="preserve">Complete for survival (fixed and random baseline); continuous via GLM extension; ACTG-175 application folder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Trivial for the two-comparison problem; separate go/no-go for the K-population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Authorship</w:t>
            </w:r>
          </w:p>
        </w:tc>
        <w:tc>
          <w:tcPr/>
          <w:p>
            <w:pPr>
              <w:pStyle w:val="Compact"/>
            </w:pPr>
            <w:r>
              <w:t xml:space="preserve">PSI co-author group in place; one agency-side reader before submission still advisable for IJTAHC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residual risk</w:t>
            </w:r>
          </w:p>
        </w:tc>
        <w:tc>
          <w:tcPr/>
          <w:p>
            <w:pPr>
              <w:pStyle w:val="Compact"/>
            </w:pPr>
            <w:r>
              <w:t xml:space="preserve">Reviewers at Pharmaceutical Statistics ask “why simulation rather than the normal approximation?” — answered by the few-events divergence panel and by the fixed-panel conditioning that no closed form reproduces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Proceed</w:t>
            </w:r>
          </w:p>
        </w:tc>
      </w:tr>
    </w:tbl>
    <w:bookmarkEnd w:id="25"/>
    <w:bookmarkStart w:id="29" w:name="venue-detailed-advice"/>
    <w:p>
      <w:pPr>
        <w:pStyle w:val="Heading2"/>
      </w:pPr>
      <w:r>
        <w:t xml:space="preserve">6. Venue — detailed advice</w:t>
      </w:r>
    </w:p>
    <w:bookmarkStart w:id="26" w:name="comparison"/>
    <w:p>
      <w:pPr>
        <w:pStyle w:val="Heading3"/>
      </w:pPr>
      <w:r>
        <w:t xml:space="preserve">6.1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7"/>
        <w:gridCol w:w="1546"/>
        <w:gridCol w:w="1687"/>
        <w:gridCol w:w="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Pharmaceutical Statistics</w:t>
            </w:r>
          </w:p>
        </w:tc>
        <w:tc>
          <w:tcPr/>
          <w:p>
            <w:pPr>
              <w:pStyle w:val="Compact"/>
            </w:pPr>
            <w:r>
              <w:t xml:space="preserve">IJTAHC</w:t>
            </w:r>
          </w:p>
        </w:tc>
        <w:tc>
          <w:tcPr/>
          <w:p>
            <w:pPr>
              <w:pStyle w:val="Compact"/>
            </w:pPr>
            <w:r>
              <w:t xml:space="preserve">Value in Health</w:t>
            </w:r>
          </w:p>
        </w:tc>
        <w:tc>
          <w:tcPr/>
          <w:p>
            <w:pPr>
              <w:pStyle w:val="Compact"/>
            </w:pPr>
            <w:r>
              <w:t xml:space="preserve">Stat. Biopharm.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to the PSI abstract</w:t>
            </w:r>
          </w:p>
        </w:tc>
        <w:tc>
          <w:tcPr/>
          <w:p>
            <w:pPr>
              <w:pStyle w:val="Compact"/>
            </w:pPr>
            <w:r>
              <w:t xml:space="preserve">PSI’s own journal; editors will see the June 2026 talk as the precursor; co-author group is the core readership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for two-dataset simulation paper with software</w:t>
            </w:r>
          </w:p>
        </w:tc>
        <w:tc>
          <w:tcPr/>
          <w:p>
            <w:pPr>
              <w:pStyle w:val="Compact"/>
            </w:pPr>
            <w:r>
              <w:t xml:space="preserve">Native; no hard word cap; code and supplements expected</w:t>
            </w:r>
          </w:p>
        </w:tc>
        <w:tc>
          <w:tcPr/>
          <w:p>
            <w:pPr>
              <w:pStyle w:val="Compact"/>
            </w:pPr>
            <w:r>
              <w:t xml:space="preserve">Method ≤ 4,000 words; two datasets fit with tables in supplement</w:t>
            </w:r>
          </w:p>
        </w:tc>
        <w:tc>
          <w:tcPr/>
          <w:p>
            <w:pPr>
              <w:pStyle w:val="Compact"/>
            </w:pPr>
            <w:r>
              <w:t xml:space="preserve">Methodological ≤ 3,500 words; too tight for GBSG + ACTG-175 + appendix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will use the output</w:t>
            </w:r>
          </w:p>
        </w:tc>
        <w:tc>
          <w:tcPr/>
          <w:p>
            <w:pPr>
              <w:pStyle w:val="Compact"/>
            </w:pPr>
            <w:r>
              <w:t xml:space="preserve">Dossier statisticians (AMNOG, JCA) who run the simulation</w:t>
            </w:r>
          </w:p>
        </w:tc>
        <w:tc>
          <w:tcPr/>
          <w:p>
            <w:pPr>
              <w:pStyle w:val="Compact"/>
            </w:pPr>
            <w:r>
              <w:t xml:space="preserve">Agency assessors and HTA methodologists who read the result</w:t>
            </w:r>
          </w:p>
        </w:tc>
        <w:tc>
          <w:tcPr/>
          <w:p>
            <w:pPr>
              <w:pStyle w:val="Compact"/>
            </w:pPr>
            <w:r>
              <w:t xml:space="preserve">HEOR broadly; least statistical</w:t>
            </w:r>
          </w:p>
        </w:tc>
        <w:tc>
          <w:tcPr/>
          <w:p>
            <w:pPr>
              <w:pStyle w:val="Compact"/>
            </w:pPr>
            <w:r>
              <w:t xml:space="preserve">Regulatory/industry statisticians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/ acceptance</w:t>
            </w:r>
          </w:p>
        </w:tc>
        <w:tc>
          <w:tcPr/>
          <w:p>
            <w:pPr>
              <w:pStyle w:val="Compact"/>
            </w:pPr>
            <w:r>
              <w:t xml:space="preserve">Not published; Wiley typical 2–4 months to first decision</w:t>
            </w:r>
          </w:p>
        </w:tc>
        <w:tc>
          <w:tcPr/>
          <w:p>
            <w:pPr>
              <w:pStyle w:val="Compact"/>
            </w:pPr>
            <w:r>
              <w:t xml:space="preserve">44 days to first decision; 38% acceptance (2023)</w:t>
            </w:r>
          </w:p>
        </w:tc>
        <w:tc>
          <w:tcPr/>
          <w:p>
            <w:pPr>
              <w:pStyle w:val="Compact"/>
            </w:pPr>
            <w:r>
              <w:t xml:space="preserve">Not published; competitive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/ visibility</w:t>
            </w:r>
          </w:p>
        </w:tc>
        <w:tc>
          <w:tcPr/>
          <w:p>
            <w:pPr>
              <w:pStyle w:val="Compact"/>
            </w:pPr>
            <w:r>
              <w:t xml:space="preserve">IF ≈ 1.4 (Q2)</w:t>
            </w:r>
          </w:p>
        </w:tc>
        <w:tc>
          <w:tcPr/>
          <w:p>
            <w:pPr>
              <w:pStyle w:val="Compact"/>
            </w:pPr>
            <w:r>
              <w:t xml:space="preserve">IF 3.0 (2-yr), 3.4 (5-yr); Q1 Health Policy; essentially all OA</w:t>
            </w:r>
          </w:p>
        </w:tc>
        <w:tc>
          <w:tcPr/>
          <w:p>
            <w:pPr>
              <w:pStyle w:val="Compact"/>
            </w:pPr>
            <w:r>
              <w:t xml:space="preserve">IF 6.0 (Q1)</w:t>
            </w:r>
          </w:p>
        </w:tc>
        <w:tc>
          <w:tcPr/>
          <w:p>
            <w:pPr>
              <w:pStyle w:val="Compact"/>
            </w:pPr>
            <w:r>
              <w:t xml:space="preserve">IF not verified (≈1–2)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Hybrid; OA optional</w:t>
            </w:r>
          </w:p>
        </w:tc>
        <w:tc>
          <w:tcPr/>
          <w:p>
            <w:pPr>
              <w:pStyle w:val="Compact"/>
            </w:pPr>
            <w:r>
              <w:t xml:space="preserve">Gold OA; read-and-publish agreements; waivers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risk</w:t>
            </w:r>
          </w:p>
        </w:tc>
        <w:tc>
          <w:tcPr/>
          <w:p>
            <w:pPr>
              <w:pStyle w:val="Compact"/>
            </w:pPr>
            <w:r>
              <w:t xml:space="preserve">Reviewers want novelty beyond the abstract — met by ACTG-175, analytical comparison, formal definitions</w:t>
            </w:r>
          </w:p>
        </w:tc>
        <w:tc>
          <w:tcPr/>
          <w:p>
            <w:pPr>
              <w:pStyle w:val="Compact"/>
            </w:pPr>
            <w:r>
              <w:t xml:space="preserve">Reviewers want the decision problem first and little algebra</w:t>
            </w:r>
          </w:p>
        </w:tc>
        <w:tc>
          <w:tcPr/>
          <w:p>
            <w:pPr>
              <w:pStyle w:val="Compact"/>
            </w:pPr>
            <w:r>
              <w:t xml:space="preserve">“Too technical / one method” desk reject</w:t>
            </w:r>
          </w:p>
        </w:tc>
        <w:tc>
          <w:tcPr/>
          <w:p>
            <w:pPr>
              <w:pStyle w:val="Compact"/>
            </w:pPr>
            <w:r>
              <w:t xml:space="preserve">“Too applied” unless generalised</w:t>
            </w:r>
          </w:p>
        </w:tc>
      </w:tr>
    </w:tbl>
    <w:bookmarkEnd w:id="26"/>
    <w:bookmarkStart w:id="27" w:name="recommendation"/>
    <w:p>
      <w:pPr>
        <w:pStyle w:val="Heading3"/>
      </w:pPr>
      <w:r>
        <w:t xml:space="preserve">6.2 Recommendation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Primary — Pharmaceutical Statistics.</w:t>
      </w:r>
      <w:r>
        <w:t xml:space="preserve"> </w:t>
      </w:r>
      <w:r>
        <w:t xml:space="preserve">The contribution is a</w:t>
      </w:r>
      <w:r>
        <w:t xml:space="preserve"> </w:t>
      </w:r>
      <w:r>
        <w:t xml:space="preserve">reproducible statistical procedure, the authors are PSI/EFSPI HTA-SIG</w:t>
      </w:r>
      <w:r>
        <w:t xml:space="preserve"> </w:t>
      </w:r>
      <w:r>
        <w:t xml:space="preserve">members presenting the full version of a PSI talk, and the Dane 2019</w:t>
      </w:r>
      <w:r>
        <w:t xml:space="preserve"> </w:t>
      </w:r>
      <w:r>
        <w:t xml:space="preserve">white paper with the Hemmings commentary gives a direct lineage in the</w:t>
      </w:r>
      <w:r>
        <w:t xml:space="preserve"> </w:t>
      </w:r>
      <w:r>
        <w:t xml:space="preserve">same pages. The lower impact factor is the only cost; for a tool paper</w:t>
      </w:r>
      <w:r>
        <w:t xml:space="preserve"> </w:t>
      </w:r>
      <w:r>
        <w:t xml:space="preserve">the readership match matters more.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Secondary — IJTAHC (Method).</w:t>
      </w:r>
      <w:r>
        <w:t xml:space="preserve"> </w:t>
      </w:r>
      <w:r>
        <w:t xml:space="preserve">With the subpopulation/PICO framing,</w:t>
      </w:r>
      <w:r>
        <w:t xml:space="preserve"> </w:t>
      </w:r>
      <w:r>
        <w:t xml:space="preserve">the second audience is agencies. Fast, open access, and its 2025</w:t>
      </w:r>
      <w:r>
        <w:t xml:space="preserve"> </w:t>
      </w:r>
      <w:r>
        <w:t xml:space="preserve">“concretization” paper is a list of JCA methods gaps. Prepare the</w:t>
      </w:r>
      <w:r>
        <w:t xml:space="preserve"> </w:t>
      </w:r>
      <w:r>
        <w:t xml:space="preserve">4,000-word cut with two-dataset tables in a supplement.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Reserved — Value in Health (Methodological).</w:t>
      </w:r>
      <w:r>
        <w:t xml:space="preserve"> </w:t>
      </w:r>
      <w:r>
        <w:t xml:space="preserve">For the K-population</w:t>
      </w:r>
      <w:r>
        <w:t xml:space="preserve"> </w:t>
      </w:r>
      <w:r>
        <w:t xml:space="preserve">paper, where the PICO-proliferation policy hook is strongest and one</w:t>
      </w:r>
      <w:r>
        <w:t xml:space="preserve"> </w:t>
      </w:r>
      <w:r>
        <w:t xml:space="preserve">family-level table carries the message within 3,500 words.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Alternate — Statistics in Biopharmaceutical Research.</w:t>
      </w:r>
      <w:r>
        <w:t xml:space="preserve"> </w:t>
      </w:r>
      <w:r>
        <w:t xml:space="preserve">If reviewers</w:t>
      </w:r>
      <w:r>
        <w:t xml:space="preserve"> </w:t>
      </w:r>
      <w:r>
        <w:t xml:space="preserve">at Pharmaceutical Statistics push the paper toward generalised</w:t>
      </w:r>
      <w:r>
        <w:t xml:space="preserve"> </w:t>
      </w:r>
      <w:r>
        <w:t xml:space="preserve">operating characteristics rather than the two-trial case study.</w:t>
      </w:r>
    </w:p>
    <w:bookmarkEnd w:id="27"/>
    <w:bookmarkStart w:id="28" w:name="submission-sequence"/>
    <w:p>
      <w:pPr>
        <w:pStyle w:val="Heading3"/>
      </w:pPr>
      <w:r>
        <w:t xml:space="preserve">6.3 Submission sequence</w:t>
      </w:r>
    </w:p>
    <w:p>
      <w:pPr>
        <w:numPr>
          <w:ilvl w:val="0"/>
          <w:numId w:val="1006"/>
        </w:numPr>
      </w:pPr>
      <w:r>
        <w:t xml:space="preserve">Write the full paper to Pharmaceutical Statistics format; post to</w:t>
      </w:r>
      <w:r>
        <w:t xml:space="preserve"> </w:t>
      </w:r>
      <w:r>
        <w:t xml:space="preserve">medRxiv (or arXiv stat.ME) at submission — all four venues allow it.</w:t>
      </w:r>
    </w:p>
    <w:p>
      <w:pPr>
        <w:numPr>
          <w:ilvl w:val="0"/>
          <w:numId w:val="1006"/>
        </w:numPr>
      </w:pPr>
      <w:r>
        <w:t xml:space="preserve">Keep the IJTAHC 4,000-word cut current while under review; submit</w:t>
      </w:r>
      <w:r>
        <w:t xml:space="preserve"> </w:t>
      </w:r>
      <w:r>
        <w:t xml:space="preserve">within two weeks of a rejection.</w:t>
      </w:r>
    </w:p>
    <w:p>
      <w:pPr>
        <w:numPr>
          <w:ilvl w:val="0"/>
          <w:numId w:val="1006"/>
        </w:numPr>
      </w:pPr>
      <w:r>
        <w:t xml:space="preserve">Cite the PSI 2026 abstract in the cover letter and the paper as the</w:t>
      </w:r>
      <w:r>
        <w:t xml:space="preserve"> </w:t>
      </w:r>
      <w:r>
        <w:t xml:space="preserve">conference precursor; state what the paper adds.</w:t>
      </w:r>
    </w:p>
    <w:p>
      <w:pPr>
        <w:numPr>
          <w:ilvl w:val="0"/>
          <w:numId w:val="1006"/>
        </w:numPr>
      </w:pPr>
      <w:r>
        <w:t xml:space="preserve">Ask one agency-side reader (EAG/ERG or IQWiG-experienced) to read the</w:t>
      </w:r>
      <w:r>
        <w:t xml:space="preserve"> </w:t>
      </w:r>
      <w:r>
        <w:t xml:space="preserve">Introduction and Guidance sections before submission; this is the</w:t>
      </w:r>
      <w:r>
        <w:t xml:space="preserve"> </w:t>
      </w:r>
      <w:r>
        <w:t xml:space="preserve">cheapest protection for the IJTAHC route.</w:t>
      </w:r>
    </w:p>
    <w:p>
      <w:pPr>
        <w:numPr>
          <w:ilvl w:val="0"/>
          <w:numId w:val="1006"/>
        </w:numPr>
      </w:pPr>
      <w:r>
        <w:t xml:space="preserve">After acceptance, scope the K-population paper for Value in Health;</w:t>
      </w:r>
      <w:r>
        <w:t xml:space="preserve"> </w:t>
      </w:r>
      <w:r>
        <w:t xml:space="preserve">consider an IJTAHC Perspective (≤ 2,000 words) aimed at JCA scoping</w:t>
      </w:r>
      <w:r>
        <w:t xml:space="preserve"> </w:t>
      </w:r>
      <w:r>
        <w:t xml:space="preserve">only if the main paper lands at Pharmaceutical Statistics rather than</w:t>
      </w:r>
      <w:r>
        <w:t xml:space="preserve"> </w:t>
      </w:r>
      <w:r>
        <w:t xml:space="preserve">IJTAHC.</w:t>
      </w:r>
    </w:p>
    <w:bookmarkEnd w:id="28"/>
    <w:bookmarkEnd w:id="29"/>
    <w:bookmarkStart w:id="30" w:name="manuscript-skeleton-revised"/>
    <w:p>
      <w:pPr>
        <w:pStyle w:val="Heading2"/>
      </w:pPr>
      <w:r>
        <w:t xml:space="preserve">7. Manuscript skeleton (revised)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Introduction.</w:t>
      </w:r>
      <w:r>
        <w:t xml:space="preserve"> </w:t>
      </w:r>
      <w:r>
        <w:t xml:space="preserve">JCA subpopulations vs subgroups; Member-State</w:t>
      </w:r>
      <w:r>
        <w:t xml:space="preserve"> </w:t>
      </w:r>
      <w:r>
        <w:t xml:space="preserve">requests and PICO multiplicity (Steck 2026; inaugural JCA); IQWiG and</w:t>
      </w:r>
      <w:r>
        <w:t xml:space="preserve"> </w:t>
      </w:r>
      <w:r>
        <w:t xml:space="preserve">rule-of-thumb thresholds; EMA’s “no formal rule”; the question.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Methods.</w:t>
      </w:r>
      <w:r>
        <w:t xml:space="preserve"> </w:t>
      </w:r>
      <w:r>
        <w:t xml:space="preserve">Trial-anchored DGM; fixed-baseline replicates; the</w:t>
      </w:r>
      <w:r>
        <w:t xml:space="preserve"> </w:t>
      </w:r>
      <w:r>
        <w:t xml:space="preserve">two-comparison setting; threshold-crossing probabilities and the other</w:t>
      </w:r>
      <w:r>
        <w:t xml:space="preserve"> </w:t>
      </w:r>
      <w:r>
        <w:t xml:space="preserve">quantities; random-subset calibration; normal approximation and the</w:t>
      </w:r>
      <w:r>
        <w:t xml:space="preserve"> </w:t>
      </w:r>
      <w:r>
        <w:t xml:space="preserve">Wang/Li S = 2 benchmark; software.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Results — GBSG.</w:t>
      </w:r>
      <w:r>
        <w:t xml:space="preserve"> </w:t>
      </w:r>
      <w:r>
        <w:t xml:space="preserve">One comparative table (subpopulations ×</w:t>
      </w:r>
      <w:r>
        <w:t xml:space="preserve"> </w:t>
      </w:r>
      <w:r>
        <w:t xml:space="preserve">quantities) and two forest panels; short plain-language reading.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Results — ACTG-175.</w:t>
      </w:r>
      <w:r>
        <w:t xml:space="preserve"> </w:t>
      </w:r>
      <w:r>
        <w:t xml:space="preserve">Same layout; survival and continuous</w:t>
      </w:r>
      <w:r>
        <w:t xml:space="preserve"> </w:t>
      </w:r>
      <w:r>
        <w:t xml:space="preserve">endpoints; where simulation and approximation diverge.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Heterogeneous-effect appendix.</w:t>
      </w:r>
      <w:r>
        <w:t xml:space="preserve"> </w:t>
      </w:r>
      <w:r>
        <w:t xml:space="preserve">Envelope under a genuine effect</w:t>
      </w:r>
      <w:r>
        <w:t xml:space="preserve"> </w:t>
      </w:r>
      <w:r>
        <w:t xml:space="preserve">modifier.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Guidance.</w:t>
      </w:r>
      <w:r>
        <w:t xml:space="preserve"> </w:t>
      </w:r>
      <w:r>
        <w:t xml:space="preserve">A reporting block for a requested subpopulation:</w:t>
      </w:r>
      <w:r>
        <w:t xml:space="preserve"> </w:t>
      </w:r>
      <w:r>
        <w:t xml:space="preserve">informativeness statement, envelope summary, calibration anchor;</w:t>
      </w:r>
      <w:r>
        <w:t xml:space="preserve"> </w:t>
      </w:r>
      <w:r>
        <w:t xml:space="preserve">relation to shrinkage; what the method does not do (no selection</w:t>
      </w:r>
      <w:r>
        <w:t xml:space="preserve"> </w:t>
      </w:r>
      <w:r>
        <w:t xml:space="preserve">adjustment; not a PICO veto).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Discussion.</w:t>
      </w:r>
      <w:r>
        <w:t xml:space="preserve"> </w:t>
      </w:r>
      <w:r>
        <w:t xml:space="preserve">K-population extension; transportability from trial</w:t>
      </w:r>
      <w:r>
        <w:t xml:space="preserve"> </w:t>
      </w:r>
      <w:r>
        <w:t xml:space="preserve">subgroup to target subpopulation; limitations (DGM assumptions, two</w:t>
      </w:r>
      <w:r>
        <w:t xml:space="preserve"> </w:t>
      </w:r>
      <w:r>
        <w:t xml:space="preserve">trials).</w:t>
      </w:r>
    </w:p>
    <w:bookmarkEnd w:id="30"/>
    <w:bookmarkStart w:id="31" w:name="items-to-verify-before-drafting"/>
    <w:p>
      <w:pPr>
        <w:pStyle w:val="Heading2"/>
      </w:pPr>
      <w:r>
        <w:t xml:space="preserve">8. Items to verify before drafting</w:t>
      </w:r>
    </w:p>
    <w:p>
      <w:pPr>
        <w:numPr>
          <w:ilvl w:val="0"/>
          <w:numId w:val="1008"/>
        </w:numPr>
      </w:pPr>
      <w:r>
        <w:t xml:space="preserve">Reconcile the PSI-abstract numbers (mean UB 3.84 at N = 66) with the</w:t>
      </w:r>
      <w:r>
        <w:t xml:space="preserve"> </w:t>
      </w:r>
      <w:r>
        <w:t xml:space="preserve">fixed-baseline vignette (median UB 1.63 at N = 60): design and summary</w:t>
      </w:r>
      <w:r>
        <w:t xml:space="preserve"> </w:t>
      </w:r>
      <w:r>
        <w:t xml:space="preserve">statistic.</w:t>
      </w:r>
    </w:p>
    <w:p>
      <w:pPr>
        <w:numPr>
          <w:ilvl w:val="0"/>
          <w:numId w:val="1008"/>
        </w:numPr>
      </w:pPr>
      <w:r>
        <w:t xml:space="preserve">Confirm the two-comparison reading: requested subpopulation and its</w:t>
      </w:r>
      <w:r>
        <w:t xml:space="preserve"> </w:t>
      </w:r>
      <w:r>
        <w:t xml:space="preserve">complement, not two requested subpopulations.</w:t>
      </w:r>
    </w:p>
    <w:p>
      <w:pPr>
        <w:numPr>
          <w:ilvl w:val="0"/>
          <w:numId w:val="1008"/>
        </w:numPr>
      </w:pPr>
      <w:r>
        <w:t xml:space="preserve">Which ACTG-175 two-arm contrast and which endpoints; check the</w:t>
      </w:r>
      <w:r>
        <w:t xml:space="preserve"> </w:t>
      </w:r>
      <w:r>
        <w:t xml:space="preserve">existing application folder is self-contained.</w:t>
      </w:r>
    </w:p>
    <w:p>
      <w:pPr>
        <w:numPr>
          <w:ilvl w:val="0"/>
          <w:numId w:val="1008"/>
        </w:numPr>
      </w:pPr>
      <w:r>
        <w:t xml:space="preserve">IQWiG v8.0 subgroup section wording (German); the “small populations”</w:t>
      </w:r>
      <w:r>
        <w:t xml:space="preserve"> </w:t>
      </w:r>
      <w:r>
        <w:t xml:space="preserve">section to keep the rare-disease case separate.</w:t>
      </w:r>
    </w:p>
    <w:p>
      <w:pPr>
        <w:numPr>
          <w:ilvl w:val="0"/>
          <w:numId w:val="1008"/>
        </w:numPr>
      </w:pPr>
      <w:r>
        <w:t xml:space="preserve">Li et al. 2007 reference for the analytical expression; reproduce the</w:t>
      </w:r>
      <w:r>
        <w:t xml:space="preserve"> </w:t>
      </w:r>
      <w:r>
        <w:t xml:space="preserve">S = 2 case.</w:t>
      </w:r>
    </w:p>
    <w:p>
      <w:pPr>
        <w:numPr>
          <w:ilvl w:val="0"/>
          <w:numId w:val="1008"/>
        </w:numPr>
      </w:pPr>
      <w:r>
        <w:t xml:space="preserve">Current Pharmaceutical Statistics author guidelines (Wiley page did</w:t>
      </w:r>
      <w:r>
        <w:t xml:space="preserve"> </w:t>
      </w:r>
      <w:r>
        <w:t xml:space="preserve">not load here).</w:t>
      </w:r>
    </w:p>
    <w:bookmarkEnd w:id="31"/>
    <w:bookmarkStart w:id="60" w:name="sources"/>
    <w:p>
      <w:pPr>
        <w:pStyle w:val="Heading2"/>
      </w:pPr>
      <w:r>
        <w:t xml:space="preserve">9. Sources</w:t>
      </w:r>
    </w:p>
    <w:p>
      <w:pPr>
        <w:numPr>
          <w:ilvl w:val="0"/>
          <w:numId w:val="1009"/>
        </w:numPr>
      </w:pPr>
      <w:r>
        <w:t xml:space="preserve">PSI 2026 abstract — All PICOs Great and Small (Gelb, Baldwin, Masoudi,</w:t>
      </w:r>
      <w:r>
        <w:t xml:space="preserve"> </w:t>
      </w:r>
      <w:r>
        <w:t xml:space="preserve">Ivkovic, Berggren, Leon) —</w:t>
      </w:r>
      <w:r>
        <w:t xml:space="preserve"> </w:t>
      </w:r>
      <w:hyperlink r:id="rId32">
        <w:r>
          <w:rPr>
            <w:rStyle w:val="Hyperlink"/>
          </w:rPr>
          <w:t xml:space="preserve">https://psiweb.org/docs/default-source/psi-conference-2026/abstracts-2026/15_june_1330_all_picos_great_and_small_dealing_with_small_subpopulations_in_the_eu_hta_landscape.pdf?sfvrsn=519ca9db_1</w:t>
        </w:r>
      </w:hyperlink>
    </w:p>
    <w:p>
      <w:pPr>
        <w:numPr>
          <w:ilvl w:val="0"/>
          <w:numId w:val="1009"/>
        </w:numPr>
      </w:pPr>
      <w:r>
        <w:t xml:space="preserve">PSI 2026 individual abstracts —</w:t>
      </w:r>
      <w:r>
        <w:t xml:space="preserve"> </w:t>
      </w:r>
      <w:hyperlink r:id="rId33">
        <w:r>
          <w:rPr>
            <w:rStyle w:val="Hyperlink"/>
          </w:rPr>
          <w:t xml:space="preserve">https://www.psiweb.org/conferences/past-conferences/2026-conference-sessions/individual-abstracts-2026</w:t>
        </w:r>
      </w:hyperlink>
    </w:p>
    <w:p>
      <w:pPr>
        <w:numPr>
          <w:ilvl w:val="0"/>
          <w:numId w:val="1009"/>
        </w:numPr>
      </w:pPr>
      <w:r>
        <w:t xml:space="preserve">Wang (FDA) 2011, A Subgroup or a Subpopulation, EMA workshop —</w:t>
      </w:r>
      <w:r>
        <w:t xml:space="preserve"> </w:t>
      </w:r>
      <w:hyperlink r:id="rId34">
        <w:r>
          <w:rPr>
            <w:rStyle w:val="Hyperlink"/>
          </w:rPr>
          <w:t xml:space="preserve">https://www.ema.europa.eu/en/documents/presentation/presentation-subgroup-or-subpopulation-wang_en.pdf</w:t>
        </w:r>
      </w:hyperlink>
    </w:p>
    <w:p>
      <w:pPr>
        <w:numPr>
          <w:ilvl w:val="0"/>
          <w:numId w:val="1009"/>
        </w:numPr>
      </w:pPr>
      <w:r>
        <w:t xml:space="preserve">EMA 2011 subgroup workshop report —</w:t>
      </w:r>
      <w:r>
        <w:t xml:space="preserve"> </w:t>
      </w:r>
      <w:hyperlink r:id="rId35">
        <w:r>
          <w:rPr>
            <w:rStyle w:val="Hyperlink"/>
          </w:rPr>
          <w:t xml:space="preserve">https://www.ema.europa.eu/en/documents/report/workshop-report-expert-workshop-subgroup-analysis_en.pdf</w:t>
        </w:r>
      </w:hyperlink>
    </w:p>
    <w:p>
      <w:pPr>
        <w:numPr>
          <w:ilvl w:val="0"/>
          <w:numId w:val="1009"/>
        </w:numPr>
      </w:pPr>
      <w:r>
        <w:t xml:space="preserve">EMA 2019 Guideline on the investigation of subgroups in confirmatory</w:t>
      </w:r>
      <w:r>
        <w:t xml:space="preserve"> </w:t>
      </w:r>
      <w:r>
        <w:t xml:space="preserve">clinical trials —</w:t>
      </w:r>
      <w:r>
        <w:t xml:space="preserve"> </w:t>
      </w:r>
      <w:hyperlink r:id="rId36">
        <w:r>
          <w:rPr>
            <w:rStyle w:val="Hyperlink"/>
          </w:rPr>
          <w:t xml:space="preserve">https://www.ema.europa.eu/en/documents/scientific-guideline/guideline-investigation-subgroups-confirmatory-clinical-trials_en.pdf</w:t>
        </w:r>
      </w:hyperlink>
    </w:p>
    <w:p>
      <w:pPr>
        <w:numPr>
          <w:ilvl w:val="0"/>
          <w:numId w:val="1009"/>
        </w:numPr>
      </w:pPr>
      <w:r>
        <w:t xml:space="preserve">ISPOR Europe 2026 poster — PICO multiplicity in the inaugural JCA —</w:t>
      </w:r>
      <w:r>
        <w:t xml:space="preserve"> </w:t>
      </w:r>
      <w:hyperlink r:id="rId37">
        <w:r>
          <w:rPr>
            <w:rStyle w:val="Hyperlink"/>
          </w:rPr>
          <w:t xml:space="preserve">https://www.ispor.org/heor-resources/presentations-database/presentation-cti/ispor-europe-2026/poster-session-2-5/early-evidence-pico-multiplicity-under-the-eu-htar-insights-from-the-inaugural-joint-clinical-assessment</w:t>
        </w:r>
      </w:hyperlink>
    </w:p>
    <w:p>
      <w:pPr>
        <w:numPr>
          <w:ilvl w:val="0"/>
          <w:numId w:val="1009"/>
        </w:numPr>
      </w:pPr>
      <w:r>
        <w:t xml:space="preserve">Steck et al. 2026, JMAHP, EU JCA PICO scoping —</w:t>
      </w:r>
      <w:r>
        <w:t xml:space="preserve"> </w:t>
      </w:r>
      <w:hyperlink r:id="rId38">
        <w:r>
          <w:rPr>
            <w:rStyle w:val="Hyperlink"/>
          </w:rPr>
          <w:t xml:space="preserve">https://www.mdpi.com/2001-6689/14/1/3</w:t>
        </w:r>
      </w:hyperlink>
    </w:p>
    <w:p>
      <w:pPr>
        <w:numPr>
          <w:ilvl w:val="0"/>
          <w:numId w:val="1009"/>
        </w:numPr>
      </w:pPr>
      <w:r>
        <w:t xml:space="preserve">EU HTACG methodological guideline, direct and indirect comparisons —</w:t>
      </w:r>
      <w:r>
        <w:t xml:space="preserve"> </w:t>
      </w:r>
      <w:hyperlink r:id="rId39">
        <w:r>
          <w:rPr>
            <w:rStyle w:val="Hyperlink"/>
          </w:rPr>
          <w:t xml:space="preserve">https://health.ec.europa.eu/document/download/4ec8288e-6d15-49c5-a490-d8ad7748578f_en?filename=hta_methodological-guideline_direct-indirect-comparisons_en.pdf</w:t>
        </w:r>
      </w:hyperlink>
    </w:p>
    <w:p>
      <w:pPr>
        <w:numPr>
          <w:ilvl w:val="0"/>
          <w:numId w:val="1009"/>
        </w:numPr>
      </w:pPr>
      <w:r>
        <w:t xml:space="preserve">EU HTACG methodological/procedural Q&amp;A —</w:t>
      </w:r>
      <w:r>
        <w:t xml:space="preserve"> </w:t>
      </w:r>
      <w:hyperlink r:id="rId40">
        <w:r>
          <w:rPr>
            <w:rStyle w:val="Hyperlink"/>
          </w:rPr>
          <w:t xml:space="preserve">https://health.ec.europa.eu/document/download/2d188e71-5a10-443c-bfca-69234276799b_en?filename=hta_methodologica-procedural-htacg_qa_en.pdf</w:t>
        </w:r>
      </w:hyperlink>
    </w:p>
    <w:p>
      <w:pPr>
        <w:numPr>
          <w:ilvl w:val="0"/>
          <w:numId w:val="1009"/>
        </w:numPr>
      </w:pPr>
      <w:r>
        <w:t xml:space="preserve">Grouven (IQWiG) 2024 presentation —</w:t>
      </w:r>
      <w:r>
        <w:t xml:space="preserve"> </w:t>
      </w:r>
      <w:hyperlink r:id="rId41">
        <w:r>
          <w:rPr>
            <w:rStyle w:val="Hyperlink"/>
          </w:rPr>
          <w:t xml:space="preserve">https://medstat.umg.eu/fileadmin/Redaktion/Medizinische_Statistik/Dokumente/Vortr%C3%A4ge/2024_Presentation-Ulrich-Grouven.pdf</w:t>
        </w:r>
      </w:hyperlink>
    </w:p>
    <w:p>
      <w:pPr>
        <w:numPr>
          <w:ilvl w:val="0"/>
          <w:numId w:val="1009"/>
        </w:numPr>
      </w:pPr>
      <w:r>
        <w:t xml:space="preserve">IQWiG Allgemeine Methoden v8.0 —</w:t>
      </w:r>
      <w:r>
        <w:t xml:space="preserve"> </w:t>
      </w:r>
      <w:hyperlink r:id="rId42">
        <w:r>
          <w:rPr>
            <w:rStyle w:val="Hyperlink"/>
          </w:rPr>
          <w:t xml:space="preserve">https://www.iqwig.de/methoden/allgemeine-methoden_v8-0.pdf</w:t>
        </w:r>
      </w:hyperlink>
    </w:p>
    <w:p>
      <w:pPr>
        <w:numPr>
          <w:ilvl w:val="0"/>
          <w:numId w:val="1009"/>
        </w:numPr>
      </w:pPr>
      <w:r>
        <w:t xml:space="preserve">EFSPI German Benefit Assessment white paper 2025 —</w:t>
      </w:r>
      <w:r>
        <w:t xml:space="preserve"> </w:t>
      </w:r>
      <w:hyperlink r:id="rId43">
        <w:r>
          <w:rPr>
            <w:rStyle w:val="Hyperlink"/>
          </w:rPr>
          <w:t xml:space="preserve">https://www.efspi.org/wp-content/uploads/2025/05/GermanHTA_WhitePaper_2025.pdf</w:t>
        </w:r>
      </w:hyperlink>
    </w:p>
    <w:p>
      <w:pPr>
        <w:numPr>
          <w:ilvl w:val="0"/>
          <w:numId w:val="1009"/>
        </w:numPr>
      </w:pPr>
      <w:r>
        <w:t xml:space="preserve">Dane et al. 2019, EFSPI/PSI subgroup white paper —</w:t>
      </w:r>
      <w:r>
        <w:t xml:space="preserve"> </w:t>
      </w:r>
      <w:hyperlink r:id="rId44">
        <w:r>
          <w:rPr>
            <w:rStyle w:val="Hyperlink"/>
          </w:rPr>
          <w:t xml:space="preserve">https://onlinelibrary.wiley.com/doi/abs/10.1002/pst.1919</w:t>
        </w:r>
      </w:hyperlink>
    </w:p>
    <w:p>
      <w:pPr>
        <w:numPr>
          <w:ilvl w:val="0"/>
          <w:numId w:val="1009"/>
        </w:numPr>
      </w:pPr>
      <w:r>
        <w:t xml:space="preserve">Hemmings &amp; Koch 2019 commentary —</w:t>
      </w:r>
      <w:r>
        <w:t xml:space="preserve"> </w:t>
      </w:r>
      <w:hyperlink r:id="rId45">
        <w:r>
          <w:rPr>
            <w:rStyle w:val="Hyperlink"/>
          </w:rPr>
          <w:t xml:space="preserve">https://onlinelibrary.wiley.com/doi/10.1002/pst.1935</w:t>
        </w:r>
      </w:hyperlink>
    </w:p>
    <w:p>
      <w:pPr>
        <w:numPr>
          <w:ilvl w:val="0"/>
          <w:numId w:val="1009"/>
        </w:numPr>
      </w:pPr>
      <w:r>
        <w:t xml:space="preserve">Paget et al. 2011 —</w:t>
      </w:r>
      <w:r>
        <w:t xml:space="preserve"> </w:t>
      </w:r>
      <w:hyperlink r:id="rId46">
        <w:r>
          <w:rPr>
            <w:rStyle w:val="Hyperlink"/>
          </w:rPr>
          <w:t xml:space="preserve">https://onlinelibrary.wiley.com/doi/10.1002/pst.531</w:t>
        </w:r>
      </w:hyperlink>
    </w:p>
    <w:p>
      <w:pPr>
        <w:numPr>
          <w:ilvl w:val="0"/>
          <w:numId w:val="1009"/>
        </w:numPr>
      </w:pPr>
      <w:r>
        <w:t xml:space="preserve">Fletcher et al. 2014 —</w:t>
      </w:r>
      <w:r>
        <w:t xml:space="preserve"> </w:t>
      </w:r>
      <w:hyperlink r:id="rId47">
        <w:r>
          <w:rPr>
            <w:rStyle w:val="Hyperlink"/>
          </w:rPr>
          <w:t xml:space="preserve">https://onlinelibrary.wiley.com/doi/10.1002/pst.1626</w:t>
        </w:r>
      </w:hyperlink>
    </w:p>
    <w:p>
      <w:pPr>
        <w:numPr>
          <w:ilvl w:val="0"/>
          <w:numId w:val="1009"/>
        </w:numPr>
      </w:pPr>
      <w:r>
        <w:t xml:space="preserve">Brookes et al. 2004 —</w:t>
      </w:r>
      <w:r>
        <w:t xml:space="preserve"> </w:t>
      </w:r>
      <w:hyperlink r:id="rId48">
        <w:r>
          <w:rPr>
            <w:rStyle w:val="Hyperlink"/>
          </w:rPr>
          <w:t xml:space="preserve">https://www.sciencedirect.com/science/article/abs/pii/S0895435603003329</w:t>
        </w:r>
      </w:hyperlink>
    </w:p>
    <w:p>
      <w:pPr>
        <w:numPr>
          <w:ilvl w:val="0"/>
          <w:numId w:val="1009"/>
        </w:numPr>
      </w:pPr>
      <w:r>
        <w:t xml:space="preserve">Tanniou et al. 2016 —</w:t>
      </w:r>
      <w:r>
        <w:t xml:space="preserve"> </w:t>
      </w:r>
      <w:hyperlink r:id="rId49">
        <w:r>
          <w:rPr>
            <w:rStyle w:val="Hyperlink"/>
          </w:rPr>
          <w:t xml:space="preserve">https://link.springer.com/article/10.1186/s12874-016-0122-6</w:t>
        </w:r>
      </w:hyperlink>
    </w:p>
    <w:p>
      <w:pPr>
        <w:numPr>
          <w:ilvl w:val="0"/>
          <w:numId w:val="1009"/>
        </w:numPr>
      </w:pPr>
      <w:r>
        <w:t xml:space="preserve">Webster-Clark et al. 2020 —</w:t>
      </w:r>
      <w:r>
        <w:t xml:space="preserve"> </w:t>
      </w:r>
      <w:hyperlink r:id="rId50">
        <w:r>
          <w:rPr>
            <w:rStyle w:val="Hyperlink"/>
          </w:rPr>
          <w:t xml:space="preserve">https://www.sciencedirect.com/science/article/abs/pii/S0895435620300731</w:t>
        </w:r>
      </w:hyperlink>
    </w:p>
    <w:p>
      <w:pPr>
        <w:numPr>
          <w:ilvl w:val="0"/>
          <w:numId w:val="1009"/>
        </w:numPr>
      </w:pPr>
      <w:r>
        <w:t xml:space="preserve">Empirical priors for interaction heterogeneity, RSM 2026 —</w:t>
      </w:r>
      <w:r>
        <w:t xml:space="preserve"> </w:t>
      </w:r>
      <w:hyperlink r:id="rId51">
        <w:r>
          <w:rPr>
            <w:rStyle w:val="Hyperlink"/>
          </w:rPr>
          <w:t xml:space="preserve">https://arxiv.org/abs/2606.23968</w:t>
        </w:r>
      </w:hyperlink>
    </w:p>
    <w:p>
      <w:pPr>
        <w:numPr>
          <w:ilvl w:val="0"/>
          <w:numId w:val="1009"/>
        </w:numPr>
      </w:pPr>
      <w:r>
        <w:t xml:space="preserve">van Beekhuizen, ISPOR 2024 poster —</w:t>
      </w:r>
      <w:r>
        <w:t xml:space="preserve"> </w:t>
      </w:r>
      <w:hyperlink r:id="rId52">
        <w:r>
          <w:rPr>
            <w:rStyle w:val="Hyperlink"/>
          </w:rPr>
          <w:t xml:space="preserve">https://www.ispor.org/docs/default-source/intl2024/ispor2024vanbeekhuizenhta31poster138520-pdf.pdf?sfvrsn=1f9cc864_0</w:t>
        </w:r>
      </w:hyperlink>
    </w:p>
    <w:p>
      <w:pPr>
        <w:numPr>
          <w:ilvl w:val="0"/>
          <w:numId w:val="1009"/>
        </w:numPr>
      </w:pPr>
      <w:r>
        <w:t xml:space="preserve">EU HTA regulation concretization paper, IJTAHC —</w:t>
      </w:r>
      <w:r>
        <w:t xml:space="preserve"> </w:t>
      </w:r>
      <w:hyperlink r:id="rId53">
        <w:r>
          <w:rPr>
            <w:rStyle w:val="Hyperlink"/>
          </w:rPr>
          <w:t xml:space="preserve">https://www.cambridge.org/core/journals/international-journal-of-technology-assessment-in-health-care/article/implementation-of-the-eus-health-technology-assessment-regulation-where-does-existing-methods-guidance-require-concretization-and-what-are-the-relevant-methodological-options/1A07065C57DB1985CD9B9D49CACC26CE</w:t>
        </w:r>
      </w:hyperlink>
    </w:p>
    <w:p>
      <w:pPr>
        <w:numPr>
          <w:ilvl w:val="0"/>
          <w:numId w:val="1009"/>
        </w:numPr>
      </w:pPr>
      <w:r>
        <w:t xml:space="preserve">IJTAHC journal metrics —</w:t>
      </w:r>
      <w:r>
        <w:t xml:space="preserve"> </w:t>
      </w:r>
      <w:hyperlink r:id="rId54">
        <w:r>
          <w:rPr>
            <w:rStyle w:val="Hyperlink"/>
          </w:rPr>
          <w:t xml:space="preserve">https://www.cambridge.org/core/journals/international-journal-of-technology-assessment-in-health-care/information/about-this-journal/journal-metrics</w:t>
        </w:r>
      </w:hyperlink>
    </w:p>
    <w:p>
      <w:pPr>
        <w:numPr>
          <w:ilvl w:val="0"/>
          <w:numId w:val="1009"/>
        </w:numPr>
      </w:pPr>
      <w:r>
        <w:t xml:space="preserve">IJTAHC author instructions —</w:t>
      </w:r>
      <w:r>
        <w:t xml:space="preserve"> </w:t>
      </w:r>
      <w:hyperlink r:id="rId55">
        <w:r>
          <w:rPr>
            <w:rStyle w:val="Hyperlink"/>
          </w:rPr>
          <w:t xml:space="preserve">https://www.cambridge.org/core/journals/international-journal-of-technology-assessment-in-health-care/information/author-instructions</w:t>
        </w:r>
      </w:hyperlink>
    </w:p>
    <w:p>
      <w:pPr>
        <w:numPr>
          <w:ilvl w:val="0"/>
          <w:numId w:val="1009"/>
        </w:numPr>
      </w:pPr>
      <w:r>
        <w:t xml:space="preserve">Value in Health guide for authors —</w:t>
      </w:r>
      <w:r>
        <w:t xml:space="preserve"> </w:t>
      </w:r>
      <w:hyperlink r:id="rId56">
        <w:r>
          <w:rPr>
            <w:rStyle w:val="Hyperlink"/>
          </w:rPr>
          <w:t xml:space="preserve">https://www.ispor.org/publications/journals/value-in-health/for-authors/guide-for-authors</w:t>
        </w:r>
      </w:hyperlink>
    </w:p>
    <w:p>
      <w:pPr>
        <w:numPr>
          <w:ilvl w:val="0"/>
          <w:numId w:val="1009"/>
        </w:numPr>
      </w:pPr>
      <w:r>
        <w:t xml:space="preserve">Value in Health metrics —</w:t>
      </w:r>
      <w:r>
        <w:t xml:space="preserve"> </w:t>
      </w:r>
      <w:hyperlink r:id="rId57">
        <w:r>
          <w:rPr>
            <w:rStyle w:val="Hyperlink"/>
          </w:rPr>
          <w:t xml:space="preserve">https://www.journalmetrics.org/journal/value-in-health</w:t>
        </w:r>
      </w:hyperlink>
    </w:p>
    <w:p>
      <w:pPr>
        <w:numPr>
          <w:ilvl w:val="0"/>
          <w:numId w:val="1009"/>
        </w:numPr>
      </w:pPr>
      <w:r>
        <w:t xml:space="preserve">Pharmaceutical Statistics author guidelines —</w:t>
      </w:r>
      <w:r>
        <w:t xml:space="preserve"> </w:t>
      </w:r>
      <w:hyperlink r:id="rId58">
        <w:r>
          <w:rPr>
            <w:rStyle w:val="Hyperlink"/>
          </w:rPr>
          <w:t xml:space="preserve">https://onlinelibrary.wiley.com/page/journal/15391612/homepage/forauthors.html</w:t>
        </w:r>
      </w:hyperlink>
    </w:p>
    <w:p>
      <w:pPr>
        <w:numPr>
          <w:ilvl w:val="0"/>
          <w:numId w:val="1009"/>
        </w:numPr>
      </w:pPr>
      <w:r>
        <w:t xml:space="preserve">Pharmaceutical Statistics metrics —</w:t>
      </w:r>
      <w:r>
        <w:t xml:space="preserve"> </w:t>
      </w:r>
      <w:hyperlink r:id="rId59">
        <w:r>
          <w:rPr>
            <w:rStyle w:val="Hyperlink"/>
          </w:rPr>
          <w:t xml:space="preserve">https://www.journalmetrics.org/journal/pharmaceutical-statistics-2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1" Target="https://arxiv.org/abs/2606.23968" TargetMode="External" /><Relationship Type="http://schemas.openxmlformats.org/officeDocument/2006/relationships/hyperlink" Id="rId40" Target="https://health.ec.europa.eu/document/download/2d188e71-5a10-443c-bfca-69234276799b_en?filename=hta_methodologica-procedural-htacg_qa_en.pdf" TargetMode="External" /><Relationship Type="http://schemas.openxmlformats.org/officeDocument/2006/relationships/hyperlink" Id="rId39" Target="https://health.ec.europa.eu/document/download/4ec8288e-6d15-49c5-a490-d8ad7748578f_en?filename=hta_methodological-guideline_direct-indirect-comparisons_en.pdf" TargetMode="External" /><Relationship Type="http://schemas.openxmlformats.org/officeDocument/2006/relationships/hyperlink" Id="rId49" Target="https://link.springer.com/article/10.1186/s12874-016-0122-6" TargetMode="External" /><Relationship Type="http://schemas.openxmlformats.org/officeDocument/2006/relationships/hyperlink" Id="rId41" Target="https://medstat.umg.eu/fileadmin/Redaktion/Medizinische_Statistik/Dokumente/Vortr%C3%A4ge/2024_Presentation-Ulrich-Grouven.pdf" TargetMode="External" /><Relationship Type="http://schemas.openxmlformats.org/officeDocument/2006/relationships/hyperlink" Id="rId47" Target="https://onlinelibrary.wiley.com/doi/10.1002/pst.1626" TargetMode="External" /><Relationship Type="http://schemas.openxmlformats.org/officeDocument/2006/relationships/hyperlink" Id="rId45" Target="https://onlinelibrary.wiley.com/doi/10.1002/pst.1935" TargetMode="External" /><Relationship Type="http://schemas.openxmlformats.org/officeDocument/2006/relationships/hyperlink" Id="rId46" Target="https://onlinelibrary.wiley.com/doi/10.1002/pst.531" TargetMode="External" /><Relationship Type="http://schemas.openxmlformats.org/officeDocument/2006/relationships/hyperlink" Id="rId44" Target="https://onlinelibrary.wiley.com/doi/abs/10.1002/pst.1919" TargetMode="External" /><Relationship Type="http://schemas.openxmlformats.org/officeDocument/2006/relationships/hyperlink" Id="rId58" Target="https://onlinelibrary.wiley.com/page/journal/15391612/homepage/forauthors.html" TargetMode="External" /><Relationship Type="http://schemas.openxmlformats.org/officeDocument/2006/relationships/hyperlink" Id="rId32" Target="https://psiweb.org/docs/default-source/psi-conference-2026/abstracts-2026/15_june_1330_all_picos_great_and_small_dealing_with_small_subpopulations_in_the_eu_hta_landscape.pdf?sfvrsn=519ca9db_1" TargetMode="External" /><Relationship Type="http://schemas.openxmlformats.org/officeDocument/2006/relationships/hyperlink" Id="rId53" Target="https://www.cambridge.org/core/journals/international-journal-of-technology-assessment-in-health-care/article/implementation-of-the-eus-health-technology-assessment-regulation-where-does-existing-methods-guidance-require-concretization-and-what-are-the-relevant-methodological-options/1A07065C57DB1985CD9B9D49CACC26CE" TargetMode="External" /><Relationship Type="http://schemas.openxmlformats.org/officeDocument/2006/relationships/hyperlink" Id="rId54" Target="https://www.cambridge.org/core/journals/international-journal-of-technology-assessment-in-health-care/information/about-this-journal/journal-metrics" TargetMode="External" /><Relationship Type="http://schemas.openxmlformats.org/officeDocument/2006/relationships/hyperlink" Id="rId55" Target="https://www.cambridge.org/core/journals/international-journal-of-technology-assessment-in-health-care/information/author-instructions" TargetMode="External" /><Relationship Type="http://schemas.openxmlformats.org/officeDocument/2006/relationships/hyperlink" Id="rId43" Target="https://www.efspi.org/wp-content/uploads/2025/05/GermanHTA_WhitePaper_2025.pdf" TargetMode="External" /><Relationship Type="http://schemas.openxmlformats.org/officeDocument/2006/relationships/hyperlink" Id="rId34" Target="https://www.ema.europa.eu/en/documents/presentation/presentation-subgroup-or-subpopulation-wang_en.pdf" TargetMode="External" /><Relationship Type="http://schemas.openxmlformats.org/officeDocument/2006/relationships/hyperlink" Id="rId35" Target="https://www.ema.europa.eu/en/documents/report/workshop-report-expert-workshop-subgroup-analysis_en.pdf" TargetMode="External" /><Relationship Type="http://schemas.openxmlformats.org/officeDocument/2006/relationships/hyperlink" Id="rId36" Target="https://www.ema.europa.eu/en/documents/scientific-guideline/guideline-investigation-subgroups-confirmatory-clinical-trials_en.pdf" TargetMode="External" /><Relationship Type="http://schemas.openxmlformats.org/officeDocument/2006/relationships/hyperlink" Id="rId42" Target="https://www.iqwig.de/methoden/allgemeine-methoden_v8-0.pdf" TargetMode="External" /><Relationship Type="http://schemas.openxmlformats.org/officeDocument/2006/relationships/hyperlink" Id="rId52" Target="https://www.ispor.org/docs/default-source/intl2024/ispor2024vanbeekhuizenhta31poster138520-pdf.pdf?sfvrsn=1f9cc864_0" TargetMode="External" /><Relationship Type="http://schemas.openxmlformats.org/officeDocument/2006/relationships/hyperlink" Id="rId37" Target="https://www.ispor.org/heor-resources/presentations-database/presentation-cti/ispor-europe-2026/poster-session-2-5/early-evidence-pico-multiplicity-under-the-eu-htar-insights-from-the-inaugural-joint-clinical-assessment" TargetMode="External" /><Relationship Type="http://schemas.openxmlformats.org/officeDocument/2006/relationships/hyperlink" Id="rId56" Target="https://www.ispor.org/publications/journals/value-in-health/for-authors/guide-for-authors" TargetMode="External" /><Relationship Type="http://schemas.openxmlformats.org/officeDocument/2006/relationships/hyperlink" Id="rId59" Target="https://www.journalmetrics.org/journal/pharmaceutical-statistics-2" TargetMode="External" /><Relationship Type="http://schemas.openxmlformats.org/officeDocument/2006/relationships/hyperlink" Id="rId57" Target="https://www.journalmetrics.org/journal/value-in-health" TargetMode="External" /><Relationship Type="http://schemas.openxmlformats.org/officeDocument/2006/relationships/hyperlink" Id="rId38" Target="https://www.mdpi.com/2001-6689/14/1/3" TargetMode="External" /><Relationship Type="http://schemas.openxmlformats.org/officeDocument/2006/relationships/hyperlink" Id="rId33" Target="https://www.psiweb.org/conferences/past-conferences/2026-conference-sessions/individual-abstracts-2026" TargetMode="External" /><Relationship Type="http://schemas.openxmlformats.org/officeDocument/2006/relationships/hyperlink" Id="rId48" Target="https://www.sciencedirect.com/science/article/abs/pii/S0895435603003329" TargetMode="External" /><Relationship Type="http://schemas.openxmlformats.org/officeDocument/2006/relationships/hyperlink" Id="rId50" Target="https://www.sciencedirect.com/science/article/abs/pii/S089543562030073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arxiv.org/abs/2606.23968" TargetMode="External" /><Relationship Type="http://schemas.openxmlformats.org/officeDocument/2006/relationships/hyperlink" Id="rId40" Target="https://health.ec.europa.eu/document/download/2d188e71-5a10-443c-bfca-69234276799b_en?filename=hta_methodologica-procedural-htacg_qa_en.pdf" TargetMode="External" /><Relationship Type="http://schemas.openxmlformats.org/officeDocument/2006/relationships/hyperlink" Id="rId39" Target="https://health.ec.europa.eu/document/download/4ec8288e-6d15-49c5-a490-d8ad7748578f_en?filename=hta_methodological-guideline_direct-indirect-comparisons_en.pdf" TargetMode="External" /><Relationship Type="http://schemas.openxmlformats.org/officeDocument/2006/relationships/hyperlink" Id="rId49" Target="https://link.springer.com/article/10.1186/s12874-016-0122-6" TargetMode="External" /><Relationship Type="http://schemas.openxmlformats.org/officeDocument/2006/relationships/hyperlink" Id="rId41" Target="https://medstat.umg.eu/fileadmin/Redaktion/Medizinische_Statistik/Dokumente/Vortr%C3%A4ge/2024_Presentation-Ulrich-Grouven.pdf" TargetMode="External" /><Relationship Type="http://schemas.openxmlformats.org/officeDocument/2006/relationships/hyperlink" Id="rId47" Target="https://onlinelibrary.wiley.com/doi/10.1002/pst.1626" TargetMode="External" /><Relationship Type="http://schemas.openxmlformats.org/officeDocument/2006/relationships/hyperlink" Id="rId45" Target="https://onlinelibrary.wiley.com/doi/10.1002/pst.1935" TargetMode="External" /><Relationship Type="http://schemas.openxmlformats.org/officeDocument/2006/relationships/hyperlink" Id="rId46" Target="https://onlinelibrary.wiley.com/doi/10.1002/pst.531" TargetMode="External" /><Relationship Type="http://schemas.openxmlformats.org/officeDocument/2006/relationships/hyperlink" Id="rId44" Target="https://onlinelibrary.wiley.com/doi/abs/10.1002/pst.1919" TargetMode="External" /><Relationship Type="http://schemas.openxmlformats.org/officeDocument/2006/relationships/hyperlink" Id="rId58" Target="https://onlinelibrary.wiley.com/page/journal/15391612/homepage/forauthors.html" TargetMode="External" /><Relationship Type="http://schemas.openxmlformats.org/officeDocument/2006/relationships/hyperlink" Id="rId32" Target="https://psiweb.org/docs/default-source/psi-conference-2026/abstracts-2026/15_june_1330_all_picos_great_and_small_dealing_with_small_subpopulations_in_the_eu_hta_landscape.pdf?sfvrsn=519ca9db_1" TargetMode="External" /><Relationship Type="http://schemas.openxmlformats.org/officeDocument/2006/relationships/hyperlink" Id="rId53" Target="https://www.cambridge.org/core/journals/international-journal-of-technology-assessment-in-health-care/article/implementation-of-the-eus-health-technology-assessment-regulation-where-does-existing-methods-guidance-require-concretization-and-what-are-the-relevant-methodological-options/1A07065C57DB1985CD9B9D49CACC26CE" TargetMode="External" /><Relationship Type="http://schemas.openxmlformats.org/officeDocument/2006/relationships/hyperlink" Id="rId54" Target="https://www.cambridge.org/core/journals/international-journal-of-technology-assessment-in-health-care/information/about-this-journal/journal-metrics" TargetMode="External" /><Relationship Type="http://schemas.openxmlformats.org/officeDocument/2006/relationships/hyperlink" Id="rId55" Target="https://www.cambridge.org/core/journals/international-journal-of-technology-assessment-in-health-care/information/author-instructions" TargetMode="External" /><Relationship Type="http://schemas.openxmlformats.org/officeDocument/2006/relationships/hyperlink" Id="rId43" Target="https://www.efspi.org/wp-content/uploads/2025/05/GermanHTA_WhitePaper_2025.pdf" TargetMode="External" /><Relationship Type="http://schemas.openxmlformats.org/officeDocument/2006/relationships/hyperlink" Id="rId34" Target="https://www.ema.europa.eu/en/documents/presentation/presentation-subgroup-or-subpopulation-wang_en.pdf" TargetMode="External" /><Relationship Type="http://schemas.openxmlformats.org/officeDocument/2006/relationships/hyperlink" Id="rId35" Target="https://www.ema.europa.eu/en/documents/report/workshop-report-expert-workshop-subgroup-analysis_en.pdf" TargetMode="External" /><Relationship Type="http://schemas.openxmlformats.org/officeDocument/2006/relationships/hyperlink" Id="rId36" Target="https://www.ema.europa.eu/en/documents/scientific-guideline/guideline-investigation-subgroups-confirmatory-clinical-trials_en.pdf" TargetMode="External" /><Relationship Type="http://schemas.openxmlformats.org/officeDocument/2006/relationships/hyperlink" Id="rId42" Target="https://www.iqwig.de/methoden/allgemeine-methoden_v8-0.pdf" TargetMode="External" /><Relationship Type="http://schemas.openxmlformats.org/officeDocument/2006/relationships/hyperlink" Id="rId52" Target="https://www.ispor.org/docs/default-source/intl2024/ispor2024vanbeekhuizenhta31poster138520-pdf.pdf?sfvrsn=1f9cc864_0" TargetMode="External" /><Relationship Type="http://schemas.openxmlformats.org/officeDocument/2006/relationships/hyperlink" Id="rId37" Target="https://www.ispor.org/heor-resources/presentations-database/presentation-cti/ispor-europe-2026/poster-session-2-5/early-evidence-pico-multiplicity-under-the-eu-htar-insights-from-the-inaugural-joint-clinical-assessment" TargetMode="External" /><Relationship Type="http://schemas.openxmlformats.org/officeDocument/2006/relationships/hyperlink" Id="rId56" Target="https://www.ispor.org/publications/journals/value-in-health/for-authors/guide-for-authors" TargetMode="External" /><Relationship Type="http://schemas.openxmlformats.org/officeDocument/2006/relationships/hyperlink" Id="rId59" Target="https://www.journalmetrics.org/journal/pharmaceutical-statistics-2" TargetMode="External" /><Relationship Type="http://schemas.openxmlformats.org/officeDocument/2006/relationships/hyperlink" Id="rId57" Target="https://www.journalmetrics.org/journal/value-in-health" TargetMode="External" /><Relationship Type="http://schemas.openxmlformats.org/officeDocument/2006/relationships/hyperlink" Id="rId38" Target="https://www.mdpi.com/2001-6689/14/1/3" TargetMode="External" /><Relationship Type="http://schemas.openxmlformats.org/officeDocument/2006/relationships/hyperlink" Id="rId33" Target="https://www.psiweb.org/conferences/past-conferences/2026-conference-sessions/individual-abstracts-2026" TargetMode="External" /><Relationship Type="http://schemas.openxmlformats.org/officeDocument/2006/relationships/hyperlink" Id="rId48" Target="https://www.sciencedirect.com/science/article/abs/pii/S0895435603003329" TargetMode="External" /><Relationship Type="http://schemas.openxmlformats.org/officeDocument/2006/relationships/hyperlink" Id="rId50" Target="https://www.sciencedirect.com/science/article/abs/pii/S089543562030073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Informativeness of Small PICO Subpopulations in HTA</dc:title>
  <dc:creator>Prepared for L. F. León</dc:creator>
  <cp:keywords/>
  <dcterms:created xsi:type="dcterms:W3CDTF">2026-10-18T21:22:27Z</dcterms:created>
  <dcterms:modified xsi:type="dcterms:W3CDTF">2026-10-18T21:22:27Z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Manuscript feasibility assessment — version 2</vt:lpwstr>
  </property>
  <property fmtid="{D5CDD505-2E9C-101B-9397-08002B2CF9AE}" pid="11" name="toc-title">
    <vt:lpwstr>Table of contents</vt:lpwstr>
  </property>
</Properties>
</file>