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Extreme Subgroups in Health Technology Assessment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Feasibility assessment for a guidance-and-machinery manuscript</w:t>
      </w:r>
    </w:p>
    <w:p>
      <w:pPr>
        <w:pBdr>
          <w:bottom w:val="single" w:color="2F5496" w:sz="6" w:space="4"/>
        </w:pBdr>
        <w:spacing w:after="2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Prepared 16 September 2026 for L. F. León  ·  Basis: internet search of HTA-body guidance, methodological literature and journal scopes, read against the fixed-baseline vignette “Extreme Subgroup Effects Under a Uniform Treatment Benefit” (2 Sept 2026)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1. Bottom 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Verdict: feasible and well-timed. </w:t>
      </w:r>
      <w:r>
        <w:rPr>
          <w:rFonts w:ascii="Calibri" w:cs="Calibri" w:eastAsia="Calibri" w:hAnsi="Calibri"/>
          <w:sz w:val="21"/>
          <w:szCs w:val="21"/>
        </w:rPr>
        <w:t xml:space="preserve">Nothing published does what the vignette does — a trial-anchored, simulation-calibrated “chance envelope” for the subgroups HTA bodies require, with a random-subgroup benchmark and false-alarm rates on the upper confidence bound.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Precedent is principle-level only. </w:t>
      </w:r>
      <w:r>
        <w:rPr>
          <w:rFonts w:ascii="Calibri" w:cs="Calibri" w:eastAsia="Calibri" w:hAnsi="Calibri"/>
          <w:sz w:val="21"/>
          <w:szCs w:val="21"/>
        </w:rPr>
        <w:t xml:space="preserve">Paget 2011 and Fletcher 2014 (Pharmaceutical Statistics), the EFSPI/PSI subgroup white paper (Dane 2019), the EMA 2019 subgroup guideline and Brookes 2004 all say “small subgroups are noisy” — none gives a reviewer a computable, trial-specific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HTA side is asking for it. </w:t>
      </w:r>
      <w:r>
        <w:rPr>
          <w:rFonts w:ascii="Calibri" w:cs="Calibri" w:eastAsia="Calibri" w:hAnsi="Calibri"/>
          <w:sz w:val="21"/>
          <w:szCs w:val="21"/>
        </w:rPr>
        <w:t xml:space="preserve">EU Joint Clinical Assessment (JCA) went live January 2025 with documented PICO proliferation; IQWiG issued General Methods v8.0 in December 2025; an EFSPI cross-company white paper (May 2025) codifies IQWiG’s ≥10 patients / ≥10 events floor; a 2026 Statistics in Biopharmaceutical Research position paper calls for statisticians to lead HTA 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hook: </w:t>
      </w:r>
      <w:r>
        <w:rPr>
          <w:rFonts w:ascii="Calibri" w:cs="Calibri" w:eastAsia="Calibri" w:hAnsi="Calibri"/>
          <w:sz w:val="21"/>
          <w:szCs w:val="21"/>
        </w:rPr>
        <w:t xml:space="preserve">at the subgroup sizes HTA rules still accept, a subgroup with a true 30% benefit (HR 0.70) shows an upper bound ≥ 2.0 in 80–90% of simulated trials.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Journals: </w:t>
      </w:r>
      <w:r>
        <w:rPr>
          <w:rFonts w:ascii="Calibri" w:cs="Calibri" w:eastAsia="Calibri" w:hAnsi="Calibri"/>
          <w:sz w:val="21"/>
          <w:szCs w:val="21"/>
        </w:rPr>
        <w:t xml:space="preserve">Pharmaceutical Statistics first (direct precedent, PSI/EFSPI HTA-SIG readership); Value in Health “Methodological Article” second (IF 6.0, largest HEOR/HTA readership); IJTAHC “Method” and Statistics in Biopharmaceutical Research as alternates.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Main risk: </w:t>
      </w:r>
      <w:r>
        <w:rPr>
          <w:rFonts w:ascii="Calibri" w:cs="Calibri" w:eastAsia="Calibri" w:hAnsi="Calibri"/>
          <w:sz w:val="21"/>
          <w:szCs w:val="21"/>
        </w:rPr>
        <w:t xml:space="preserve">the “everyone knows this” objection. It is answered by framing the paper as guidance plus machinery for required subgroups, not as a statistical discovery.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2. What the vignette already delivers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manuscript would be built on machinery that already exists and runs. Nothing below needs to be invented.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80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 in vignette</w:t>
            </w:r>
          </w:p>
        </w:tc>
        <w:tc>
          <w:tcPr>
            <w:tcW w:type="dxa" w:w="3744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 it matters for HTA</w:t>
            </w:r>
          </w:p>
        </w:tc>
      </w:tr>
      <w:tr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Trial-anchored DGM: Weibull AFT fitted to real data, censoring calibrated, uniform true HR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 — generate_aft_dgm_flex(), calibrate_k_treat(), calibrate_cens_adjust()</w:t>
            </w:r>
          </w:p>
        </w:tc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Produces a trial-specific chance envelope rather than a generic textbook warning</w:t>
            </w:r>
          </w:p>
        </w:tc>
      </w:tr>
      <w:tr>
        <w:tc>
          <w:tcPr>
            <w:tcW w:type="dxa" w:w="280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Fixed-baseline (conditional-on-X) replicates</w:t>
            </w:r>
          </w:p>
        </w:tc>
        <w:tc>
          <w:tcPr>
            <w:tcW w:type="dxa" w:w="280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 — simulate_from_dgm(baseline = "fixed")</w:t>
            </w:r>
          </w:p>
        </w:tc>
        <w:tc>
          <w:tcPr>
            <w:tcW w:type="dxa" w:w="374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Answers the reviewer’s real question: given these enrolled patients, how variable is this forest-plot row?</w:t>
            </w:r>
          </w:p>
        </w:tc>
      </w:tr>
      <w:tr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Six summary statistics: Pr(HR&lt;0.5), Pr(HR&gt;1), mHR, Pr(UB≥2), Pr(UB≥3), mUB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Pr(UB≥2) and Pr(UB≥3) are directly communicable false-alarm rates for a safety reviewer</w:t>
            </w:r>
          </w:p>
        </w:tc>
      </w:tr>
      <w:tr>
        <w:tc>
          <w:tcPr>
            <w:tcW w:type="dxa" w:w="280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Random-subgroup benchmarks, N = 60 / 40 / 20 / 15</w:t>
            </w:r>
          </w:p>
        </w:tc>
        <w:tc>
          <w:tcPr>
            <w:tcW w:type="dxa" w:w="280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374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calibration anchor: a clinical subgroup of size N behaves exactly like a random subgroup of size N</w:t>
            </w:r>
          </w:p>
        </w:tc>
      </w:tr>
      <w:tr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Heterogeneous-effect appendix (model = "alt", k_inter)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Shows the same tool when a real effect modifier exists — pre-empts “you only did the null”</w:t>
            </w:r>
          </w:p>
        </w:tc>
      </w:tr>
      <w:tr>
        <w:tc>
          <w:tcPr>
            <w:tcW w:type="dxa" w:w="280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Runtime</w:t>
            </w:r>
          </w:p>
        </w:tc>
        <w:tc>
          <w:tcPr>
            <w:tcW w:type="dxa" w:w="280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10,000 trials × 56 subgroups in 45 s on 116 cores</w:t>
            </w:r>
          </w:p>
        </w:tc>
        <w:tc>
          <w:tcPr>
            <w:tcW w:type="dxa" w:w="374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Practical inside a dossier timeline; also runs on a laptop in minutes</w:t>
            </w:r>
          </w:p>
        </w:tc>
      </w:tr>
      <w:tr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Binary / continuous endpoints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Available on feature/glm-extension branch</w:t>
            </w:r>
          </w:p>
        </w:tc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HTA dossiers require multiple endpoint types; extension is a run, not a build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Headline numbers (true HR = 0.70 for every patient; 10,000 replicates)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996"/>
        <w:gridCol w:w="1294"/>
        <w:gridCol w:w="1294"/>
        <w:gridCol w:w="1294"/>
        <w:gridCol w:w="1294"/>
      </w:tblGrid>
      <w:tr>
        <w:trPr>
          <w:tblHeader/>
        </w:trPr>
        <w:tc>
          <w:tcPr>
            <w:tcW w:type="dxa" w:w="3186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Subgroup</w:t>
            </w:r>
          </w:p>
        </w:tc>
        <w:tc>
          <w:tcPr>
            <w:tcW w:type="dxa" w:w="996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294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Pr(UB ≥ 2)</w:t>
            </w:r>
          </w:p>
        </w:tc>
        <w:tc>
          <w:tcPr>
            <w:tcW w:type="dxa" w:w="1294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Pr(UB ≥ 3)</w:t>
            </w:r>
          </w:p>
        </w:tc>
        <w:tc>
          <w:tcPr>
            <w:tcW w:type="dxa" w:w="1294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Median UB</w:t>
            </w:r>
          </w:p>
        </w:tc>
        <w:tc>
          <w:tcPr>
            <w:tcW w:type="dxa" w:w="1294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Pr(HR &gt; 1)</w:t>
            </w:r>
          </w:p>
        </w:tc>
      </w:tr>
      <w:tr>
        <w:tc>
          <w:tcPr>
            <w:tcW w:type="dxa" w:w="318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patients (ITT)</w:t>
            </w:r>
          </w:p>
        </w:tc>
        <w:tc>
          <w:tcPr>
            <w:tcW w:type="dxa" w:w="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686</w:t>
            </w:r>
          </w:p>
        </w:tc>
        <w:tc>
          <w:tcPr>
            <w:tcW w:type="dxa" w:w="12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2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2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  <w:tc>
          <w:tcPr>
            <w:tcW w:type="dxa" w:w="12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0.3%</w:t>
            </w:r>
          </w:p>
        </w:tc>
      </w:tr>
      <w:tr>
        <w:tc>
          <w:tcPr>
            <w:tcW w:type="dxa" w:w="318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random60</w:t>
            </w:r>
          </w:p>
        </w:tc>
        <w:tc>
          <w:tcPr>
            <w:tcW w:type="dxa" w:w="99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29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31%</w:t>
            </w:r>
          </w:p>
        </w:tc>
        <w:tc>
          <w:tcPr>
            <w:tcW w:type="dxa" w:w="129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W w:type="dxa" w:w="129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1.63</w:t>
            </w:r>
          </w:p>
        </w:tc>
        <w:tc>
          <w:tcPr>
            <w:tcW w:type="dxa" w:w="129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</w:tr>
      <w:tr>
        <w:tc>
          <w:tcPr>
            <w:tcW w:type="dxa" w:w="318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random40</w:t>
            </w:r>
          </w:p>
        </w:tc>
        <w:tc>
          <w:tcPr>
            <w:tcW w:type="dxa" w:w="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2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51%</w:t>
            </w:r>
          </w:p>
        </w:tc>
        <w:tc>
          <w:tcPr>
            <w:tcW w:type="dxa" w:w="12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23%</w:t>
            </w:r>
          </w:p>
        </w:tc>
        <w:tc>
          <w:tcPr>
            <w:tcW w:type="dxa" w:w="12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2.01</w:t>
            </w:r>
          </w:p>
        </w:tc>
        <w:tc>
          <w:tcPr>
            <w:tcW w:type="dxa" w:w="12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26%</w:t>
            </w:r>
          </w:p>
        </w:tc>
      </w:tr>
      <w:tr>
        <w:tc>
          <w:tcPr>
            <w:tcW w:type="dxa" w:w="318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Pre-meno / Age &gt; 50 (clinical)</w:t>
            </w:r>
          </w:p>
        </w:tc>
        <w:tc>
          <w:tcPr>
            <w:tcW w:type="dxa" w:w="99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29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62%</w:t>
            </w:r>
          </w:p>
        </w:tc>
        <w:tc>
          <w:tcPr>
            <w:tcW w:type="dxa" w:w="129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36%</w:t>
            </w:r>
          </w:p>
        </w:tc>
        <w:tc>
          <w:tcPr>
            <w:tcW w:type="dxa" w:w="129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2.41</w:t>
            </w:r>
          </w:p>
        </w:tc>
        <w:tc>
          <w:tcPr>
            <w:tcW w:type="dxa" w:w="129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29%</w:t>
            </w:r>
          </w:p>
        </w:tc>
      </w:tr>
      <w:tr>
        <w:tc>
          <w:tcPr>
            <w:tcW w:type="dxa" w:w="318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Grade 3 / PGR-high (clinical)</w:t>
            </w:r>
          </w:p>
        </w:tc>
        <w:tc>
          <w:tcPr>
            <w:tcW w:type="dxa" w:w="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2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55%</w:t>
            </w:r>
          </w:p>
        </w:tc>
        <w:tc>
          <w:tcPr>
            <w:tcW w:type="dxa" w:w="12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27%</w:t>
            </w:r>
          </w:p>
        </w:tc>
        <w:tc>
          <w:tcPr>
            <w:tcW w:type="dxa" w:w="12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2.14</w:t>
            </w:r>
          </w:p>
        </w:tc>
        <w:tc>
          <w:tcPr>
            <w:tcW w:type="dxa" w:w="12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27%</w:t>
            </w:r>
          </w:p>
        </w:tc>
      </w:tr>
      <w:tr>
        <w:tc>
          <w:tcPr>
            <w:tcW w:type="dxa" w:w="318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random20</w:t>
            </w:r>
          </w:p>
        </w:tc>
        <w:tc>
          <w:tcPr>
            <w:tcW w:type="dxa" w:w="99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29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129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61%</w:t>
            </w:r>
          </w:p>
        </w:tc>
        <w:tc>
          <w:tcPr>
            <w:tcW w:type="dxa" w:w="129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3.67</w:t>
            </w:r>
          </w:p>
        </w:tc>
        <w:tc>
          <w:tcPr>
            <w:tcW w:type="dxa" w:w="129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34%</w:t>
            </w:r>
          </w:p>
        </w:tc>
      </w:tr>
      <w:tr>
        <w:tc>
          <w:tcPr>
            <w:tcW w:type="dxa" w:w="318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random15</w:t>
            </w:r>
          </w:p>
        </w:tc>
        <w:tc>
          <w:tcPr>
            <w:tcW w:type="dxa" w:w="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2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12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77%</w:t>
            </w:r>
          </w:p>
        </w:tc>
        <w:tc>
          <w:tcPr>
            <w:tcW w:type="dxa" w:w="12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5.83</w:t>
            </w:r>
          </w:p>
        </w:tc>
        <w:tc>
          <w:tcPr>
            <w:tcW w:type="dxa" w:w="12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Plain reading: the two clinical subgroups of ~35 patients sit exactly between random40 and random20, as their size predicts. Clinical rationale changes nothing about the chance distribution.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IQWiG floor of 10 patients per category (Section 3.1) is below the smallest benchmark here; at N = 15 the row looks like harm (UB ≥ 2) nine times in ten.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3. Precedent and the gap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3.1 HTA-body rules that create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 / instrument</w:t>
            </w:r>
          </w:p>
        </w:tc>
        <w:tc>
          <w:tcPr>
            <w:tcW w:type="dxa" w:w="468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requires or says</w:t>
            </w:r>
          </w:p>
        </w:tc>
        <w:tc>
          <w:tcPr>
            <w:tcW w:type="dxa" w:w="234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IQWiG General Methods (v7.0 English; v8.0 issued 19 Dec 2025, German)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Mandatory subgroups: age, sex, region, disease severity, plus all randomisation strata. Interaction test tiers: p &lt; 0.05 “proof/indication” of effect modification; 0.05 ≤ p &lt; 0.20 “hint”. Minimum: ≥10 patients per category and ≥10 events in one category (binary/TTE). Subgroup-specific added-benefit conclusions when thresholds are met. Pairwise tests for &gt;2 categories; IQWiG acknowledges difficulty with &gt;1 effect modifier and is running its own simulations on Q- vs F-tests.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Grouven (IQWiG) 2024 presentation; EFSPI white paper 2025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EU HTA Regulation / JCA (live since Jan 2025 for oncology and ATMPs)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PICO-driven scoping. Review of 35 PICO exercises: ~8 consolidated PICOs per assessment; a 25-country NSCLC simulation produced 67 PICOs, driven by biomarker/histology sub-populations. Consolidation criteria undefined.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Steck et al. 2026, J Market Access &amp; Health Policy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EU HTACG methodological guideline (direct/indirect comparisons)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Subgroup analyses “often more useful than meta-regression” for targeting; no guidance on interaction thresholds, multiplicity or minimum sizes; defers to a practical guideline.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EC HTACG guideline PDF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NICE manual PMG36 (2022)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Identify effect modifiers before analysis; explore known heterogeneity by subgroup; no explicit handling of small or post-hoc subgroups.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NICE PMG36 §3.4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NICE DSU TSD3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Heterogeneity, subgroups, meta-regression, bias adjustment — an evidence-synthesis framing, not single-trial chance quantification.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NICE DSU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Canada’s Drug Agency (formerly CADTH), HAS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First methods guide published 2025 (CDA); subgroup handling is case-by-case. No quantitative rule found.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CDA methods guide announcement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3.2 Regulatory and industry guidance on subgroups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EMA 2019 Guideline on the investigation of subgroups in confirmatory clinical trials. </w:t>
      </w:r>
      <w:r>
        <w:rPr>
          <w:rFonts w:ascii="Calibri" w:cs="Calibri" w:eastAsia="Calibri" w:hAnsi="Calibri"/>
          <w:sz w:val="21"/>
          <w:szCs w:val="21"/>
        </w:rPr>
        <w:t xml:space="preserve">Credibility rests on biological plausibility, replication and pre-specification. Warns that forest-plot inspection gravitates to extreme estimates; says there is “not a formal rule” for interpreting forest-plot rows; explicitly does not propose a method for quantifying expected variability of subgroup estimates.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EFSPI/PSI working-group white paper, Dane et al. 2019, Pharmaceutical Statistics. </w:t>
      </w:r>
      <w:r>
        <w:rPr>
          <w:rFonts w:ascii="Calibri" w:cs="Calibri" w:eastAsia="Calibri" w:hAnsi="Calibri"/>
          <w:sz w:val="21"/>
          <w:szCs w:val="21"/>
        </w:rPr>
        <w:t xml:space="preserve">Recommends standardised effect plots and structured interpretation; Hemmings and Koch’s commentary calls forest plots “univariate” with “opaque correlations” and interaction tests “a crude tool”, and mentions bootstrap and shrinkage for small subgroups. No HTA/payer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this means: </w:t>
      </w:r>
      <w:r>
        <w:rPr>
          <w:rFonts w:ascii="Calibri" w:cs="Calibri" w:eastAsia="Calibri" w:hAnsi="Calibri"/>
          <w:sz w:val="21"/>
          <w:szCs w:val="21"/>
        </w:rPr>
        <w:t xml:space="preserve">regulators have said the gap exists (no formal rule, no variability quantification) and industry statisticians have said the tools are crude — but both stopped at the regulatory setting. The HTA setting, where rules act on small subgroups, is open.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3.3 Methodological literature closest to the proposal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685"/>
        <w:gridCol w:w="2808"/>
        <w:gridCol w:w="2434"/>
      </w:tblGrid>
      <w:tr>
        <w:trPr>
          <w:tblHeader/>
        </w:trPr>
        <w:tc>
          <w:tcPr>
            <w:tcW w:type="dxa" w:w="2434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Paper</w:t>
            </w:r>
          </w:p>
        </w:tc>
        <w:tc>
          <w:tcPr>
            <w:tcW w:type="dxa" w:w="1685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Venue</w:t>
            </w:r>
          </w:p>
        </w:tc>
        <w:tc>
          <w:tcPr>
            <w:tcW w:type="dxa" w:w="280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34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does not do</w:t>
            </w:r>
          </w:p>
        </w:tc>
      </w:tr>
      <w:tr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Paget et al. 2011</w:t>
            </w:r>
          </w:p>
        </w:tc>
        <w:tc>
          <w:tcPr>
            <w:tcW w:type="dxa" w:w="16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Pharmaceutical Statistics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Principles for subgroup analyses supporting HTA (industry statisticians)</w:t>
            </w:r>
          </w:p>
        </w:tc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simulation or quantification of chance</w:t>
            </w:r>
          </w:p>
        </w:tc>
      </w:tr>
      <w:tr>
        <w:tc>
          <w:tcPr>
            <w:tcW w:type="dxa" w:w="243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Fletcher, Chuang-Stein, Paget et al. 2014</w:t>
            </w:r>
          </w:p>
        </w:tc>
        <w:tc>
          <w:tcPr>
            <w:tcW w:type="dxa" w:w="1685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Pharmaceutical Statistics</w:t>
            </w:r>
          </w:p>
        </w:tc>
        <w:tc>
          <w:tcPr>
            <w:tcW w:type="dxa" w:w="280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principles carried into cost-effectiveness subgroups; case study</w:t>
            </w:r>
          </w:p>
        </w:tc>
        <w:tc>
          <w:tcPr>
            <w:tcW w:type="dxa" w:w="243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trial-specific chance envelope</w:t>
            </w:r>
          </w:p>
        </w:tc>
      </w:tr>
      <w:tr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Brookes et al. 2004</w:t>
            </w:r>
          </w:p>
        </w:tc>
        <w:tc>
          <w:tcPr>
            <w:tcW w:type="dxa" w:w="16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 Clin Epidemiol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Simulation: “significant effect in one subgroup only” in 7–64% of null simulations; interaction power 29% when overall power 80%</w:t>
            </w:r>
          </w:p>
        </w:tc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Generic designs; no UB-threshold framing; pre-dates AMNOG and JCA</w:t>
            </w:r>
          </w:p>
        </w:tc>
      </w:tr>
      <w:tr>
        <w:tc>
          <w:tcPr>
            <w:tcW w:type="dxa" w:w="243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Tanniou et al. 2016</w:t>
            </w:r>
          </w:p>
        </w:tc>
        <w:tc>
          <w:tcPr>
            <w:tcW w:type="dxa" w:w="1685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BMC Med Res Methodol</w:t>
            </w:r>
          </w:p>
        </w:tc>
        <w:tc>
          <w:tcPr>
            <w:tcW w:type="dxa" w:w="280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Taxonomy of subgroup purposes; small subgroups vulnerable; recommends replication</w:t>
            </w:r>
          </w:p>
        </w:tc>
        <w:tc>
          <w:tcPr>
            <w:tcW w:type="dxa" w:w="243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Regulatory framing; explicitly no HTA content</w:t>
            </w:r>
          </w:p>
        </w:tc>
      </w:tr>
      <w:tr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Webster-Clark et al. 2020</w:t>
            </w:r>
          </w:p>
        </w:tc>
        <w:tc>
          <w:tcPr>
            <w:tcW w:type="dxa" w:w="16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 Clin Epidemiol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Selection bias in forest-plot rows via DAGs</w:t>
            </w:r>
          </w:p>
        </w:tc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Bias, not variance; not HTA</w:t>
            </w:r>
          </w:p>
        </w:tc>
      </w:tr>
      <w:tr>
        <w:tc>
          <w:tcPr>
            <w:tcW w:type="dxa" w:w="243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German AMNOG subgroup reviews (ZEFQ 2015; Value in Health 2015 abstract; “Questioning patient subgroups… G-BA” 2014)</w:t>
            </w:r>
          </w:p>
        </w:tc>
        <w:tc>
          <w:tcPr>
            <w:tcW w:type="dxa" w:w="1685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German HTA venues</w:t>
            </w:r>
          </w:p>
        </w:tc>
        <w:tc>
          <w:tcPr>
            <w:tcW w:type="dxa" w:w="280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 how often G-BA ratings are subgroup-differentiated; criticise the practice</w:t>
            </w:r>
          </w:p>
        </w:tc>
        <w:tc>
          <w:tcPr>
            <w:tcW w:type="dxa" w:w="243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statistical machinery</w:t>
            </w:r>
          </w:p>
        </w:tc>
      </w:tr>
      <w:tr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EFSPI German HTA white paper 2025</w:t>
            </w:r>
          </w:p>
        </w:tc>
        <w:tc>
          <w:tcPr>
            <w:tcW w:type="dxa" w:w="16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EFSPI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Codifies IQWiG’s ≥10/≥10 floor and mandatory subgroup list; urges early pre-specification</w:t>
            </w:r>
          </w:p>
        </w:tc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Does not quantify what the floor buys or costs</w:t>
            </w:r>
          </w:p>
        </w:tc>
      </w:tr>
      <w:tr>
        <w:tc>
          <w:tcPr>
            <w:tcW w:type="dxa" w:w="243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van Beekhuizen et al., ISPOR 2024 poster</w:t>
            </w:r>
          </w:p>
        </w:tc>
        <w:tc>
          <w:tcPr>
            <w:tcW w:type="dxa" w:w="1685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ISPOR</w:t>
            </w:r>
          </w:p>
        </w:tc>
        <w:tc>
          <w:tcPr>
            <w:tcW w:type="dxa" w:w="280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 EUnetHTA assessments: assessor criticisms were heterogeneity 42%, sample size 16%, subgroup data 10%</w:t>
            </w:r>
          </w:p>
        </w:tc>
        <w:tc>
          <w:tcPr>
            <w:tcW w:type="dxa" w:w="243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ITC-focused; descriptive</w:t>
            </w:r>
          </w:p>
        </w:tc>
      </w:tr>
      <w:tr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“Current landscape of HTA framework and key challenges” 2025; “Statisticians at the forefront of HTA” 2026</w:t>
            </w:r>
          </w:p>
        </w:tc>
        <w:tc>
          <w:tcPr>
            <w:tcW w:type="dxa" w:w="16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Statistics in Biopharmaceutical Research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Position papers mapping HTA methods needs for statisticians</w:t>
            </w:r>
          </w:p>
        </w:tc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subgroup-specific</w:t>
            </w:r>
          </w:p>
        </w:tc>
      </w:tr>
      <w:tr>
        <w:tc>
          <w:tcPr>
            <w:tcW w:type="dxa" w:w="243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Empirical priors for interaction heterogeneity 2026</w:t>
            </w:r>
          </w:p>
        </w:tc>
        <w:tc>
          <w:tcPr>
            <w:tcW w:type="dxa" w:w="1685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Research Synthesis Methods</w:t>
            </w:r>
          </w:p>
        </w:tc>
        <w:tc>
          <w:tcPr>
            <w:tcW w:type="dxa" w:w="280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Bayesian shrinkage priors for treatment-by-subgroup interactions</w:t>
            </w:r>
          </w:p>
        </w:tc>
        <w:tc>
          <w:tcPr>
            <w:tcW w:type="dxa" w:w="2434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Meta-analytic, not the single-trial row a reviewer reads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3.4 The gap the manuscript would fill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Existing literature says: </w:t>
      </w:r>
      <w:r>
        <w:rPr>
          <w:rFonts w:ascii="Calibri" w:cs="Calibri" w:eastAsia="Calibri" w:hAnsi="Calibri"/>
          <w:sz w:val="21"/>
          <w:szCs w:val="21"/>
        </w:rPr>
        <w:t xml:space="preserve">“be careful — small subgroups are noisy; pre-specify; look for plausibility and replication.”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vignette says: </w:t>
      </w:r>
      <w:r>
        <w:rPr>
          <w:rFonts w:ascii="Calibri" w:cs="Calibri" w:eastAsia="Calibri" w:hAnsi="Calibri"/>
          <w:sz w:val="21"/>
          <w:szCs w:val="21"/>
        </w:rPr>
        <w:t xml:space="preserve">“for this trial and this required subgroup, the probability that the row looks like harm (UB ≥ 2) by chance alone is 62% — identical to a random group of 35 patients.” That is a different, decision-usable object.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Three things nobody has combined: </w:t>
      </w:r>
      <w:r>
        <w:rPr>
          <w:rFonts w:ascii="Calibri" w:cs="Calibri" w:eastAsia="Calibri" w:hAnsi="Calibri"/>
          <w:sz w:val="21"/>
          <w:szCs w:val="21"/>
        </w:rPr>
        <w:t xml:space="preserve">(i) a DGM anchored to the actual trial with the actual enrolled panel; (ii) false-alarm rates on the upper bound at thresholds a reviewer uses; (iii) random-subgroup anchors that make the comparison immediate for a non-statistician committee.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Novelty is in framing and machinery, not in the statistical fact. </w:t>
      </w:r>
      <w:r>
        <w:rPr>
          <w:rFonts w:ascii="Calibri" w:cs="Calibri" w:eastAsia="Calibri" w:hAnsi="Calibri"/>
          <w:sz w:val="21"/>
          <w:szCs w:val="21"/>
        </w:rPr>
        <w:t xml:space="preserve">The paper must say so itself, and must show why the fact is not acted on: HTA rules nonetheless treat these subgroups (IQWiG 10/10 floor; subgroup-differentiated ratings; PICO proliferation).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4. Feasibility — expanded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4.1 Novelty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Adequate if the paper is positioned as guidance plus machinery for HTA-required subgroups.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Not adequate if positioned as “small subgroups have wide confidence intervals” — reviewers at every candidate journal know Brookes 2004.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random-subgroup anchor has a famous ancestor (ISIS-2 astrological-sign subgroups, 1988) that reviewers will recognise; cite it as the qualitative precedent that the vignette makes quantitative and trial-specific.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fixed-baseline design is a distinct contribution: it isolates outcome noise for the enrolled panel, which is the only variability an HTA reviewer of a completed trial can be asked to reason about.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4.2 Timing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JCA live since January 2025; PICO proliferation documented in 2026; consolidation criteria still undefined — the field needs a principled reason to say “this sub-population cannot be informatively analysed from this trial”.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IQWiG General Methods v8.0 (December 2025) keeps the subgroup rules; the EFSPI white paper (May 2025) shows industry is now codifying them rather than contesting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Two 2025–2026 position papers in Statistics in Biopharmaceutical Research are explicitly recruiting statistical methods work for HTA.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Window: 12–24 months before someone else publishes a shrinkage-based or Bayesian alternative aimed at the same problem.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4.3 Machinery and data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Survival endpoint: complete, reproducible, fast.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Binary/continuous endpoints: available on the GLM-extension branch; a dossier-style multi-endpoint panel is a simulation run, not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GBSG is acceptable for a methods paper. A panel using IQWiG’s mandatory set (age, sex, region, severity) on the same data would tighten the link to practice; GBSG lacks sex and region, so either substitute a second public dataset (e.g. a multi-centre trial with region) or state the limitation plainly.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Compute is not a constraint: 10,000 replicates × 56 subgroups in 45 seconds.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4.4 Positioning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3370"/>
        <w:gridCol w:w="2246"/>
        <w:gridCol w:w="2246"/>
      </w:tblGrid>
      <w:tr>
        <w:trPr>
          <w:tblHeader/>
        </w:trPr>
        <w:tc>
          <w:tcPr>
            <w:tcW w:type="dxa" w:w="149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Option</w:t>
            </w:r>
          </w:p>
        </w:tc>
        <w:tc>
          <w:tcPr>
            <w:tcW w:type="dxa" w:w="337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Shape</w:t>
            </w:r>
          </w:p>
        </w:tc>
        <w:tc>
          <w:tcPr>
            <w:tcW w:type="dxa" w:w="2246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Best venue</w:t>
            </w:r>
          </w:p>
        </w:tc>
        <w:tc>
          <w:tcPr>
            <w:tcW w:type="dxa" w:w="2246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Trade-off</w:t>
            </w:r>
          </w:p>
        </w:tc>
      </w:tr>
      <w:t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— Methods paper</w:t>
            </w:r>
          </w:p>
        </w:tc>
        <w:tc>
          <w:tcPr>
            <w:tcW w:type="dxa" w:w="3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 simulation study; DGM, fixed-baseline design, six statistics, random anchors, HTE appendix; R package as companion</w:t>
            </w:r>
          </w:p>
        </w:tc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Pharmaceutical Statistics; Statistics in Biopharmaceutical Research</w:t>
            </w:r>
          </w:p>
        </w:tc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Strongest technical credit; smallest HTA-practitioner readership</w:t>
            </w:r>
          </w:p>
        </w:tc>
      </w:tr>
      <w:tr>
        <w:tc>
          <w:tcPr>
            <w:tcW w:type="dxa" w:w="149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— Guidance paper with worked machinery</w:t>
            </w:r>
          </w:p>
        </w:tc>
        <w:tc>
          <w:tcPr>
            <w:tcW w:type="dxa" w:w="337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HTA rules first, then the tool as the answer; “chance-envelope column” proposed for dossier forest plots; reporting language</w:t>
            </w:r>
          </w:p>
        </w:tc>
        <w:tc>
          <w:tcPr>
            <w:tcW w:type="dxa" w:w="224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Value in Health (Methodological, 3,500 words); IJTAHC (Method, 4,000 words)</w:t>
            </w:r>
          </w:p>
        </w:tc>
        <w:tc>
          <w:tcPr>
            <w:tcW w:type="dxa" w:w="224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Largest decision-maker readership; tighter word limits push the simulation detail to supplement</w:t>
            </w:r>
          </w:p>
        </w:tc>
      </w:tr>
      <w:t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 — Short perspective / commentary</w:t>
            </w:r>
          </w:p>
        </w:tc>
        <w:tc>
          <w:tcPr>
            <w:tcW w:type="dxa" w:w="3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1,500–2,000 words on why PICO and subgroup proliferation needs a variance-based stop rule</w:t>
            </w:r>
          </w:p>
        </w:tc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IJTAHC Perspective (2,000 words); J Market Access &amp; Health Policy</w:t>
            </w:r>
          </w:p>
        </w:tc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Fast and visible; no methodological credit; best as a later spin-off, not the main paper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Recommendation: </w:t>
      </w:r>
      <w:r>
        <w:rPr>
          <w:rFonts w:ascii="Calibri" w:cs="Calibri" w:eastAsia="Calibri" w:hAnsi="Calibri"/>
          <w:sz w:val="21"/>
          <w:szCs w:val="21"/>
        </w:rPr>
        <w:t xml:space="preserve">Option A at Pharmaceutical Statistics as the main paper, written so that Option B is a 3,500-word re-cut for Value in Health if rejected. Option C only after the main paper is accepted.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4.5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tblHeader/>
        </w:trPr>
        <w:tc>
          <w:tcPr>
            <w:tcW w:type="dxa" w:w="280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1123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Likelihood</w:t>
            </w:r>
          </w:p>
        </w:tc>
        <w:tc>
          <w:tcPr>
            <w:tcW w:type="dxa" w:w="5429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“Obvious / well known” reviewer objection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54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 with the HTA rules that act on these subgroups; show the 10/10 floor against the 90% false-alarm rate; state explicitly that the contribution is the trial-specific, computable envelope</w:t>
            </w:r>
          </w:p>
        </w:tc>
      </w:tr>
      <w:tr>
        <w:tc>
          <w:tcPr>
            <w:tcW w:type="dxa" w:w="280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HTA-body specifics cited imprecisely</w:t>
            </w:r>
          </w:p>
        </w:tc>
        <w:tc>
          <w:tcPr>
            <w:tcW w:type="dxa" w:w="1123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429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Quote IQWiG v8.0 §on subgroups directly (German), the EFSPI paper, and the JCA PICO counts; have an HTA practitioner check</w:t>
            </w:r>
          </w:p>
        </w:tc>
      </w:tr>
      <w:tr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Reviewers ask for shrinkage / Bayesian comparison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4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 one panel showing that shrinkage narrows the envelope but does not remove the size dependence; position the envelope as complementary, not competing</w:t>
            </w:r>
          </w:p>
        </w:tc>
      </w:tr>
      <w:tr>
        <w:tc>
          <w:tcPr>
            <w:tcW w:type="dxa" w:w="280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Reviewers ask for a real dossier case</w:t>
            </w:r>
          </w:p>
        </w:tc>
        <w:tc>
          <w:tcPr>
            <w:tcW w:type="dxa" w:w="1123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429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 a public trial with age/sex/region; or reconstruct from a published forest plot (IPD-reconstruction workflow exists)</w:t>
            </w:r>
          </w:p>
        </w:tc>
      </w:tr>
      <w:tr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Scope creep into post-selection inference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 if managed</w:t>
            </w:r>
          </w:p>
        </w:tc>
        <w:tc>
          <w:tcPr>
            <w:tcW w:type="dxa" w:w="54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Hard boundary: this paper is about pre-specified, HTA-required subgroups; no selection adjustment is needed or discussed beyond one sentence</w:t>
            </w:r>
          </w:p>
        </w:tc>
      </w:tr>
      <w:tr>
        <w:tc>
          <w:tcPr>
            <w:tcW w:type="dxa" w:w="280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Word limits at Value in Health / IJTAHC</w:t>
            </w:r>
          </w:p>
        </w:tc>
        <w:tc>
          <w:tcPr>
            <w:tcW w:type="dxa" w:w="1123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Certain</w:t>
            </w:r>
          </w:p>
        </w:tc>
        <w:tc>
          <w:tcPr>
            <w:tcW w:type="dxa" w:w="5429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Simulation detail, code and full tables go to a supplement; main text carries one comparative table and two forest panels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4.6 Effort and authorship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Effort is manuscript-writing dominated. Additional simulation: one binary-endpoint panel and one “mandatory subgroup” panel — days, not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 HTA-practitioner co-author (agency, EAG/ERG, or dossier lead) materially raises acceptance odds at Value in Health and IJTAHC and protects against risk 2 above. Not essential at Pharmaceutical Statistics.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Pre-submission route: PSI conference (HTA SIG track) or ISPOR Europe abstract; medRxiv/arXiv preprint is accepted by all candidate journals.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4.7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Dimension</w:t>
            </w:r>
          </w:p>
        </w:tc>
        <w:tc>
          <w:tcPr>
            <w:tcW w:type="dxa" w:w="748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Novelty</w:t>
            </w:r>
          </w:p>
        </w:tc>
        <w:tc>
          <w:tcPr>
            <w:tcW w:type="dxa" w:w="74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Adequate with the guidance-plus-machinery framing</w:t>
            </w:r>
          </w:p>
        </w:tc>
      </w:tr>
      <w:tr>
        <w:tc>
          <w:tcPr>
            <w:tcW w:type="dxa" w:w="187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Timing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Favourable; 12–24 month window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Machinery</w:t>
            </w:r>
          </w:p>
        </w:tc>
        <w:tc>
          <w:tcPr>
            <w:tcW w:type="dxa" w:w="74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Complete for survival; extension trivial</w:t>
            </w:r>
          </w:p>
        </w:tc>
      </w:tr>
      <w:tr>
        <w:tc>
          <w:tcPr>
            <w:tcW w:type="dxa" w:w="187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Adequate; one additional dataset would strengthen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Venue</w:t>
            </w:r>
          </w:p>
        </w:tc>
        <w:tc>
          <w:tcPr>
            <w:tcW w:type="dxa" w:w="74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Two strong fits, two alternates</w:t>
            </w:r>
          </w:p>
        </w:tc>
      </w:tr>
      <w:tr>
        <w:tc>
          <w:tcPr>
            <w:tcW w:type="dxa" w:w="187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Overall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5. Journal search — expanded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Metrics are from public aggregators (journalmetrics.org, Editage, SCImago) and are approximate; verify against the publisher before submission. Word limits are from the journals’ current author instructions.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7"/>
        <w:gridCol w:w="1276"/>
        <w:gridCol w:w="1617"/>
        <w:gridCol w:w="1106"/>
        <w:gridCol w:w="936"/>
        <w:gridCol w:w="2638"/>
      </w:tblGrid>
      <w:tr>
        <w:trPr>
          <w:tblHeader/>
        </w:trPr>
        <w:tc>
          <w:tcPr>
            <w:tcW w:type="dxa" w:w="1787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Journal (publisher / society)</w:t>
            </w:r>
          </w:p>
        </w:tc>
        <w:tc>
          <w:tcPr>
            <w:tcW w:type="dxa" w:w="1276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Metrics</w:t>
            </w:r>
          </w:p>
        </w:tc>
        <w:tc>
          <w:tcPr>
            <w:tcW w:type="dxa" w:w="1617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Relevant article type and limit</w:t>
            </w:r>
          </w:p>
        </w:tc>
        <w:tc>
          <w:tcPr>
            <w:tcW w:type="dxa" w:w="1106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OA / cost</w:t>
            </w:r>
          </w:p>
        </w:tc>
        <w:tc>
          <w:tcPr>
            <w:tcW w:type="dxa" w:w="936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Fit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Why</w:t>
            </w:r>
          </w:p>
        </w:tc>
      </w:tr>
      <w:tr>
        <w:tc>
          <w:tcPr>
            <w:tcW w:type="dxa" w:w="17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Pharmaceutical Statistics (Wiley / PSI)</w:t>
            </w:r>
          </w:p>
        </w:tc>
        <w:tc>
          <w:tcPr>
            <w:tcW w:type="dxa" w:w="127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IF ≈ 1.4, Q2; CiteScore ≈ 2</w:t>
            </w:r>
          </w:p>
        </w:tc>
        <w:tc>
          <w:tcPr>
            <w:tcW w:type="dxa" w:w="16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Regular research article; no strict word limit; simulation + software expected</w:t>
            </w:r>
          </w:p>
        </w:tc>
        <w:tc>
          <w:tcPr>
            <w:tcW w:type="dxa" w:w="11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Hybrid; OA optional</w:t>
            </w:r>
          </w:p>
        </w:tc>
        <w:tc>
          <w:tcPr>
            <w:tcW w:type="dxa" w:w="9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Best</w:t>
            </w:r>
          </w:p>
        </w:tc>
        <w:tc>
          <w:tcPr>
            <w:tcW w:type="dxa" w:w="26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Direct precedent: Paget 2011, Fletcher 2014, Dane 2019 white paper + Hemmings commentary all here. Readership is the industry/HTA statisticians who write AMNOG and JCA dossiers (PSI/EFSPI HTA SIG).</w:t>
            </w:r>
          </w:p>
        </w:tc>
      </w:tr>
      <w:tr>
        <w:tc>
          <w:tcPr>
            <w:tcW w:type="dxa" w:w="1787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Value in Health (Elsevier / ISPOR)</w:t>
            </w:r>
          </w:p>
        </w:tc>
        <w:tc>
          <w:tcPr>
            <w:tcW w:type="dxa" w:w="127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IF 6.0 (2025), Q1; CiteScore 6.9</w:t>
            </w:r>
          </w:p>
        </w:tc>
        <w:tc>
          <w:tcPr>
            <w:tcW w:type="dxa" w:w="1617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Methodological Article ≤ 3,500 words; Original Research ≤ 4,000</w:t>
            </w:r>
          </w:p>
        </w:tc>
        <w:tc>
          <w:tcPr>
            <w:tcW w:type="dxa" w:w="110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Hybrid; OA optional</w:t>
            </w:r>
          </w:p>
        </w:tc>
        <w:tc>
          <w:tcPr>
            <w:tcW w:type="dxa" w:w="93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Strong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Largest HEOR/HTA readership; AMNOG subgroup abstracts already published; explicitly invites methodological papers with illustrative data.</w:t>
            </w:r>
          </w:p>
        </w:tc>
      </w:tr>
      <w:tr>
        <w:tc>
          <w:tcPr>
            <w:tcW w:type="dxa" w:w="17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Int. J. Technology Assessment in Health Care (Cambridge / HTAi)</w:t>
            </w:r>
          </w:p>
        </w:tc>
        <w:tc>
          <w:tcPr>
            <w:tcW w:type="dxa" w:w="127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SJR 0.93, Q1 Health Policy (2025); CiteScore 3.3</w:t>
            </w:r>
          </w:p>
        </w:tc>
        <w:tc>
          <w:tcPr>
            <w:tcW w:type="dxa" w:w="16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Method ≤ 4,000 words; Perspective ≤ 2,000</w:t>
            </w:r>
          </w:p>
        </w:tc>
        <w:tc>
          <w:tcPr>
            <w:tcW w:type="dxa" w:w="11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Gold OA via read-and-publish; APC waivers available</w:t>
            </w:r>
          </w:p>
        </w:tc>
        <w:tc>
          <w:tcPr>
            <w:tcW w:type="dxa" w:w="9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Good</w:t>
            </w:r>
          </w:p>
        </w:tc>
        <w:tc>
          <w:tcPr>
            <w:tcW w:type="dxa" w:w="26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Agency readership (IQWiG, NICE, HAS staff publish here); published the EU-HTA “concretization” paper.</w:t>
            </w:r>
          </w:p>
        </w:tc>
      </w:tr>
      <w:tr>
        <w:tc>
          <w:tcPr>
            <w:tcW w:type="dxa" w:w="1787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Statistics in Biopharmaceutical Research (Taylor &amp; Francis / ASA)</w:t>
            </w:r>
          </w:p>
        </w:tc>
        <w:tc>
          <w:tcPr>
            <w:tcW w:type="dxa" w:w="127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IF ≈ 1–2 (not verified)</w:t>
            </w:r>
          </w:p>
        </w:tc>
        <w:tc>
          <w:tcPr>
            <w:tcW w:type="dxa" w:w="1617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Research article</w:t>
            </w:r>
          </w:p>
        </w:tc>
        <w:tc>
          <w:tcPr>
            <w:tcW w:type="dxa" w:w="110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Hybrid</w:t>
            </w:r>
          </w:p>
        </w:tc>
        <w:tc>
          <w:tcPr>
            <w:tcW w:type="dxa" w:w="93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Good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Ran the 2025 HTA-landscape and 2026 statisticians-in-HTA position papers; comfortable with simulation-heavy methods.</w:t>
            </w:r>
          </w:p>
        </w:tc>
      </w:tr>
      <w:tr>
        <w:tc>
          <w:tcPr>
            <w:tcW w:type="dxa" w:w="17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 Market Access &amp; Health Policy (MDPI)</w:t>
            </w:r>
          </w:p>
        </w:tc>
        <w:tc>
          <w:tcPr>
            <w:tcW w:type="dxa" w:w="127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Emerging; OA</w:t>
            </w:r>
          </w:p>
        </w:tc>
        <w:tc>
          <w:tcPr>
            <w:tcW w:type="dxa" w:w="16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Article; fast turnaround</w:t>
            </w:r>
          </w:p>
        </w:tc>
        <w:tc>
          <w:tcPr>
            <w:tcW w:type="dxa" w:w="11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APC</w:t>
            </w:r>
          </w:p>
        </w:tc>
        <w:tc>
          <w:tcPr>
            <w:tcW w:type="dxa" w:w="9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Niche</w:t>
            </w:r>
          </w:p>
        </w:tc>
        <w:tc>
          <w:tcPr>
            <w:tcW w:type="dxa" w:w="26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Home of the JCA/PICO-proliferation literature (Steck 2026); the policy audience that feels the problem. Spin-off venue.</w:t>
            </w:r>
          </w:p>
        </w:tc>
      </w:tr>
      <w:tr>
        <w:tc>
          <w:tcPr>
            <w:tcW w:type="dxa" w:w="1787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PharmacoEconomics / PharmacoEconomics-Open (Springer)</w:t>
            </w:r>
          </w:p>
        </w:tc>
        <w:tc>
          <w:tcPr>
            <w:tcW w:type="dxa" w:w="127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IF ≈ 4 / OA</w:t>
            </w:r>
          </w:p>
        </w:tc>
        <w:tc>
          <w:tcPr>
            <w:tcW w:type="dxa" w:w="1617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Original research; methods</w:t>
            </w:r>
          </w:p>
        </w:tc>
        <w:tc>
          <w:tcPr>
            <w:tcW w:type="dxa" w:w="110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Hybrid / OA</w:t>
            </w:r>
          </w:p>
        </w:tc>
        <w:tc>
          <w:tcPr>
            <w:tcW w:type="dxa" w:w="93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Moderate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HTA methods and policy; readership more economic than statistical.</w:t>
            </w:r>
          </w:p>
        </w:tc>
      </w:tr>
      <w:tr>
        <w:tc>
          <w:tcPr>
            <w:tcW w:type="dxa" w:w="17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Medical Decision Making (Sage / SMDM)</w:t>
            </w:r>
          </w:p>
        </w:tc>
        <w:tc>
          <w:tcPr>
            <w:tcW w:type="dxa" w:w="127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IF ≈ 3</w:t>
            </w:r>
          </w:p>
        </w:tc>
        <w:tc>
          <w:tcPr>
            <w:tcW w:type="dxa" w:w="16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Original article</w:t>
            </w:r>
          </w:p>
        </w:tc>
        <w:tc>
          <w:tcPr>
            <w:tcW w:type="dxa" w:w="11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Hybrid</w:t>
            </w:r>
          </w:p>
        </w:tc>
        <w:tc>
          <w:tcPr>
            <w:tcW w:type="dxa" w:w="9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Moderate</w:t>
            </w:r>
          </w:p>
        </w:tc>
        <w:tc>
          <w:tcPr>
            <w:tcW w:type="dxa" w:w="26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Decision-analytic framing of false alarms would suit; less dossier-specific.</w:t>
            </w:r>
          </w:p>
        </w:tc>
      </w:tr>
      <w:tr>
        <w:tc>
          <w:tcPr>
            <w:tcW w:type="dxa" w:w="1787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Research Synthesis Methods (Wiley)</w:t>
            </w:r>
          </w:p>
        </w:tc>
        <w:tc>
          <w:tcPr>
            <w:tcW w:type="dxa" w:w="127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IF ≈ 5</w:t>
            </w:r>
          </w:p>
        </w:tc>
        <w:tc>
          <w:tcPr>
            <w:tcW w:type="dxa" w:w="1617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Research article</w:t>
            </w:r>
          </w:p>
        </w:tc>
        <w:tc>
          <w:tcPr>
            <w:tcW w:type="dxa" w:w="110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Hybrid</w:t>
            </w:r>
          </w:p>
        </w:tc>
        <w:tc>
          <w:tcPr>
            <w:tcW w:type="dxa" w:w="936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Weak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Meta-analytic orientation; the object here is a single trial.</w:t>
            </w:r>
          </w:p>
        </w:tc>
      </w:tr>
      <w:tr>
        <w:tc>
          <w:tcPr>
            <w:tcW w:type="dxa" w:w="17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Statistics in Medicine; BMC Med Res Methodol; J Clin Epidemiol</w:t>
            </w:r>
          </w:p>
        </w:tc>
        <w:tc>
          <w:tcPr>
            <w:tcW w:type="dxa" w:w="127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IF ≈ 2 / 4 / 7</w:t>
            </w:r>
          </w:p>
        </w:tc>
        <w:tc>
          <w:tcPr>
            <w:tcW w:type="dxa" w:w="16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Research article</w:t>
            </w:r>
          </w:p>
        </w:tc>
        <w:tc>
          <w:tcPr>
            <w:tcW w:type="dxa" w:w="11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Hybrid / OA / Hybrid</w:t>
            </w:r>
          </w:p>
        </w:tc>
        <w:tc>
          <w:tcPr>
            <w:tcW w:type="dxa" w:w="93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Fallback</w:t>
            </w:r>
          </w:p>
        </w:tc>
        <w:tc>
          <w:tcPr>
            <w:tcW w:type="dxa" w:w="26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Generalist methods venues; would drop the HTA hook and lose the novelty argument.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5.1 Ranked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Pharmaceutical Statistics. </w:t>
      </w:r>
      <w:r>
        <w:rPr>
          <w:rFonts w:ascii="Calibri" w:cs="Calibri" w:eastAsia="Calibri" w:hAnsi="Calibri"/>
          <w:sz w:val="21"/>
          <w:szCs w:val="21"/>
        </w:rPr>
        <w:t xml:space="preserve">Every relevant precedent lives there; the editorial board and reviewers will understand the fixed-baseline design without explanation; the HTA SIG audience is exactly who would adopt the tool. Lower impact factor is the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Value in Health (Methodological Article). </w:t>
      </w:r>
      <w:r>
        <w:rPr>
          <w:rFonts w:ascii="Calibri" w:cs="Calibri" w:eastAsia="Calibri" w:hAnsi="Calibri"/>
          <w:sz w:val="21"/>
          <w:szCs w:val="21"/>
        </w:rPr>
        <w:t xml:space="preserve">Highest impact and the decision-maker readership. Requires the 3,500-word re-cut with simulation detail in a supplement, and benefits from an HTA co-author.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IJTAHC (Method). </w:t>
      </w:r>
      <w:r>
        <w:rPr>
          <w:rFonts w:ascii="Calibri" w:cs="Calibri" w:eastAsia="Calibri" w:hAnsi="Calibri"/>
          <w:sz w:val="21"/>
          <w:szCs w:val="21"/>
        </w:rPr>
        <w:t xml:space="preserve">Agency readership; Gold OA under many institutional agreements. Slightly less statistical depth expected.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Statistics in Biopharmaceutical Research. </w:t>
      </w:r>
      <w:r>
        <w:rPr>
          <w:rFonts w:ascii="Calibri" w:cs="Calibri" w:eastAsia="Calibri" w:hAnsi="Calibri"/>
          <w:sz w:val="21"/>
          <w:szCs w:val="21"/>
        </w:rPr>
        <w:t xml:space="preserve">If the paper grows more technical than Pharmaceutical Statistics wants.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5.2 Submission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the full paper (Option A). Submit to Pharmaceutical Statistics.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a 3,500-word version in parallel; if rejected, submit to Value in Health as a Methodological Article within two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Post a preprint (medRxiv or arXiv stat.ME) at first submission; all candidate journals allow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Present at PSI conference (HTA SIG) or ISPOR Europe to recruit an HTA co-author or endorser before the Value in Health route is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After acceptance, a 2,000-word IJTAHC Perspective or JMAHP piece aimed at JCA scoping.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6. Suggested manuscript skeleton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For decision, not a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Introduction — the HTA setting. </w:t>
      </w:r>
      <w:r>
        <w:rPr>
          <w:rFonts w:ascii="Calibri" w:cs="Calibri" w:eastAsia="Calibri" w:hAnsi="Calibri"/>
          <w:sz w:val="21"/>
          <w:szCs w:val="21"/>
        </w:rPr>
        <w:t xml:space="preserve">What IQWiG/G-BA, NICE and the EU JCA require of subgroup analyses; the 10/10 floor; PICO proliferation; the EMA statement that no formal rule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Question. </w:t>
      </w:r>
      <w:r>
        <w:rPr>
          <w:rFonts w:ascii="Calibri" w:cs="Calibri" w:eastAsia="Calibri" w:hAnsi="Calibri"/>
          <w:sz w:val="21"/>
          <w:szCs w:val="21"/>
        </w:rPr>
        <w:t xml:space="preserve">How alarming can a required subgroup row look when the true effect is uniform, for this trial and these patients?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Machinery. </w:t>
      </w:r>
      <w:r>
        <w:rPr>
          <w:rFonts w:ascii="Calibri" w:cs="Calibri" w:eastAsia="Calibri" w:hAnsi="Calibri"/>
          <w:sz w:val="21"/>
          <w:szCs w:val="21"/>
        </w:rPr>
        <w:t xml:space="preserve">Trial-anchored DGM; fixed-baseline replicates; six summary statistics; random-subgroup anchor; software.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Case study. </w:t>
      </w:r>
      <w:r>
        <w:rPr>
          <w:rFonts w:ascii="Calibri" w:cs="Calibri" w:eastAsia="Calibri" w:hAnsi="Calibri"/>
          <w:sz w:val="21"/>
          <w:szCs w:val="21"/>
        </w:rPr>
        <w:t xml:space="preserve">GBSG with clinical and mandatory-style subgroups plus random benchmarks; one comparative table (subgroups × statistics) and two forest panels; short plain-language reading.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Heterogeneous-effect appendix. </w:t>
      </w:r>
      <w:r>
        <w:rPr>
          <w:rFonts w:ascii="Calibri" w:cs="Calibri" w:eastAsia="Calibri" w:hAnsi="Calibri"/>
          <w:sz w:val="21"/>
          <w:szCs w:val="21"/>
        </w:rPr>
        <w:t xml:space="preserve">Same tool when a real effect modifier exists; shows the envelope separates signal from size.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Guidance. </w:t>
      </w:r>
      <w:r>
        <w:rPr>
          <w:rFonts w:ascii="Calibri" w:cs="Calibri" w:eastAsia="Calibri" w:hAnsi="Calibri"/>
          <w:sz w:val="21"/>
          <w:szCs w:val="21"/>
        </w:rPr>
        <w:t xml:space="preserve">A “chance envelope” column for dossier forest plots; reporting language; when a subgroup claim should be disallowed on variance grounds alone; relation to shrinkage.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Limitations. </w:t>
      </w:r>
      <w:r>
        <w:rPr>
          <w:rFonts w:ascii="Calibri" w:cs="Calibri" w:eastAsia="Calibri" w:hAnsi="Calibri"/>
          <w:sz w:val="21"/>
          <w:szCs w:val="21"/>
        </w:rPr>
        <w:t xml:space="preserve">Single-trial; survival-first; DGM assumptions; not a selection-adjusted inference tool.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7. Items to verify before writing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IQWiG General Methods v8.0 subgroup section — exact wording (German PDF; the thresholds above come from the 2024 IQWiG presentation and the EFSPI paper).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 text of the two Statistics in Biopharmaceutical Research position papers (paywalled from here).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Whether the EU HTACG “practical guideline for quantitative evidence synthesis” now contains subgroup thresholds.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Current impact factors and APCs from the publishers.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Whether a Value in Health Methodological Article permits a software companion (it does permit illustrative data).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8. Sources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Paget et al. 2011, Pharmaceutical Statistics — </w:t>
      </w:r>
      <w:hyperlink w:history="1" r:id="rIdmqcbj5_gql-crwt4e6vng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https://onlinelibrary.wiley.com/doi/10.1002/pst.531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Fletcher et al. 2014, Pharmaceutical Statistics — </w:t>
      </w:r>
      <w:hyperlink w:history="1" r:id="rIdbbi3zxtprslabnspt9fjv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https://onlinelibrary.wiley.com/doi/10.1002/pst.1626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Dane et al. 2019, EFSPI/PSI subgroup white paper, Pharmaceutical Statistics — </w:t>
      </w:r>
      <w:hyperlink w:history="1" r:id="rIdzxyezukt5vajbiqkzr5mq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https://onlinelibrary.wiley.com/doi/abs/10.1002/pst.1919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Hemmings &amp; Koch 2019, commentary, Pharmaceutical Statistics — </w:t>
      </w:r>
      <w:hyperlink w:history="1" r:id="rIdi40md8cod9sqct97j3_at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https://onlinelibrary.wiley.com/doi/10.1002/pst.1935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EMA 2019 Guideline on the investigation of subgroups in confirmatory clinical trials — </w:t>
      </w:r>
      <w:hyperlink w:history="1" r:id="rIdxfl0kw7wfqban2wh2_qm2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https://www.ema.europa.eu/en/documents/scientific-guideline/guideline-investigation-subgroups-confirmatory-clinical-trials_en.pdf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Brookes et al. 2004, J Clin Epidemiol — </w:t>
      </w:r>
      <w:hyperlink w:history="1" r:id="rIdatbjrznneobqqb4cmbond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https://www.sciencedirect.com/science/article/abs/pii/S0895435603003329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Tanniou et al. 2016, BMC Med Res Methodol — </w:t>
      </w:r>
      <w:hyperlink w:history="1" r:id="rIdrurpsygslk5i7tlqukv0e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https://link.springer.com/article/10.1186/s12874-016-0122-6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Webster-Clark et al. 2020, J Clin Epidemiol — </w:t>
      </w:r>
      <w:hyperlink w:history="1" r:id="rIddzqwc9_v9abnxuhcrkndz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https://www.sciencedirect.com/science/article/abs/pii/S0895435620300731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Grouven (IQWiG) 2024, methodological approach to subgroup analyses — </w:t>
      </w:r>
      <w:hyperlink w:history="1" r:id="rId8aag9rufspcpw0-wnq1yh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https://medstat.umg.eu/fileadmin/Redaktion/Medizinische_Statistik/Dokumente/Vortr%C3%A4ge/2024_Presentation-Ulrich-Grouven.pdf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IQWiG Allgemeine Methoden v8.0 (19 Dec 2025) — </w:t>
      </w:r>
      <w:hyperlink w:history="1" r:id="rIdeephac-23b1xnh_p3yrix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https://www.iqwig.de/methoden/allgemeine-methoden_v8-0.pdf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IQWiG General Methods v7.0 (English) — </w:t>
      </w:r>
      <w:hyperlink w:history="1" r:id="rIdoer-r3tyol8tw5gdqngbk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https://www.iqwig.de/methoden/general-methods_version-7-0.pdf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EFSPI German Benefit Assessment white paper 2025 — </w:t>
      </w:r>
      <w:hyperlink w:history="1" r:id="rIdjthcs9vtfr2wtxpylkzeg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https://www.efspi.org/wp-content/uploads/2025/05/GermanHTA_WhitePaper_2025.pdf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Steck et al. 2026, JMAHP, EU JCA PICO scoping — </w:t>
      </w:r>
      <w:hyperlink w:history="1" r:id="rIdggys7mwo_2c-vl_lqdovw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https://www.mdpi.com/2001-6689/14/1/3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EU HTACG methodological guideline, direct and indirect comparisons — </w:t>
      </w:r>
      <w:hyperlink w:history="1" r:id="rId2drbvkloyr9zbit4ds8fs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https://health.ec.europa.eu/document/download/4ec8288e-6d15-49c5-a490-d8ad7748578f_en?filename=hta_methodological-guideline_direct-indirect-comparisons_en.pdf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EU HTA regulation concretization paper, IJTAHC — </w:t>
      </w:r>
      <w:hyperlink w:history="1" r:id="rIda6ageamfv39fehkdi-zuq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cambridge.org/core/journals/international-journal-of-technology-assessment-in-health-care/article/implementation-of-the-eus-health-technology-assessment-regulation-where-does-existing-methods-guidance-require-concretization-and-what-are-the-relevant-methodological-options/1A07065C57DB1985CD9B9D49CACC26CE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NICE PMG36 manual, Evidence chapter — </w:t>
      </w:r>
      <w:hyperlink w:history="1" r:id="rIddelqiwvd46pt97aq94nry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https://www.nice.org.uk/process/pmg36/chapter/evidence-2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NICE DSU TSD3, heterogeneity and subgroups — </w:t>
      </w:r>
      <w:hyperlink w:history="1" r:id="rId3lbpghzb-ryfifatmsvml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https://www.ncbi.nlm.nih.gov/books/NBK395886/pdf/Bookshelf_NBK395886.pdf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Canada’s Drug Agency first methods guide (announcement) — </w:t>
      </w:r>
      <w:hyperlink w:history="1" r:id="rId-adpsws-s9tz5qftswxui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https://becarispublishing.com/digital-content/blog-post/canada-s-drug-agency-publishes-first-ever-methods-guide-health-technology-assessment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AMNOG subgroup abstract, Value in Health — </w:t>
      </w:r>
      <w:hyperlink w:history="1" r:id="rIdaz5jskc4gwyhcanabval4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https://www.valueinhealthjournal.com/article/S1098-3015(14)03098-8/fulltext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Subgroups in early benefit assessment: methodical review, ZEFQ 2015 — </w:t>
      </w:r>
      <w:hyperlink w:history="1" r:id="rId8jyjwzilbuqsq6bqazj5x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https://www.zefq-journal.com/article/S1865-9217(15)00002-1/abstract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van Beekhuizen et al., ISPOR 2024 poster, EUnetHTA ITC acceptability — </w:t>
      </w:r>
      <w:hyperlink w:history="1" r:id="rIdejk5zvpkepjbvkufibm7j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https://www.ispor.org/docs/default-source/intl2024/ispor2024vanbeekhuizenhta31poster138520-pdf.pdf?sfvrsn=1f9cc864_0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Current landscape of HTA framework and key challenges, SBR 2025 — </w:t>
      </w:r>
      <w:hyperlink w:history="1" r:id="rIdkegoofwnjzhhuq2uefsjg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https://doi.org/10.1080/19466315.2025.2495307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Statisticians at the forefront of HTA, SBR 2026 — </w:t>
      </w:r>
      <w:hyperlink w:history="1" r:id="rId_3ekxqnv6inkzdp20dtbj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https://doi.org/10.1080/19466315.2026.2669302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Empirical priors for interaction heterogeneity, RSM 2026 (arXiv) — </w:t>
      </w:r>
      <w:hyperlink w:history="1" r:id="rIdcqsv8tedprwy1qcvtt4ce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https://arxiv.org/abs/2606.23968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PSI/EFSPI HTA SIG — EU HTA — </w:t>
      </w:r>
      <w:hyperlink w:history="1" r:id="rIdth_6ej4bdwmuuqqkzhx7s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https://www.psiweb.org/sigs-special-interest-groups/hta/eu-hta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IJTAHC author instructions — </w:t>
      </w:r>
      <w:hyperlink w:history="1" r:id="rIdiis5hobk65i3daeg7n9dy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https://www.cambridge.org/core/journals/international-journal-of-technology-assessment-in-health-care/information/author-instructions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IJTAHC on SCImago — </w:t>
      </w:r>
      <w:hyperlink w:history="1" r:id="rIdyov6tdxeg8owb6ly2xifq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https://www.scimagojr.com/journalsearch.php?q=27211&amp;tip=sid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Value in Health guide for authors — </w:t>
      </w:r>
      <w:hyperlink w:history="1" r:id="rIdj32cgilvdrne0ogm2povg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https://www.ispor.org/publications/journals/value-in-health/for-authors/guide-for-authors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Value in Health metrics (journalmetrics.org) — </w:t>
      </w:r>
      <w:hyperlink w:history="1" r:id="rIddoztimvskilqb3zoamvvd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https://www.journalmetrics.org/journal/value-in-health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Pharmaceutical Statistics metrics (journalmetrics.org) — </w:t>
      </w:r>
      <w:hyperlink w:history="1" r:id="rIdqv7a6zoncvwemuwe5cpwe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https://www.journalmetrics.org/journal/pharmaceutical-statistics-2</w:t>
        </w:r>
      </w:hyperlink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2F54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qcbj5_gql-crwt4e6vng" Type="http://schemas.openxmlformats.org/officeDocument/2006/relationships/hyperlink" Target="https://onlinelibrary.wiley.com/doi/10.1002/pst.531" TargetMode="External"/><Relationship Id="rIdbbi3zxtprslabnspt9fjv" Type="http://schemas.openxmlformats.org/officeDocument/2006/relationships/hyperlink" Target="https://onlinelibrary.wiley.com/doi/10.1002/pst.1626" TargetMode="External"/><Relationship Id="rIdzxyezukt5vajbiqkzr5mq" Type="http://schemas.openxmlformats.org/officeDocument/2006/relationships/hyperlink" Target="https://onlinelibrary.wiley.com/doi/abs/10.1002/pst.1919" TargetMode="External"/><Relationship Id="rIdi40md8cod9sqct97j3_at" Type="http://schemas.openxmlformats.org/officeDocument/2006/relationships/hyperlink" Target="https://onlinelibrary.wiley.com/doi/10.1002/pst.1935" TargetMode="External"/><Relationship Id="rIdxfl0kw7wfqban2wh2_qm2" Type="http://schemas.openxmlformats.org/officeDocument/2006/relationships/hyperlink" Target="https://www.ema.europa.eu/en/documents/scientific-guideline/guideline-investigation-subgroups-confirmatory-clinical-trials_en.pdf" TargetMode="External"/><Relationship Id="rIdatbjrznneobqqb4cmbond" Type="http://schemas.openxmlformats.org/officeDocument/2006/relationships/hyperlink" Target="https://www.sciencedirect.com/science/article/abs/pii/S0895435603003329" TargetMode="External"/><Relationship Id="rIdrurpsygslk5i7tlqukv0e" Type="http://schemas.openxmlformats.org/officeDocument/2006/relationships/hyperlink" Target="https://link.springer.com/article/10.1186/s12874-016-0122-6" TargetMode="External"/><Relationship Id="rIddzqwc9_v9abnxuhcrkndz" Type="http://schemas.openxmlformats.org/officeDocument/2006/relationships/hyperlink" Target="https://www.sciencedirect.com/science/article/abs/pii/S0895435620300731" TargetMode="External"/><Relationship Id="rId8aag9rufspcpw0-wnq1yh" Type="http://schemas.openxmlformats.org/officeDocument/2006/relationships/hyperlink" Target="https://medstat.umg.eu/fileadmin/Redaktion/Medizinische_Statistik/Dokumente/Vortr%C3%A4ge/2024_Presentation-Ulrich-Grouven.pdf" TargetMode="External"/><Relationship Id="rIdeephac-23b1xnh_p3yrix" Type="http://schemas.openxmlformats.org/officeDocument/2006/relationships/hyperlink" Target="https://www.iqwig.de/methoden/allgemeine-methoden_v8-0.pdf" TargetMode="External"/><Relationship Id="rIdoer-r3tyol8tw5gdqngbk" Type="http://schemas.openxmlformats.org/officeDocument/2006/relationships/hyperlink" Target="https://www.iqwig.de/methoden/general-methods_version-7-0.pdf" TargetMode="External"/><Relationship Id="rIdjthcs9vtfr2wtxpylkzeg" Type="http://schemas.openxmlformats.org/officeDocument/2006/relationships/hyperlink" Target="https://www.efspi.org/wp-content/uploads/2025/05/GermanHTA_WhitePaper_2025.pdf" TargetMode="External"/><Relationship Id="rIdggys7mwo_2c-vl_lqdovw" Type="http://schemas.openxmlformats.org/officeDocument/2006/relationships/hyperlink" Target="https://www.mdpi.com/2001-6689/14/1/3" TargetMode="External"/><Relationship Id="rId2drbvkloyr9zbit4ds8fs" Type="http://schemas.openxmlformats.org/officeDocument/2006/relationships/hyperlink" Target="https://health.ec.europa.eu/document/download/4ec8288e-6d15-49c5-a490-d8ad7748578f_en?filename=hta_methodological-guideline_direct-indirect-comparisons_en.pdf" TargetMode="External"/><Relationship Id="rIda6ageamfv39fehkdi-zuq" Type="http://schemas.openxmlformats.org/officeDocument/2006/relationships/hyperlink" Target="https://www.cambridge.org/core/journals/international-journal-of-technology-assessment-in-health-care/article/implementation-of-the-eus-health-technology-assessment-regulation-where-does-existing-methods-guidance-require-concretization-and-what-are-the-relevant-methodological-options/1A07065C57DB1985CD9B9D49CACC26CE" TargetMode="External"/><Relationship Id="rIddelqiwvd46pt97aq94nry" Type="http://schemas.openxmlformats.org/officeDocument/2006/relationships/hyperlink" Target="https://www.nice.org.uk/process/pmg36/chapter/evidence-2" TargetMode="External"/><Relationship Id="rId3lbpghzb-ryfifatmsvml" Type="http://schemas.openxmlformats.org/officeDocument/2006/relationships/hyperlink" Target="https://www.ncbi.nlm.nih.gov/books/NBK395886/pdf/Bookshelf_NBK395886.pdf" TargetMode="External"/><Relationship Id="rId-adpsws-s9tz5qftswxui" Type="http://schemas.openxmlformats.org/officeDocument/2006/relationships/hyperlink" Target="https://becarispublishing.com/digital-content/blog-post/canada-s-drug-agency-publishes-first-ever-methods-guide-health-technology-assessment" TargetMode="External"/><Relationship Id="rIdaz5jskc4gwyhcanabval4" Type="http://schemas.openxmlformats.org/officeDocument/2006/relationships/hyperlink" Target="https://www.valueinhealthjournal.com/article/S1098-3015(14)03098-8/fulltext" TargetMode="External"/><Relationship Id="rId8jyjwzilbuqsq6bqazj5x" Type="http://schemas.openxmlformats.org/officeDocument/2006/relationships/hyperlink" Target="https://www.zefq-journal.com/article/S1865-9217(15)00002-1/abstract" TargetMode="External"/><Relationship Id="rIdejk5zvpkepjbvkufibm7j" Type="http://schemas.openxmlformats.org/officeDocument/2006/relationships/hyperlink" Target="https://www.ispor.org/docs/default-source/intl2024/ispor2024vanbeekhuizenhta31poster138520-pdf.pdf?sfvrsn=1f9cc864_0" TargetMode="External"/><Relationship Id="rIdkegoofwnjzhhuq2uefsjg" Type="http://schemas.openxmlformats.org/officeDocument/2006/relationships/hyperlink" Target="https://doi.org/10.1080/19466315.2025.2495307" TargetMode="External"/><Relationship Id="rId_3ekxqnv6inkzdp20dtbj" Type="http://schemas.openxmlformats.org/officeDocument/2006/relationships/hyperlink" Target="https://doi.org/10.1080/19466315.2026.2669302" TargetMode="External"/><Relationship Id="rIdcqsv8tedprwy1qcvtt4ce" Type="http://schemas.openxmlformats.org/officeDocument/2006/relationships/hyperlink" Target="https://arxiv.org/abs/2606.23968" TargetMode="External"/><Relationship Id="rIdth_6ej4bdwmuuqqkzhx7s" Type="http://schemas.openxmlformats.org/officeDocument/2006/relationships/hyperlink" Target="https://www.psiweb.org/sigs-special-interest-groups/hta/eu-hta" TargetMode="External"/><Relationship Id="rIdiis5hobk65i3daeg7n9dy" Type="http://schemas.openxmlformats.org/officeDocument/2006/relationships/hyperlink" Target="https://www.cambridge.org/core/journals/international-journal-of-technology-assessment-in-health-care/information/author-instructions" TargetMode="External"/><Relationship Id="rIdyov6tdxeg8owb6ly2xifq" Type="http://schemas.openxmlformats.org/officeDocument/2006/relationships/hyperlink" Target="https://www.scimagojr.com/journalsearch.php?q=27211&amp;tip=sid" TargetMode="External"/><Relationship Id="rIdj32cgilvdrne0ogm2povg" Type="http://schemas.openxmlformats.org/officeDocument/2006/relationships/hyperlink" Target="https://www.ispor.org/publications/journals/value-in-health/for-authors/guide-for-authors" TargetMode="External"/><Relationship Id="rIddoztimvskilqb3zoamvvd" Type="http://schemas.openxmlformats.org/officeDocument/2006/relationships/hyperlink" Target="https://www.journalmetrics.org/journal/value-in-health" TargetMode="External"/><Relationship Id="rIdqv7a6zoncvwemuwe5cpwe" Type="http://schemas.openxmlformats.org/officeDocument/2006/relationships/hyperlink" Target="https://www.journalmetrics.org/journal/pharmaceutical-statistics-2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2026-09-16T01:06:22.693Z</dcterms:created>
  <dcterms:modified xsi:type="dcterms:W3CDTF">2026-09-16T01:06:22.693Z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