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C678" w14:textId="77777777" w:rsidR="00FC537D" w:rsidRDefault="00461BAD">
      <w:pPr>
        <w:spacing w:after="80"/>
        <w:jc w:val="center"/>
      </w:pPr>
      <w:r>
        <w:rPr>
          <w:b/>
          <w:bCs/>
          <w:color w:val="1B4F72"/>
          <w:sz w:val="40"/>
          <w:szCs w:val="40"/>
        </w:rPr>
        <w:t>Comprehensive Summary</w:t>
      </w:r>
    </w:p>
    <w:p w14:paraId="6102C679" w14:textId="77777777" w:rsidR="00FC537D" w:rsidRDefault="00461BAD">
      <w:pPr>
        <w:spacing w:after="40"/>
        <w:jc w:val="center"/>
      </w:pPr>
      <w:r>
        <w:rPr>
          <w:color w:val="2E86C1"/>
          <w:sz w:val="28"/>
          <w:szCs w:val="28"/>
        </w:rPr>
        <w:t>Extreme Subgroup Effects Under a Uniform Treatment Benefit:</w:t>
      </w:r>
    </w:p>
    <w:p w14:paraId="6102C67A" w14:textId="77777777" w:rsidR="00FC537D" w:rsidRDefault="00461BAD">
      <w:pPr>
        <w:spacing w:after="40"/>
        <w:jc w:val="center"/>
      </w:pPr>
      <w:r>
        <w:rPr>
          <w:color w:val="2E86C1"/>
          <w:sz w:val="28"/>
          <w:szCs w:val="28"/>
        </w:rPr>
        <w:t>A Simulation Study Based on Observed Trial Data</w:t>
      </w:r>
    </w:p>
    <w:p w14:paraId="6102C67B" w14:textId="77777777" w:rsidR="00FC537D" w:rsidRDefault="00461BAD">
      <w:pPr>
        <w:spacing w:after="80"/>
        <w:jc w:val="center"/>
      </w:pPr>
      <w:r>
        <w:rPr>
          <w:i/>
          <w:iCs/>
          <w:color w:val="555555"/>
        </w:rPr>
        <w:t>Author: Larry F. León</w:t>
      </w:r>
    </w:p>
    <w:p w14:paraId="6102C67C" w14:textId="77777777" w:rsidR="00FC537D" w:rsidRDefault="00461BAD">
      <w:pPr>
        <w:spacing w:after="40"/>
        <w:jc w:val="center"/>
      </w:pPr>
      <w:r>
        <w:rPr>
          <w:rFonts w:ascii="Courier New" w:eastAsia="Courier New" w:hAnsi="Courier New" w:cs="Courier New"/>
          <w:color w:val="555555"/>
          <w:sz w:val="20"/>
          <w:szCs w:val="20"/>
        </w:rPr>
        <w:t xml:space="preserve">Source file: </w:t>
      </w:r>
      <w:proofErr w:type="spellStart"/>
      <w:r>
        <w:rPr>
          <w:rFonts w:ascii="Courier New" w:eastAsia="Courier New" w:hAnsi="Courier New" w:cs="Courier New"/>
          <w:color w:val="555555"/>
          <w:sz w:val="20"/>
          <w:szCs w:val="20"/>
        </w:rPr>
        <w:t>extreme_subgroups_slides.qmd</w:t>
      </w:r>
      <w:proofErr w:type="spellEnd"/>
    </w:p>
    <w:p w14:paraId="6102C67D" w14:textId="77777777" w:rsidR="00FC537D" w:rsidRDefault="00461BAD">
      <w:pPr>
        <w:spacing w:after="40"/>
        <w:jc w:val="center"/>
      </w:pPr>
      <w:r>
        <w:rPr>
          <w:color w:val="555555"/>
          <w:sz w:val="20"/>
          <w:szCs w:val="20"/>
        </w:rPr>
        <w:t>Format: Quarto Beamer presentation (LaTeX/PDF slides)</w:t>
      </w:r>
    </w:p>
    <w:p w14:paraId="6102C67E" w14:textId="77777777" w:rsidR="00FC537D" w:rsidRDefault="00461BAD">
      <w:pPr>
        <w:pBdr>
          <w:bottom w:val="single" w:sz="6" w:space="8" w:color="1B4F72"/>
        </w:pBdr>
        <w:spacing w:after="200"/>
        <w:jc w:val="center"/>
      </w:pPr>
      <w:r>
        <w:rPr>
          <w:rFonts w:ascii="Courier New" w:eastAsia="Courier New" w:hAnsi="Courier New" w:cs="Courier New"/>
          <w:color w:val="555555"/>
          <w:sz w:val="20"/>
          <w:szCs w:val="20"/>
        </w:rPr>
        <w:t xml:space="preserve">R package: </w:t>
      </w:r>
      <w:proofErr w:type="spellStart"/>
      <w:r>
        <w:rPr>
          <w:rFonts w:ascii="Courier New" w:eastAsia="Courier New" w:hAnsi="Courier New" w:cs="Courier New"/>
          <w:color w:val="555555"/>
          <w:sz w:val="20"/>
          <w:szCs w:val="20"/>
        </w:rPr>
        <w:t>forestsearch</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larry-leon</w:t>
      </w:r>
      <w:proofErr w:type="spellEnd"/>
      <w:r>
        <w:rPr>
          <w:rFonts w:ascii="Courier New" w:eastAsia="Courier New" w:hAnsi="Courier New" w:cs="Courier New"/>
          <w:color w:val="555555"/>
          <w:sz w:val="20"/>
          <w:szCs w:val="20"/>
        </w:rPr>
        <w:t>/</w:t>
      </w:r>
      <w:proofErr w:type="spellStart"/>
      <w:r>
        <w:rPr>
          <w:rFonts w:ascii="Courier New" w:eastAsia="Courier New" w:hAnsi="Courier New" w:cs="Courier New"/>
          <w:color w:val="555555"/>
          <w:sz w:val="20"/>
          <w:szCs w:val="20"/>
        </w:rPr>
        <w:t>forestsearch</w:t>
      </w:r>
      <w:proofErr w:type="spellEnd"/>
      <w:r>
        <w:rPr>
          <w:rFonts w:ascii="Courier New" w:eastAsia="Courier New" w:hAnsi="Courier New" w:cs="Courier New"/>
          <w:color w:val="555555"/>
          <w:sz w:val="20"/>
          <w:szCs w:val="20"/>
        </w:rPr>
        <w:t>)</w:t>
      </w:r>
    </w:p>
    <w:p w14:paraId="6102C67F" w14:textId="77777777" w:rsidR="00FC537D" w:rsidRDefault="00461BAD">
      <w:pPr>
        <w:pStyle w:val="Heading1"/>
      </w:pPr>
      <w:r>
        <w:t>1. Overall Goal and Motivation</w:t>
      </w:r>
    </w:p>
    <w:p w14:paraId="6102C680" w14:textId="77777777" w:rsidR="00FC537D" w:rsidRDefault="00461BAD">
      <w:pPr>
        <w:spacing w:after="120"/>
      </w:pPr>
      <w:r>
        <w:t>This presentation documents a Monte Carlo simulation study designed to answer a specific and consequential question for regulatory practice: When a treatment has a perfectly uniform benefit across all patients, how often do standard subgroup analyses produce results that look extreme enough to trigger concern?</w:t>
      </w:r>
    </w:p>
    <w:p w14:paraId="6102C681" w14:textId="77777777" w:rsidR="00FC537D" w:rsidRDefault="00461BAD">
      <w:pPr>
        <w:spacing w:after="120"/>
      </w:pPr>
      <w:r>
        <w:t>The study is motivated by real-world regulatory scenarios in which reviewers examine forest plots from clinical trials and observe apparently alarming hazard ratio (HR) estimates or upper confidence bounds (UB) in particular subgroups. The core insight the presentation demonstrates is that such extreme-looking results arise routinely from sampling variability alone, particularly in small subgroups, and that clinical rationale for defining a subgroup provides no statistical protection against this noise.</w:t>
      </w:r>
    </w:p>
    <w:p w14:paraId="6102C682" w14:textId="77777777" w:rsidR="00FC537D" w:rsidRDefault="00461BAD">
      <w:pPr>
        <w:spacing w:after="120"/>
      </w:pPr>
      <w:r>
        <w:t>The work uses a data-generating mechanism (DGM) built from actual trial data—the German Breast Cancer Study Group (GBSG) dataset (N = 686)—ensuring that the simulation reflects realistic covariate distributions, censoring patterns, and trial structure. The true treatment effect is set to a uniform hazard ratio of 0.70 (moderate benefit) for every patient, meaning any observed subgroup heterogeneity is, by construction, a false positive.</w:t>
      </w:r>
    </w:p>
    <w:p w14:paraId="6102C683" w14:textId="77777777" w:rsidR="00FC537D" w:rsidRDefault="00461BAD">
      <w:pPr>
        <w:pStyle w:val="Heading1"/>
      </w:pPr>
      <w:r>
        <w:t>2. Presentation Structure</w:t>
      </w:r>
    </w:p>
    <w:p w14:paraId="6102C684" w14:textId="77777777" w:rsidR="00FC537D" w:rsidRDefault="00461BAD">
      <w:pPr>
        <w:spacing w:after="120"/>
      </w:pPr>
      <w:r>
        <w:t>The slide deck is organized into the following major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C537D" w14:paraId="6102C687"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02C685" w14:textId="77777777" w:rsidR="00FC537D" w:rsidRDefault="00461BAD">
            <w:r>
              <w:rPr>
                <w:b/>
                <w:bCs/>
                <w:color w:val="FFFFFF"/>
                <w:sz w:val="20"/>
                <w:szCs w:val="20"/>
              </w:rPr>
              <w:t>Section</w:t>
            </w:r>
          </w:p>
        </w:tc>
        <w:tc>
          <w:tcPr>
            <w:tcW w:w="7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02C686" w14:textId="77777777" w:rsidR="00FC537D" w:rsidRDefault="00461BAD">
            <w:r>
              <w:rPr>
                <w:b/>
                <w:bCs/>
                <w:color w:val="FFFFFF"/>
                <w:sz w:val="20"/>
                <w:szCs w:val="20"/>
              </w:rPr>
              <w:t>Content</w:t>
            </w:r>
          </w:p>
        </w:tc>
      </w:tr>
      <w:tr w:rsidR="00FC537D" w14:paraId="6102C68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88" w14:textId="77777777" w:rsidR="00FC537D" w:rsidRDefault="00461BAD">
            <w:r>
              <w:rPr>
                <w:b/>
                <w:bCs/>
                <w:sz w:val="20"/>
                <w:szCs w:val="20"/>
              </w:rPr>
              <w:t>Motivation &amp; Overview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89" w14:textId="77777777" w:rsidR="00FC537D" w:rsidRDefault="00461BAD">
            <w:r>
              <w:rPr>
                <w:sz w:val="20"/>
                <w:szCs w:val="20"/>
              </w:rPr>
              <w:t>Core research question, rationale for the study, description of the uniform-effect DGM</w:t>
            </w:r>
          </w:p>
        </w:tc>
      </w:tr>
      <w:tr w:rsidR="00FC537D" w14:paraId="6102C68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8B" w14:textId="77777777" w:rsidR="00FC537D" w:rsidRDefault="00461BAD">
            <w:r>
              <w:rPr>
                <w:b/>
                <w:bCs/>
                <w:sz w:val="20"/>
                <w:szCs w:val="20"/>
              </w:rPr>
              <w:t>Simulation Workflow</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8C" w14:textId="77777777" w:rsidR="00FC537D" w:rsidRDefault="00461BAD">
            <w:r>
              <w:rPr>
                <w:sz w:val="20"/>
                <w:szCs w:val="20"/>
              </w:rPr>
              <w:t>8-step pipeline from source data through DGM construction, censoring calibration, trial simulation, Cox model fitting, to visualization</w:t>
            </w:r>
          </w:p>
        </w:tc>
      </w:tr>
      <w:tr w:rsidR="00FC537D" w14:paraId="6102C69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8E" w14:textId="77777777" w:rsidR="00FC537D" w:rsidRDefault="00461BAD">
            <w:r>
              <w:rPr>
                <w:b/>
                <w:bCs/>
                <w:sz w:val="20"/>
                <w:szCs w:val="20"/>
              </w:rPr>
              <w:t>Part I: Building the Null DGM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8F" w14:textId="77777777" w:rsidR="00FC537D" w:rsidRDefault="00461BAD">
            <w:r>
              <w:rPr>
                <w:sz w:val="20"/>
                <w:szCs w:val="20"/>
              </w:rPr>
              <w:t>Weibull AFT model fitting, super-population generation</w:t>
            </w:r>
          </w:p>
        </w:tc>
      </w:tr>
      <w:tr w:rsidR="00FC537D" w14:paraId="6102C69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91" w14:textId="77777777" w:rsidR="00FC537D" w:rsidRDefault="00461BAD">
            <w:r>
              <w:rPr>
                <w:b/>
                <w:bCs/>
                <w:sz w:val="20"/>
                <w:szCs w:val="20"/>
              </w:rPr>
              <w:t>Part II: Censoring Calibration</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92" w14:textId="77777777" w:rsidR="00FC537D" w:rsidRDefault="00461BAD">
            <w:r>
              <w:rPr>
                <w:sz w:val="20"/>
                <w:szCs w:val="20"/>
              </w:rPr>
              <w:t xml:space="preserve">Diagnostics and </w:t>
            </w:r>
            <w:proofErr w:type="spellStart"/>
            <w:r>
              <w:rPr>
                <w:sz w:val="20"/>
                <w:szCs w:val="20"/>
              </w:rPr>
              <w:t>uniroot</w:t>
            </w:r>
            <w:proofErr w:type="spellEnd"/>
            <w:r>
              <w:rPr>
                <w:sz w:val="20"/>
                <w:szCs w:val="20"/>
              </w:rPr>
              <w:t>-based calibration to match observed censoring</w:t>
            </w:r>
          </w:p>
        </w:tc>
      </w:tr>
      <w:tr w:rsidR="00FC537D" w14:paraId="6102C69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94" w14:textId="77777777" w:rsidR="00FC537D" w:rsidRDefault="00461BAD">
            <w:r>
              <w:rPr>
                <w:b/>
                <w:bCs/>
                <w:sz w:val="20"/>
                <w:szCs w:val="20"/>
              </w:rPr>
              <w:t>Part III: Generating Trials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95" w14:textId="77777777" w:rsidR="00FC537D" w:rsidRDefault="00461BAD">
            <w:r>
              <w:rPr>
                <w:sz w:val="20"/>
                <w:szCs w:val="20"/>
              </w:rPr>
              <w:t>Drawing synthetic randomized trials from the calibrated DGM</w:t>
            </w:r>
          </w:p>
        </w:tc>
      </w:tr>
      <w:tr w:rsidR="00FC537D" w14:paraId="6102C69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97" w14:textId="77777777" w:rsidR="00FC537D" w:rsidRDefault="00461BAD">
            <w:r>
              <w:rPr>
                <w:b/>
                <w:bCs/>
                <w:sz w:val="20"/>
                <w:szCs w:val="20"/>
              </w:rPr>
              <w:t>Part IV: Results</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98" w14:textId="77777777" w:rsidR="00FC537D" w:rsidRDefault="00461BAD">
            <w:r>
              <w:rPr>
                <w:sz w:val="20"/>
                <w:szCs w:val="20"/>
              </w:rPr>
              <w:t>Forest plots of HR and UB(HR) distributions across 56 subgroups; key findings</w:t>
            </w:r>
          </w:p>
        </w:tc>
      </w:tr>
      <w:tr w:rsidR="00FC537D" w14:paraId="6102C69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9A" w14:textId="77777777" w:rsidR="00FC537D" w:rsidRDefault="00461BAD">
            <w:r>
              <w:rPr>
                <w:b/>
                <w:bCs/>
                <w:sz w:val="20"/>
                <w:szCs w:val="20"/>
              </w:rPr>
              <w:lastRenderedPageBreak/>
              <w:t>Conclusions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9B" w14:textId="77777777" w:rsidR="00FC537D" w:rsidRDefault="00461BAD">
            <w:r>
              <w:rPr>
                <w:sz w:val="20"/>
                <w:szCs w:val="20"/>
              </w:rPr>
              <w:t>Five headline takeaways</w:t>
            </w:r>
          </w:p>
        </w:tc>
      </w:tr>
      <w:tr w:rsidR="00FC537D" w14:paraId="6102C69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9D" w14:textId="77777777" w:rsidR="00FC537D" w:rsidRDefault="00461BAD">
            <w:r>
              <w:rPr>
                <w:b/>
                <w:bCs/>
                <w:sz w:val="20"/>
                <w:szCs w:val="20"/>
              </w:rPr>
              <w:t>Appendix</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9E" w14:textId="77777777" w:rsidR="00FC537D" w:rsidRDefault="00461BAD">
            <w:r>
              <w:rPr>
                <w:sz w:val="20"/>
                <w:szCs w:val="20"/>
              </w:rPr>
              <w:t>Reproducible workflow instructions, API documentation, comparison utilities</w:t>
            </w:r>
          </w:p>
        </w:tc>
      </w:tr>
    </w:tbl>
    <w:p w14:paraId="6102C6A0" w14:textId="77777777" w:rsidR="00FC537D" w:rsidRDefault="00FC537D">
      <w:pPr>
        <w:spacing w:after="120"/>
      </w:pPr>
    </w:p>
    <w:p w14:paraId="6102C6A1" w14:textId="77777777" w:rsidR="00FC537D" w:rsidRDefault="00461BAD">
      <w:pPr>
        <w:pStyle w:val="Heading1"/>
      </w:pPr>
      <w:r>
        <w:t>3. Statistical Methods and Tools</w:t>
      </w:r>
    </w:p>
    <w:p w14:paraId="6102C6A2" w14:textId="77777777" w:rsidR="00FC537D" w:rsidRDefault="00461BAD">
      <w:pPr>
        <w:pStyle w:val="Heading2"/>
      </w:pPr>
      <w:r>
        <w:t>3.1 Data-Generating Mechanism (DGM)</w:t>
      </w:r>
    </w:p>
    <w:p w14:paraId="6102C6A3" w14:textId="77777777" w:rsidR="00FC537D" w:rsidRDefault="00461BAD">
      <w:pPr>
        <w:spacing w:after="120"/>
      </w:pPr>
      <w:r>
        <w:t xml:space="preserve">The DGM is the foundation of the entire simulation. It is constructed using the </w:t>
      </w:r>
      <w:proofErr w:type="spellStart"/>
      <w:r>
        <w:t>forestsearch</w:t>
      </w:r>
      <w:proofErr w:type="spellEnd"/>
      <w:r>
        <w:t xml:space="preserve"> R </w:t>
      </w:r>
      <w:proofErr w:type="gramStart"/>
      <w:r>
        <w:t>package’s</w:t>
      </w:r>
      <w:proofErr w:type="gramEnd"/>
      <w:r>
        <w:t xml:space="preserve"> </w:t>
      </w:r>
      <w:proofErr w:type="spellStart"/>
      <w:r>
        <w:t>generate_aft_dgm_</w:t>
      </w:r>
      <w:proofErr w:type="gramStart"/>
      <w:r>
        <w:t>flex</w:t>
      </w:r>
      <w:proofErr w:type="spellEnd"/>
      <w:r>
        <w:t>(</w:t>
      </w:r>
      <w:proofErr w:type="gramEnd"/>
      <w:r>
        <w:t>) function, which fits a Weibull Accelerated Failure Time (AFT) model to the GBSG source data. Key features of the DGM:</w:t>
      </w:r>
    </w:p>
    <w:p w14:paraId="6102C6A4" w14:textId="77777777" w:rsidR="00FC537D" w:rsidRDefault="00461BAD">
      <w:pPr>
        <w:pStyle w:val="ListParagraph"/>
        <w:numPr>
          <w:ilvl w:val="0"/>
          <w:numId w:val="2"/>
        </w:numPr>
        <w:spacing w:after="80"/>
      </w:pPr>
      <w:r>
        <w:t xml:space="preserve">Weibull AFT model: The survival-time distribution is parameterized as a Weibull model incorporating all baseline covariates (age, </w:t>
      </w:r>
      <w:proofErr w:type="spellStart"/>
      <w:r>
        <w:t>tumour</w:t>
      </w:r>
      <w:proofErr w:type="spellEnd"/>
      <w:r>
        <w:t xml:space="preserve"> size, number of nodes, progesterone receptor (PGR), estrogen receptor (ER) status, menopausal status, and </w:t>
      </w:r>
      <w:proofErr w:type="spellStart"/>
      <w:r>
        <w:t>tumour</w:t>
      </w:r>
      <w:proofErr w:type="spellEnd"/>
      <w:r>
        <w:t xml:space="preserve"> grade).</w:t>
      </w:r>
    </w:p>
    <w:p w14:paraId="6102C6A5" w14:textId="77777777" w:rsidR="00FC537D" w:rsidRDefault="00461BAD">
      <w:pPr>
        <w:pStyle w:val="ListParagraph"/>
        <w:numPr>
          <w:ilvl w:val="0"/>
          <w:numId w:val="2"/>
        </w:numPr>
        <w:spacing w:after="80"/>
      </w:pPr>
      <w:r>
        <w:t xml:space="preserve">Null model specification: The model = "null" setting ensures a constant log hazard ratio across all covariate profiles. The treatment effect is specified via a spline parameterization with </w:t>
      </w:r>
      <w:proofErr w:type="spellStart"/>
      <w:r>
        <w:t>log.hrs</w:t>
      </w:r>
      <w:proofErr w:type="spellEnd"/>
      <w:r>
        <w:t xml:space="preserve"> = </w:t>
      </w:r>
      <w:proofErr w:type="gramStart"/>
      <w:r>
        <w:t>log(c(</w:t>
      </w:r>
      <w:proofErr w:type="gramEnd"/>
      <w:r>
        <w:t>0.70, 0.70, 0.70)), enforcing uniform HR = 0.70 at all biomarker anchor points.</w:t>
      </w:r>
    </w:p>
    <w:p w14:paraId="6102C6A6" w14:textId="77777777" w:rsidR="00FC537D" w:rsidRDefault="00461BAD">
      <w:pPr>
        <w:pStyle w:val="ListParagraph"/>
        <w:numPr>
          <w:ilvl w:val="0"/>
          <w:numId w:val="2"/>
        </w:numPr>
        <w:spacing w:after="80"/>
      </w:pPr>
      <w:r>
        <w:t>Super-population: A large reference population of N = 5,000 is generated from the fitted model, from which all subsequent synthetic trials are drawn via sampling with replacement.</w:t>
      </w:r>
    </w:p>
    <w:p w14:paraId="6102C6A7" w14:textId="77777777" w:rsidR="00FC537D" w:rsidRDefault="00461BAD">
      <w:pPr>
        <w:pStyle w:val="ListParagraph"/>
        <w:numPr>
          <w:ilvl w:val="0"/>
          <w:numId w:val="2"/>
        </w:numPr>
        <w:spacing w:after="80"/>
      </w:pPr>
      <w:r>
        <w:t>Censoring model: The censoring distribution is estimated separately via AIC model selection (Weibull or log-normal</w:t>
      </w:r>
      <w:proofErr w:type="gramStart"/>
      <w:r>
        <w:t>), and</w:t>
      </w:r>
      <w:proofErr w:type="gramEnd"/>
      <w:r>
        <w:t xml:space="preserve"> then calibrated to match the observed censoring rate in the source data.</w:t>
      </w:r>
    </w:p>
    <w:p w14:paraId="6102C6A8" w14:textId="77777777" w:rsidR="00FC537D" w:rsidRDefault="00461BAD">
      <w:pPr>
        <w:pStyle w:val="Heading2"/>
      </w:pPr>
      <w:r>
        <w:t>3.2 Censoring Calibration</w:t>
      </w:r>
    </w:p>
    <w:p w14:paraId="6102C6A9" w14:textId="77777777" w:rsidR="00FC537D" w:rsidRDefault="00461BAD">
      <w:pPr>
        <w:spacing w:after="120"/>
      </w:pPr>
      <w:r>
        <w:t>Accurate censoring is critical for credible simulations of time-to-event data. The presentation describes a two-stage process:</w:t>
      </w:r>
    </w:p>
    <w:p w14:paraId="6102C6AA" w14:textId="77777777" w:rsidR="00FC537D" w:rsidRDefault="00461BAD">
      <w:pPr>
        <w:pStyle w:val="ListParagraph"/>
        <w:numPr>
          <w:ilvl w:val="0"/>
          <w:numId w:val="3"/>
        </w:numPr>
        <w:spacing w:after="80"/>
      </w:pPr>
      <w:r>
        <w:t xml:space="preserve">Diagnostics via </w:t>
      </w:r>
      <w:proofErr w:type="spellStart"/>
      <w:r>
        <w:t>check_censoring_</w:t>
      </w:r>
      <w:proofErr w:type="gramStart"/>
      <w:r>
        <w:t>dgm</w:t>
      </w:r>
      <w:proofErr w:type="spellEnd"/>
      <w:r>
        <w:t>(</w:t>
      </w:r>
      <w:proofErr w:type="gramEnd"/>
      <w:r>
        <w:t>): This compares three quantities between simulated and source data: (a) overall censoring rate versus a rate tolerance (default 10 percentage points), (b) censoring-time quantiles among censored subjects, and (c) Kaplan-Meier median censoring time versus a median tolerance (default 25%).</w:t>
      </w:r>
    </w:p>
    <w:p w14:paraId="6102C6AB" w14:textId="77777777" w:rsidR="00FC537D" w:rsidRDefault="00461BAD">
      <w:pPr>
        <w:pStyle w:val="ListParagraph"/>
        <w:numPr>
          <w:ilvl w:val="0"/>
          <w:numId w:val="3"/>
        </w:numPr>
        <w:spacing w:after="80"/>
      </w:pPr>
      <w:r>
        <w:t xml:space="preserve">Root-finding via </w:t>
      </w:r>
      <w:proofErr w:type="spellStart"/>
      <w:r>
        <w:t>calibrate_cens_</w:t>
      </w:r>
      <w:proofErr w:type="gramStart"/>
      <w:r>
        <w:t>adjust</w:t>
      </w:r>
      <w:proofErr w:type="spellEnd"/>
      <w:r>
        <w:t>(</w:t>
      </w:r>
      <w:proofErr w:type="gramEnd"/>
      <w:r>
        <w:t xml:space="preserve">): Uses </w:t>
      </w:r>
      <w:proofErr w:type="spellStart"/>
      <w:r>
        <w:t>uniroot</w:t>
      </w:r>
      <w:proofErr w:type="spellEnd"/>
      <w:r>
        <w:t xml:space="preserve"> to find a log-scale shift (</w:t>
      </w:r>
      <w:proofErr w:type="spellStart"/>
      <w:r>
        <w:t>cens_adjust</w:t>
      </w:r>
      <w:proofErr w:type="spellEnd"/>
      <w:r>
        <w:t xml:space="preserve">) that equates a target statistic (either the overall censoring rate or KM median censoring time) between the reference and simulated data. Larger </w:t>
      </w:r>
      <w:proofErr w:type="spellStart"/>
      <w:r>
        <w:t>cens_adjust</w:t>
      </w:r>
      <w:proofErr w:type="spellEnd"/>
      <w:r>
        <w:t xml:space="preserve"> values produce longer censoring times.</w:t>
      </w:r>
    </w:p>
    <w:p w14:paraId="6102C6AC" w14:textId="77777777" w:rsidR="00FC537D" w:rsidRDefault="00461BAD">
      <w:pPr>
        <w:pStyle w:val="Heading2"/>
      </w:pPr>
      <w:r>
        <w:t>3.3 Trial Simulation Loop</w:t>
      </w:r>
    </w:p>
    <w:p w14:paraId="6102C6AD" w14:textId="77777777" w:rsidR="00FC537D" w:rsidRDefault="00461BAD">
      <w:pPr>
        <w:spacing w:after="120"/>
      </w:pPr>
      <w:r>
        <w:t xml:space="preserve">Each simulated trial is generated by </w:t>
      </w:r>
      <w:proofErr w:type="spellStart"/>
      <w:r>
        <w:t>simulate_from_dgm</w:t>
      </w:r>
      <w:proofErr w:type="spellEnd"/>
      <w:r>
        <w:t>(), which performs these steps for every iteration: (1) sample N = 686 subjects from the super-population with replacement, (2) assign treatment via 1:1 randomization, (3) generate latent survival times from the Weibull AFT model, (4) apply the calibrated censoring distribution, and (5) apply administrative censoring at the analysis time of 84 months with a maximum entry time of 24 months.</w:t>
      </w:r>
    </w:p>
    <w:p w14:paraId="6102C6AE" w14:textId="77777777" w:rsidR="00FC537D" w:rsidRDefault="00461BAD">
      <w:pPr>
        <w:spacing w:after="120"/>
      </w:pPr>
      <w:r>
        <w:t>The default configuration runs 1,000 simulations (with 5,000 recommended for publication quality). Each simulated trial is analyzed across all 56 pre-defined subgroups.</w:t>
      </w:r>
    </w:p>
    <w:p w14:paraId="6102C6AF" w14:textId="77777777" w:rsidR="00FC537D" w:rsidRDefault="00461BAD">
      <w:pPr>
        <w:pStyle w:val="Heading2"/>
      </w:pPr>
      <w:r>
        <w:lastRenderedPageBreak/>
        <w:t>3.4 Cox Proportional Hazards Analysis</w:t>
      </w:r>
    </w:p>
    <w:p w14:paraId="6102C6B0" w14:textId="77777777" w:rsidR="00FC537D" w:rsidRDefault="00461BAD">
      <w:pPr>
        <w:spacing w:after="120"/>
      </w:pPr>
      <w:r>
        <w:t xml:space="preserve">Within each simulated trial, a stratified Cox proportional hazards model is fitted in every subgroup. The model specification is: </w:t>
      </w:r>
      <w:proofErr w:type="spellStart"/>
      <w:proofErr w:type="gramStart"/>
      <w:r>
        <w:t>coxph</w:t>
      </w:r>
      <w:proofErr w:type="spellEnd"/>
      <w:r>
        <w:t>(</w:t>
      </w:r>
      <w:proofErr w:type="spellStart"/>
      <w:r>
        <w:t>Surv</w:t>
      </w:r>
      <w:proofErr w:type="spellEnd"/>
      <w:r>
        <w:t>(</w:t>
      </w:r>
      <w:proofErr w:type="spellStart"/>
      <w:proofErr w:type="gramEnd"/>
      <w:r>
        <w:t>y_sim</w:t>
      </w:r>
      <w:proofErr w:type="spellEnd"/>
      <w:r>
        <w:t xml:space="preserve">, </w:t>
      </w:r>
      <w:proofErr w:type="spellStart"/>
      <w:r>
        <w:t>event_sim</w:t>
      </w:r>
      <w:proofErr w:type="spellEnd"/>
      <w:r>
        <w:t xml:space="preserve">) ~ </w:t>
      </w:r>
      <w:proofErr w:type="spellStart"/>
      <w:r>
        <w:t>treat_sim</w:t>
      </w:r>
      <w:proofErr w:type="spellEnd"/>
      <w:r>
        <w:t xml:space="preserve"> + strata(grade), data = </w:t>
      </w:r>
      <w:proofErr w:type="spellStart"/>
      <w:r>
        <w:t>subgroup_data</w:t>
      </w:r>
      <w:proofErr w:type="spellEnd"/>
      <w:r>
        <w:t>). Two quantities are recorded per subgroup per simulation: the HR point estimate (exp(</w:t>
      </w:r>
      <w:proofErr w:type="spellStart"/>
      <w:r>
        <w:t>coef</w:t>
      </w:r>
      <w:proofErr w:type="spellEnd"/>
      <w:r>
        <w:t xml:space="preserve">)) and the upper bound of the 95% confidence interval (UB(HR)). These are stored in matrices of dimension </w:t>
      </w:r>
      <w:proofErr w:type="spellStart"/>
      <w:r>
        <w:t>n_sims</w:t>
      </w:r>
      <w:proofErr w:type="spellEnd"/>
      <w:r>
        <w:t xml:space="preserve"> × 56, enabling comprehensive distributional analysis.</w:t>
      </w:r>
    </w:p>
    <w:p w14:paraId="6102C6B1" w14:textId="77777777" w:rsidR="00FC537D" w:rsidRDefault="00461BAD">
      <w:pPr>
        <w:pStyle w:val="Heading2"/>
      </w:pPr>
      <w:r>
        <w:t>3.5 Random Benchmark Subgroups</w:t>
      </w:r>
    </w:p>
    <w:p w14:paraId="6102C6B2" w14:textId="77777777" w:rsidR="00FC537D" w:rsidRDefault="00461BAD">
      <w:pPr>
        <w:spacing w:after="120"/>
      </w:pPr>
      <w:r>
        <w:t>A critical methodological innovation is the inclusion of four random benchmark subgroups (random60, random40, random20, random15), created by randomly sampling 60, 40, 20, or 15 subjects per simulated trial. These benchmarks are nested (random15 ⊆ random20 ⊆ random40 ⊆ random60) and are re-sampled each simulation. Because these random subgroups have no clinical meaning whatsoever—their true HR is exactly 0.70 by construction—they serve as calibration tools. Any extreme result observed in a clinical subgroup of similar size can be directly compared against the distribution of results from a random grouping of that size.</w:t>
      </w:r>
    </w:p>
    <w:p w14:paraId="6102C6B3" w14:textId="77777777" w:rsidR="00FC537D" w:rsidRDefault="00461BAD">
      <w:pPr>
        <w:pStyle w:val="Heading2"/>
      </w:pPr>
      <w:r>
        <w:t>3.6 Summary Statistics and Visualization</w:t>
      </w:r>
    </w:p>
    <w:p w14:paraId="6102C6B4" w14:textId="77777777" w:rsidR="00FC537D" w:rsidRDefault="00461BAD">
      <w:pPr>
        <w:spacing w:after="120"/>
      </w:pPr>
      <w:r>
        <w:t xml:space="preserve">The </w:t>
      </w:r>
      <w:proofErr w:type="spellStart"/>
      <w:r>
        <w:t>summarize_extreme_</w:t>
      </w:r>
      <w:proofErr w:type="gramStart"/>
      <w:r>
        <w:t>sims</w:t>
      </w:r>
      <w:proofErr w:type="spellEnd"/>
      <w:r>
        <w:t>(</w:t>
      </w:r>
      <w:proofErr w:type="gramEnd"/>
      <w:r>
        <w:t>) function computes all downstream summary measures from the raw simulation matrices. Key metrics include:</w:t>
      </w:r>
    </w:p>
    <w:p w14:paraId="6102C6B5" w14:textId="77777777" w:rsidR="00FC537D" w:rsidRDefault="00461BAD">
      <w:pPr>
        <w:pStyle w:val="ListParagraph"/>
        <w:numPr>
          <w:ilvl w:val="0"/>
          <w:numId w:val="2"/>
        </w:numPr>
        <w:spacing w:after="80"/>
      </w:pPr>
      <w:r>
        <w:t>Empirical Confidence Intervals (ECI): The 1st percentile, median, and 99th percentile of the HR and UB(HR) distributions across simulations, for each subgroup.</w:t>
      </w:r>
    </w:p>
    <w:p w14:paraId="6102C6B6" w14:textId="77777777" w:rsidR="00FC537D" w:rsidRDefault="00461BAD">
      <w:pPr>
        <w:pStyle w:val="ListParagraph"/>
        <w:numPr>
          <w:ilvl w:val="0"/>
          <w:numId w:val="2"/>
        </w:numPr>
        <w:spacing w:after="80"/>
      </w:pPr>
      <w:r>
        <w:t xml:space="preserve">Power metric: </w:t>
      </w:r>
      <w:proofErr w:type="spellStart"/>
      <w:proofErr w:type="gramStart"/>
      <w:r>
        <w:t>Pr</w:t>
      </w:r>
      <w:proofErr w:type="spellEnd"/>
      <w:r>
        <w:t>(</w:t>
      </w:r>
      <w:proofErr w:type="gramEnd"/>
      <w:r>
        <w:t>UB &lt; 1.0), the probability that the upper confidence bound falls below 1.0 (demonstrating benefit).</w:t>
      </w:r>
    </w:p>
    <w:p w14:paraId="6102C6B7" w14:textId="77777777" w:rsidR="00FC537D" w:rsidRDefault="00461BAD">
      <w:pPr>
        <w:pStyle w:val="ListParagraph"/>
        <w:numPr>
          <w:ilvl w:val="0"/>
          <w:numId w:val="2"/>
        </w:numPr>
        <w:spacing w:after="80"/>
      </w:pPr>
      <w:r>
        <w:t>Conditional UB: The median of UB(HR) conditional on UB ≥ 1.0, representing the worst-case scenario from a safety reviewer’s perspective.</w:t>
      </w:r>
    </w:p>
    <w:p w14:paraId="6102C6B8" w14:textId="77777777" w:rsidR="00FC537D" w:rsidRDefault="00461BAD">
      <w:pPr>
        <w:pStyle w:val="ListParagraph"/>
        <w:numPr>
          <w:ilvl w:val="0"/>
          <w:numId w:val="2"/>
        </w:numPr>
        <w:spacing w:after="80"/>
      </w:pPr>
      <w:r>
        <w:t>Mean subgroup N: The average sample size per subgroup across simulations.</w:t>
      </w:r>
    </w:p>
    <w:p w14:paraId="6102C6B9" w14:textId="77777777" w:rsidR="00FC537D" w:rsidRDefault="00461BAD">
      <w:pPr>
        <w:spacing w:after="120"/>
      </w:pPr>
      <w:r>
        <w:t>Results are visualized as forest plots (</w:t>
      </w:r>
      <w:proofErr w:type="spellStart"/>
      <w:r>
        <w:t>plot_hr_</w:t>
      </w:r>
      <w:proofErr w:type="gramStart"/>
      <w:r>
        <w:t>forest</w:t>
      </w:r>
      <w:proofErr w:type="spellEnd"/>
      <w:r>
        <w:t>(</w:t>
      </w:r>
      <w:proofErr w:type="gramEnd"/>
      <w:r>
        <w:t xml:space="preserve">) and </w:t>
      </w:r>
      <w:proofErr w:type="spellStart"/>
      <w:r>
        <w:t>plot_ub_</w:t>
      </w:r>
      <w:proofErr w:type="gramStart"/>
      <w:r>
        <w:t>forest</w:t>
      </w:r>
      <w:proofErr w:type="spellEnd"/>
      <w:r>
        <w:t>(</w:t>
      </w:r>
      <w:proofErr w:type="gramEnd"/>
      <w:r>
        <w:t>)) showing the ECI for each subgroup, organized into two panels: single-variable subgroups and combination/random-benchmark subgroups.</w:t>
      </w:r>
    </w:p>
    <w:p w14:paraId="6102C6BA" w14:textId="77777777" w:rsidR="00FC537D" w:rsidRDefault="00461BAD">
      <w:pPr>
        <w:pStyle w:val="Heading1"/>
      </w:pPr>
      <w:r>
        <w:t>4. Subgroup Definitions (56 Total)</w:t>
      </w:r>
    </w:p>
    <w:p w14:paraId="6102C6BB" w14:textId="77777777" w:rsidR="00FC537D" w:rsidRDefault="00461BAD">
      <w:pPr>
        <w:spacing w:after="120"/>
      </w:pPr>
      <w:r>
        <w:t>The study evaluates 56 subgroups spanning seven categories, designed to represent the full range of subgroup analyses typically encountered in regulatory submissions: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FC537D" w14:paraId="6102C6BF" w14:textId="77777777">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02C6BC" w14:textId="77777777" w:rsidR="00FC537D" w:rsidRDefault="00461BAD">
            <w:r>
              <w:rPr>
                <w:b/>
                <w:bCs/>
                <w:color w:val="FFFFFF"/>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02C6BD" w14:textId="77777777" w:rsidR="00FC537D" w:rsidRDefault="00461BAD">
            <w:r>
              <w:rPr>
                <w:b/>
                <w:bCs/>
                <w:color w:val="FFFFFF"/>
                <w:sz w:val="20"/>
                <w:szCs w:val="20"/>
              </w:rPr>
              <w:t>Count</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02C6BE" w14:textId="77777777" w:rsidR="00FC537D" w:rsidRDefault="00461BAD">
            <w:r>
              <w:rPr>
                <w:b/>
                <w:bCs/>
                <w:color w:val="FFFFFF"/>
                <w:sz w:val="20"/>
                <w:szCs w:val="20"/>
              </w:rPr>
              <w:t>Examples</w:t>
            </w:r>
          </w:p>
        </w:tc>
      </w:tr>
      <w:tr w:rsidR="00FC537D" w14:paraId="6102C6C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C0" w14:textId="77777777" w:rsidR="00FC537D" w:rsidRDefault="00461BAD">
            <w:r>
              <w:rPr>
                <w:b/>
                <w:bCs/>
                <w:sz w:val="20"/>
                <w:szCs w:val="20"/>
              </w:rPr>
              <w:t>ITT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C1" w14:textId="77777777" w:rsidR="00FC537D" w:rsidRDefault="00461BAD">
            <w:r>
              <w:rPr>
                <w:sz w:val="20"/>
                <w:szCs w:val="20"/>
              </w:rPr>
              <w:t>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C2" w14:textId="77777777" w:rsidR="00FC537D" w:rsidRDefault="00461BAD">
            <w:r>
              <w:rPr>
                <w:sz w:val="20"/>
                <w:szCs w:val="20"/>
              </w:rPr>
              <w:t>All patients (N ≈ 686)</w:t>
            </w:r>
          </w:p>
        </w:tc>
      </w:tr>
      <w:tr w:rsidR="00FC537D" w14:paraId="6102C6C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C4" w14:textId="77777777" w:rsidR="00FC537D" w:rsidRDefault="00461BAD">
            <w:r>
              <w:rPr>
                <w:b/>
                <w:bCs/>
                <w:sz w:val="20"/>
                <w:szCs w:val="20"/>
              </w:rPr>
              <w:t>Clinical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C5" w14:textId="77777777" w:rsidR="00FC537D" w:rsidRDefault="00461BAD">
            <w:r>
              <w:rPr>
                <w:sz w:val="20"/>
                <w:szCs w:val="20"/>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C6" w14:textId="77777777" w:rsidR="00FC537D" w:rsidRDefault="00461BAD">
            <w:r>
              <w:rPr>
                <w:sz w:val="20"/>
                <w:szCs w:val="20"/>
              </w:rPr>
              <w:t>Post-/pre-menopausal, Grade 3, Grade 1/2</w:t>
            </w:r>
          </w:p>
        </w:tc>
      </w:tr>
      <w:tr w:rsidR="00FC537D" w14:paraId="6102C6C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C8" w14:textId="77777777" w:rsidR="00FC537D" w:rsidRDefault="00461BAD">
            <w:r>
              <w:rPr>
                <w:b/>
                <w:bCs/>
                <w:sz w:val="20"/>
                <w:szCs w:val="20"/>
              </w:rPr>
              <w:t>Continuous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C9" w14:textId="77777777" w:rsidR="00FC537D" w:rsidRDefault="00461BAD">
            <w:r>
              <w:rPr>
                <w:sz w:val="20"/>
                <w:szCs w:val="20"/>
              </w:rPr>
              <w:t>13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CA" w14:textId="77777777" w:rsidR="00FC537D" w:rsidRDefault="00461BAD">
            <w:r>
              <w:rPr>
                <w:sz w:val="20"/>
                <w:szCs w:val="20"/>
              </w:rPr>
              <w:t xml:space="preserve">Age, </w:t>
            </w:r>
            <w:proofErr w:type="spellStart"/>
            <w:r>
              <w:rPr>
                <w:sz w:val="20"/>
                <w:szCs w:val="20"/>
              </w:rPr>
              <w:t>tumour</w:t>
            </w:r>
            <w:proofErr w:type="spellEnd"/>
            <w:r>
              <w:rPr>
                <w:sz w:val="20"/>
                <w:szCs w:val="20"/>
              </w:rPr>
              <w:t xml:space="preserve"> size, nodes, PGR, ER (various cut-points)</w:t>
            </w:r>
          </w:p>
        </w:tc>
      </w:tr>
      <w:tr w:rsidR="00FC537D" w14:paraId="6102C6C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CC" w14:textId="77777777" w:rsidR="00FC537D" w:rsidRDefault="00461BAD">
            <w:r>
              <w:rPr>
                <w:b/>
                <w:bCs/>
                <w:sz w:val="20"/>
                <w:szCs w:val="20"/>
              </w:rPr>
              <w:t>Two-way interactions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CD" w14:textId="77777777" w:rsidR="00FC537D" w:rsidRDefault="00461BAD">
            <w:r>
              <w:rPr>
                <w:sz w:val="20"/>
                <w:szCs w:val="20"/>
              </w:rPr>
              <w:t>29</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CE" w14:textId="77777777" w:rsidR="00FC537D" w:rsidRDefault="00461BAD">
            <w:r>
              <w:rPr>
                <w:sz w:val="20"/>
                <w:szCs w:val="20"/>
              </w:rPr>
              <w:t>Meno × Grade, Meno × Age, Meno × ER, Grade × Nodes, Grade × ER, Grade × PGR, Size × Nodes</w:t>
            </w:r>
          </w:p>
        </w:tc>
      </w:tr>
      <w:tr w:rsidR="00FC537D" w14:paraId="6102C6D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D0" w14:textId="77777777" w:rsidR="00FC537D" w:rsidRDefault="00461BAD">
            <w:r>
              <w:rPr>
                <w:b/>
                <w:bCs/>
                <w:sz w:val="20"/>
                <w:szCs w:val="20"/>
              </w:rPr>
              <w:lastRenderedPageBreak/>
              <w:t>Three-way interactions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D1" w14:textId="77777777" w:rsidR="00FC537D" w:rsidRDefault="00461BAD">
            <w:r>
              <w:rPr>
                <w:sz w:val="20"/>
                <w:szCs w:val="20"/>
              </w:rPr>
              <w:t>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D2" w14:textId="77777777" w:rsidR="00FC537D" w:rsidRDefault="00461BAD">
            <w:r>
              <w:rPr>
                <w:sz w:val="20"/>
                <w:szCs w:val="20"/>
              </w:rPr>
              <w:t>Pre-</w:t>
            </w:r>
            <w:proofErr w:type="spellStart"/>
            <w:r>
              <w:rPr>
                <w:sz w:val="20"/>
                <w:szCs w:val="20"/>
              </w:rPr>
              <w:t>meno</w:t>
            </w:r>
            <w:proofErr w:type="spellEnd"/>
            <w:r>
              <w:rPr>
                <w:sz w:val="20"/>
                <w:szCs w:val="20"/>
              </w:rPr>
              <w:t xml:space="preserve">/Young/ER-low, </w:t>
            </w:r>
            <w:proofErr w:type="gramStart"/>
            <w:r>
              <w:rPr>
                <w:sz w:val="20"/>
                <w:szCs w:val="20"/>
              </w:rPr>
              <w:t>Post-</w:t>
            </w:r>
            <w:proofErr w:type="spellStart"/>
            <w:r>
              <w:rPr>
                <w:sz w:val="20"/>
                <w:szCs w:val="20"/>
              </w:rPr>
              <w:t>meno</w:t>
            </w:r>
            <w:proofErr w:type="spellEnd"/>
            <w:proofErr w:type="gramEnd"/>
            <w:r>
              <w:rPr>
                <w:sz w:val="20"/>
                <w:szCs w:val="20"/>
              </w:rPr>
              <w:t>/G3/ER-low, etc.</w:t>
            </w:r>
          </w:p>
        </w:tc>
      </w:tr>
      <w:tr w:rsidR="00FC537D" w14:paraId="6102C6D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D4" w14:textId="77777777" w:rsidR="00FC537D" w:rsidRDefault="00461BAD">
            <w:r>
              <w:rPr>
                <w:b/>
                <w:bCs/>
                <w:sz w:val="20"/>
                <w:szCs w:val="20"/>
              </w:rPr>
              <w:t>Random benchmarks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D5" w14:textId="77777777" w:rsidR="00FC537D" w:rsidRDefault="00461BAD">
            <w:r>
              <w:rPr>
                <w:sz w:val="20"/>
                <w:szCs w:val="20"/>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D6" w14:textId="77777777" w:rsidR="00FC537D" w:rsidRDefault="00461BAD">
            <w:r>
              <w:rPr>
                <w:sz w:val="20"/>
                <w:szCs w:val="20"/>
              </w:rPr>
              <w:t>random60, random40, random20, random15 (re-sampled each sim)</w:t>
            </w:r>
          </w:p>
        </w:tc>
      </w:tr>
    </w:tbl>
    <w:p w14:paraId="6102C6D8" w14:textId="77777777" w:rsidR="00FC537D" w:rsidRDefault="00FC537D">
      <w:pPr>
        <w:spacing w:after="120"/>
      </w:pPr>
    </w:p>
    <w:p w14:paraId="6102C6D9" w14:textId="77777777" w:rsidR="00FC537D" w:rsidRDefault="00461BAD">
      <w:pPr>
        <w:spacing w:after="120"/>
      </w:pPr>
      <w:r>
        <w:t>The interaction and three-way subgroups produce progressively smaller sample sizes, while the random benchmarks provide size-matched null controls for direct comparison.</w:t>
      </w:r>
    </w:p>
    <w:p w14:paraId="6102C6DA" w14:textId="77777777" w:rsidR="00FC537D" w:rsidRDefault="00461BAD">
      <w:pPr>
        <w:pStyle w:val="Heading1"/>
      </w:pPr>
      <w:r>
        <w:t>5. Key Findings</w:t>
      </w:r>
    </w:p>
    <w:p w14:paraId="6102C6DB" w14:textId="77777777" w:rsidR="00FC537D" w:rsidRDefault="00461BAD">
      <w:pPr>
        <w:pStyle w:val="Heading2"/>
      </w:pPr>
      <w:r>
        <w:t>5.1 HR Point Estimates</w:t>
      </w:r>
    </w:p>
    <w:p w14:paraId="6102C6DC" w14:textId="77777777" w:rsidR="00FC537D" w:rsidRDefault="00461BAD">
      <w:pPr>
        <w:spacing w:after="120"/>
      </w:pPr>
      <w:r>
        <w:t>For large subgroups (N &gt; 200), the median HR across simulations tracks the true value of 0.70 closely, with narrow empirical confidence intervals. For small subgroups (N ≲ 40), the ECI balloons dramatically: random15 and random20 produce HR estimates ranging from approximately 0.25 to values exceeding 1.0. The critical finding is that clinical subgroups of a given size show statistically indistinguishable ECI widths from random subgroups of the same size. In other words, clinical rationale provides no statistical protection against sampling noise.</w:t>
      </w:r>
    </w:p>
    <w:p w14:paraId="6102C6DD" w14:textId="77777777" w:rsidR="00FC537D" w:rsidRDefault="00461BAD">
      <w:pPr>
        <w:pStyle w:val="Heading2"/>
      </w:pPr>
      <w:r>
        <w:t>5.2 Upper Confidence Bounds</w:t>
      </w:r>
    </w:p>
    <w:p w14:paraId="6102C6DE" w14:textId="77777777" w:rsidR="00FC537D" w:rsidRDefault="00461BAD">
      <w:pPr>
        <w:spacing w:after="120"/>
      </w:pPr>
      <w:r>
        <w:t>The UB(HR) distributions are particularly relevant for safety reviewers. Key quantitative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C537D" w14:paraId="6102C6E2" w14:textId="77777777">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02C6DF" w14:textId="77777777" w:rsidR="00FC537D" w:rsidRDefault="00461BAD">
            <w:r>
              <w:rPr>
                <w:b/>
                <w:bCs/>
                <w:color w:val="FFFFFF"/>
                <w:sz w:val="20"/>
                <w:szCs w:val="20"/>
              </w:rPr>
              <w:t>Subgroup Size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02C6E0" w14:textId="77777777" w:rsidR="00FC537D" w:rsidRDefault="00461BAD">
            <w:r>
              <w:rPr>
                <w:b/>
                <w:bCs/>
                <w:color w:val="FFFFFF"/>
                <w:sz w:val="20"/>
                <w:szCs w:val="20"/>
              </w:rPr>
              <w:t>Approx. 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02C6E1" w14:textId="77777777" w:rsidR="00FC537D" w:rsidRDefault="00461BAD">
            <w:r>
              <w:rPr>
                <w:b/>
                <w:bCs/>
                <w:color w:val="FFFFFF"/>
                <w:sz w:val="20"/>
                <w:szCs w:val="20"/>
              </w:rPr>
              <w:t>99th Percentile UB(HR)</w:t>
            </w:r>
          </w:p>
        </w:tc>
      </w:tr>
      <w:tr w:rsidR="00FC537D" w14:paraId="6102C6E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E3" w14:textId="77777777" w:rsidR="00FC537D" w:rsidRDefault="00461BAD">
            <w:r>
              <w:rPr>
                <w:sz w:val="20"/>
                <w:szCs w:val="20"/>
              </w:rPr>
              <w:t>ITT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E4" w14:textId="77777777" w:rsidR="00FC537D" w:rsidRDefault="00461BAD">
            <w:r>
              <w:rPr>
                <w:sz w:val="20"/>
                <w:szCs w:val="20"/>
              </w:rPr>
              <w:t>≈ 686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E5" w14:textId="77777777" w:rsidR="00FC537D" w:rsidRDefault="00461BAD">
            <w:r>
              <w:rPr>
                <w:sz w:val="20"/>
                <w:szCs w:val="20"/>
              </w:rPr>
              <w:t>&lt; 1.1</w:t>
            </w:r>
          </w:p>
        </w:tc>
      </w:tr>
      <w:tr w:rsidR="00FC537D" w14:paraId="6102C6EA"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E7" w14:textId="77777777" w:rsidR="00FC537D" w:rsidRDefault="00461BAD">
            <w:r>
              <w:rPr>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E8" w14:textId="77777777" w:rsidR="00FC537D" w:rsidRDefault="00461BAD">
            <w:r>
              <w:rPr>
                <w:sz w:val="20"/>
                <w:szCs w:val="20"/>
              </w:rPr>
              <w:t>≈ 200</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E9" w14:textId="77777777" w:rsidR="00FC537D" w:rsidRDefault="00461BAD">
            <w:r>
              <w:rPr>
                <w:sz w:val="20"/>
                <w:szCs w:val="20"/>
              </w:rPr>
              <w:t>≈ 1.5</w:t>
            </w:r>
          </w:p>
        </w:tc>
      </w:tr>
      <w:tr w:rsidR="00FC537D" w14:paraId="6102C6E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EB" w14:textId="77777777" w:rsidR="00FC537D" w:rsidRDefault="00461BAD">
            <w:r>
              <w:rPr>
                <w:sz w:val="20"/>
                <w:szCs w:val="20"/>
              </w:rPr>
              <w:t>Small-medium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EC" w14:textId="77777777" w:rsidR="00FC537D" w:rsidRDefault="00461BAD">
            <w:r>
              <w:rPr>
                <w:sz w:val="20"/>
                <w:szCs w:val="20"/>
              </w:rPr>
              <w:t>≈ 60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ED" w14:textId="77777777" w:rsidR="00FC537D" w:rsidRDefault="00461BAD">
            <w:r>
              <w:rPr>
                <w:sz w:val="20"/>
                <w:szCs w:val="20"/>
              </w:rPr>
              <w:t>≈ 2.5</w:t>
            </w:r>
          </w:p>
        </w:tc>
      </w:tr>
      <w:tr w:rsidR="00FC537D" w14:paraId="6102C6F2"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EF" w14:textId="77777777" w:rsidR="00FC537D" w:rsidRDefault="00461BAD">
            <w:r>
              <w:rPr>
                <w:sz w:val="20"/>
                <w:szCs w:val="20"/>
              </w:rPr>
              <w:t>random40</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F0" w14:textId="77777777" w:rsidR="00FC537D" w:rsidRDefault="00461BAD">
            <w:r>
              <w:rPr>
                <w:sz w:val="20"/>
                <w:szCs w:val="20"/>
              </w:rPr>
              <w:t>≈ 40</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F1" w14:textId="77777777" w:rsidR="00FC537D" w:rsidRDefault="00461BAD">
            <w:r>
              <w:rPr>
                <w:sz w:val="20"/>
                <w:szCs w:val="20"/>
              </w:rPr>
              <w:t>≈ 3.5</w:t>
            </w:r>
          </w:p>
        </w:tc>
      </w:tr>
      <w:tr w:rsidR="00FC537D" w14:paraId="6102C6F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F3" w14:textId="77777777" w:rsidR="00FC537D" w:rsidRDefault="00461BAD">
            <w:r>
              <w:rPr>
                <w:sz w:val="20"/>
                <w:szCs w:val="20"/>
              </w:rPr>
              <w:t>random20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F4" w14:textId="77777777" w:rsidR="00FC537D" w:rsidRDefault="00461BAD">
            <w:r>
              <w:rPr>
                <w:sz w:val="20"/>
                <w:szCs w:val="20"/>
              </w:rPr>
              <w:t>≈ 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C6F5" w14:textId="77777777" w:rsidR="00FC537D" w:rsidRDefault="00461BAD">
            <w:r>
              <w:rPr>
                <w:sz w:val="20"/>
                <w:szCs w:val="20"/>
              </w:rPr>
              <w:t>≈ 5.0</w:t>
            </w:r>
          </w:p>
        </w:tc>
      </w:tr>
      <w:tr w:rsidR="00FC537D" w14:paraId="6102C6FA"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F7" w14:textId="77777777" w:rsidR="00FC537D" w:rsidRDefault="00461BAD">
            <w:r>
              <w:rPr>
                <w:sz w:val="20"/>
                <w:szCs w:val="20"/>
              </w:rPr>
              <w:t>random15</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F8" w14:textId="77777777" w:rsidR="00FC537D" w:rsidRDefault="00461BAD">
            <w:r>
              <w:rPr>
                <w:sz w:val="20"/>
                <w:szCs w:val="20"/>
              </w:rPr>
              <w:t>≈ 15</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2C6F9" w14:textId="77777777" w:rsidR="00FC537D" w:rsidRDefault="00461BAD">
            <w:r>
              <w:rPr>
                <w:sz w:val="20"/>
                <w:szCs w:val="20"/>
              </w:rPr>
              <w:t>&gt; 5.0</w:t>
            </w:r>
          </w:p>
        </w:tc>
      </w:tr>
    </w:tbl>
    <w:p w14:paraId="6102C6FB" w14:textId="77777777" w:rsidR="00FC537D" w:rsidRDefault="00FC537D">
      <w:pPr>
        <w:spacing w:after="120"/>
      </w:pPr>
    </w:p>
    <w:p w14:paraId="6102C6FC" w14:textId="77777777" w:rsidR="00FC537D" w:rsidRDefault="00461BAD">
      <w:pPr>
        <w:spacing w:after="120"/>
      </w:pPr>
      <w:r>
        <w:t>This means that 1% of simulated trials produce an upper bound exceeding 3.5 in a 40-patient subgroup, even though the true HR is 0.70 (substantial benefit). A reviewer encountering such a result in practice would have no way to distinguish it from a genuine safety signal without simulation-based calibration.</w:t>
      </w:r>
    </w:p>
    <w:p w14:paraId="6102C6FD" w14:textId="77777777" w:rsidR="00FC537D" w:rsidRDefault="00461BAD">
      <w:pPr>
        <w:pStyle w:val="Heading2"/>
      </w:pPr>
      <w:r>
        <w:t>5.3 The Cox Model Is Working Correctly</w:t>
      </w:r>
    </w:p>
    <w:p w14:paraId="6102C6FE" w14:textId="77777777" w:rsidR="00FC537D" w:rsidRDefault="00461BAD">
      <w:pPr>
        <w:spacing w:after="120"/>
      </w:pPr>
      <w:r>
        <w:t xml:space="preserve">The simulations confirm that the Cox model is unbiased (median HR ≈ 0.70 for every subgroup), confidence intervals have </w:t>
      </w:r>
      <w:proofErr w:type="gramStart"/>
      <w:r>
        <w:t>correct</w:t>
      </w:r>
      <w:proofErr w:type="gramEnd"/>
      <w:r>
        <w:t xml:space="preserve"> coverage, and all variability is driven entirely by sample size. The wide CIs in small subgroups are not a model failure—they accurately reflect genuine statistical uncertainty. The problem lies in interpretation, not in the statistical machinery.</w:t>
      </w:r>
    </w:p>
    <w:p w14:paraId="6102C6FF" w14:textId="77777777" w:rsidR="00FC537D" w:rsidRDefault="00461BAD">
      <w:pPr>
        <w:pStyle w:val="Heading1"/>
      </w:pPr>
      <w:r>
        <w:t>6. Conclusions from the Presentation</w:t>
      </w:r>
    </w:p>
    <w:p w14:paraId="6102C700" w14:textId="77777777" w:rsidR="00FC537D" w:rsidRDefault="00461BAD">
      <w:pPr>
        <w:spacing w:after="120"/>
      </w:pPr>
      <w:r>
        <w:t>The slide deck concludes with five headline findings:</w:t>
      </w:r>
    </w:p>
    <w:p w14:paraId="6102C701" w14:textId="77777777" w:rsidR="00FC537D" w:rsidRDefault="00461BAD">
      <w:pPr>
        <w:pStyle w:val="ListParagraph"/>
        <w:numPr>
          <w:ilvl w:val="0"/>
          <w:numId w:val="3"/>
        </w:numPr>
        <w:spacing w:after="80"/>
      </w:pPr>
      <w:r>
        <w:rPr>
          <w:b/>
          <w:bCs/>
        </w:rPr>
        <w:lastRenderedPageBreak/>
        <w:t>Small subgroups produce extreme results by chance. Under uniform HR = 0.70, subgroups with N ≲ 40 regularly produce UB(HR) &gt; 3.0.</w:t>
      </w:r>
    </w:p>
    <w:p w14:paraId="6102C702" w14:textId="77777777" w:rsidR="00FC537D" w:rsidRDefault="00461BAD">
      <w:pPr>
        <w:pStyle w:val="ListParagraph"/>
        <w:numPr>
          <w:ilvl w:val="0"/>
          <w:numId w:val="3"/>
        </w:numPr>
        <w:spacing w:after="80"/>
      </w:pPr>
      <w:r>
        <w:rPr>
          <w:b/>
          <w:bCs/>
        </w:rPr>
        <w:t>Clinical rationale does not protect against noise. Clinical subgroups have the same HR/UB distribution as random benchmarks of that size.</w:t>
      </w:r>
    </w:p>
    <w:p w14:paraId="6102C703" w14:textId="77777777" w:rsidR="00FC537D" w:rsidRDefault="00461BAD">
      <w:pPr>
        <w:pStyle w:val="ListParagraph"/>
        <w:numPr>
          <w:ilvl w:val="0"/>
          <w:numId w:val="3"/>
        </w:numPr>
        <w:spacing w:after="80"/>
      </w:pPr>
      <w:r>
        <w:rPr>
          <w:b/>
          <w:bCs/>
        </w:rPr>
        <w:t>The Cox model is working correctly. Wide CIs in small subgroups are accurate—they reflect genuine uncertainty.</w:t>
      </w:r>
    </w:p>
    <w:p w14:paraId="6102C704" w14:textId="77777777" w:rsidR="00FC537D" w:rsidRDefault="00461BAD">
      <w:pPr>
        <w:pStyle w:val="ListParagraph"/>
        <w:numPr>
          <w:ilvl w:val="0"/>
          <w:numId w:val="3"/>
        </w:numPr>
        <w:spacing w:after="80"/>
      </w:pPr>
      <w:r>
        <w:rPr>
          <w:b/>
          <w:bCs/>
        </w:rPr>
        <w:t>Simulation-based calibration is essential. Without a null-DGM benchmark, reviewers cannot quantify how “extreme” a result is for a given subgroup size.</w:t>
      </w:r>
    </w:p>
    <w:p w14:paraId="6102C705" w14:textId="77777777" w:rsidR="00FC537D" w:rsidRDefault="00461BAD">
      <w:pPr>
        <w:pStyle w:val="ListParagraph"/>
        <w:numPr>
          <w:ilvl w:val="0"/>
          <w:numId w:val="3"/>
        </w:numPr>
        <w:spacing w:after="80"/>
      </w:pPr>
      <w:r>
        <w:rPr>
          <w:b/>
          <w:bCs/>
        </w:rPr>
        <w:t xml:space="preserve">The </w:t>
      </w:r>
      <w:proofErr w:type="spellStart"/>
      <w:r>
        <w:rPr>
          <w:b/>
          <w:bCs/>
        </w:rPr>
        <w:t>forestsearch</w:t>
      </w:r>
      <w:proofErr w:type="spellEnd"/>
      <w:r>
        <w:rPr>
          <w:b/>
          <w:bCs/>
        </w:rPr>
        <w:t xml:space="preserve"> package provides a complete, reproducible workflow for conducting these calibration analyses.</w:t>
      </w:r>
    </w:p>
    <w:p w14:paraId="6102C706" w14:textId="77777777" w:rsidR="00FC537D" w:rsidRDefault="00461BAD">
      <w:pPr>
        <w:pStyle w:val="Heading1"/>
      </w:pPr>
      <w:r>
        <w:t>7. Software and Reproducibility</w:t>
      </w:r>
    </w:p>
    <w:p w14:paraId="6102C707" w14:textId="77777777" w:rsidR="00FC537D" w:rsidRDefault="00461BAD">
      <w:pPr>
        <w:spacing w:after="120"/>
      </w:pPr>
      <w:r>
        <w:t>The entire analysis is implemented in a single Quarto (.</w:t>
      </w:r>
      <w:proofErr w:type="spellStart"/>
      <w:r>
        <w:t>qmd</w:t>
      </w:r>
      <w:proofErr w:type="spellEnd"/>
      <w:r>
        <w:t>) file that renders to Beamer/PDF slides. The software stack includes:</w:t>
      </w:r>
    </w:p>
    <w:p w14:paraId="6102C708" w14:textId="77777777" w:rsidR="00FC537D" w:rsidRDefault="00461BAD">
      <w:pPr>
        <w:pStyle w:val="ListParagraph"/>
        <w:numPr>
          <w:ilvl w:val="0"/>
          <w:numId w:val="2"/>
        </w:numPr>
        <w:spacing w:after="80"/>
      </w:pPr>
      <w:proofErr w:type="spellStart"/>
      <w:r>
        <w:t>forestsearch</w:t>
      </w:r>
      <w:proofErr w:type="spellEnd"/>
      <w:r>
        <w:t xml:space="preserve"> R package (</w:t>
      </w:r>
      <w:proofErr w:type="spellStart"/>
      <w:r>
        <w:t>larry-leon</w:t>
      </w:r>
      <w:proofErr w:type="spellEnd"/>
      <w:r>
        <w:t>/</w:t>
      </w:r>
      <w:proofErr w:type="spellStart"/>
      <w:r>
        <w:t>forestsearch</w:t>
      </w:r>
      <w:proofErr w:type="spellEnd"/>
      <w:r>
        <w:t xml:space="preserve">): Provides </w:t>
      </w:r>
      <w:proofErr w:type="spellStart"/>
      <w:r>
        <w:t>generate_aft_dgm_</w:t>
      </w:r>
      <w:proofErr w:type="gramStart"/>
      <w:r>
        <w:t>flex</w:t>
      </w:r>
      <w:proofErr w:type="spellEnd"/>
      <w:r>
        <w:t>(</w:t>
      </w:r>
      <w:proofErr w:type="gramEnd"/>
      <w:r>
        <w:t xml:space="preserve">), </w:t>
      </w:r>
      <w:proofErr w:type="spellStart"/>
      <w:r>
        <w:t>calibrate_cens_</w:t>
      </w:r>
      <w:proofErr w:type="gramStart"/>
      <w:r>
        <w:t>adjust</w:t>
      </w:r>
      <w:proofErr w:type="spellEnd"/>
      <w:r>
        <w:t>(</w:t>
      </w:r>
      <w:proofErr w:type="gramEnd"/>
      <w:r>
        <w:t xml:space="preserve">), </w:t>
      </w:r>
      <w:proofErr w:type="spellStart"/>
      <w:r>
        <w:t>check_censoring_</w:t>
      </w:r>
      <w:proofErr w:type="gramStart"/>
      <w:r>
        <w:t>dgm</w:t>
      </w:r>
      <w:proofErr w:type="spellEnd"/>
      <w:r>
        <w:t>(</w:t>
      </w:r>
      <w:proofErr w:type="gramEnd"/>
      <w:r>
        <w:t xml:space="preserve">), and </w:t>
      </w:r>
      <w:proofErr w:type="spellStart"/>
      <w:r>
        <w:t>simulate_from_</w:t>
      </w:r>
      <w:proofErr w:type="gramStart"/>
      <w:r>
        <w:t>dgm</w:t>
      </w:r>
      <w:proofErr w:type="spellEnd"/>
      <w:r>
        <w:t>(</w:t>
      </w:r>
      <w:proofErr w:type="gramEnd"/>
      <w:r>
        <w:t>)—the full DGM construction and simulation pipeline.</w:t>
      </w:r>
    </w:p>
    <w:p w14:paraId="6102C709" w14:textId="77777777" w:rsidR="00FC537D" w:rsidRDefault="00461BAD">
      <w:pPr>
        <w:pStyle w:val="ListParagraph"/>
        <w:numPr>
          <w:ilvl w:val="0"/>
          <w:numId w:val="2"/>
        </w:numPr>
        <w:spacing w:after="80"/>
      </w:pPr>
      <w:r>
        <w:t xml:space="preserve">survival R package: Provides </w:t>
      </w:r>
      <w:proofErr w:type="spellStart"/>
      <w:proofErr w:type="gramStart"/>
      <w:r>
        <w:t>coxph</w:t>
      </w:r>
      <w:proofErr w:type="spellEnd"/>
      <w:r>
        <w:t>(</w:t>
      </w:r>
      <w:proofErr w:type="gramEnd"/>
      <w:r>
        <w:t>) for Cox proportional hazards regression and the GBSG dataset.</w:t>
      </w:r>
    </w:p>
    <w:p w14:paraId="6102C70A" w14:textId="77777777" w:rsidR="00FC537D" w:rsidRDefault="00461BAD">
      <w:pPr>
        <w:pStyle w:val="ListParagraph"/>
        <w:numPr>
          <w:ilvl w:val="0"/>
          <w:numId w:val="2"/>
        </w:numPr>
        <w:spacing w:after="80"/>
      </w:pPr>
      <w:r>
        <w:t xml:space="preserve">ggplot2 + patchwork: Visualization of forest plots via custom </w:t>
      </w:r>
      <w:proofErr w:type="spellStart"/>
      <w:r>
        <w:t>plot_hr_</w:t>
      </w:r>
      <w:proofErr w:type="gramStart"/>
      <w:r>
        <w:t>forest</w:t>
      </w:r>
      <w:proofErr w:type="spellEnd"/>
      <w:r>
        <w:t>(</w:t>
      </w:r>
      <w:proofErr w:type="gramEnd"/>
      <w:r>
        <w:t xml:space="preserve">) and </w:t>
      </w:r>
      <w:proofErr w:type="spellStart"/>
      <w:r>
        <w:t>plot_ub_</w:t>
      </w:r>
      <w:proofErr w:type="gramStart"/>
      <w:r>
        <w:t>forest</w:t>
      </w:r>
      <w:proofErr w:type="spellEnd"/>
      <w:r>
        <w:t>(</w:t>
      </w:r>
      <w:proofErr w:type="gramEnd"/>
      <w:r>
        <w:t>) functions.</w:t>
      </w:r>
    </w:p>
    <w:p w14:paraId="6102C70B" w14:textId="77777777" w:rsidR="00FC537D" w:rsidRDefault="00461BAD">
      <w:pPr>
        <w:pStyle w:val="ListParagraph"/>
        <w:numPr>
          <w:ilvl w:val="0"/>
          <w:numId w:val="2"/>
        </w:numPr>
        <w:spacing w:after="80"/>
      </w:pPr>
      <w:proofErr w:type="spellStart"/>
      <w:r>
        <w:t>gt</w:t>
      </w:r>
      <w:proofErr w:type="spellEnd"/>
      <w:r>
        <w:t>: Formatted tables for subgroup definitions.</w:t>
      </w:r>
    </w:p>
    <w:p w14:paraId="6102C70C" w14:textId="77777777" w:rsidR="00FC537D" w:rsidRDefault="00461BAD">
      <w:pPr>
        <w:pStyle w:val="ListParagraph"/>
        <w:numPr>
          <w:ilvl w:val="0"/>
          <w:numId w:val="2"/>
        </w:numPr>
        <w:spacing w:after="80"/>
      </w:pPr>
      <w:proofErr w:type="spellStart"/>
      <w:r>
        <w:t>summarize_extreme_</w:t>
      </w:r>
      <w:proofErr w:type="gramStart"/>
      <w:r>
        <w:t>sims.R</w:t>
      </w:r>
      <w:proofErr w:type="spellEnd"/>
      <w:proofErr w:type="gramEnd"/>
      <w:r>
        <w:t xml:space="preserve">: A standalone companion utility script that provides </w:t>
      </w:r>
      <w:proofErr w:type="spellStart"/>
      <w:r>
        <w:t>summarize_extreme_</w:t>
      </w:r>
      <w:proofErr w:type="gramStart"/>
      <w:r>
        <w:t>sims</w:t>
      </w:r>
      <w:proofErr w:type="spellEnd"/>
      <w:r>
        <w:t>(</w:t>
      </w:r>
      <w:proofErr w:type="gramEnd"/>
      <w:r>
        <w:t xml:space="preserve">), </w:t>
      </w:r>
      <w:proofErr w:type="spellStart"/>
      <w:r>
        <w:t>save_sim_</w:t>
      </w:r>
      <w:proofErr w:type="gramStart"/>
      <w:r>
        <w:t>results</w:t>
      </w:r>
      <w:proofErr w:type="spellEnd"/>
      <w:r>
        <w:t>(</w:t>
      </w:r>
      <w:proofErr w:type="gramEnd"/>
      <w:r>
        <w:t xml:space="preserve">), </w:t>
      </w:r>
      <w:proofErr w:type="spellStart"/>
      <w:r>
        <w:t>load_sim_</w:t>
      </w:r>
      <w:proofErr w:type="gramStart"/>
      <w:r>
        <w:t>results</w:t>
      </w:r>
      <w:proofErr w:type="spellEnd"/>
      <w:r>
        <w:t>(</w:t>
      </w:r>
      <w:proofErr w:type="gramEnd"/>
      <w:r>
        <w:t xml:space="preserve">), </w:t>
      </w:r>
      <w:proofErr w:type="spellStart"/>
      <w:r>
        <w:t>compare_extreme_</w:t>
      </w:r>
      <w:proofErr w:type="gramStart"/>
      <w:r>
        <w:t>sims</w:t>
      </w:r>
      <w:proofErr w:type="spellEnd"/>
      <w:r>
        <w:t>(</w:t>
      </w:r>
      <w:proofErr w:type="gramEnd"/>
      <w:r>
        <w:t xml:space="preserve">), and </w:t>
      </w:r>
      <w:proofErr w:type="spellStart"/>
      <w:r>
        <w:t>forest_fig_</w:t>
      </w:r>
      <w:proofErr w:type="gramStart"/>
      <w:r>
        <w:t>height</w:t>
      </w:r>
      <w:proofErr w:type="spellEnd"/>
      <w:r>
        <w:t>(</w:t>
      </w:r>
      <w:proofErr w:type="gramEnd"/>
      <w:r>
        <w:t>).</w:t>
      </w:r>
    </w:p>
    <w:p w14:paraId="6102C70D" w14:textId="77777777" w:rsidR="00FC537D" w:rsidRDefault="00461BAD">
      <w:pPr>
        <w:spacing w:after="120"/>
      </w:pPr>
      <w:r>
        <w:t xml:space="preserve">The appendix provides a detailed new-results workflow enabling users to load pre-computed results, run fresh simulations, and have all downstream tables and plots update automatically. A </w:t>
      </w:r>
      <w:proofErr w:type="spellStart"/>
      <w:r>
        <w:t>compare_extreme_</w:t>
      </w:r>
      <w:proofErr w:type="gramStart"/>
      <w:r>
        <w:t>sims</w:t>
      </w:r>
      <w:proofErr w:type="spellEnd"/>
      <w:r>
        <w:t>(</w:t>
      </w:r>
      <w:proofErr w:type="gramEnd"/>
      <w:r>
        <w:t>) utility supports convergence checks across runs of different sizes or DGM variants.</w:t>
      </w:r>
    </w:p>
    <w:p w14:paraId="6102C70E" w14:textId="77777777" w:rsidR="00FC537D" w:rsidRDefault="00461BAD">
      <w:pPr>
        <w:pStyle w:val="Heading1"/>
      </w:pPr>
      <w:r>
        <w:t>8. Broader Regulatory Context</w:t>
      </w:r>
    </w:p>
    <w:p w14:paraId="6102C70F" w14:textId="77777777" w:rsidR="00FC537D" w:rsidRDefault="00461BAD">
      <w:pPr>
        <w:spacing w:after="120"/>
      </w:pPr>
      <w:r>
        <w:t>This simulation study directly supports a broader body of work on principled subgroup analysis in oncology regulatory submissions. The key regulatory applications include:</w:t>
      </w:r>
    </w:p>
    <w:p w14:paraId="6102C710" w14:textId="77777777" w:rsidR="00FC537D" w:rsidRDefault="00461BAD">
      <w:pPr>
        <w:pStyle w:val="ListParagraph"/>
        <w:numPr>
          <w:ilvl w:val="0"/>
          <w:numId w:val="2"/>
        </w:numPr>
        <w:spacing w:after="80"/>
      </w:pPr>
      <w:r>
        <w:t>Pro-active risk quantification: Rather than waiting for regulators to conduct potentially sub-optimal post-hoc analyses, sponsors can proactively characterize the expected distribution of extreme results under null (uniform benefit) conditions for their specific trial.</w:t>
      </w:r>
    </w:p>
    <w:p w14:paraId="6102C711" w14:textId="77777777" w:rsidR="00FC537D" w:rsidRDefault="00461BAD">
      <w:pPr>
        <w:pStyle w:val="ListParagraph"/>
        <w:numPr>
          <w:ilvl w:val="0"/>
          <w:numId w:val="2"/>
        </w:numPr>
        <w:spacing w:after="80"/>
      </w:pPr>
      <w:r>
        <w:t>HTA subgroup evaluations: When HTA agencies mandate subgroup analyses for small country-level populations, the risk of observing extreme point estimates or confidence intervals is substantial. This simulation framework quantifies those risks concretely.</w:t>
      </w:r>
    </w:p>
    <w:p w14:paraId="6102C712" w14:textId="77777777" w:rsidR="00FC537D" w:rsidRDefault="00461BAD">
      <w:pPr>
        <w:pStyle w:val="ListParagraph"/>
        <w:numPr>
          <w:ilvl w:val="0"/>
          <w:numId w:val="2"/>
        </w:numPr>
        <w:spacing w:after="80"/>
      </w:pPr>
      <w:r>
        <w:t xml:space="preserve">Calibration for regulatory reviewers: The random benchmark subgroups provide a practical calibration tool. A reviewer can ask: “Is this subgroup result more extreme than </w:t>
      </w:r>
      <w:r>
        <w:lastRenderedPageBreak/>
        <w:t>what I would expect from a random grouping of the same size?” If not, the result is fully consistent with chance.</w:t>
      </w:r>
    </w:p>
    <w:p w14:paraId="6102C713" w14:textId="77777777" w:rsidR="00FC537D" w:rsidRDefault="00461BAD">
      <w:pPr>
        <w:spacing w:after="120"/>
      </w:pPr>
      <w:r>
        <w:rPr>
          <w:i/>
          <w:iCs/>
        </w:rPr>
        <w:t>The overarching message is that subgroup analyses face persistent statistical challenges that cannot be resolved through better methodology alone. Simulation-based calibration provides an essential tool for honest, transparent assessment of how “extreme” any observed subgroup result truly is.</w:t>
      </w:r>
    </w:p>
    <w:sectPr w:rsidR="00FC537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14501" w14:textId="77777777" w:rsidR="00100A30" w:rsidRDefault="00100A30">
      <w:r>
        <w:separator/>
      </w:r>
    </w:p>
  </w:endnote>
  <w:endnote w:type="continuationSeparator" w:id="0">
    <w:p w14:paraId="2680B3EA" w14:textId="77777777" w:rsidR="00100A30" w:rsidRDefault="00100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C715" w14:textId="5E7DC3BC" w:rsidR="00FC537D" w:rsidRDefault="00461BAD">
    <w:pPr>
      <w:pBdr>
        <w:top w:val="single" w:sz="2" w:space="4"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5547C7">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69C69" w14:textId="77777777" w:rsidR="00100A30" w:rsidRDefault="00100A30">
      <w:r>
        <w:separator/>
      </w:r>
    </w:p>
  </w:footnote>
  <w:footnote w:type="continuationSeparator" w:id="0">
    <w:p w14:paraId="3EB6EFC7" w14:textId="77777777" w:rsidR="00100A30" w:rsidRDefault="00100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C714" w14:textId="77777777" w:rsidR="00FC537D" w:rsidRDefault="00461BAD">
    <w:pPr>
      <w:pBdr>
        <w:bottom w:val="single" w:sz="4" w:space="4" w:color="1B4F72"/>
      </w:pBdr>
      <w:jc w:val="right"/>
    </w:pPr>
    <w:r>
      <w:rPr>
        <w:i/>
        <w:iCs/>
        <w:color w:val="666666"/>
        <w:sz w:val="18"/>
        <w:szCs w:val="18"/>
      </w:rPr>
      <w:t>Comprehensive Summary: Extreme Subgroup Effects Simulation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D0681"/>
    <w:multiLevelType w:val="hybridMultilevel"/>
    <w:tmpl w:val="86F62E4A"/>
    <w:lvl w:ilvl="0" w:tplc="5AA8752A">
      <w:start w:val="1"/>
      <w:numFmt w:val="decimal"/>
      <w:lvlText w:val="%1."/>
      <w:lvlJc w:val="left"/>
      <w:pPr>
        <w:ind w:left="720" w:hanging="360"/>
      </w:pPr>
    </w:lvl>
    <w:lvl w:ilvl="1" w:tplc="4BDCA878">
      <w:numFmt w:val="decimal"/>
      <w:lvlText w:val=""/>
      <w:lvlJc w:val="left"/>
    </w:lvl>
    <w:lvl w:ilvl="2" w:tplc="ABBCF08E">
      <w:numFmt w:val="decimal"/>
      <w:lvlText w:val=""/>
      <w:lvlJc w:val="left"/>
    </w:lvl>
    <w:lvl w:ilvl="3" w:tplc="3E3045D4">
      <w:numFmt w:val="decimal"/>
      <w:lvlText w:val=""/>
      <w:lvlJc w:val="left"/>
    </w:lvl>
    <w:lvl w:ilvl="4" w:tplc="31E4442E">
      <w:numFmt w:val="decimal"/>
      <w:lvlText w:val=""/>
      <w:lvlJc w:val="left"/>
    </w:lvl>
    <w:lvl w:ilvl="5" w:tplc="F8FEE6DE">
      <w:numFmt w:val="decimal"/>
      <w:lvlText w:val=""/>
      <w:lvlJc w:val="left"/>
    </w:lvl>
    <w:lvl w:ilvl="6" w:tplc="6A12BBEE">
      <w:numFmt w:val="decimal"/>
      <w:lvlText w:val=""/>
      <w:lvlJc w:val="left"/>
    </w:lvl>
    <w:lvl w:ilvl="7" w:tplc="20F23118">
      <w:numFmt w:val="decimal"/>
      <w:lvlText w:val=""/>
      <w:lvlJc w:val="left"/>
    </w:lvl>
    <w:lvl w:ilvl="8" w:tplc="C4209E84">
      <w:numFmt w:val="decimal"/>
      <w:lvlText w:val=""/>
      <w:lvlJc w:val="left"/>
    </w:lvl>
  </w:abstractNum>
  <w:abstractNum w:abstractNumId="1" w15:restartNumberingAfterBreak="0">
    <w:nsid w:val="42847BC4"/>
    <w:multiLevelType w:val="hybridMultilevel"/>
    <w:tmpl w:val="D6F2AE92"/>
    <w:lvl w:ilvl="0" w:tplc="A354727E">
      <w:start w:val="1"/>
      <w:numFmt w:val="bullet"/>
      <w:lvlText w:val="●"/>
      <w:lvlJc w:val="left"/>
      <w:pPr>
        <w:ind w:left="720" w:hanging="360"/>
      </w:pPr>
    </w:lvl>
    <w:lvl w:ilvl="1" w:tplc="DD08074A">
      <w:start w:val="1"/>
      <w:numFmt w:val="bullet"/>
      <w:lvlText w:val="○"/>
      <w:lvlJc w:val="left"/>
      <w:pPr>
        <w:ind w:left="1440" w:hanging="360"/>
      </w:pPr>
    </w:lvl>
    <w:lvl w:ilvl="2" w:tplc="13E6DBA0">
      <w:start w:val="1"/>
      <w:numFmt w:val="bullet"/>
      <w:lvlText w:val="■"/>
      <w:lvlJc w:val="left"/>
      <w:pPr>
        <w:ind w:left="2160" w:hanging="360"/>
      </w:pPr>
    </w:lvl>
    <w:lvl w:ilvl="3" w:tplc="14401B9C">
      <w:start w:val="1"/>
      <w:numFmt w:val="bullet"/>
      <w:lvlText w:val="●"/>
      <w:lvlJc w:val="left"/>
      <w:pPr>
        <w:ind w:left="2880" w:hanging="360"/>
      </w:pPr>
    </w:lvl>
    <w:lvl w:ilvl="4" w:tplc="A8ECDE9A">
      <w:start w:val="1"/>
      <w:numFmt w:val="bullet"/>
      <w:lvlText w:val="○"/>
      <w:lvlJc w:val="left"/>
      <w:pPr>
        <w:ind w:left="3600" w:hanging="360"/>
      </w:pPr>
    </w:lvl>
    <w:lvl w:ilvl="5" w:tplc="7A9AE052">
      <w:start w:val="1"/>
      <w:numFmt w:val="bullet"/>
      <w:lvlText w:val="■"/>
      <w:lvlJc w:val="left"/>
      <w:pPr>
        <w:ind w:left="4320" w:hanging="360"/>
      </w:pPr>
    </w:lvl>
    <w:lvl w:ilvl="6" w:tplc="26DAFF56">
      <w:start w:val="1"/>
      <w:numFmt w:val="bullet"/>
      <w:lvlText w:val="●"/>
      <w:lvlJc w:val="left"/>
      <w:pPr>
        <w:ind w:left="5040" w:hanging="360"/>
      </w:pPr>
    </w:lvl>
    <w:lvl w:ilvl="7" w:tplc="406E441A">
      <w:start w:val="1"/>
      <w:numFmt w:val="bullet"/>
      <w:lvlText w:val="●"/>
      <w:lvlJc w:val="left"/>
      <w:pPr>
        <w:ind w:left="5760" w:hanging="360"/>
      </w:pPr>
    </w:lvl>
    <w:lvl w:ilvl="8" w:tplc="2EA27018">
      <w:start w:val="1"/>
      <w:numFmt w:val="bullet"/>
      <w:lvlText w:val="●"/>
      <w:lvlJc w:val="left"/>
      <w:pPr>
        <w:ind w:left="6480" w:hanging="360"/>
      </w:pPr>
    </w:lvl>
  </w:abstractNum>
  <w:abstractNum w:abstractNumId="2" w15:restartNumberingAfterBreak="0">
    <w:nsid w:val="44CB6DC1"/>
    <w:multiLevelType w:val="hybridMultilevel"/>
    <w:tmpl w:val="BB961138"/>
    <w:lvl w:ilvl="0" w:tplc="0CC64BA4">
      <w:start w:val="1"/>
      <w:numFmt w:val="bullet"/>
      <w:lvlText w:val="•"/>
      <w:lvlJc w:val="left"/>
      <w:pPr>
        <w:ind w:left="720" w:hanging="360"/>
      </w:pPr>
    </w:lvl>
    <w:lvl w:ilvl="1" w:tplc="2B247F82">
      <w:numFmt w:val="decimal"/>
      <w:lvlText w:val=""/>
      <w:lvlJc w:val="left"/>
    </w:lvl>
    <w:lvl w:ilvl="2" w:tplc="25DE28D2">
      <w:numFmt w:val="decimal"/>
      <w:lvlText w:val=""/>
      <w:lvlJc w:val="left"/>
    </w:lvl>
    <w:lvl w:ilvl="3" w:tplc="8EAE1A7C">
      <w:numFmt w:val="decimal"/>
      <w:lvlText w:val=""/>
      <w:lvlJc w:val="left"/>
    </w:lvl>
    <w:lvl w:ilvl="4" w:tplc="71984370">
      <w:numFmt w:val="decimal"/>
      <w:lvlText w:val=""/>
      <w:lvlJc w:val="left"/>
    </w:lvl>
    <w:lvl w:ilvl="5" w:tplc="705CFD42">
      <w:numFmt w:val="decimal"/>
      <w:lvlText w:val=""/>
      <w:lvlJc w:val="left"/>
    </w:lvl>
    <w:lvl w:ilvl="6" w:tplc="59B25EF6">
      <w:numFmt w:val="decimal"/>
      <w:lvlText w:val=""/>
      <w:lvlJc w:val="left"/>
    </w:lvl>
    <w:lvl w:ilvl="7" w:tplc="72B2AD30">
      <w:numFmt w:val="decimal"/>
      <w:lvlText w:val=""/>
      <w:lvlJc w:val="left"/>
    </w:lvl>
    <w:lvl w:ilvl="8" w:tplc="AC2C9386">
      <w:numFmt w:val="decimal"/>
      <w:lvlText w:val=""/>
      <w:lvlJc w:val="left"/>
    </w:lvl>
  </w:abstractNum>
  <w:abstractNum w:abstractNumId="3" w15:restartNumberingAfterBreak="0">
    <w:nsid w:val="58AC76DB"/>
    <w:multiLevelType w:val="hybridMultilevel"/>
    <w:tmpl w:val="F59AC79C"/>
    <w:lvl w:ilvl="0" w:tplc="47EC758A">
      <w:start w:val="1"/>
      <w:numFmt w:val="bullet"/>
      <w:lvlText w:val="–"/>
      <w:lvlJc w:val="left"/>
      <w:pPr>
        <w:ind w:left="1080" w:hanging="360"/>
      </w:pPr>
    </w:lvl>
    <w:lvl w:ilvl="1" w:tplc="88C6B8F4">
      <w:numFmt w:val="decimal"/>
      <w:lvlText w:val=""/>
      <w:lvlJc w:val="left"/>
    </w:lvl>
    <w:lvl w:ilvl="2" w:tplc="F06E3F8E">
      <w:numFmt w:val="decimal"/>
      <w:lvlText w:val=""/>
      <w:lvlJc w:val="left"/>
    </w:lvl>
    <w:lvl w:ilvl="3" w:tplc="9A6CB3A0">
      <w:numFmt w:val="decimal"/>
      <w:lvlText w:val=""/>
      <w:lvlJc w:val="left"/>
    </w:lvl>
    <w:lvl w:ilvl="4" w:tplc="A50686E2">
      <w:numFmt w:val="decimal"/>
      <w:lvlText w:val=""/>
      <w:lvlJc w:val="left"/>
    </w:lvl>
    <w:lvl w:ilvl="5" w:tplc="34724698">
      <w:numFmt w:val="decimal"/>
      <w:lvlText w:val=""/>
      <w:lvlJc w:val="left"/>
    </w:lvl>
    <w:lvl w:ilvl="6" w:tplc="87404CE8">
      <w:numFmt w:val="decimal"/>
      <w:lvlText w:val=""/>
      <w:lvlJc w:val="left"/>
    </w:lvl>
    <w:lvl w:ilvl="7" w:tplc="D45667C2">
      <w:numFmt w:val="decimal"/>
      <w:lvlText w:val=""/>
      <w:lvlJc w:val="left"/>
    </w:lvl>
    <w:lvl w:ilvl="8" w:tplc="F0A233E4">
      <w:numFmt w:val="decimal"/>
      <w:lvlText w:val=""/>
      <w:lvlJc w:val="left"/>
    </w:lvl>
  </w:abstractNum>
  <w:num w:numId="1" w16cid:durableId="899679229">
    <w:abstractNumId w:val="1"/>
    <w:lvlOverride w:ilvl="0">
      <w:startOverride w:val="1"/>
    </w:lvlOverride>
  </w:num>
  <w:num w:numId="2" w16cid:durableId="1472676648">
    <w:abstractNumId w:val="2"/>
    <w:lvlOverride w:ilvl="0">
      <w:startOverride w:val="1"/>
    </w:lvlOverride>
  </w:num>
  <w:num w:numId="3" w16cid:durableId="1369720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37D"/>
    <w:rsid w:val="00100A30"/>
    <w:rsid w:val="001A0296"/>
    <w:rsid w:val="001D5FD3"/>
    <w:rsid w:val="00302626"/>
    <w:rsid w:val="003A39B1"/>
    <w:rsid w:val="003C64A2"/>
    <w:rsid w:val="00461BAD"/>
    <w:rsid w:val="004A30B0"/>
    <w:rsid w:val="005547C7"/>
    <w:rsid w:val="005A6368"/>
    <w:rsid w:val="006A12E5"/>
    <w:rsid w:val="007826FF"/>
    <w:rsid w:val="0081186C"/>
    <w:rsid w:val="009D4B6E"/>
    <w:rsid w:val="00FC5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02C678"/>
  <w15:docId w15:val="{EA09FDE5-9032-914F-80CE-D803AD73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60"/>
      <w:outlineLvl w:val="1"/>
    </w:pPr>
    <w:rPr>
      <w:b/>
      <w:bCs/>
      <w:color w:val="2E86C1"/>
      <w:sz w:val="26"/>
      <w:szCs w:val="26"/>
    </w:rPr>
  </w:style>
  <w:style w:type="paragraph" w:styleId="Heading3">
    <w:name w:val="heading 3"/>
    <w:uiPriority w:val="9"/>
    <w:semiHidden/>
    <w:unhideWhenUsed/>
    <w:qFormat/>
    <w:pPr>
      <w:spacing w:before="200" w:after="12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1771</Words>
  <Characters>10981</Characters>
  <Application>Microsoft Office Word</Application>
  <DocSecurity>0</DocSecurity>
  <Lines>236</Lines>
  <Paragraphs>130</Paragraphs>
  <ScaleCrop>false</ScaleCrop>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León, Larry</cp:lastModifiedBy>
  <cp:revision>7</cp:revision>
  <dcterms:created xsi:type="dcterms:W3CDTF">2026-03-03T01:55:00Z</dcterms:created>
  <dcterms:modified xsi:type="dcterms:W3CDTF">2026-03-06T02:22:00Z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1acc0d-dcc4-4dc9-a2c5-be70b05a2fe6_Enabled">
    <vt:lpwstr>true</vt:lpwstr>
  </property>
  <property fmtid="{D5CDD505-2E9C-101B-9397-08002B2CF9AE}" pid="3" name="MSIP_Label_e81acc0d-dcc4-4dc9-a2c5-be70b05a2fe6_SetDate">
    <vt:lpwstr>2026-03-03T02:04:05Z</vt:lpwstr>
  </property>
  <property fmtid="{D5CDD505-2E9C-101B-9397-08002B2CF9AE}" pid="4" name="MSIP_Label_e81acc0d-dcc4-4dc9-a2c5-be70b05a2fe6_Method">
    <vt:lpwstr>Privileged</vt:lpwstr>
  </property>
  <property fmtid="{D5CDD505-2E9C-101B-9397-08002B2CF9AE}" pid="5" name="MSIP_Label_e81acc0d-dcc4-4dc9-a2c5-be70b05a2fe6_Name">
    <vt:lpwstr>e81acc0d-dcc4-4dc9-a2c5-be70b05a2fe6</vt:lpwstr>
  </property>
  <property fmtid="{D5CDD505-2E9C-101B-9397-08002B2CF9AE}" pid="6" name="MSIP_Label_e81acc0d-dcc4-4dc9-a2c5-be70b05a2fe6_SiteId">
    <vt:lpwstr>a00de4ec-48a8-43a6-be74-e31274e2060d</vt:lpwstr>
  </property>
  <property fmtid="{D5CDD505-2E9C-101B-9397-08002B2CF9AE}" pid="7" name="MSIP_Label_e81acc0d-dcc4-4dc9-a2c5-be70b05a2fe6_ActionId">
    <vt:lpwstr>66f764b5-03c4-41cd-b0d8-13598cc5adb4</vt:lpwstr>
  </property>
  <property fmtid="{D5CDD505-2E9C-101B-9397-08002B2CF9AE}" pid="8" name="MSIP_Label_e81acc0d-dcc4-4dc9-a2c5-be70b05a2fe6_ContentBits">
    <vt:lpwstr>0</vt:lpwstr>
  </property>
  <property fmtid="{D5CDD505-2E9C-101B-9397-08002B2CF9AE}" pid="9" name="MSIP_Label_e81acc0d-dcc4-4dc9-a2c5-be70b05a2fe6_Tag">
    <vt:lpwstr>50, 0, 1, 1</vt:lpwstr>
  </property>
</Properties>
</file>