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4703" w14:textId="77777777" w:rsidR="00606FD8" w:rsidRDefault="00000000">
      <w:pPr>
        <w:pStyle w:val="Heading1"/>
      </w:pPr>
      <w:r>
        <w:t>Scenario D: MRCT Regional Consistency via Subgroup Identification</w:t>
      </w:r>
    </w:p>
    <w:p w14:paraId="4CE14704" w14:textId="77777777" w:rsidR="00606FD8" w:rsidRDefault="00000000">
      <w:pPr>
        <w:spacing w:before="120" w:after="120" w:line="276" w:lineRule="auto"/>
      </w:pPr>
      <w:r>
        <w:rPr>
          <w:b/>
          <w:bCs/>
        </w:rPr>
        <w:t xml:space="preserve">Technical Report Summary: </w:t>
      </w:r>
      <w:r>
        <w:rPr>
          <w:i/>
          <w:iCs/>
        </w:rPr>
        <w:t>MRCT Consistency Evaluation via Subgroup Identification — A ForestSearch Framework with a View Towards Biomarker Causal Effects</w:t>
      </w:r>
    </w:p>
    <w:p w14:paraId="4CE14705" w14:textId="77777777" w:rsidR="00606FD8" w:rsidRDefault="00000000">
      <w:pPr>
        <w:spacing w:before="40" w:after="40" w:line="276" w:lineRule="auto"/>
      </w:pPr>
      <w:r>
        <w:rPr>
          <w:b/>
          <w:bCs/>
          <w:sz w:val="20"/>
          <w:szCs w:val="20"/>
        </w:rPr>
        <w:t xml:space="preserve">Authors: </w:t>
      </w:r>
      <w:r>
        <w:rPr>
          <w:sz w:val="20"/>
          <w:szCs w:val="20"/>
        </w:rPr>
        <w:t>Larry Leon, Masashi Shimura, Xiaojing Cui, Kenichi Takahashi, Shuping Jiang, and William Wang</w:t>
      </w:r>
    </w:p>
    <w:p w14:paraId="4CE14706" w14:textId="77777777" w:rsidR="00606FD8" w:rsidRDefault="00000000">
      <w:pPr>
        <w:spacing w:before="40" w:after="160" w:line="276" w:lineRule="auto"/>
      </w:pPr>
      <w:r>
        <w:rPr>
          <w:b/>
          <w:bCs/>
          <w:sz w:val="20"/>
          <w:szCs w:val="20"/>
        </w:rPr>
        <w:t xml:space="preserve">R package: </w:t>
      </w:r>
      <w:r>
        <w:rPr>
          <w:sz w:val="20"/>
          <w:szCs w:val="20"/>
        </w:rPr>
        <w:t>forestsearch (github.com/larry-leon/forestsearch)</w:t>
      </w:r>
    </w:p>
    <w:p w14:paraId="4CE14707" w14:textId="77777777" w:rsidR="00606FD8" w:rsidRDefault="00000000">
      <w:pPr>
        <w:pStyle w:val="Heading2"/>
      </w:pPr>
      <w:r>
        <w:t>Motivation and Problem Statement</w:t>
      </w:r>
    </w:p>
    <w:p w14:paraId="4CE1470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The MRCT regional consistency problem: </w:t>
      </w:r>
      <w:r>
        <w:t>A global oncology trial achieves statistical significance for the overall (ITT) population, but a regional subpopulation — such as Asia-Pacific (AP), comprising roughly 15–20% of the trial — shows a hazard ratio near 1.0, failing to demonstrate benefit.</w:t>
      </w:r>
    </w:p>
    <w:p w14:paraId="4CE14709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Regulatory requirement: </w:t>
      </w:r>
      <w:r>
        <w:t>ICH E17 guidelines require that regional subpopulations show evidence of treatment consistency with the overall result.</w:t>
      </w:r>
    </w:p>
    <w:p w14:paraId="4CE1470A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Central question: </w:t>
      </w:r>
      <w:r>
        <w:t>Can a biomarker-defined subgroup be identified in the non-AP (rest-of-world) training data such that, when applied to the AP testing data, it recovers regional consistency?</w:t>
      </w:r>
    </w:p>
    <w:p w14:paraId="4CE1470B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Approach: </w:t>
      </w:r>
      <w:r>
        <w:t>The ForestSearch algorithm (Léon et al., 2024, Statistics in Medicine) is applied within a Weibull AFT/Cox dual modeling framework, with rigorous simulation-based evaluation of operating characteristics.</w:t>
      </w:r>
    </w:p>
    <w:p w14:paraId="4CE1470C" w14:textId="77777777" w:rsidR="00606FD8" w:rsidRDefault="00000000">
      <w:pPr>
        <w:pStyle w:val="Heading2"/>
      </w:pPr>
      <w:r>
        <w:t>Statistical Framework</w:t>
      </w:r>
    </w:p>
    <w:p w14:paraId="4CE1470D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Weibull AFT / Cox Dual Representation</w:t>
      </w:r>
    </w:p>
    <w:p w14:paraId="4CE1470E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Core modeling strategy: </w:t>
      </w:r>
      <w:r>
        <w:t>Exploits the mathematical equivalence between the Weibull Accelerated Failure Time (AFT) model and the Cox proportional hazards model under the Weibull assumption.</w:t>
      </w:r>
    </w:p>
    <w:p w14:paraId="4CE1470F" w14:textId="77777777" w:rsidR="00606FD8" w:rsidRDefault="00000000">
      <w:pPr>
        <w:pStyle w:val="ListParagraph"/>
        <w:numPr>
          <w:ilvl w:val="1"/>
          <w:numId w:val="2"/>
        </w:numPr>
        <w:spacing w:before="60" w:after="60" w:line="276" w:lineRule="auto"/>
      </w:pPr>
      <w:r>
        <w:rPr>
          <w:b/>
          <w:bCs/>
        </w:rPr>
        <w:t xml:space="preserve">AFT model: </w:t>
      </w:r>
      <w:r>
        <w:t>log(T) = log(θ) + L′γ + τε, where τ = 1/ν is the scale parameter and ε follows an extreme-value distribution.</w:t>
      </w:r>
    </w:p>
    <w:p w14:paraId="4CE14710" w14:textId="77777777" w:rsidR="00606FD8" w:rsidRDefault="00000000">
      <w:pPr>
        <w:pStyle w:val="ListParagraph"/>
        <w:numPr>
          <w:ilvl w:val="1"/>
          <w:numId w:val="2"/>
        </w:numPr>
        <w:spacing w:before="60" w:after="60" w:line="276" w:lineRule="auto"/>
      </w:pPr>
      <w:r>
        <w:rPr>
          <w:b/>
          <w:bCs/>
        </w:rPr>
        <w:t xml:space="preserve">Cox model: </w:t>
      </w:r>
      <w:r>
        <w:t>λ(t; L) = λ₀(t) exp(L′β), with Weibull baseline hazard.</w:t>
      </w:r>
    </w:p>
    <w:p w14:paraId="4CE14711" w14:textId="77777777" w:rsidR="00606FD8" w:rsidRDefault="00000000">
      <w:pPr>
        <w:pStyle w:val="ListParagraph"/>
        <w:numPr>
          <w:ilvl w:val="1"/>
          <w:numId w:val="2"/>
        </w:numPr>
        <w:spacing w:before="60" w:after="60" w:line="276" w:lineRule="auto"/>
      </w:pPr>
      <w:r>
        <w:rPr>
          <w:b/>
          <w:bCs/>
        </w:rPr>
        <w:t xml:space="preserve">Bridging identity: </w:t>
      </w:r>
      <w:r>
        <w:t>β = −γ/τ converts AFT coefficients to hazard-ratio coefficients.</w:t>
      </w:r>
    </w:p>
    <w:p w14:paraId="4CE14712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Dual interpretation: </w:t>
      </w:r>
      <w:r>
        <w:t>Potential outcomes are simulated on the AFT scale (clean causal interpretation as geometric mean ratios of survival times), while treatment effects are interpreted on the hazard-ratio scale (standard clinical reporting currency).</w:t>
      </w:r>
    </w:p>
    <w:p w14:paraId="4CE14713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Two-Phase Spline Model for Biomarker Heterogeneity</w:t>
      </w:r>
    </w:p>
    <w:p w14:paraId="4CE14714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Piecewise-linear Cox linear predictor: </w:t>
      </w:r>
      <w:r>
        <w:t>Single knot at biomarker value k, with five parameters capturing the main treatment effect, prognostic biomarker effect, and biomarker × treatment interactions above and below the knot.</w:t>
      </w:r>
    </w:p>
    <w:p w14:paraId="4CE14715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lastRenderedPageBreak/>
        <w:t xml:space="preserve">Working example: </w:t>
      </w:r>
      <w:r>
        <w:t>With knot k = 5 and upper anchor ζ = 10, parameterized so that HR(z=0) = 3.00 (strong harm), HR(z=5) = 1.25 (marginal harm), and HR(z=10) = 0.50 (strong benefit).</w:t>
      </w:r>
    </w:p>
    <w:p w14:paraId="4CE14716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Clinical interpretation: </w:t>
      </w:r>
      <w:r>
        <w:t>Creates a realistic scenario where treatment harms patients with low biomarker values and benefits those with high values, with the treatment effect continuously varying across the biomarker spectrum.</w:t>
      </w:r>
    </w:p>
    <w:p w14:paraId="4CE14717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Three Complementary Estimands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606FD8" w14:paraId="4CE14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8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Estimand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9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A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Interpretation</w:t>
            </w:r>
          </w:p>
        </w:tc>
      </w:tr>
      <w:tr w:rsidR="00606FD8" w14:paraId="4CE14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C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Average Hazard Ratio (AHR)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D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Exponentiated average of individual causal log-HRs over subgroup 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1E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Clean causal average. Inherits dual causal status under Weibull AFT: simultaneously individual-level and population-level.</w:t>
            </w:r>
          </w:p>
        </w:tc>
      </w:tr>
      <w:tr w:rsidR="00606FD8" w14:paraId="4CE147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0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Controlled Direct Effect (CDE)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1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Ratio of average exponentiated hazards (treated vs. control) within subgroup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2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Accounts for prognostic covariate distribution within subgroup. Robust to within-subgroup confounding.</w:t>
            </w:r>
          </w:p>
        </w:tc>
      </w:tr>
      <w:tr w:rsidR="00606FD8" w14:paraId="4CE14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4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Marginal HR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5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Cox model coefficient on stacked potential outcomes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26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Clinically familiar Cox coefficient. Standard reporting currency for regulatory communication.</w:t>
            </w:r>
          </w:p>
        </w:tc>
      </w:tr>
    </w:tbl>
    <w:p w14:paraId="4CE14728" w14:textId="77777777" w:rsidR="00606FD8" w:rsidRDefault="00000000">
      <w:pPr>
        <w:spacing w:before="80" w:after="80" w:line="276" w:lineRule="auto"/>
      </w:pPr>
      <w:r>
        <w:t>These three estimands complement one another: AHR gives a clean causal average, CDE accounts for covariate confounding within the subgroup, and the Marginal HR provides the clinically familiar Cox coefficient.</w:t>
      </w:r>
    </w:p>
    <w:p w14:paraId="4CE14729" w14:textId="77777777" w:rsidR="00606FD8" w:rsidRDefault="00000000">
      <w:r>
        <w:br w:type="page"/>
      </w:r>
    </w:p>
    <w:p w14:paraId="4CE1472A" w14:textId="77777777" w:rsidR="00606FD8" w:rsidRDefault="00000000">
      <w:pPr>
        <w:pStyle w:val="Heading2"/>
      </w:pPr>
      <w:r>
        <w:lastRenderedPageBreak/>
        <w:t>The ForestSearch Algorithm</w:t>
      </w:r>
    </w:p>
    <w:p w14:paraId="4CE1472B" w14:textId="77777777" w:rsidR="00606FD8" w:rsidRDefault="00000000">
      <w:pPr>
        <w:spacing w:before="120" w:after="120" w:line="276" w:lineRule="auto"/>
      </w:pPr>
      <w:r>
        <w:t>ForestSearch (Léon et al., 2024) is a three-stage exploratory subgroup identification algorithm:</w:t>
      </w:r>
    </w:p>
    <w:p w14:paraId="4CE1472C" w14:textId="77777777" w:rsidR="00606FD8" w:rsidRDefault="00000000">
      <w:pPr>
        <w:spacing w:before="120" w:after="60" w:line="276" w:lineRule="auto"/>
      </w:pPr>
      <w:r>
        <w:rPr>
          <w:b/>
          <w:bCs/>
          <w:color w:val="2E75B6"/>
        </w:rPr>
        <w:t>Stage 1 — Candidate Feature Selection</w:t>
      </w:r>
    </w:p>
    <w:p w14:paraId="4CE1472D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Generalized Random Forests (GRF): </w:t>
      </w:r>
      <w:r>
        <w:t>Causal survival forests targeting RMST differences to detect treatment effect heterogeneity. GRF suggests data-driven cut-points for continuous covariates.</w:t>
      </w:r>
    </w:p>
    <w:p w14:paraId="4CE1472E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LASSO regularization: </w:t>
      </w:r>
      <w:r>
        <w:t>Cox penalized regression performs variable screening, mitigating false discovery from noise variables.</w:t>
      </w:r>
    </w:p>
    <w:p w14:paraId="4CE1472F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Forced cut-points: </w:t>
      </w:r>
      <w:r>
        <w:t>Domain-guided biomarker cuts ensure clinically meaningful thresholds are always evaluated (e.g., biomarker ≤ 0, 1, 2, 5).</w:t>
      </w:r>
    </w:p>
    <w:p w14:paraId="4CE14730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Continuous covariates are converted into binary indicator splits (medians, quartiles, GRF-derived cuts).</w:t>
      </w:r>
    </w:p>
    <w:p w14:paraId="4CE14731" w14:textId="77777777" w:rsidR="00606FD8" w:rsidRDefault="00000000">
      <w:pPr>
        <w:spacing w:before="120" w:after="60" w:line="276" w:lineRule="auto"/>
      </w:pPr>
      <w:r>
        <w:rPr>
          <w:b/>
          <w:bCs/>
          <w:color w:val="2E75B6"/>
        </w:rPr>
        <w:t>Stage 2 — Exhaustive Combinatorial Search</w:t>
      </w:r>
    </w:p>
    <w:p w14:paraId="4CE14732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All single and pairwise combinations of L candidate indicators are enumerated (up to L(L−1)/2 + L candidates).</w:t>
      </w:r>
    </w:p>
    <w:p w14:paraId="4CE14733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Candidates filtered by minimum sample size (n ≥ 60) and minimum events per arm (d ≥ 12).</w:t>
      </w:r>
    </w:p>
    <w:p w14:paraId="4CE14734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Candidates screened for signal of harm: Cox HR ≥ threshold (e.g., 0.90).</w:t>
      </w:r>
    </w:p>
    <w:p w14:paraId="4CE14735" w14:textId="77777777" w:rsidR="00606FD8" w:rsidRDefault="00000000">
      <w:pPr>
        <w:spacing w:before="120" w:after="60" w:line="276" w:lineRule="auto"/>
      </w:pPr>
      <w:r>
        <w:rPr>
          <w:b/>
          <w:bCs/>
          <w:color w:val="2E75B6"/>
        </w:rPr>
        <w:t>Stage 3 — Splitting Consistency Validation</w:t>
      </w:r>
    </w:p>
    <w:p w14:paraId="4CE14736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Each surviving candidate undergoes R = 1,000 random 50/50 splits.</w:t>
      </w:r>
    </w:p>
    <w:p w14:paraId="4CE14737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Consistency criterion: </w:t>
      </w:r>
      <w:r>
        <w:t>A candidate is “consistent with harm” if both halves yield HR ≥ 1.0 in at least 80–90% of splits.</w:t>
      </w:r>
    </w:p>
    <w:p w14:paraId="4CE1473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Selection: </w:t>
      </w:r>
      <w:r>
        <w:t>The algorithm selects the subgroup “maximally consistent with harm” per the chosen focus (sg_focus).</w:t>
      </w:r>
    </w:p>
    <w:p w14:paraId="4CE14739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Three Subgroup Identification Objectives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606FD8" w14:paraId="4CE147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3A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3B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Goal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3C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HR Criterion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3D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Strategy</w:t>
            </w:r>
          </w:p>
        </w:tc>
      </w:tr>
      <w:tr w:rsidR="00606FD8" w14:paraId="4CE147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3F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0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Largest detrimental subgroup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1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HR ≥ 0.90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2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Identify harm subgroup; complement = benefit population</w:t>
            </w:r>
          </w:p>
        </w:tc>
      </w:tr>
      <w:tr w:rsidR="00606FD8" w14:paraId="4CE147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4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B (Primary)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5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Smallest harmful subgroup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6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HR ≥ 0.90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7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Minimize harm subgroup so that complement (“good” subgroup) is maximally large with enhanced benefit</w:t>
            </w:r>
          </w:p>
        </w:tc>
      </w:tr>
      <w:tr w:rsidR="00606FD8" w14:paraId="4CE147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9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A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Largest beneficial subgroup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B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HR ≤ 0.60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4C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Directly target strong benefit</w:t>
            </w:r>
          </w:p>
        </w:tc>
      </w:tr>
    </w:tbl>
    <w:p w14:paraId="4CE1474E" w14:textId="77777777" w:rsidR="00606FD8" w:rsidRDefault="00000000">
      <w:pPr>
        <w:spacing w:before="80" w:after="120" w:line="276" w:lineRule="auto"/>
      </w:pPr>
      <w:r>
        <w:t xml:space="preserve">In this application, Objective B with sg_focus = “minSG” is the primary strategy: </w:t>
      </w:r>
      <w:r>
        <w:rPr>
          <w:i/>
          <w:iCs/>
        </w:rPr>
        <w:t>find the smallest group with attenuated/harmful treatment effect so that the complementary “good” subgroup is as large as possible while still showing enhanced benefit.</w:t>
      </w:r>
    </w:p>
    <w:p w14:paraId="4CE1474F" w14:textId="77777777" w:rsidR="00606FD8" w:rsidRDefault="00000000">
      <w:pPr>
        <w:pStyle w:val="Heading2"/>
      </w:pPr>
      <w:r>
        <w:t>Train/Test Paradigm: Regional Separation</w:t>
      </w:r>
    </w:p>
    <w:p w14:paraId="4CE14750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lastRenderedPageBreak/>
        <w:t xml:space="preserve">Training set (Non-AP): </w:t>
      </w:r>
      <w:r>
        <w:t>~80–85% of the trial. ForestSearch runs exclusively on this population to identify subgroups.</w:t>
      </w:r>
    </w:p>
    <w:p w14:paraId="4CE14751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Testing set (AP): </w:t>
      </w:r>
      <w:r>
        <w:t>~15–20% of the trial. The identified subgroup definition is applied to AP to evaluate whether regional consistency is recovered.</w:t>
      </w:r>
    </w:p>
    <w:p w14:paraId="4CE14752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Overfitting prevention: </w:t>
      </w:r>
      <w:r>
        <w:t>The subgroup is never “tuned” to the AP data. The AP region is given a substantially different baseline prognosis from the rest of the world, making the consistency challenge realistic.</w:t>
      </w:r>
    </w:p>
    <w:p w14:paraId="4CE14753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Rationale: </w:t>
      </w:r>
      <w:r>
        <w:t>This mirrors the regulatory use case where a globally identified biomarker signature must independently demonstrate consistency in a smaller regional population.</w:t>
      </w:r>
    </w:p>
    <w:p w14:paraId="4CE14754" w14:textId="77777777" w:rsidR="00606FD8" w:rsidRDefault="00000000">
      <w:r>
        <w:br w:type="page"/>
      </w:r>
    </w:p>
    <w:p w14:paraId="4CE14755" w14:textId="77777777" w:rsidR="00606FD8" w:rsidRDefault="00000000">
      <w:pPr>
        <w:pStyle w:val="Heading2"/>
      </w:pPr>
      <w:r>
        <w:lastRenderedPageBreak/>
        <w:t>Simulation Design and Data-Generating Mechanism</w:t>
      </w:r>
    </w:p>
    <w:p w14:paraId="4CE14756" w14:textId="77777777" w:rsidR="00606FD8" w:rsidRDefault="00000000">
      <w:pPr>
        <w:spacing w:before="120" w:after="60" w:line="276" w:lineRule="auto"/>
      </w:pPr>
      <w:r>
        <w:rPr>
          <w:b/>
          <w:bCs/>
          <w:color w:val="2E75B6"/>
        </w:rPr>
        <w:t>Case-Study Dataset</w:t>
      </w:r>
    </w:p>
    <w:p w14:paraId="4CE14757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Synthetic but realistic dataset (N ≈ 2,000) mimicking a global oncology trial.</w:t>
      </w:r>
    </w:p>
    <w:p w14:paraId="4CE1475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Preserves realistic covariate distributions, censoring patterns, and regional composition.</w:t>
      </w:r>
    </w:p>
    <w:p w14:paraId="4CE14759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The data-generating mechanism (DGM) is built by fitting a Weibull AFT model to this dataset via generate_aft_dgm_flex(), incorporating the two-phase spline for biomarker-driven heterogeneous treatment effects and a separate censoring model selected by AIC/BIC.</w:t>
      </w:r>
    </w:p>
    <w:p w14:paraId="4CE1475A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Two Simulation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80"/>
        <w:gridCol w:w="3980"/>
      </w:tblGrid>
      <w:tr w:rsidR="00606FD8" w14:paraId="4CE147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5B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Scenario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5C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Spline Log-HRs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5D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606FD8" w14:paraId="4CE147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5F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HTE (Alternative)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60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log(3.00, 1.25, 0.50)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61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Strong biomarker-driven heterogeneity: harm at low biomarker, benefit at high biomarker.</w:t>
            </w:r>
          </w:p>
        </w:tc>
      </w:tr>
      <w:tr w:rsidR="00606FD8" w14:paraId="4CE14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63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Null (Uniform Benefit)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64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log(0.70, 0.70, 0.70)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65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Flat HR = 0.70 across all biomarker levels. No heterogeneity; treatment benefits everyone equally.</w:t>
            </w:r>
          </w:p>
        </w:tc>
      </w:tr>
    </w:tbl>
    <w:p w14:paraId="4CE14767" w14:textId="77777777" w:rsidR="00606FD8" w:rsidRDefault="00000000">
      <w:pPr>
        <w:spacing w:before="160" w:after="80" w:line="276" w:lineRule="auto"/>
      </w:pPr>
      <w:r>
        <w:rPr>
          <w:b/>
          <w:bCs/>
          <w:color w:val="2E75B6"/>
        </w:rPr>
        <w:t>Per-Replicate Simulation Workflow (N = 1,000–5,000 replicates)</w:t>
      </w:r>
    </w:p>
    <w:p w14:paraId="4CE1476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Step 1 — Simulate: </w:t>
      </w:r>
      <w:r>
        <w:t>Draw n = 500 patients from the DGM; generate survival times on the AFT scale; apply administrative censoring at analysis_time = 60 months.</w:t>
      </w:r>
    </w:p>
    <w:p w14:paraId="4CE14769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Step 2 — Split: </w:t>
      </w:r>
      <w:r>
        <w:t>Divide into Non-AP (training, ~80–85%) and AP (testing, ~15–20%).</w:t>
      </w:r>
    </w:p>
    <w:p w14:paraId="4CE1476A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Step 3 — ForestSearch: </w:t>
      </w:r>
      <w:r>
        <w:t>Run the full GRF → LASSO → enumeration → screening → consistency pipeline on Non-AP training data.</w:t>
      </w:r>
    </w:p>
    <w:p w14:paraId="4CE1476B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Step 4 — Decision: </w:t>
      </w:r>
      <w:r>
        <w:t>If a subgroup is found, apply its definition to AP and compute HR(AP, subgroup). If not found, record any_found = 0.</w:t>
      </w:r>
    </w:p>
    <w:p w14:paraId="4CE1476C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Step 5 — Record: </w:t>
      </w:r>
      <w:r>
        <w:t>Per-replicate results including subgroup definition, HR(non-AP), HR(AP), HR(ITT), and HR(AP, subgroup).</w:t>
      </w:r>
    </w:p>
    <w:p w14:paraId="4CE1476D" w14:textId="77777777" w:rsidR="00606FD8" w:rsidRDefault="00000000">
      <w:pPr>
        <w:spacing w:before="120" w:after="120" w:line="276" w:lineRule="auto"/>
      </w:pPr>
      <w:r>
        <w:rPr>
          <w:b/>
          <w:bCs/>
        </w:rPr>
        <w:t xml:space="preserve">Key simulation parameters: </w:t>
      </w:r>
      <w:r>
        <w:t>hr.threshold = 0.90, hr.consistency = 0.80, pconsistency.threshold = 0.80, use_grf = TRUE, use_lasso = TRUE, minimum sizes n ≥ 60 and events d ≥ 12, forced biomarker cuts at z_bm ≤ 0, 1, 2, 5.</w:t>
      </w:r>
    </w:p>
    <w:p w14:paraId="4CE1476E" w14:textId="77777777" w:rsidR="00606FD8" w:rsidRDefault="00000000">
      <w:pPr>
        <w:pStyle w:val="Heading2"/>
      </w:pPr>
      <w:r>
        <w:t>Operating Characteristics Evaluated</w:t>
      </w:r>
    </w:p>
    <w:p w14:paraId="4CE1476F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Subgroup discovery rate: </w:t>
      </w:r>
      <w:r>
        <w:t>How often does ForestSearch identify a qualifying subgroup? (any_found across replicates)</w:t>
      </w:r>
    </w:p>
    <w:p w14:paraId="4CE14770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HR distributions: </w:t>
      </w:r>
      <w:r>
        <w:t>Density/histogram plots of HR(Non-AP, ITT), HR(Overall, ITT), HR(AP, ITT), and HR(AP, subgroup) across replicates.</w:t>
      </w:r>
    </w:p>
    <w:p w14:paraId="4CE14771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Subgroup composition: </w:t>
      </w:r>
      <w:r>
        <w:t>Which subgroup definitions are most frequently selected (visualized by plot_sg_distribution).</w:t>
      </w:r>
    </w:p>
    <w:p w14:paraId="4CE14772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Summary metrics: </w:t>
      </w:r>
      <w:r>
        <w:t>Combined HTE and Null scenario metrics including false-discovery rates, estimation bias, and CI coverage.</w:t>
      </w:r>
    </w:p>
    <w:p w14:paraId="4CE14773" w14:textId="77777777" w:rsidR="00606FD8" w:rsidRDefault="00000000">
      <w:pPr>
        <w:spacing w:before="120" w:after="40" w:line="276" w:lineRule="auto"/>
      </w:pPr>
      <w:r>
        <w:rPr>
          <w:b/>
          <w:bCs/>
        </w:rPr>
        <w:lastRenderedPageBreak/>
        <w:t>Expected results:</w:t>
      </w:r>
    </w:p>
    <w:p w14:paraId="4CE14774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Under HTE scenario: </w:t>
      </w:r>
      <w:r>
        <w:t>ForestSearch should successfully identify biomarker-high subgroups where AP consistency is recovered.</w:t>
      </w:r>
    </w:p>
    <w:p w14:paraId="4CE14775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Under Null scenario: </w:t>
      </w:r>
      <w:r>
        <w:t>ForestSearch should have a low false-discovery rate (i.e., rarely claim a subgroup exists when treatment benefit is truly uniform).</w:t>
      </w:r>
    </w:p>
    <w:p w14:paraId="4CE14776" w14:textId="77777777" w:rsidR="00606FD8" w:rsidRDefault="00000000">
      <w:pPr>
        <w:pStyle w:val="Heading2"/>
      </w:pPr>
      <w:r>
        <w:t>Cross-Validation and Bootstrap Inference</w:t>
      </w:r>
    </w:p>
    <w:p w14:paraId="4CE14777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Cross-validation: </w:t>
      </w:r>
      <w:r>
        <w:t>Leave-one-out and 10-fold CV with agreement metrics (sensitivity, PPV, subgroup match) between CV-test and full-data results.</w:t>
      </w:r>
    </w:p>
    <w:p w14:paraId="4CE1477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Parallelized bootstrap: </w:t>
      </w:r>
      <w:r>
        <w:t>B = 300–2,000 replicates via doFuture, where the full ForestSearch algorithm is re-run within each replicate.</w:t>
      </w:r>
    </w:p>
    <w:p w14:paraId="4CE14779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De-biased estimation: </w:t>
      </w:r>
      <w:r>
        <w:t>Bootstrap bias correction with infinitesimal jackknife (IJ) variance estimation for valid confidence intervals.</w:t>
      </w:r>
    </w:p>
    <w:p w14:paraId="4CE1477A" w14:textId="77777777" w:rsidR="00606FD8" w:rsidRDefault="00000000">
      <w:r>
        <w:br w:type="page"/>
      </w:r>
    </w:p>
    <w:p w14:paraId="4CE1477B" w14:textId="77777777" w:rsidR="00606FD8" w:rsidRDefault="00000000">
      <w:pPr>
        <w:pStyle w:val="Heading2"/>
      </w:pPr>
      <w:r>
        <w:lastRenderedPageBreak/>
        <w:t>Key Findings and Takeaways</w:t>
      </w:r>
    </w:p>
    <w:p w14:paraId="4CE1477C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ForestSearch provides a principled approach </w:t>
      </w:r>
      <w:r>
        <w:t>to subgroup identification that directly addresses MRCT regional consistency challenges.</w:t>
      </w:r>
    </w:p>
    <w:p w14:paraId="4CE1477D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The Weibull AFT/Cox dual framework enables causal interpretation: </w:t>
      </w:r>
      <w:r>
        <w:t>simulated on the AFT scale, interpreted via hazard ratios. The scale-change parameter simultaneously captures individual-level and population-level causal effects.</w:t>
      </w:r>
    </w:p>
    <w:p w14:paraId="4CE1477E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Three complementary estimands (AHR, CDE, Marginal HR) </w:t>
      </w:r>
      <w:r>
        <w:t>robustly characterize treatment effect heterogeneity from different perspectives, strengthening the evidence basis for subgroup claims.</w:t>
      </w:r>
    </w:p>
    <w:p w14:paraId="4CE1477F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The train/test paradigm (non-AP → AP) avoids overfitting: </w:t>
      </w:r>
      <w:r>
        <w:t>subgroup definitions identified in the rest-of-world are independently validated in the regional population of interest.</w:t>
      </w:r>
    </w:p>
    <w:p w14:paraId="4CE14780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Data-driven simulation evaluates full operating characteristics: </w:t>
      </w:r>
      <w:r>
        <w:t>false-discovery rates, estimation bias, and CI coverage, all grounded in realistic trial data via calibrated data-generating mechanisms.</w:t>
      </w:r>
    </w:p>
    <w:p w14:paraId="4CE14781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Simulation results demonstrate </w:t>
      </w:r>
      <w:r>
        <w:t>the approach can recover AP consistency under heterogeneous effects while controlling false-discovery under the null.</w:t>
      </w:r>
    </w:p>
    <w:p w14:paraId="4CE14782" w14:textId="77777777" w:rsidR="00606FD8" w:rsidRDefault="00000000">
      <w:pPr>
        <w:pStyle w:val="Heading2"/>
      </w:pPr>
      <w:r>
        <w:t>Relationship to Other Technical Reports</w:t>
      </w:r>
    </w:p>
    <w:p w14:paraId="4CE14783" w14:textId="77777777" w:rsidR="00606FD8" w:rsidRDefault="00000000">
      <w:pPr>
        <w:spacing w:before="120" w:after="120" w:line="276" w:lineRule="auto"/>
      </w:pPr>
      <w:r>
        <w:t>This work directly complements the Extreme Subgroups simulation study (Scenarios A/B/E), which demonstrates that standard subgroup analyses can produce extreme-looking hazard ratios purely from sampling variability. Together, the two bodies of work address different sides of the MRCT problem:</w:t>
      </w:r>
    </w:p>
    <w:p w14:paraId="4CE14784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Extreme Subgroups study (Scenarios A/B/E): </w:t>
      </w:r>
      <w:r>
        <w:t>Establishes calibration benchmarks showing how extreme small-subgroup results can appear under a uniform treatment effect, providing null-hypothesis context for interpreting subgroup findings.</w:t>
      </w:r>
    </w:p>
    <w:p w14:paraId="4CE14785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b/>
          <w:bCs/>
        </w:rPr>
        <w:t xml:space="preserve">MRCT Consistency study (Scenario D, this report): </w:t>
      </w:r>
      <w:r>
        <w:t>Proposes a constructive solution — when regional consistency appears to fail, ForestSearch can identify biomarker-defined subgroups that recover consistency, with rigorous simulation-based validation.</w:t>
      </w:r>
    </w:p>
    <w:p w14:paraId="4CE14786" w14:textId="77777777" w:rsidR="00606FD8" w:rsidRDefault="00000000">
      <w:pPr>
        <w:spacing w:before="120" w:after="40" w:line="276" w:lineRule="auto"/>
      </w:pPr>
      <w:r>
        <w:rPr>
          <w:b/>
          <w:bCs/>
        </w:rPr>
        <w:t>Key regulatory applications:</w:t>
      </w:r>
    </w:p>
    <w:p w14:paraId="4CE14787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Proactive risk quantification for sponsors preparing for regulatory review of MRCT regional consistency.</w:t>
      </w:r>
    </w:p>
    <w:p w14:paraId="4CE14788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Calibration tools for regulatory reviewers assessing whether apparent regional inconsistency reflects genuine heterogeneity or sampling variability.</w:t>
      </w:r>
    </w:p>
    <w:p w14:paraId="4CE14789" w14:textId="77777777" w:rsidR="00606FD8" w:rsidRDefault="00000000">
      <w:pPr>
        <w:pStyle w:val="ListParagraph"/>
        <w:numPr>
          <w:ilvl w:val="0"/>
          <w:numId w:val="2"/>
        </w:numPr>
        <w:spacing w:before="60" w:after="60" w:line="276" w:lineRule="auto"/>
      </w:pPr>
      <w:r>
        <w:t>HTA subgroup evaluations where small country-level populations face elevated risk of extreme point estimates.</w:t>
      </w:r>
    </w:p>
    <w:p w14:paraId="4CE1478A" w14:textId="77777777" w:rsidR="00606FD8" w:rsidRDefault="00000000">
      <w:pPr>
        <w:spacing w:before="160" w:after="120" w:line="276" w:lineRule="auto"/>
      </w:pPr>
      <w:r>
        <w:rPr>
          <w:i/>
          <w:iCs/>
        </w:rPr>
        <w:t>The overarching message is that principled, simulation-calibrated subgroup identification can transform the MRCT consistency problem from an apparent failure into a scientifically grounded refinement of the treatment population, while maintaining rigorous control of false discovery.</w:t>
      </w:r>
    </w:p>
    <w:p w14:paraId="4CE1478B" w14:textId="77777777" w:rsidR="00606FD8" w:rsidRDefault="00000000">
      <w:pPr>
        <w:pStyle w:val="Heading2"/>
      </w:pPr>
      <w:r>
        <w:lastRenderedPageBreak/>
        <w:t>Key R Packages and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06FD8" w14:paraId="4CE147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8C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Package / Function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8D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</w:tr>
      <w:tr w:rsidR="00606FD8" w14:paraId="4CE147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8F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forestsearch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0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Core subgroup identification algorithm (Léon et al., 2024)</w:t>
            </w:r>
          </w:p>
        </w:tc>
      </w:tr>
      <w:tr w:rsidR="00606FD8" w14:paraId="4CE147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2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weightedsurv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3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Kaplan-Meier plotting with weighted survival</w:t>
            </w:r>
          </w:p>
        </w:tc>
      </w:tr>
      <w:tr w:rsidR="00606FD8" w14:paraId="4CE147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5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grf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6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Generalized Random Forests — causal survival forests for HTE detection</w:t>
            </w:r>
          </w:p>
        </w:tc>
      </w:tr>
      <w:tr w:rsidR="00606FD8" w14:paraId="4CE147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8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survival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9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survreg() for Weibull AFT, coxph() for Cox PH</w:t>
            </w:r>
          </w:p>
        </w:tc>
      </w:tr>
      <w:tr w:rsidR="00606FD8" w14:paraId="4CE147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B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generate_aft_dgm_flex()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C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Builds the Weibull AFT DGM with spline biomarker effects and censoring model</w:t>
            </w:r>
          </w:p>
        </w:tc>
      </w:tr>
      <w:tr w:rsidR="00606FD8" w14:paraId="4CE147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E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simulate_from_dgm()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9F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Draws simulated trial data from the DGM</w:t>
            </w:r>
          </w:p>
        </w:tc>
      </w:tr>
      <w:tr w:rsidR="00606FD8" w14:paraId="4CE14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1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mrct_region_sims()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2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Orchestrates the full simulation study across replicates (parallelized via doFuture)</w:t>
            </w:r>
          </w:p>
        </w:tc>
      </w:tr>
      <w:tr w:rsidR="00606FD8" w14:paraId="4CE14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4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cox_cs_fit()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5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Fits the two-phase spline Cox model and plots biomarker heterogeneity</w:t>
            </w:r>
          </w:p>
        </w:tc>
      </w:tr>
      <w:tr w:rsidR="00606FD8" w14:paraId="4CE147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7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cox_ahr_cde_analysis()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8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Computes AHR and CDE estimands across biomarker thresholds</w:t>
            </w:r>
          </w:p>
        </w:tc>
      </w:tr>
      <w:tr w:rsidR="00606FD8" w14:paraId="4CE147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A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SGplot_estimates()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B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Plots HR distributions across replicates and populations</w:t>
            </w:r>
          </w:p>
        </w:tc>
      </w:tr>
      <w:tr w:rsidR="00606FD8" w14:paraId="4CE147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D" w14:textId="77777777" w:rsidR="00606FD8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summaryout_mrct()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147AE" w14:textId="77777777" w:rsidR="00606FD8" w:rsidRDefault="00000000">
            <w:pPr>
              <w:spacing w:before="40" w:after="40"/>
            </w:pPr>
            <w:r>
              <w:rPr>
                <w:sz w:val="18"/>
                <w:szCs w:val="18"/>
              </w:rPr>
              <w:t>Produces combined summary tables for HTE and Null scenario operating characteristics</w:t>
            </w:r>
          </w:p>
        </w:tc>
      </w:tr>
    </w:tbl>
    <w:p w14:paraId="4CE147B0" w14:textId="77777777" w:rsidR="00317AF3" w:rsidRDefault="00317AF3"/>
    <w:sectPr w:rsidR="00317AF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F490D" w14:textId="77777777" w:rsidR="00317AF3" w:rsidRDefault="00317AF3">
      <w:r>
        <w:separator/>
      </w:r>
    </w:p>
  </w:endnote>
  <w:endnote w:type="continuationSeparator" w:id="0">
    <w:p w14:paraId="324C25DE" w14:textId="77777777" w:rsidR="00317AF3" w:rsidRDefault="00317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47B1" w14:textId="258CF5C1" w:rsidR="00606FD8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3601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25EA" w14:textId="77777777" w:rsidR="00317AF3" w:rsidRDefault="00317AF3">
      <w:r>
        <w:separator/>
      </w:r>
    </w:p>
  </w:footnote>
  <w:footnote w:type="continuationSeparator" w:id="0">
    <w:p w14:paraId="408E666D" w14:textId="77777777" w:rsidR="00317AF3" w:rsidRDefault="00317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147B0" w14:textId="77777777" w:rsidR="00606FD8" w:rsidRDefault="00000000">
    <w:pPr>
      <w:pBdr>
        <w:bottom w:val="single" w:sz="4" w:space="4" w:color="2E75B6"/>
      </w:pBdr>
      <w:jc w:val="right"/>
    </w:pPr>
    <w:r>
      <w:rPr>
        <w:i/>
        <w:iCs/>
        <w:color w:val="888888"/>
        <w:sz w:val="16"/>
        <w:szCs w:val="16"/>
      </w:rPr>
      <w:t>Guidance on Subgroup Analyses in Clinical Trials — Appendix: Scenario 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757D4"/>
    <w:multiLevelType w:val="hybridMultilevel"/>
    <w:tmpl w:val="629099F4"/>
    <w:lvl w:ilvl="0" w:tplc="ADC84C86">
      <w:start w:val="1"/>
      <w:numFmt w:val="bullet"/>
      <w:lvlText w:val="•"/>
      <w:lvlJc w:val="left"/>
      <w:pPr>
        <w:ind w:left="720" w:hanging="360"/>
      </w:pPr>
    </w:lvl>
    <w:lvl w:ilvl="1" w:tplc="2AFC87CE">
      <w:start w:val="1"/>
      <w:numFmt w:val="bullet"/>
      <w:lvlText w:val="–"/>
      <w:lvlJc w:val="left"/>
      <w:pPr>
        <w:ind w:left="1080" w:hanging="360"/>
      </w:pPr>
    </w:lvl>
    <w:lvl w:ilvl="2" w:tplc="7CCC3F58">
      <w:start w:val="1"/>
      <w:numFmt w:val="bullet"/>
      <w:lvlText w:val="◦"/>
      <w:lvlJc w:val="left"/>
      <w:pPr>
        <w:ind w:left="1440" w:hanging="360"/>
      </w:pPr>
    </w:lvl>
    <w:lvl w:ilvl="3" w:tplc="9782D154">
      <w:numFmt w:val="decimal"/>
      <w:lvlText w:val=""/>
      <w:lvlJc w:val="left"/>
    </w:lvl>
    <w:lvl w:ilvl="4" w:tplc="450EA232">
      <w:numFmt w:val="decimal"/>
      <w:lvlText w:val=""/>
      <w:lvlJc w:val="left"/>
    </w:lvl>
    <w:lvl w:ilvl="5" w:tplc="DFDA2E90">
      <w:numFmt w:val="decimal"/>
      <w:lvlText w:val=""/>
      <w:lvlJc w:val="left"/>
    </w:lvl>
    <w:lvl w:ilvl="6" w:tplc="B0369230">
      <w:numFmt w:val="decimal"/>
      <w:lvlText w:val=""/>
      <w:lvlJc w:val="left"/>
    </w:lvl>
    <w:lvl w:ilvl="7" w:tplc="C3E0E560">
      <w:numFmt w:val="decimal"/>
      <w:lvlText w:val=""/>
      <w:lvlJc w:val="left"/>
    </w:lvl>
    <w:lvl w:ilvl="8" w:tplc="3D4C0E5C">
      <w:numFmt w:val="decimal"/>
      <w:lvlText w:val=""/>
      <w:lvlJc w:val="left"/>
    </w:lvl>
  </w:abstractNum>
  <w:abstractNum w:abstractNumId="1" w15:restartNumberingAfterBreak="0">
    <w:nsid w:val="796D10D4"/>
    <w:multiLevelType w:val="hybridMultilevel"/>
    <w:tmpl w:val="AF8407F4"/>
    <w:lvl w:ilvl="0" w:tplc="5964DF1C">
      <w:start w:val="1"/>
      <w:numFmt w:val="bullet"/>
      <w:lvlText w:val="●"/>
      <w:lvlJc w:val="left"/>
      <w:pPr>
        <w:ind w:left="720" w:hanging="360"/>
      </w:pPr>
    </w:lvl>
    <w:lvl w:ilvl="1" w:tplc="E9283E2C">
      <w:start w:val="1"/>
      <w:numFmt w:val="bullet"/>
      <w:lvlText w:val="○"/>
      <w:lvlJc w:val="left"/>
      <w:pPr>
        <w:ind w:left="1440" w:hanging="360"/>
      </w:pPr>
    </w:lvl>
    <w:lvl w:ilvl="2" w:tplc="98464B14">
      <w:start w:val="1"/>
      <w:numFmt w:val="bullet"/>
      <w:lvlText w:val="■"/>
      <w:lvlJc w:val="left"/>
      <w:pPr>
        <w:ind w:left="2160" w:hanging="360"/>
      </w:pPr>
    </w:lvl>
    <w:lvl w:ilvl="3" w:tplc="98E87E92">
      <w:start w:val="1"/>
      <w:numFmt w:val="bullet"/>
      <w:lvlText w:val="●"/>
      <w:lvlJc w:val="left"/>
      <w:pPr>
        <w:ind w:left="2880" w:hanging="360"/>
      </w:pPr>
    </w:lvl>
    <w:lvl w:ilvl="4" w:tplc="10748904">
      <w:start w:val="1"/>
      <w:numFmt w:val="bullet"/>
      <w:lvlText w:val="○"/>
      <w:lvlJc w:val="left"/>
      <w:pPr>
        <w:ind w:left="3600" w:hanging="360"/>
      </w:pPr>
    </w:lvl>
    <w:lvl w:ilvl="5" w:tplc="BDDAC47A">
      <w:start w:val="1"/>
      <w:numFmt w:val="bullet"/>
      <w:lvlText w:val="■"/>
      <w:lvlJc w:val="left"/>
      <w:pPr>
        <w:ind w:left="4320" w:hanging="360"/>
      </w:pPr>
    </w:lvl>
    <w:lvl w:ilvl="6" w:tplc="211A6618">
      <w:start w:val="1"/>
      <w:numFmt w:val="bullet"/>
      <w:lvlText w:val="●"/>
      <w:lvlJc w:val="left"/>
      <w:pPr>
        <w:ind w:left="5040" w:hanging="360"/>
      </w:pPr>
    </w:lvl>
    <w:lvl w:ilvl="7" w:tplc="3852FA68">
      <w:start w:val="1"/>
      <w:numFmt w:val="bullet"/>
      <w:lvlText w:val="●"/>
      <w:lvlJc w:val="left"/>
      <w:pPr>
        <w:ind w:left="5760" w:hanging="360"/>
      </w:pPr>
    </w:lvl>
    <w:lvl w:ilvl="8" w:tplc="FC2CED54">
      <w:start w:val="1"/>
      <w:numFmt w:val="bullet"/>
      <w:lvlText w:val="●"/>
      <w:lvlJc w:val="left"/>
      <w:pPr>
        <w:ind w:left="6480" w:hanging="360"/>
      </w:pPr>
    </w:lvl>
  </w:abstractNum>
  <w:num w:numId="1" w16cid:durableId="1156457430">
    <w:abstractNumId w:val="1"/>
    <w:lvlOverride w:ilvl="0">
      <w:startOverride w:val="1"/>
    </w:lvlOverride>
  </w:num>
  <w:num w:numId="2" w16cid:durableId="9978100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FD8"/>
    <w:rsid w:val="001D5FD3"/>
    <w:rsid w:val="00317AF3"/>
    <w:rsid w:val="00336011"/>
    <w:rsid w:val="0060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E14703"/>
  <w15:docId w15:val="{A478A9B4-88BB-5949-98E9-C779F4101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F386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1692</Words>
  <Characters>11178</Characters>
  <Application>Microsoft Office Word</Application>
  <DocSecurity>0</DocSecurity>
  <Lines>253</Lines>
  <Paragraphs>147</Paragraphs>
  <ScaleCrop>false</ScaleCrop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León, Larry</cp:lastModifiedBy>
  <cp:revision>2</cp:revision>
  <dcterms:created xsi:type="dcterms:W3CDTF">2026-03-03T18:53:00Z</dcterms:created>
  <dcterms:modified xsi:type="dcterms:W3CDTF">2026-03-06T02:22:00Z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2026-03-06T02:22:05Z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a387e9be-7f23-45a8-b3a0-97d32f343330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50, 0, 1, 1</vt:lpwstr>
  </property>
</Properties>
</file>