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75BD8" w14:textId="77777777" w:rsidR="00801C2A" w:rsidRDefault="00801C2A" w:rsidP="00801C2A">
      <w:pPr>
        <w:spacing w:line="360" w:lineRule="auto"/>
        <w:jc w:val="center"/>
        <w:rPr>
          <w:sz w:val="32"/>
          <w:szCs w:val="32"/>
          <w:lang w:val="en-US"/>
        </w:rPr>
      </w:pPr>
      <w:bookmarkStart w:id="0" w:name="_GoBack"/>
      <w:bookmarkEnd w:id="0"/>
    </w:p>
    <w:p w14:paraId="318B4822" w14:textId="77777777" w:rsidR="00801C2A" w:rsidRDefault="00801C2A" w:rsidP="00801C2A">
      <w:pPr>
        <w:spacing w:line="360" w:lineRule="auto"/>
        <w:jc w:val="center"/>
        <w:rPr>
          <w:sz w:val="32"/>
          <w:szCs w:val="32"/>
          <w:lang w:val="en-US"/>
        </w:rPr>
      </w:pPr>
    </w:p>
    <w:p w14:paraId="475B11F3" w14:textId="77777777" w:rsidR="00801C2A" w:rsidRDefault="00801C2A" w:rsidP="00801C2A">
      <w:pPr>
        <w:spacing w:line="360" w:lineRule="auto"/>
        <w:jc w:val="center"/>
        <w:rPr>
          <w:sz w:val="32"/>
          <w:szCs w:val="32"/>
          <w:lang w:val="en-US"/>
        </w:rPr>
      </w:pPr>
    </w:p>
    <w:p w14:paraId="0BCC69B4" w14:textId="77777777" w:rsidR="00801C2A" w:rsidRDefault="00801C2A" w:rsidP="00801C2A">
      <w:pPr>
        <w:spacing w:line="360" w:lineRule="auto"/>
        <w:jc w:val="center"/>
        <w:rPr>
          <w:sz w:val="32"/>
          <w:szCs w:val="32"/>
          <w:lang w:val="en-US"/>
        </w:rPr>
      </w:pPr>
    </w:p>
    <w:p w14:paraId="3BFFCA60" w14:textId="77777777" w:rsidR="00801C2A" w:rsidRDefault="00801C2A" w:rsidP="00801C2A">
      <w:pPr>
        <w:spacing w:line="360" w:lineRule="auto"/>
        <w:jc w:val="center"/>
        <w:rPr>
          <w:sz w:val="32"/>
          <w:szCs w:val="32"/>
          <w:lang w:val="en-US"/>
        </w:rPr>
      </w:pPr>
    </w:p>
    <w:p w14:paraId="5F039040" w14:textId="77777777" w:rsidR="00801C2A" w:rsidRDefault="00801C2A" w:rsidP="00801C2A">
      <w:pPr>
        <w:spacing w:line="360" w:lineRule="auto"/>
        <w:jc w:val="center"/>
        <w:rPr>
          <w:sz w:val="32"/>
          <w:szCs w:val="32"/>
        </w:rPr>
      </w:pPr>
      <w:r>
        <w:rPr>
          <w:sz w:val="32"/>
          <w:szCs w:val="32"/>
        </w:rPr>
        <w:t>ΕΚΘΕΣΗ</w:t>
      </w:r>
    </w:p>
    <w:p w14:paraId="26C1DD1D" w14:textId="77777777" w:rsidR="00801C2A" w:rsidRDefault="00801C2A" w:rsidP="00801C2A">
      <w:pPr>
        <w:spacing w:line="360" w:lineRule="auto"/>
        <w:jc w:val="center"/>
        <w:rPr>
          <w:sz w:val="32"/>
          <w:szCs w:val="32"/>
        </w:rPr>
      </w:pPr>
      <w:r>
        <w:rPr>
          <w:sz w:val="32"/>
          <w:szCs w:val="32"/>
        </w:rPr>
        <w:t xml:space="preserve">ΙΑΤΡΙΚΑ ΥΠΟΒΟΗΘΟΥΜΕΝΗ ΑΝΑΠΑΡΑΓΩΓΗ ΚΑΙ ΠΡΟΣΤΑΣΙΑ ΤΟΥ ΕΜΒΡΥΟΥ </w:t>
      </w:r>
      <w:r>
        <w:rPr>
          <w:i/>
          <w:sz w:val="32"/>
          <w:szCs w:val="32"/>
          <w:lang w:val="en-US"/>
        </w:rPr>
        <w:t>IN</w:t>
      </w:r>
      <w:r w:rsidRPr="00801C2A">
        <w:rPr>
          <w:i/>
          <w:sz w:val="32"/>
          <w:szCs w:val="32"/>
        </w:rPr>
        <w:t xml:space="preserve"> </w:t>
      </w:r>
      <w:r>
        <w:rPr>
          <w:i/>
          <w:sz w:val="32"/>
          <w:szCs w:val="32"/>
          <w:lang w:val="en-US"/>
        </w:rPr>
        <w:t>VITRO</w:t>
      </w:r>
    </w:p>
    <w:p w14:paraId="764C70A8" w14:textId="77777777" w:rsidR="00801C2A" w:rsidRDefault="0080529F" w:rsidP="00801C2A">
      <w:pPr>
        <w:spacing w:line="360" w:lineRule="auto"/>
        <w:jc w:val="center"/>
        <w:rPr>
          <w:sz w:val="32"/>
          <w:szCs w:val="32"/>
        </w:rPr>
      </w:pPr>
      <w:r>
        <w:rPr>
          <w:sz w:val="32"/>
          <w:szCs w:val="32"/>
        </w:rPr>
        <w:t xml:space="preserve">ΣΤΗ </w:t>
      </w:r>
      <w:r w:rsidR="00801C2A">
        <w:rPr>
          <w:sz w:val="32"/>
          <w:szCs w:val="32"/>
        </w:rPr>
        <w:t xml:space="preserve">ΓΑΛΛΙΑ </w:t>
      </w:r>
    </w:p>
    <w:p w14:paraId="6D8AD60A" w14:textId="77777777" w:rsidR="00801C2A" w:rsidRDefault="00801C2A" w:rsidP="00801C2A">
      <w:pPr>
        <w:spacing w:line="360" w:lineRule="auto"/>
        <w:jc w:val="center"/>
        <w:rPr>
          <w:sz w:val="32"/>
          <w:szCs w:val="32"/>
        </w:rPr>
      </w:pPr>
    </w:p>
    <w:p w14:paraId="024224F7" w14:textId="77777777" w:rsidR="00801C2A" w:rsidRDefault="00801C2A" w:rsidP="00801C2A">
      <w:r>
        <w:t xml:space="preserve">    </w:t>
      </w:r>
    </w:p>
    <w:p w14:paraId="3E90B76D" w14:textId="77777777" w:rsidR="00801C2A" w:rsidRDefault="00801C2A" w:rsidP="00B820A3">
      <w:pPr>
        <w:pStyle w:val="TOC1"/>
      </w:pPr>
    </w:p>
    <w:p w14:paraId="50D9A412" w14:textId="77777777" w:rsidR="00801C2A" w:rsidRDefault="00801C2A" w:rsidP="00B820A3">
      <w:pPr>
        <w:pStyle w:val="TOC1"/>
      </w:pPr>
    </w:p>
    <w:p w14:paraId="48781E5B" w14:textId="77777777" w:rsidR="00801C2A" w:rsidRDefault="00801C2A" w:rsidP="00B820A3">
      <w:pPr>
        <w:pStyle w:val="TOC1"/>
      </w:pPr>
    </w:p>
    <w:p w14:paraId="43315E67" w14:textId="77777777" w:rsidR="00801C2A" w:rsidRDefault="00801C2A" w:rsidP="00B820A3">
      <w:pPr>
        <w:pStyle w:val="TOC1"/>
      </w:pPr>
    </w:p>
    <w:p w14:paraId="57FF6AFC" w14:textId="77777777" w:rsidR="00801C2A" w:rsidRDefault="00801C2A" w:rsidP="00801C2A"/>
    <w:p w14:paraId="7CB83004" w14:textId="77777777" w:rsidR="00801C2A" w:rsidRDefault="00801C2A" w:rsidP="00801C2A"/>
    <w:p w14:paraId="41170DED" w14:textId="77777777" w:rsidR="00801C2A" w:rsidRDefault="00801C2A" w:rsidP="00801C2A"/>
    <w:p w14:paraId="2C7E1C55" w14:textId="77777777" w:rsidR="00801C2A" w:rsidRDefault="00801C2A" w:rsidP="00801C2A"/>
    <w:p w14:paraId="7D11BD8B" w14:textId="77777777" w:rsidR="00801C2A" w:rsidRDefault="00801C2A" w:rsidP="00B820A3">
      <w:pPr>
        <w:pStyle w:val="TOC1"/>
      </w:pPr>
    </w:p>
    <w:p w14:paraId="2CA18771" w14:textId="77777777" w:rsidR="00801C2A" w:rsidRDefault="00801C2A" w:rsidP="00B820A3">
      <w:pPr>
        <w:pStyle w:val="TOC1"/>
      </w:pPr>
    </w:p>
    <w:p w14:paraId="4BD5BCF6" w14:textId="77777777" w:rsidR="00661A8B" w:rsidRDefault="00661A8B" w:rsidP="00B820A3">
      <w:pPr>
        <w:pStyle w:val="TOC1"/>
      </w:pPr>
    </w:p>
    <w:p w14:paraId="61BF0B12" w14:textId="77777777" w:rsidR="00661A8B" w:rsidRDefault="00661A8B" w:rsidP="00B820A3">
      <w:pPr>
        <w:pStyle w:val="TOC1"/>
      </w:pPr>
    </w:p>
    <w:p w14:paraId="7918AC58" w14:textId="77777777" w:rsidR="00801C2A" w:rsidRDefault="00801C2A" w:rsidP="00B820A3">
      <w:pPr>
        <w:pStyle w:val="TOC1"/>
      </w:pPr>
      <w:r>
        <w:t>Ημερ/νία: Σεπτέμβριος-</w:t>
      </w:r>
      <w:r w:rsidR="00C57DC9">
        <w:t>Δεκέμβριος</w:t>
      </w:r>
      <w:r>
        <w:t xml:space="preserve"> 2014  </w:t>
      </w:r>
    </w:p>
    <w:p w14:paraId="4298A102" w14:textId="77777777" w:rsidR="00801C2A" w:rsidRDefault="00801C2A" w:rsidP="00C57DC9">
      <w:pPr>
        <w:ind w:firstLine="0"/>
      </w:pPr>
      <w:r>
        <w:rPr>
          <w:b/>
        </w:rPr>
        <w:t xml:space="preserve">Ερευνήτρια: </w:t>
      </w:r>
      <w:r>
        <w:t>Ρωξάνη Φράγκου</w:t>
      </w:r>
    </w:p>
    <w:p w14:paraId="74659913" w14:textId="77777777" w:rsidR="00801C2A" w:rsidRDefault="00801C2A" w:rsidP="00B820A3">
      <w:pPr>
        <w:pStyle w:val="TOC1"/>
      </w:pPr>
    </w:p>
    <w:p w14:paraId="7D70239C" w14:textId="77777777" w:rsidR="007E6178" w:rsidRDefault="000A2DE3" w:rsidP="001155A0">
      <w:pPr>
        <w:pStyle w:val="Heading1"/>
        <w:rPr>
          <w:noProof/>
        </w:rPr>
      </w:pPr>
      <w:bookmarkStart w:id="1" w:name="_Toc276574363"/>
      <w:r>
        <w:lastRenderedPageBreak/>
        <w:t>ΔΙΑΓΡΑΜΜΑ</w:t>
      </w:r>
      <w:bookmarkEnd w:id="1"/>
      <w:r>
        <w:t xml:space="preserve"> </w:t>
      </w:r>
      <w:r w:rsidR="00B820A3">
        <w:rPr>
          <w:szCs w:val="22"/>
        </w:rPr>
        <w:fldChar w:fldCharType="begin"/>
      </w:r>
      <w:r w:rsidR="00B820A3">
        <w:instrText xml:space="preserve"> TOC \o "1-2" \n </w:instrText>
      </w:r>
      <w:r w:rsidR="00B820A3">
        <w:rPr>
          <w:szCs w:val="22"/>
        </w:rPr>
        <w:fldChar w:fldCharType="separate"/>
      </w:r>
    </w:p>
    <w:p w14:paraId="7FA3BC77" w14:textId="77777777" w:rsidR="007E6178" w:rsidRDefault="007E6178">
      <w:pPr>
        <w:pStyle w:val="TOC1"/>
        <w:rPr>
          <w:rFonts w:asciiTheme="minorHAnsi" w:eastAsiaTheme="minorEastAsia" w:hAnsiTheme="minorHAnsi" w:cstheme="minorBidi"/>
          <w:b w:val="0"/>
          <w:noProof/>
          <w:szCs w:val="24"/>
          <w:lang w:val="en-US" w:eastAsia="ja-JP"/>
        </w:rPr>
      </w:pPr>
      <w:r>
        <w:rPr>
          <w:noProof/>
        </w:rPr>
        <w:t>ΕΙΣΑΓΩΓΗ</w:t>
      </w:r>
    </w:p>
    <w:p w14:paraId="4782118C" w14:textId="77777777" w:rsidR="007E6178" w:rsidRDefault="007E6178">
      <w:pPr>
        <w:pStyle w:val="TOC1"/>
        <w:rPr>
          <w:rFonts w:asciiTheme="minorHAnsi" w:eastAsiaTheme="minorEastAsia" w:hAnsiTheme="minorHAnsi" w:cstheme="minorBidi"/>
          <w:b w:val="0"/>
          <w:noProof/>
          <w:szCs w:val="24"/>
          <w:lang w:val="en-US" w:eastAsia="ja-JP"/>
        </w:rPr>
      </w:pPr>
      <w:r>
        <w:rPr>
          <w:noProof/>
        </w:rPr>
        <w:t>Ι. ΤΟ ΝΟΜΟΘΕΤΙΚΟ ΠΛΑΙΣΙΟ ΤΗΣ ΙΑΤΡΙΚΑ ΥΠΟΒΟΗΘΟΥΜΕΝΗΣ ΑΝΑΠΑΡΑΓΩΓΗΣ</w:t>
      </w:r>
    </w:p>
    <w:p w14:paraId="63E80C7C" w14:textId="77777777" w:rsidR="007E6178" w:rsidRDefault="007E6178">
      <w:pPr>
        <w:pStyle w:val="TOC2"/>
        <w:rPr>
          <w:rFonts w:asciiTheme="minorHAnsi" w:eastAsiaTheme="minorEastAsia" w:hAnsiTheme="minorHAnsi" w:cstheme="minorBidi"/>
          <w:noProof/>
          <w:sz w:val="24"/>
          <w:szCs w:val="24"/>
          <w:lang w:val="en-US" w:eastAsia="ja-JP"/>
        </w:rPr>
      </w:pPr>
      <w:r>
        <w:rPr>
          <w:noProof/>
        </w:rPr>
        <w:t>Α. Η θέσπιση των Νόμων περί Βιοηθικής</w:t>
      </w:r>
    </w:p>
    <w:p w14:paraId="5833EF13" w14:textId="77777777" w:rsidR="007E6178" w:rsidRDefault="007E6178">
      <w:pPr>
        <w:pStyle w:val="TOC2"/>
        <w:rPr>
          <w:rFonts w:asciiTheme="minorHAnsi" w:eastAsiaTheme="minorEastAsia" w:hAnsiTheme="minorHAnsi" w:cstheme="minorBidi"/>
          <w:noProof/>
          <w:sz w:val="24"/>
          <w:szCs w:val="24"/>
          <w:lang w:val="en-US" w:eastAsia="ja-JP"/>
        </w:rPr>
      </w:pPr>
      <w:r w:rsidRPr="00C52622">
        <w:rPr>
          <w:noProof/>
        </w:rPr>
        <w:t>Β</w:t>
      </w:r>
      <w:r>
        <w:rPr>
          <w:noProof/>
        </w:rPr>
        <w:t>. Οι αναθεωρήσεις των Νόμων περί Βιοηθικής</w:t>
      </w:r>
    </w:p>
    <w:p w14:paraId="5B6799AC" w14:textId="77777777" w:rsidR="007E6178" w:rsidRDefault="007E6178">
      <w:pPr>
        <w:pStyle w:val="TOC2"/>
        <w:rPr>
          <w:rFonts w:asciiTheme="minorHAnsi" w:eastAsiaTheme="minorEastAsia" w:hAnsiTheme="minorHAnsi" w:cstheme="minorBidi"/>
          <w:noProof/>
          <w:sz w:val="24"/>
          <w:szCs w:val="24"/>
          <w:lang w:val="en-US" w:eastAsia="ja-JP"/>
        </w:rPr>
      </w:pPr>
      <w:r>
        <w:rPr>
          <w:noProof/>
        </w:rPr>
        <w:t>Γ. Γνωμοδοτήσεις και Κατευθυντήριες Οδηγίες που συμπληρώνουν τους Νόμους περί Βιοηθικής</w:t>
      </w:r>
    </w:p>
    <w:p w14:paraId="307F394C" w14:textId="77777777" w:rsidR="007E6178" w:rsidRDefault="007E6178">
      <w:pPr>
        <w:pStyle w:val="TOC2"/>
        <w:rPr>
          <w:rFonts w:asciiTheme="minorHAnsi" w:eastAsiaTheme="minorEastAsia" w:hAnsiTheme="minorHAnsi" w:cstheme="minorBidi"/>
          <w:noProof/>
          <w:sz w:val="24"/>
          <w:szCs w:val="24"/>
          <w:lang w:val="en-US" w:eastAsia="ja-JP"/>
        </w:rPr>
      </w:pPr>
      <w:r>
        <w:rPr>
          <w:noProof/>
        </w:rPr>
        <w:t>Δ. Η αρμόδια για την εποπτεία των Νόμων περί Βιοηθικής Αρχή</w:t>
      </w:r>
    </w:p>
    <w:p w14:paraId="1BC5DBF9" w14:textId="77777777" w:rsidR="007E6178" w:rsidRDefault="007E6178">
      <w:pPr>
        <w:pStyle w:val="TOC1"/>
        <w:rPr>
          <w:rFonts w:asciiTheme="minorHAnsi" w:eastAsiaTheme="minorEastAsia" w:hAnsiTheme="minorHAnsi" w:cstheme="minorBidi"/>
          <w:b w:val="0"/>
          <w:noProof/>
          <w:szCs w:val="24"/>
          <w:lang w:val="en-US" w:eastAsia="ja-JP"/>
        </w:rPr>
      </w:pPr>
      <w:r>
        <w:rPr>
          <w:noProof/>
        </w:rPr>
        <w:t>ΙΙ. Η ΙΑΤΡΙΚΑ ΥΠΟΒΟΗΘΟΥΜΕΝΗ ΑΝΑΠΑΡΑΓΩΓΗ ΣΕ ΖΕΥΓΑΡΙΑ</w:t>
      </w:r>
    </w:p>
    <w:p w14:paraId="10949E40" w14:textId="77777777" w:rsidR="007E6178" w:rsidRDefault="007E6178">
      <w:pPr>
        <w:pStyle w:val="TOC2"/>
        <w:rPr>
          <w:rFonts w:asciiTheme="minorHAnsi" w:eastAsiaTheme="minorEastAsia" w:hAnsiTheme="minorHAnsi" w:cstheme="minorBidi"/>
          <w:noProof/>
          <w:sz w:val="24"/>
          <w:szCs w:val="24"/>
          <w:lang w:val="en-US" w:eastAsia="ja-JP"/>
        </w:rPr>
      </w:pPr>
      <w:r>
        <w:rPr>
          <w:noProof/>
        </w:rPr>
        <w:t>Α. Όροι πρόσβασης στην Ιατρικά Υποβοηθούμενη Αναπαραγωγή</w:t>
      </w:r>
    </w:p>
    <w:p w14:paraId="3087B8F8" w14:textId="77777777" w:rsidR="007E6178" w:rsidRDefault="007E6178">
      <w:pPr>
        <w:pStyle w:val="TOC2"/>
        <w:rPr>
          <w:rFonts w:asciiTheme="minorHAnsi" w:eastAsiaTheme="minorEastAsia" w:hAnsiTheme="minorHAnsi" w:cstheme="minorBidi"/>
          <w:noProof/>
          <w:sz w:val="24"/>
          <w:szCs w:val="24"/>
          <w:lang w:val="en-US" w:eastAsia="ja-JP"/>
        </w:rPr>
      </w:pPr>
      <w:r>
        <w:rPr>
          <w:noProof/>
        </w:rPr>
        <w:t xml:space="preserve">Β. Γενικές προϋποθέσεις εφαρμογής μεθόδων </w:t>
      </w:r>
      <w:r w:rsidRPr="00C52622">
        <w:rPr>
          <w:noProof/>
          <w:lang w:val="en-US"/>
        </w:rPr>
        <w:t>Ιατρικά Υποβοηθούμενης Αναπαραγωγής</w:t>
      </w:r>
    </w:p>
    <w:p w14:paraId="61CFD304" w14:textId="77777777" w:rsidR="007E6178" w:rsidRDefault="007E6178">
      <w:pPr>
        <w:pStyle w:val="TOC2"/>
        <w:rPr>
          <w:rFonts w:asciiTheme="minorHAnsi" w:eastAsiaTheme="minorEastAsia" w:hAnsiTheme="minorHAnsi" w:cstheme="minorBidi"/>
          <w:noProof/>
          <w:sz w:val="24"/>
          <w:szCs w:val="24"/>
          <w:lang w:val="en-US" w:eastAsia="ja-JP"/>
        </w:rPr>
      </w:pPr>
      <w:r>
        <w:rPr>
          <w:noProof/>
        </w:rPr>
        <w:t>Γ. Επιτρεπτές μορφές Ιατρικά Υποβοηθούμενης Αναπαραγωγής</w:t>
      </w:r>
    </w:p>
    <w:p w14:paraId="7CDF20E2" w14:textId="77777777" w:rsidR="007E6178" w:rsidRDefault="007E6178">
      <w:pPr>
        <w:pStyle w:val="TOC2"/>
        <w:rPr>
          <w:rFonts w:asciiTheme="minorHAnsi" w:eastAsiaTheme="minorEastAsia" w:hAnsiTheme="minorHAnsi" w:cstheme="minorBidi"/>
          <w:noProof/>
          <w:sz w:val="24"/>
          <w:szCs w:val="24"/>
          <w:lang w:val="en-US" w:eastAsia="ja-JP"/>
        </w:rPr>
      </w:pPr>
      <w:r>
        <w:rPr>
          <w:noProof/>
        </w:rPr>
        <w:t>Δ. Ζητήματα σχετιζόμενα με το γεννητικό υλικο στο πλαίσιο της Ιατρικά Υποβοηθούμενης Αναπαραγωγής</w:t>
      </w:r>
    </w:p>
    <w:p w14:paraId="16FD758A" w14:textId="77777777" w:rsidR="007E6178" w:rsidRDefault="007E6178">
      <w:pPr>
        <w:pStyle w:val="TOC2"/>
        <w:rPr>
          <w:rFonts w:asciiTheme="minorHAnsi" w:eastAsiaTheme="minorEastAsia" w:hAnsiTheme="minorHAnsi" w:cstheme="minorBidi"/>
          <w:noProof/>
          <w:sz w:val="24"/>
          <w:szCs w:val="24"/>
          <w:lang w:val="en-US" w:eastAsia="ja-JP"/>
        </w:rPr>
      </w:pPr>
      <w:r>
        <w:rPr>
          <w:noProof/>
        </w:rPr>
        <w:t>Ε. Γενετικοί χειρισμοί στην Ιατρικά Υποβοηθούμενη Αναπαραγωγή</w:t>
      </w:r>
    </w:p>
    <w:p w14:paraId="1492F74B" w14:textId="77777777" w:rsidR="007E6178" w:rsidRDefault="007E6178">
      <w:pPr>
        <w:pStyle w:val="TOC1"/>
        <w:rPr>
          <w:rFonts w:asciiTheme="minorHAnsi" w:eastAsiaTheme="minorEastAsia" w:hAnsiTheme="minorHAnsi" w:cstheme="minorBidi"/>
          <w:b w:val="0"/>
          <w:noProof/>
          <w:szCs w:val="24"/>
          <w:lang w:val="en-US" w:eastAsia="ja-JP"/>
        </w:rPr>
      </w:pPr>
      <w:r>
        <w:rPr>
          <w:noProof/>
        </w:rPr>
        <w:t>ΙΙΙ. ΕΙΔΙΚΕΣ ΜΟΡΦΕΣ ΤΗΣ ΙΑΤΡΙΚΑ ΥΠΟΒΟΗΘΟΥΜΕΝΗΣ ΑΝΑΠΑΡΑΓΩΓΗΣ</w:t>
      </w:r>
    </w:p>
    <w:p w14:paraId="6525A8A6" w14:textId="77777777" w:rsidR="007E6178" w:rsidRDefault="007E6178">
      <w:pPr>
        <w:pStyle w:val="TOC2"/>
        <w:rPr>
          <w:rFonts w:asciiTheme="minorHAnsi" w:eastAsiaTheme="minorEastAsia" w:hAnsiTheme="minorHAnsi" w:cstheme="minorBidi"/>
          <w:noProof/>
          <w:sz w:val="24"/>
          <w:szCs w:val="24"/>
          <w:lang w:val="en-US" w:eastAsia="ja-JP"/>
        </w:rPr>
      </w:pPr>
      <w:r w:rsidRPr="00C52622">
        <w:rPr>
          <w:noProof/>
        </w:rPr>
        <w:t>Α</w:t>
      </w:r>
      <w:r>
        <w:rPr>
          <w:noProof/>
        </w:rPr>
        <w:t>. Μεταθανάτια Ιατρικά Υποβοηθούμενη Αναπαραγωγή</w:t>
      </w:r>
    </w:p>
    <w:p w14:paraId="70C3CF2E" w14:textId="77777777" w:rsidR="007E6178" w:rsidRDefault="007E6178">
      <w:pPr>
        <w:pStyle w:val="TOC2"/>
        <w:rPr>
          <w:rFonts w:asciiTheme="minorHAnsi" w:eastAsiaTheme="minorEastAsia" w:hAnsiTheme="minorHAnsi" w:cstheme="minorBidi"/>
          <w:noProof/>
          <w:sz w:val="24"/>
          <w:szCs w:val="24"/>
          <w:lang w:val="en-US" w:eastAsia="ja-JP"/>
        </w:rPr>
      </w:pPr>
      <w:r>
        <w:rPr>
          <w:noProof/>
        </w:rPr>
        <w:t>Β. Παρένθετη Μητρότητα</w:t>
      </w:r>
    </w:p>
    <w:p w14:paraId="22F0009D" w14:textId="77777777" w:rsidR="007E6178" w:rsidRDefault="007E6178">
      <w:pPr>
        <w:pStyle w:val="TOC2"/>
        <w:rPr>
          <w:rFonts w:asciiTheme="minorHAnsi" w:eastAsiaTheme="minorEastAsia" w:hAnsiTheme="minorHAnsi" w:cstheme="minorBidi"/>
          <w:noProof/>
          <w:sz w:val="24"/>
          <w:szCs w:val="24"/>
          <w:lang w:val="en-US" w:eastAsia="ja-JP"/>
        </w:rPr>
      </w:pPr>
      <w:r>
        <w:rPr>
          <w:noProof/>
        </w:rPr>
        <w:t>Γ. Κλωνοποίηση</w:t>
      </w:r>
    </w:p>
    <w:p w14:paraId="6C5445E6" w14:textId="77777777" w:rsidR="007E6178" w:rsidRDefault="007E6178">
      <w:pPr>
        <w:pStyle w:val="TOC1"/>
        <w:rPr>
          <w:rFonts w:asciiTheme="minorHAnsi" w:eastAsiaTheme="minorEastAsia" w:hAnsiTheme="minorHAnsi" w:cstheme="minorBidi"/>
          <w:b w:val="0"/>
          <w:noProof/>
          <w:szCs w:val="24"/>
          <w:lang w:val="en-US" w:eastAsia="ja-JP"/>
        </w:rPr>
      </w:pPr>
      <w:r>
        <w:rPr>
          <w:noProof/>
        </w:rPr>
        <w:t>Ι</w:t>
      </w:r>
      <w:r w:rsidRPr="00C52622">
        <w:rPr>
          <w:noProof/>
          <w:lang w:val="en-US"/>
        </w:rPr>
        <w:t>V</w:t>
      </w:r>
      <w:r>
        <w:rPr>
          <w:noProof/>
        </w:rPr>
        <w:t xml:space="preserve">. ΥΠΟΒΟΗΘΟΥΜΕΝΗ ΑΝΑΠΑΡΑΓΩΓΗ </w:t>
      </w:r>
      <w:r w:rsidRPr="00C52622">
        <w:rPr>
          <w:noProof/>
        </w:rPr>
        <w:t>ΚΑΙ</w:t>
      </w:r>
      <w:r>
        <w:rPr>
          <w:noProof/>
        </w:rPr>
        <w:t xml:space="preserve"> ΕΝΑΛΛΑΚΤΙΚΑ ΟΙΚΟΓΕΝΕΙΑΚΑ ΣΧΗΜΑΤΑ</w:t>
      </w:r>
    </w:p>
    <w:p w14:paraId="780A719A" w14:textId="77777777" w:rsidR="007E6178" w:rsidRDefault="007E6178">
      <w:pPr>
        <w:pStyle w:val="TOC2"/>
        <w:rPr>
          <w:rFonts w:asciiTheme="minorHAnsi" w:eastAsiaTheme="minorEastAsia" w:hAnsiTheme="minorHAnsi" w:cstheme="minorBidi"/>
          <w:noProof/>
          <w:sz w:val="24"/>
          <w:szCs w:val="24"/>
          <w:lang w:val="en-US" w:eastAsia="ja-JP"/>
        </w:rPr>
      </w:pPr>
      <w:r>
        <w:rPr>
          <w:noProof/>
        </w:rPr>
        <w:t>Α. Μοναχικές γυναίκες</w:t>
      </w:r>
    </w:p>
    <w:p w14:paraId="43B51443" w14:textId="77777777" w:rsidR="007E6178" w:rsidRDefault="007E6178">
      <w:pPr>
        <w:pStyle w:val="TOC2"/>
        <w:rPr>
          <w:rFonts w:asciiTheme="minorHAnsi" w:eastAsiaTheme="minorEastAsia" w:hAnsiTheme="minorHAnsi" w:cstheme="minorBidi"/>
          <w:noProof/>
          <w:sz w:val="24"/>
          <w:szCs w:val="24"/>
          <w:lang w:val="en-US" w:eastAsia="ja-JP"/>
        </w:rPr>
      </w:pPr>
      <w:r>
        <w:rPr>
          <w:noProof/>
        </w:rPr>
        <w:t>Β. Μοναχικός άνδρας</w:t>
      </w:r>
    </w:p>
    <w:p w14:paraId="14D716CC" w14:textId="77777777" w:rsidR="007E6178" w:rsidRDefault="007E6178">
      <w:pPr>
        <w:pStyle w:val="TOC2"/>
        <w:rPr>
          <w:rFonts w:asciiTheme="minorHAnsi" w:eastAsiaTheme="minorEastAsia" w:hAnsiTheme="minorHAnsi" w:cstheme="minorBidi"/>
          <w:noProof/>
          <w:sz w:val="24"/>
          <w:szCs w:val="24"/>
          <w:lang w:val="en-US" w:eastAsia="ja-JP"/>
        </w:rPr>
      </w:pPr>
      <w:r>
        <w:rPr>
          <w:noProof/>
        </w:rPr>
        <w:t>Γ. Ομόφυλα ζευγάρια</w:t>
      </w:r>
    </w:p>
    <w:p w14:paraId="1A925C64" w14:textId="77777777" w:rsidR="007E6178" w:rsidRDefault="007E6178">
      <w:pPr>
        <w:pStyle w:val="TOC1"/>
        <w:rPr>
          <w:rFonts w:asciiTheme="minorHAnsi" w:eastAsiaTheme="minorEastAsia" w:hAnsiTheme="minorHAnsi" w:cstheme="minorBidi"/>
          <w:b w:val="0"/>
          <w:noProof/>
          <w:szCs w:val="24"/>
          <w:lang w:val="en-US" w:eastAsia="ja-JP"/>
        </w:rPr>
      </w:pPr>
      <w:r w:rsidRPr="00C52622">
        <w:rPr>
          <w:noProof/>
          <w:lang w:val="en-GB"/>
        </w:rPr>
        <w:t>V</w:t>
      </w:r>
      <w:r>
        <w:rPr>
          <w:noProof/>
        </w:rPr>
        <w:t>Ι. ΘΕΜΑΤΑ ΒΙΟΗΘΙΚΗΣ ΣΤΗΝ ΥΠΟΒΟΗΘΟΥΜΕΝΗ ΑΝΑΠΑΡΑΓΩΓΗ</w:t>
      </w:r>
    </w:p>
    <w:p w14:paraId="029330E8" w14:textId="77777777" w:rsidR="007E6178" w:rsidRDefault="007E6178">
      <w:pPr>
        <w:pStyle w:val="TOC1"/>
        <w:rPr>
          <w:rFonts w:asciiTheme="minorHAnsi" w:eastAsiaTheme="minorEastAsia" w:hAnsiTheme="minorHAnsi" w:cstheme="minorBidi"/>
          <w:b w:val="0"/>
          <w:noProof/>
          <w:szCs w:val="24"/>
          <w:lang w:val="en-US" w:eastAsia="ja-JP"/>
        </w:rPr>
      </w:pPr>
      <w:r w:rsidRPr="00C52622">
        <w:rPr>
          <w:noProof/>
          <w:lang w:val="en-US"/>
        </w:rPr>
        <w:t xml:space="preserve">VII. </w:t>
      </w:r>
      <w:r>
        <w:rPr>
          <w:noProof/>
        </w:rPr>
        <w:t>ΤΑ «ΟΙΚΟΝΟΜΙΚΑ» ΤΗΣ ΙΑΤΡΙΚΑ ΥΠΟΟΒΟΗΘΟΥΜΕΝΗΣ ΑΝΑΠΑΡΑΓΩΓΗΣ</w:t>
      </w:r>
    </w:p>
    <w:p w14:paraId="63C7F504" w14:textId="77777777" w:rsidR="007E6178" w:rsidRDefault="007E6178">
      <w:pPr>
        <w:pStyle w:val="TOC1"/>
        <w:rPr>
          <w:rFonts w:asciiTheme="minorHAnsi" w:eastAsiaTheme="minorEastAsia" w:hAnsiTheme="minorHAnsi" w:cstheme="minorBidi"/>
          <w:b w:val="0"/>
          <w:noProof/>
          <w:szCs w:val="24"/>
          <w:lang w:val="en-US" w:eastAsia="ja-JP"/>
        </w:rPr>
      </w:pPr>
      <w:r w:rsidRPr="00C52622">
        <w:rPr>
          <w:noProof/>
          <w:lang w:val="en-US"/>
        </w:rPr>
        <w:t xml:space="preserve">IX.  </w:t>
      </w:r>
      <w:r>
        <w:rPr>
          <w:noProof/>
        </w:rPr>
        <w:t>ΖΗΤΗΜΑΤΑ ΙΔΙΩΤΙΚΟΥ ΔΙΕΘΝΟΥΣ ΔΙΚΑΙΟΥ ΣΤΗΝ ΥΠΟΒΟΗΘΟΥΜΕΝΗ ΑΝΑΠΑΡΑΓΩΓΗ</w:t>
      </w:r>
    </w:p>
    <w:p w14:paraId="090F9844" w14:textId="77777777" w:rsidR="007E6178" w:rsidRDefault="007E6178">
      <w:pPr>
        <w:pStyle w:val="TOC1"/>
        <w:rPr>
          <w:rFonts w:asciiTheme="minorHAnsi" w:eastAsiaTheme="minorEastAsia" w:hAnsiTheme="minorHAnsi" w:cstheme="minorBidi"/>
          <w:b w:val="0"/>
          <w:noProof/>
          <w:szCs w:val="24"/>
          <w:lang w:val="en-US" w:eastAsia="ja-JP"/>
        </w:rPr>
      </w:pPr>
      <w:r>
        <w:rPr>
          <w:noProof/>
        </w:rPr>
        <w:t>ΣΥΜΠΕΡΑΣΜΑΤΙΚΕΣ ΠΑΡΑΤΗΡΗΣΕΙΣ</w:t>
      </w:r>
    </w:p>
    <w:p w14:paraId="11161B2E" w14:textId="5CA0F22F" w:rsidR="000A2DE3" w:rsidRPr="00693069" w:rsidRDefault="00B820A3" w:rsidP="00693069">
      <w:pPr>
        <w:pStyle w:val="TOC2"/>
        <w:rPr>
          <w:rFonts w:asciiTheme="minorHAnsi" w:eastAsiaTheme="minorEastAsia" w:hAnsiTheme="minorHAnsi" w:cstheme="minorBidi"/>
          <w:noProof/>
          <w:sz w:val="24"/>
          <w:szCs w:val="24"/>
          <w:lang w:val="en-US" w:eastAsia="ja-JP"/>
        </w:rPr>
      </w:pPr>
      <w:r>
        <w:fldChar w:fldCharType="end"/>
      </w:r>
    </w:p>
    <w:p w14:paraId="181D5C53" w14:textId="77777777" w:rsidR="00B65EF0" w:rsidRDefault="00B65EF0" w:rsidP="00B820A3">
      <w:pPr>
        <w:pStyle w:val="TOC1"/>
      </w:pPr>
    </w:p>
    <w:p w14:paraId="396BA0DD" w14:textId="77777777" w:rsidR="00801C2A" w:rsidRDefault="00801C2A" w:rsidP="000A2DE3">
      <w:pPr>
        <w:pStyle w:val="TOC3"/>
        <w:rPr>
          <w:noProof/>
        </w:rPr>
      </w:pPr>
    </w:p>
    <w:p w14:paraId="7107076A" w14:textId="55FD0B32" w:rsidR="002226BE" w:rsidRDefault="00855AEA" w:rsidP="002226BE">
      <w:pPr>
        <w:pStyle w:val="Heading1"/>
      </w:pPr>
      <w:bookmarkStart w:id="2" w:name="_Toc275535581"/>
      <w:bookmarkStart w:id="3" w:name="_Toc276574364"/>
      <w:r>
        <w:rPr>
          <w:lang w:val="el-GR"/>
        </w:rPr>
        <w:lastRenderedPageBreak/>
        <w:t>ΚΑΤΑΛΟΓΟΣ ΣΥΝΤΟΜΟΓΡΑΦΙΩΝ</w:t>
      </w:r>
      <w:bookmarkEnd w:id="2"/>
      <w:bookmarkEnd w:id="3"/>
    </w:p>
    <w:tbl>
      <w:tblPr>
        <w:tblW w:w="0" w:type="auto"/>
        <w:tblLook w:val="04A0" w:firstRow="1" w:lastRow="0" w:firstColumn="1" w:lastColumn="0" w:noHBand="0" w:noVBand="1"/>
      </w:tblPr>
      <w:tblGrid>
        <w:gridCol w:w="1101"/>
        <w:gridCol w:w="8329"/>
      </w:tblGrid>
      <w:tr w:rsidR="002226BE" w:rsidRPr="00DF45CD" w14:paraId="1912B6E2" w14:textId="77777777" w:rsidTr="00D02C50">
        <w:trPr>
          <w:trHeight w:val="416"/>
        </w:trPr>
        <w:tc>
          <w:tcPr>
            <w:tcW w:w="1101" w:type="dxa"/>
            <w:shd w:val="clear" w:color="auto" w:fill="auto"/>
          </w:tcPr>
          <w:p w14:paraId="35B45223"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ΑΚ</w:t>
            </w:r>
          </w:p>
        </w:tc>
        <w:tc>
          <w:tcPr>
            <w:tcW w:w="8329" w:type="dxa"/>
            <w:shd w:val="clear" w:color="auto" w:fill="auto"/>
          </w:tcPr>
          <w:p w14:paraId="61BFE074"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Αστικός Κώδικας</w:t>
            </w:r>
          </w:p>
        </w:tc>
      </w:tr>
      <w:tr w:rsidR="00423F83" w:rsidRPr="00DF45CD" w14:paraId="514BD84B" w14:textId="77777777" w:rsidTr="00D02C50">
        <w:trPr>
          <w:trHeight w:val="181"/>
        </w:trPr>
        <w:tc>
          <w:tcPr>
            <w:tcW w:w="1101" w:type="dxa"/>
            <w:shd w:val="clear" w:color="auto" w:fill="auto"/>
          </w:tcPr>
          <w:p w14:paraId="7DFEAF6D" w14:textId="77777777" w:rsidR="00423F83" w:rsidRPr="00DC2B6B" w:rsidRDefault="00423F83" w:rsidP="00D02C50">
            <w:pPr>
              <w:spacing w:before="60" w:after="60" w:line="240" w:lineRule="auto"/>
              <w:ind w:firstLine="0"/>
              <w:rPr>
                <w:rStyle w:val="hps"/>
                <w:rFonts w:eastAsia="Calibri"/>
                <w:sz w:val="22"/>
                <w:szCs w:val="22"/>
              </w:rPr>
            </w:pPr>
            <w:r w:rsidRPr="00DC2B6B">
              <w:rPr>
                <w:rStyle w:val="hps"/>
                <w:rFonts w:eastAsia="Calibri"/>
                <w:sz w:val="22"/>
                <w:szCs w:val="22"/>
              </w:rPr>
              <w:t>ΙΥΑ</w:t>
            </w:r>
          </w:p>
        </w:tc>
        <w:tc>
          <w:tcPr>
            <w:tcW w:w="8329" w:type="dxa"/>
            <w:shd w:val="clear" w:color="auto" w:fill="auto"/>
          </w:tcPr>
          <w:p w14:paraId="2E9CD2B3" w14:textId="77777777" w:rsidR="00423F83" w:rsidRPr="00DC2B6B" w:rsidRDefault="00423F83" w:rsidP="00D02C50">
            <w:pPr>
              <w:spacing w:before="60" w:after="60" w:line="240" w:lineRule="auto"/>
              <w:ind w:firstLine="0"/>
              <w:rPr>
                <w:rStyle w:val="hps"/>
                <w:rFonts w:eastAsia="Calibri"/>
                <w:sz w:val="22"/>
                <w:szCs w:val="22"/>
              </w:rPr>
            </w:pPr>
            <w:r w:rsidRPr="00DC2B6B">
              <w:rPr>
                <w:rStyle w:val="hps"/>
                <w:rFonts w:eastAsia="Calibri"/>
                <w:sz w:val="22"/>
                <w:szCs w:val="22"/>
              </w:rPr>
              <w:t xml:space="preserve">Ιατρικά Υποβοηθούμενη Αναπαραγωγή </w:t>
            </w:r>
          </w:p>
        </w:tc>
      </w:tr>
      <w:tr w:rsidR="002226BE" w:rsidRPr="00DF45CD" w14:paraId="64E0AB35" w14:textId="77777777" w:rsidTr="00D02C50">
        <w:tc>
          <w:tcPr>
            <w:tcW w:w="1101" w:type="dxa"/>
            <w:shd w:val="clear" w:color="auto" w:fill="auto"/>
          </w:tcPr>
          <w:p w14:paraId="65B5A915"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ΚΔΥ</w:t>
            </w:r>
          </w:p>
        </w:tc>
        <w:tc>
          <w:tcPr>
            <w:tcW w:w="8329" w:type="dxa"/>
            <w:shd w:val="clear" w:color="auto" w:fill="auto"/>
          </w:tcPr>
          <w:p w14:paraId="052483CB"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Κώδικας Δημόσιας Υγείας</w:t>
            </w:r>
          </w:p>
        </w:tc>
      </w:tr>
      <w:tr w:rsidR="002226BE" w:rsidRPr="00DF45CD" w14:paraId="551644E8" w14:textId="77777777" w:rsidTr="00D02C50">
        <w:tc>
          <w:tcPr>
            <w:tcW w:w="1101" w:type="dxa"/>
            <w:shd w:val="clear" w:color="auto" w:fill="auto"/>
          </w:tcPr>
          <w:p w14:paraId="1A14ED64"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ΚΙΔ</w:t>
            </w:r>
          </w:p>
        </w:tc>
        <w:tc>
          <w:tcPr>
            <w:tcW w:w="8329" w:type="dxa"/>
            <w:shd w:val="clear" w:color="auto" w:fill="auto"/>
          </w:tcPr>
          <w:p w14:paraId="2FE3E6B4"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Κώδικας Ιατρικής Δεοντολογίας</w:t>
            </w:r>
          </w:p>
        </w:tc>
      </w:tr>
      <w:tr w:rsidR="002226BE" w:rsidRPr="00DF45CD" w14:paraId="0485CD1C" w14:textId="77777777" w:rsidTr="00D02C50">
        <w:tc>
          <w:tcPr>
            <w:tcW w:w="1101" w:type="dxa"/>
            <w:shd w:val="clear" w:color="auto" w:fill="auto"/>
          </w:tcPr>
          <w:p w14:paraId="525E56FD"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ΚΚΑ</w:t>
            </w:r>
          </w:p>
        </w:tc>
        <w:tc>
          <w:tcPr>
            <w:tcW w:w="8329" w:type="dxa"/>
            <w:shd w:val="clear" w:color="auto" w:fill="auto"/>
          </w:tcPr>
          <w:p w14:paraId="083C1888"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Κώδικας Κοινωνικής Ασφάλισης</w:t>
            </w:r>
          </w:p>
        </w:tc>
      </w:tr>
      <w:tr w:rsidR="002226BE" w:rsidRPr="00DF45CD" w14:paraId="7505BC9F" w14:textId="77777777" w:rsidTr="00D02C50">
        <w:tc>
          <w:tcPr>
            <w:tcW w:w="1101" w:type="dxa"/>
            <w:shd w:val="clear" w:color="auto" w:fill="auto"/>
          </w:tcPr>
          <w:p w14:paraId="1C1A6B63"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ΚΠολΔ</w:t>
            </w:r>
          </w:p>
        </w:tc>
        <w:tc>
          <w:tcPr>
            <w:tcW w:w="8329" w:type="dxa"/>
            <w:shd w:val="clear" w:color="auto" w:fill="auto"/>
          </w:tcPr>
          <w:p w14:paraId="3C9681FE"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Κώδικας Πολιτικής Δικονομίας</w:t>
            </w:r>
          </w:p>
        </w:tc>
      </w:tr>
      <w:tr w:rsidR="002226BE" w:rsidRPr="00DF45CD" w14:paraId="1A70F366" w14:textId="77777777" w:rsidTr="00D02C50">
        <w:tc>
          <w:tcPr>
            <w:tcW w:w="1101" w:type="dxa"/>
            <w:shd w:val="clear" w:color="auto" w:fill="auto"/>
          </w:tcPr>
          <w:p w14:paraId="63E2745D"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ΠΚ</w:t>
            </w:r>
          </w:p>
        </w:tc>
        <w:tc>
          <w:tcPr>
            <w:tcW w:w="8329" w:type="dxa"/>
            <w:shd w:val="clear" w:color="auto" w:fill="auto"/>
          </w:tcPr>
          <w:p w14:paraId="01970A40" w14:textId="77777777" w:rsidR="002226BE" w:rsidRPr="00DC2B6B" w:rsidRDefault="00EC229A" w:rsidP="00D02C50">
            <w:pPr>
              <w:spacing w:before="60" w:after="60" w:line="240" w:lineRule="auto"/>
              <w:ind w:firstLine="0"/>
              <w:rPr>
                <w:rStyle w:val="hps"/>
                <w:rFonts w:eastAsia="Calibri"/>
                <w:sz w:val="22"/>
                <w:szCs w:val="22"/>
              </w:rPr>
            </w:pPr>
            <w:r w:rsidRPr="00DC2B6B">
              <w:rPr>
                <w:rStyle w:val="hps"/>
                <w:rFonts w:eastAsia="Calibri"/>
                <w:sz w:val="22"/>
                <w:szCs w:val="22"/>
              </w:rPr>
              <w:t>Ποινικός Κώδικας</w:t>
            </w:r>
          </w:p>
        </w:tc>
      </w:tr>
      <w:tr w:rsidR="002226BE" w:rsidRPr="00DF45CD" w14:paraId="0FE24978" w14:textId="77777777" w:rsidTr="00D02C50">
        <w:trPr>
          <w:trHeight w:val="213"/>
        </w:trPr>
        <w:tc>
          <w:tcPr>
            <w:tcW w:w="1101" w:type="dxa"/>
            <w:shd w:val="clear" w:color="auto" w:fill="auto"/>
          </w:tcPr>
          <w:p w14:paraId="7A3641BB" w14:textId="77777777" w:rsidR="002226BE" w:rsidRPr="00DC2B6B" w:rsidRDefault="00423F83" w:rsidP="00D02C50">
            <w:pPr>
              <w:spacing w:before="60" w:after="60" w:line="240" w:lineRule="auto"/>
              <w:ind w:firstLine="0"/>
              <w:rPr>
                <w:rStyle w:val="hps"/>
                <w:rFonts w:eastAsia="Calibri"/>
                <w:sz w:val="22"/>
                <w:szCs w:val="22"/>
              </w:rPr>
            </w:pPr>
            <w:r w:rsidRPr="00DC2B6B">
              <w:rPr>
                <w:rStyle w:val="hps"/>
                <w:rFonts w:eastAsia="Calibri"/>
                <w:sz w:val="22"/>
                <w:szCs w:val="22"/>
              </w:rPr>
              <w:t>ΥΑ</w:t>
            </w:r>
          </w:p>
        </w:tc>
        <w:tc>
          <w:tcPr>
            <w:tcW w:w="8329" w:type="dxa"/>
            <w:shd w:val="clear" w:color="auto" w:fill="auto"/>
          </w:tcPr>
          <w:p w14:paraId="0E8498B0" w14:textId="77777777" w:rsidR="002226BE" w:rsidRPr="00DC2B6B" w:rsidRDefault="00423F83" w:rsidP="00D02C50">
            <w:pPr>
              <w:spacing w:before="60" w:after="60" w:line="240" w:lineRule="auto"/>
              <w:ind w:firstLine="0"/>
              <w:rPr>
                <w:rStyle w:val="hps"/>
                <w:rFonts w:eastAsia="Calibri"/>
                <w:sz w:val="22"/>
                <w:szCs w:val="22"/>
              </w:rPr>
            </w:pPr>
            <w:r w:rsidRPr="00DC2B6B">
              <w:rPr>
                <w:rStyle w:val="hps"/>
                <w:rFonts w:eastAsia="Calibri"/>
                <w:sz w:val="22"/>
                <w:szCs w:val="22"/>
              </w:rPr>
              <w:t>Υπουργική Απόφαση</w:t>
            </w:r>
          </w:p>
        </w:tc>
      </w:tr>
      <w:tr w:rsidR="00423F83" w:rsidRPr="00DF45CD" w14:paraId="3B215F79" w14:textId="77777777" w:rsidTr="00D02C50">
        <w:trPr>
          <w:trHeight w:val="395"/>
        </w:trPr>
        <w:tc>
          <w:tcPr>
            <w:tcW w:w="1101" w:type="dxa"/>
            <w:shd w:val="clear" w:color="auto" w:fill="auto"/>
          </w:tcPr>
          <w:p w14:paraId="7729368A" w14:textId="77777777" w:rsidR="00423F83" w:rsidRPr="00DF45CD" w:rsidRDefault="00423F83" w:rsidP="00D02C50">
            <w:pPr>
              <w:spacing w:before="60" w:after="60" w:line="240" w:lineRule="auto"/>
              <w:ind w:firstLine="0"/>
              <w:rPr>
                <w:rStyle w:val="hps"/>
                <w:rFonts w:eastAsia="Calibri"/>
                <w:b/>
                <w:sz w:val="22"/>
                <w:szCs w:val="22"/>
              </w:rPr>
            </w:pPr>
          </w:p>
        </w:tc>
        <w:tc>
          <w:tcPr>
            <w:tcW w:w="8329" w:type="dxa"/>
            <w:shd w:val="clear" w:color="auto" w:fill="auto"/>
          </w:tcPr>
          <w:p w14:paraId="031E43F2" w14:textId="77777777" w:rsidR="00423F83" w:rsidRPr="00DF45CD" w:rsidRDefault="00423F83" w:rsidP="00D02C50">
            <w:pPr>
              <w:spacing w:before="60" w:after="60" w:line="240" w:lineRule="auto"/>
              <w:ind w:firstLine="0"/>
              <w:rPr>
                <w:rStyle w:val="hps"/>
                <w:rFonts w:eastAsia="Calibri"/>
                <w:b/>
                <w:sz w:val="22"/>
                <w:szCs w:val="22"/>
              </w:rPr>
            </w:pPr>
          </w:p>
        </w:tc>
      </w:tr>
    </w:tbl>
    <w:p w14:paraId="0A588685" w14:textId="77777777" w:rsidR="0086627B" w:rsidRDefault="0086627B" w:rsidP="008A7A79">
      <w:pPr>
        <w:pStyle w:val="Heading1"/>
      </w:pPr>
      <w:bookmarkStart w:id="4" w:name="_Toc276574365"/>
      <w:r>
        <w:lastRenderedPageBreak/>
        <w:t>ΕΙΣΑΓΩΓΗ</w:t>
      </w:r>
      <w:bookmarkEnd w:id="4"/>
      <w:r>
        <w:t xml:space="preserve"> </w:t>
      </w:r>
    </w:p>
    <w:p w14:paraId="012D5378" w14:textId="77777777" w:rsidR="00E760E1" w:rsidRDefault="007B49B9" w:rsidP="00E760E1">
      <w:pPr>
        <w:rPr>
          <w:lang w:val="en-US" w:eastAsia="en-US"/>
        </w:rPr>
      </w:pPr>
      <w:r>
        <w:t xml:space="preserve">Η </w:t>
      </w:r>
      <w:r>
        <w:rPr>
          <w:lang w:val="en-US" w:eastAsia="en-US"/>
        </w:rPr>
        <w:t xml:space="preserve">Amandine, το πρώτο </w:t>
      </w:r>
      <w:r w:rsidR="00E760E1">
        <w:t>«</w:t>
      </w:r>
      <w:r>
        <w:rPr>
          <w:lang w:val="en-US" w:eastAsia="en-US"/>
        </w:rPr>
        <w:t>παιδί του σωλήνα</w:t>
      </w:r>
      <w:r w:rsidR="00E760E1">
        <w:t>»</w:t>
      </w:r>
      <w:r>
        <w:rPr>
          <w:lang w:val="en-US" w:eastAsia="en-US"/>
        </w:rPr>
        <w:t xml:space="preserve"> που γεννήθηκε στη Γαλλία</w:t>
      </w:r>
      <w:r w:rsidR="00E760E1">
        <w:rPr>
          <w:lang w:val="en-US" w:eastAsia="en-US"/>
        </w:rPr>
        <w:t>,</w:t>
      </w:r>
      <w:r w:rsidR="00932F0A">
        <w:rPr>
          <w:lang w:val="en-US" w:eastAsia="en-US"/>
        </w:rPr>
        <w:t xml:space="preserve"> έφερε </w:t>
      </w:r>
      <w:r w:rsidR="00E760E1">
        <w:rPr>
          <w:lang w:val="en-US" w:eastAsia="en-US"/>
        </w:rPr>
        <w:t xml:space="preserve">στον κόσμο </w:t>
      </w:r>
      <w:r w:rsidR="00932F0A">
        <w:rPr>
          <w:lang w:val="en-US" w:eastAsia="en-US"/>
        </w:rPr>
        <w:t xml:space="preserve">στις 16 Ιουνίου 2013 το δικό της παιδί, με τη βοήθεια του Καθηγητή </w:t>
      </w:r>
      <w:r w:rsidR="00E760E1">
        <w:rPr>
          <w:lang w:val="en-US" w:eastAsia="en-US"/>
        </w:rPr>
        <w:t>René Frydman, του γυναικολόγου μαιευτήρα που έφερε και την ίδια στη ζωή</w:t>
      </w:r>
      <w:r w:rsidR="00E760E1" w:rsidRPr="00E760E1">
        <w:rPr>
          <w:lang w:val="en-US" w:eastAsia="en-US"/>
        </w:rPr>
        <w:t xml:space="preserve"> </w:t>
      </w:r>
      <w:r w:rsidR="00E760E1">
        <w:rPr>
          <w:lang w:val="en-US" w:eastAsia="en-US"/>
        </w:rPr>
        <w:t>πριν από 32 χρόνια, στις 24 Φεβρουαρίου 1982</w:t>
      </w:r>
      <w:r w:rsidR="00E760E1">
        <w:rPr>
          <w:rStyle w:val="FootnoteReference"/>
          <w:lang w:val="en-US" w:eastAsia="en-US"/>
        </w:rPr>
        <w:footnoteReference w:id="1"/>
      </w:r>
      <w:r w:rsidR="00E760E1">
        <w:rPr>
          <w:lang w:val="en-US" w:eastAsia="en-US"/>
        </w:rPr>
        <w:t xml:space="preserve">. </w:t>
      </w:r>
      <w:r w:rsidR="000C3D28">
        <w:rPr>
          <w:lang w:val="en-US" w:eastAsia="en-US"/>
        </w:rPr>
        <w:t>Η δημοσιοποίηση της γέννησης της κόρης της αποσκοπούσε στην ανάδειξη του έργου που επιτελούν οι επιστήμονες που ασχολούνται με την ιατρικά υποβοηθούμενη αναπαραγωγή στη Γαλλία, καθώς σύμφωνα με δηλώσεις της</w:t>
      </w:r>
      <w:r w:rsidR="004B5D25">
        <w:rPr>
          <w:lang w:eastAsia="en-US"/>
        </w:rPr>
        <w:t xml:space="preserve"> ίδιας της </w:t>
      </w:r>
      <w:r w:rsidR="004B5D25">
        <w:rPr>
          <w:lang w:val="en-US" w:eastAsia="en-US"/>
        </w:rPr>
        <w:t>Amandine</w:t>
      </w:r>
      <w:r w:rsidR="000C3D28">
        <w:rPr>
          <w:lang w:val="en-US" w:eastAsia="en-US"/>
        </w:rPr>
        <w:t xml:space="preserve">, το διάβημά της έχει συμβολικό χαρακτήρα: </w:t>
      </w:r>
      <w:r w:rsidR="003C0C90">
        <w:t>«</w:t>
      </w:r>
      <w:r w:rsidR="000C3D28">
        <w:rPr>
          <w:lang w:val="en-US" w:eastAsia="en-US"/>
        </w:rPr>
        <w:t>η ιατρική βοηθά τα ζευγάρια σε κάποια στιγμή της ζωής του και, τριάντα χρόνια μετά, η φύση ξαναβρίσκει το δρόμο της</w:t>
      </w:r>
      <w:r w:rsidR="003C0C90">
        <w:t>»</w:t>
      </w:r>
      <w:r w:rsidR="000C3D28">
        <w:rPr>
          <w:rStyle w:val="FootnoteReference"/>
          <w:lang w:val="en-US" w:eastAsia="en-US"/>
        </w:rPr>
        <w:footnoteReference w:id="2"/>
      </w:r>
      <w:r w:rsidR="000C3D28">
        <w:rPr>
          <w:lang w:val="en-US" w:eastAsia="en-US"/>
        </w:rPr>
        <w:t xml:space="preserve">.   </w:t>
      </w:r>
    </w:p>
    <w:p w14:paraId="42E7CA15" w14:textId="679EED69" w:rsidR="003702ED" w:rsidRDefault="00E760E1" w:rsidP="009C533A">
      <w:pPr>
        <w:rPr>
          <w:lang w:eastAsia="en-US"/>
        </w:rPr>
      </w:pPr>
      <w:bookmarkStart w:id="6" w:name="εισαγωγή_23127"/>
      <w:r>
        <w:rPr>
          <w:lang w:eastAsia="en-US"/>
        </w:rPr>
        <w:t xml:space="preserve">Αντικείμενο έντονης πολεμικής </w:t>
      </w:r>
      <w:r w:rsidR="00111A26">
        <w:rPr>
          <w:lang w:eastAsia="en-US"/>
        </w:rPr>
        <w:t xml:space="preserve">πριν από τρεις </w:t>
      </w:r>
      <w:r w:rsidR="00C92496">
        <w:rPr>
          <w:lang w:eastAsia="en-US"/>
        </w:rPr>
        <w:t>δεκαετίες</w:t>
      </w:r>
      <w:r w:rsidR="00111A26">
        <w:rPr>
          <w:lang w:eastAsia="en-US"/>
        </w:rPr>
        <w:t xml:space="preserve">, η ιατρικά υποβοηθούμενη αναπαραγωγή έχει σήμερα καθιερωθεί στη Γαλλία ως η </w:t>
      </w:r>
      <w:r w:rsidR="00C92496">
        <w:rPr>
          <w:lang w:eastAsia="en-US"/>
        </w:rPr>
        <w:t>πλέον</w:t>
      </w:r>
      <w:r w:rsidR="00111A26">
        <w:rPr>
          <w:lang w:eastAsia="en-US"/>
        </w:rPr>
        <w:t xml:space="preserve"> αποτελεσματική μέθοδος αν</w:t>
      </w:r>
      <w:r w:rsidR="003B240D">
        <w:rPr>
          <w:lang w:eastAsia="en-US"/>
        </w:rPr>
        <w:t>τιμετώπισης της υπογονιμότητας.</w:t>
      </w:r>
      <w:r w:rsidR="00111A26">
        <w:rPr>
          <w:lang w:eastAsia="en-US"/>
        </w:rPr>
        <w:t xml:space="preserve"> </w:t>
      </w:r>
      <w:r w:rsidR="00874F96">
        <w:rPr>
          <w:lang w:eastAsia="en-US"/>
        </w:rPr>
        <w:t>Σύμφωνα με τα στατιστικά στοιχεία του Ο</w:t>
      </w:r>
      <w:r w:rsidR="00104475">
        <w:rPr>
          <w:lang w:eastAsia="en-US"/>
        </w:rPr>
        <w:t xml:space="preserve">ργανισμού Βιοϊατρικής, </w:t>
      </w:r>
      <w:r w:rsidR="003702ED">
        <w:rPr>
          <w:lang w:eastAsia="en-US"/>
        </w:rPr>
        <w:t>ο αριθμός των τέκνων που γεννήθηκαν στη Γαλλία το 2007 κατόπιν προσφυγής σε μεθόδους ιατρικά υποβοηθούμενης αναπαραγωγής ανερχόταν στις</w:t>
      </w:r>
      <w:r w:rsidR="00104475">
        <w:rPr>
          <w:lang w:eastAsia="en-US"/>
        </w:rPr>
        <w:t xml:space="preserve"> 20.657</w:t>
      </w:r>
      <w:r w:rsidR="00874F96">
        <w:rPr>
          <w:lang w:eastAsia="en-US"/>
        </w:rPr>
        <w:t>, α</w:t>
      </w:r>
      <w:r w:rsidR="00104475">
        <w:rPr>
          <w:lang w:eastAsia="en-US"/>
        </w:rPr>
        <w:t>ριθμός που αντιπροσωπεύει το 2,5</w:t>
      </w:r>
      <w:r w:rsidR="00874F96">
        <w:rPr>
          <w:lang w:eastAsia="en-US"/>
        </w:rPr>
        <w:t>%</w:t>
      </w:r>
      <w:r w:rsidR="00FC643E">
        <w:rPr>
          <w:lang w:eastAsia="en-US"/>
        </w:rPr>
        <w:t xml:space="preserve"> περίπου των γεννήσεων ετησίως</w:t>
      </w:r>
      <w:r w:rsidR="00874F96">
        <w:rPr>
          <w:lang w:eastAsia="en-US"/>
        </w:rPr>
        <w:t xml:space="preserve">. </w:t>
      </w:r>
      <w:r w:rsidR="00DD0681">
        <w:rPr>
          <w:lang w:eastAsia="en-US"/>
        </w:rPr>
        <w:t>Ο αριθμός αυτός έφτασε, το 2011, τις 23.127, δηλαδή το 2,8% των παιδιών που γεννήθηκαν κατά το έτος α</w:t>
      </w:r>
      <w:r w:rsidR="008C6F0A">
        <w:rPr>
          <w:lang w:eastAsia="en-US"/>
        </w:rPr>
        <w:t>υτό, τα οποία υπολογίζονται στα</w:t>
      </w:r>
      <w:r w:rsidR="00DD0681">
        <w:rPr>
          <w:lang w:eastAsia="en-US"/>
        </w:rPr>
        <w:t xml:space="preserve"> 821.589 από </w:t>
      </w:r>
      <w:r w:rsidR="0061378A">
        <w:rPr>
          <w:lang w:eastAsia="en-US"/>
        </w:rPr>
        <w:t>το Εθνικό Ινστιτούτο Στατιστικής και Οικονομικών Μελετών (INSEE). Μεταξύ των γεννήσεων, δε, αυτών, μόνο 1.307 παιδιά συνελήφθησαν κατόπιν δωρεάς γαμετών, ήτοι 0,16% του συνολικού αριθμού των</w:t>
      </w:r>
      <w:r w:rsidR="00B178A1">
        <w:rPr>
          <w:lang w:eastAsia="en-US"/>
        </w:rPr>
        <w:t xml:space="preserve"> παιδιών που γεννήθηκαν το 2011, γεγονός που επιβεβαιώνει τις ανησυχίες για έλλειψη </w:t>
      </w:r>
      <w:r w:rsidR="0005000E">
        <w:rPr>
          <w:lang w:eastAsia="en-US"/>
        </w:rPr>
        <w:t>αποθ</w:t>
      </w:r>
      <w:r w:rsidR="00C92496">
        <w:rPr>
          <w:lang w:eastAsia="en-US"/>
        </w:rPr>
        <w:t>εμάτων</w:t>
      </w:r>
      <w:r w:rsidR="00B178A1">
        <w:rPr>
          <w:lang w:eastAsia="en-US"/>
        </w:rPr>
        <w:t xml:space="preserve"> σπέρματος και, κυρίως, ωαρίων</w:t>
      </w:r>
      <w:r w:rsidR="00ED1ECB">
        <w:rPr>
          <w:rStyle w:val="FootnoteReference"/>
          <w:lang w:eastAsia="en-US"/>
        </w:rPr>
        <w:footnoteReference w:id="3"/>
      </w:r>
      <w:r w:rsidR="00B178A1">
        <w:rPr>
          <w:lang w:eastAsia="en-US"/>
        </w:rPr>
        <w:t>. Αδιαμφισβήτητο γεγονός πάντως αποτελεί η διαπίστωση ότι η ιατρικά υποβοηθούμενη αναπαραγωγή στη Γαλλία παραμένει «ενδο</w:t>
      </w:r>
      <w:r w:rsidR="008C6F0A">
        <w:rPr>
          <w:lang w:eastAsia="en-US"/>
        </w:rPr>
        <w:t>-συζυγική</w:t>
      </w:r>
      <w:r w:rsidR="00B178A1">
        <w:rPr>
          <w:lang w:eastAsia="en-US"/>
        </w:rPr>
        <w:t>» (ομόλογη) σε ποσοστό σταθερά κοντά στο 95% των γεννήσεων</w:t>
      </w:r>
      <w:bookmarkEnd w:id="6"/>
      <w:r w:rsidR="00E73584">
        <w:rPr>
          <w:rStyle w:val="FootnoteReference"/>
          <w:lang w:eastAsia="en-US"/>
        </w:rPr>
        <w:footnoteReference w:id="4"/>
      </w:r>
      <w:r w:rsidR="00B178A1">
        <w:rPr>
          <w:lang w:eastAsia="en-US"/>
        </w:rPr>
        <w:t xml:space="preserve">. </w:t>
      </w:r>
    </w:p>
    <w:p w14:paraId="514056E7" w14:textId="77777777" w:rsidR="00E36E3B" w:rsidRDefault="003702ED" w:rsidP="009C533A">
      <w:pPr>
        <w:rPr>
          <w:lang w:eastAsia="en-US"/>
        </w:rPr>
      </w:pPr>
      <w:r>
        <w:rPr>
          <w:lang w:eastAsia="en-US"/>
        </w:rPr>
        <w:t>Σύμφωνα με τους επιστήμονες, ο</w:t>
      </w:r>
      <w:r w:rsidR="00207E1E">
        <w:rPr>
          <w:lang w:eastAsia="en-US"/>
        </w:rPr>
        <w:t xml:space="preserve"> «εκδημοκρατισμός» αυτός της ιατρικής </w:t>
      </w:r>
      <w:r w:rsidR="00C92496">
        <w:rPr>
          <w:lang w:eastAsia="en-US"/>
        </w:rPr>
        <w:t>υποβοήθησης</w:t>
      </w:r>
      <w:r w:rsidR="00207E1E">
        <w:rPr>
          <w:lang w:eastAsia="en-US"/>
        </w:rPr>
        <w:t xml:space="preserve"> στην αναπαραγωγή υπήρξε η λογική και αναπόφευκτη εξέλιξη της αύξησης της ηλικίας </w:t>
      </w:r>
      <w:r w:rsidR="00A24C07">
        <w:rPr>
          <w:lang w:eastAsia="en-US"/>
        </w:rPr>
        <w:t>σ</w:t>
      </w:r>
      <w:r w:rsidR="00207E1E">
        <w:rPr>
          <w:lang w:eastAsia="en-US"/>
        </w:rPr>
        <w:t>την οποία τα ζευγάρια αποκτούν το πρώτο τους παιδί, παράμετρο</w:t>
      </w:r>
      <w:r w:rsidR="00A24C07">
        <w:rPr>
          <w:lang w:eastAsia="en-US"/>
        </w:rPr>
        <w:t>ς</w:t>
      </w:r>
      <w:r w:rsidR="00207E1E">
        <w:rPr>
          <w:lang w:eastAsia="en-US"/>
        </w:rPr>
        <w:t xml:space="preserve"> που </w:t>
      </w:r>
      <w:r w:rsidR="00A24C07">
        <w:rPr>
          <w:lang w:eastAsia="en-US"/>
        </w:rPr>
        <w:t>επιδρά σημαντικά στην αύξηση της</w:t>
      </w:r>
      <w:r w:rsidR="00207E1E">
        <w:rPr>
          <w:lang w:eastAsia="en-US"/>
        </w:rPr>
        <w:t xml:space="preserve"> υπογονιμότητα</w:t>
      </w:r>
      <w:r w:rsidR="00A24C07">
        <w:rPr>
          <w:lang w:eastAsia="en-US"/>
        </w:rPr>
        <w:t>ς</w:t>
      </w:r>
      <w:r w:rsidR="00666508">
        <w:rPr>
          <w:rStyle w:val="FootnoteReference"/>
          <w:lang w:eastAsia="en-US"/>
        </w:rPr>
        <w:footnoteReference w:id="5"/>
      </w:r>
      <w:r w:rsidR="00207E1E">
        <w:rPr>
          <w:lang w:eastAsia="en-US"/>
        </w:rPr>
        <w:t>. Η πι</w:t>
      </w:r>
      <w:r w:rsidR="00560F64">
        <w:rPr>
          <w:lang w:eastAsia="en-US"/>
        </w:rPr>
        <w:t>θανότητα τεκνοποίησης με φυσ</w:t>
      </w:r>
      <w:r w:rsidR="00207E1E">
        <w:rPr>
          <w:lang w:eastAsia="en-US"/>
        </w:rPr>
        <w:t xml:space="preserve">ικό τρόπο </w:t>
      </w:r>
      <w:r>
        <w:rPr>
          <w:lang w:eastAsia="en-US"/>
        </w:rPr>
        <w:t>μειώνεται κατακόρυφα από το 25% στην ηλικία των 25 ετών στο</w:t>
      </w:r>
      <w:r w:rsidR="00207E1E">
        <w:rPr>
          <w:lang w:eastAsia="en-US"/>
        </w:rPr>
        <w:t xml:space="preserve"> 6% </w:t>
      </w:r>
      <w:r w:rsidR="00294514">
        <w:rPr>
          <w:lang w:eastAsia="en-US"/>
        </w:rPr>
        <w:t>σ</w:t>
      </w:r>
      <w:r>
        <w:rPr>
          <w:lang w:eastAsia="en-US"/>
        </w:rPr>
        <w:t>την ηλικία των 42 ετών</w:t>
      </w:r>
      <w:r w:rsidR="00207E1E">
        <w:rPr>
          <w:lang w:eastAsia="en-US"/>
        </w:rPr>
        <w:t xml:space="preserve">. </w:t>
      </w:r>
      <w:r>
        <w:rPr>
          <w:lang w:eastAsia="en-US"/>
        </w:rPr>
        <w:lastRenderedPageBreak/>
        <w:t>Πρόκειται, άλλωστε, για έναν</w:t>
      </w:r>
      <w:r w:rsidR="00207E1E">
        <w:rPr>
          <w:lang w:eastAsia="en-US"/>
        </w:rPr>
        <w:t xml:space="preserve"> από τους </w:t>
      </w:r>
      <w:r w:rsidR="00C92496">
        <w:rPr>
          <w:lang w:eastAsia="en-US"/>
        </w:rPr>
        <w:t>βασικότερους</w:t>
      </w:r>
      <w:r w:rsidR="00207E1E">
        <w:rPr>
          <w:lang w:eastAsia="en-US"/>
        </w:rPr>
        <w:t xml:space="preserve"> λόγους για τον οποίο, σήμερα, ένα στα επτά ζευγάρια επισκέπτεται, τουλάχιστο μία φορά, έναν εξειδικευμένο σε ζητήματα αναπαραγωγής ιατρό, σχετικά με τις δυσκολίες που </w:t>
      </w:r>
      <w:r w:rsidR="00C92496">
        <w:rPr>
          <w:lang w:eastAsia="en-US"/>
        </w:rPr>
        <w:t>αντιμετωπίζει</w:t>
      </w:r>
      <w:r w:rsidR="00207E1E">
        <w:rPr>
          <w:lang w:eastAsia="en-US"/>
        </w:rPr>
        <w:t xml:space="preserve"> στη σύλληψη, ενώ ένα στα δέκα ζευγάρια ακολουθεί φαρμακευτική </w:t>
      </w:r>
      <w:r w:rsidR="00C92496">
        <w:rPr>
          <w:lang w:eastAsia="en-US"/>
        </w:rPr>
        <w:t>αγωγή</w:t>
      </w:r>
      <w:r w:rsidR="00207E1E">
        <w:rPr>
          <w:lang w:eastAsia="en-US"/>
        </w:rPr>
        <w:t xml:space="preserve"> προκειμένου να θεραπεύσει την υπογονιμότητά του. </w:t>
      </w:r>
    </w:p>
    <w:p w14:paraId="2C52C7F7" w14:textId="77777777" w:rsidR="00E36E3B" w:rsidRDefault="00E36E3B" w:rsidP="00E36E3B">
      <w:r>
        <w:rPr>
          <w:lang w:eastAsia="en-US"/>
        </w:rPr>
        <w:t>Η επιστημονική πρόοδος και οι επιπτώσε</w:t>
      </w:r>
      <w:r w:rsidR="003702ED">
        <w:rPr>
          <w:lang w:eastAsia="en-US"/>
        </w:rPr>
        <w:t xml:space="preserve">ις της στην καθημερινότητα των προσώπων που επιθυμούν να τεκνοποιήσουν, </w:t>
      </w:r>
      <w:r w:rsidR="00E46C6A">
        <w:rPr>
          <w:lang w:eastAsia="en-US"/>
        </w:rPr>
        <w:t xml:space="preserve">σε συνδυασμό με </w:t>
      </w:r>
      <w:r w:rsidR="003702ED">
        <w:rPr>
          <w:lang w:eastAsia="en-US"/>
        </w:rPr>
        <w:t xml:space="preserve">τυχόν προβλήματα που δημιουργούνται ή ελλείψεις και ανεπάρκειες που χρειάζεται να συμπληρωθούν </w:t>
      </w:r>
      <w:r w:rsidR="00BB1B04">
        <w:rPr>
          <w:lang w:eastAsia="en-US"/>
        </w:rPr>
        <w:t>αποτυπώνονται αναπόφευκτα τόσο στη νομοθετική ρύθμιση</w:t>
      </w:r>
      <w:r>
        <w:rPr>
          <w:lang w:eastAsia="en-US"/>
        </w:rPr>
        <w:t xml:space="preserve"> της πρακτικής της ιατρικά υποβοηθούμενης αναπαραγωγής </w:t>
      </w:r>
      <w:r w:rsidR="00BB1B04">
        <w:rPr>
          <w:lang w:eastAsia="en-US"/>
        </w:rPr>
        <w:t xml:space="preserve">και τη νομολογία που προκύπτει από την εφαρμογή της, όσο και στη θεωρία, η οποία σε πολλές περιπτώσεις έχει διαδραματίσει καθοριστικό ρόλο </w:t>
      </w:r>
      <w:r w:rsidR="00E46C6A">
        <w:rPr>
          <w:lang w:eastAsia="en-US"/>
        </w:rPr>
        <w:t>σ</w:t>
      </w:r>
      <w:r w:rsidR="00BB1B04">
        <w:rPr>
          <w:lang w:eastAsia="en-US"/>
        </w:rPr>
        <w:t xml:space="preserve">τη διαμόρφωση προτάσεων πολιτικής. </w:t>
      </w:r>
      <w:r>
        <w:rPr>
          <w:lang w:eastAsia="en-US"/>
        </w:rPr>
        <w:t xml:space="preserve">Σκοπός της παρούσας Έκθεσης είναι </w:t>
      </w:r>
      <w:r>
        <w:rPr>
          <w:lang w:val="en-US" w:eastAsia="en-US"/>
        </w:rPr>
        <w:t>να καταγράψει</w:t>
      </w:r>
      <w:r w:rsidR="003701DF">
        <w:rPr>
          <w:lang w:val="en-US" w:eastAsia="en-US"/>
        </w:rPr>
        <w:t>,</w:t>
      </w:r>
      <w:r>
        <w:rPr>
          <w:lang w:val="en-US" w:eastAsia="en-US"/>
        </w:rPr>
        <w:t xml:space="preserve"> </w:t>
      </w:r>
      <w:r w:rsidR="003701DF">
        <w:rPr>
          <w:lang w:val="en-US" w:eastAsia="en-US"/>
        </w:rPr>
        <w:t>καταρχάς,</w:t>
      </w:r>
      <w:r>
        <w:rPr>
          <w:lang w:val="en-US" w:eastAsia="en-US"/>
        </w:rPr>
        <w:t xml:space="preserve"> το γαλλικό νομοθετικό πλαίσιο που διέπει την ιατρικά υποβοηθούμενη αναπαραγωγή και την προστασία του εμβρύου </w:t>
      </w:r>
      <w:r w:rsidRPr="00AF74FE">
        <w:rPr>
          <w:i/>
          <w:lang w:val="en-US" w:eastAsia="en-US"/>
        </w:rPr>
        <w:t>in vitro</w:t>
      </w:r>
      <w:r>
        <w:rPr>
          <w:lang w:val="en-US" w:eastAsia="en-US"/>
        </w:rPr>
        <w:t xml:space="preserve">, </w:t>
      </w:r>
      <w:r w:rsidR="00B23875">
        <w:rPr>
          <w:lang w:val="en-US" w:eastAsia="en-US"/>
        </w:rPr>
        <w:t>σε ένα δεύτερο χρόνο</w:t>
      </w:r>
      <w:r>
        <w:rPr>
          <w:lang w:val="en-US" w:eastAsia="en-US"/>
        </w:rPr>
        <w:t xml:space="preserve"> </w:t>
      </w:r>
      <w:r>
        <w:rPr>
          <w:lang w:eastAsia="en-US"/>
        </w:rPr>
        <w:t>τη νομολογία των εθνικών δικαστηρίων</w:t>
      </w:r>
      <w:r w:rsidR="00B23875">
        <w:rPr>
          <w:lang w:eastAsia="en-US"/>
        </w:rPr>
        <w:t>,</w:t>
      </w:r>
      <w:r>
        <w:rPr>
          <w:lang w:eastAsia="en-US"/>
        </w:rPr>
        <w:t xml:space="preserve"> όπως αυτή διαμορφώθηκε τις τελευταίες δεκαετίες συνεπεία της εφαρμογής ή μη του ανωτέρω πλα</w:t>
      </w:r>
      <w:r w:rsidR="00B23875">
        <w:rPr>
          <w:lang w:eastAsia="en-US"/>
        </w:rPr>
        <w:t xml:space="preserve">ισίου και, τέλος, </w:t>
      </w:r>
      <w:r w:rsidR="00C92496">
        <w:rPr>
          <w:lang w:eastAsia="en-US"/>
        </w:rPr>
        <w:t>την αξιολό</w:t>
      </w:r>
      <w:r>
        <w:rPr>
          <w:lang w:eastAsia="en-US"/>
        </w:rPr>
        <w:t xml:space="preserve">γηση και των δύο από γάλλους επιστήμονες-πρόσωπα αναφοράς: νομικούς, ιατρούς και κοινωνιολόγους, </w:t>
      </w:r>
      <w:r w:rsidR="009C533A">
        <w:rPr>
          <w:lang w:eastAsia="en-US"/>
        </w:rPr>
        <w:t xml:space="preserve">οι οποίοι πέραν των διαπιστώσεων στις οποίες έχουν καταλήξει από την εμπειρία της εφαρμογής του προβλεπόμενου πλαισίου στην πράξη, προβαίνουν και σε προτάσεις </w:t>
      </w:r>
      <w:r w:rsidR="009C533A">
        <w:t>για την αποτελεσματικότερη</w:t>
      </w:r>
      <w:r w:rsidR="009C533A" w:rsidRPr="000317A2">
        <w:t xml:space="preserve"> αντιμετώπιση </w:t>
      </w:r>
      <w:r w:rsidR="009C533A">
        <w:t xml:space="preserve">τυχόν </w:t>
      </w:r>
      <w:r w:rsidR="009C533A" w:rsidRPr="000317A2">
        <w:t>προβλημάτων</w:t>
      </w:r>
      <w:r w:rsidR="009C533A">
        <w:t xml:space="preserve"> που ανακύπτουν στη Χώρα τους. Προβλήματα τα οποία, όπως θα δούμε, </w:t>
      </w:r>
      <w:r w:rsidR="00C92496">
        <w:t>άλλοτε</w:t>
      </w:r>
      <w:r w:rsidR="009C533A">
        <w:t xml:space="preserve"> οφείλονται στην υπάρχουσα νομοθεσία, </w:t>
      </w:r>
      <w:r w:rsidR="00C92496">
        <w:t>άλλοτε</w:t>
      </w:r>
      <w:r w:rsidR="009C533A">
        <w:t xml:space="preserve"> – πιο σπάνια – στον τρόπο εφαρμογής της και </w:t>
      </w:r>
      <w:r w:rsidR="00C92496">
        <w:t>άλλοτε</w:t>
      </w:r>
      <w:r w:rsidR="009C533A">
        <w:t xml:space="preserve"> στην έλλειψη νομοθεσίας. </w:t>
      </w:r>
    </w:p>
    <w:p w14:paraId="7ECE25B8" w14:textId="7ECCD5F3" w:rsidR="00292D59" w:rsidRDefault="001868C0" w:rsidP="00987E08">
      <w:r>
        <w:t xml:space="preserve">Η καταγραφή αυτή και επεξεργασία </w:t>
      </w:r>
      <w:r w:rsidR="00092090">
        <w:t>του ρυθμ</w:t>
      </w:r>
      <w:r w:rsidR="002E7C6C">
        <w:t>ιστικού πλαισίου της ιατρικά υπ</w:t>
      </w:r>
      <w:r w:rsidR="00092090">
        <w:t>οβ</w:t>
      </w:r>
      <w:r w:rsidR="002E7C6C">
        <w:t>ο</w:t>
      </w:r>
      <w:r w:rsidR="00092090">
        <w:t xml:space="preserve">ηθούμενης αναπαραγωγής </w:t>
      </w:r>
      <w:r w:rsidR="00987E08">
        <w:t xml:space="preserve">προϋποθέτει καταρχήν την κατανόηση των λόγων και των συνθηκών που οδήγησαν στην υιοθέτηση τόσο της σχετικής ειδικής νομοθεσίας και της αναθεώρησή της, όσο και των </w:t>
      </w:r>
      <w:r w:rsidR="00543555">
        <w:t>Κατευθυντήριων</w:t>
      </w:r>
      <w:r w:rsidR="002E7C6C">
        <w:t xml:space="preserve"> Οδηγιών ή άλλων </w:t>
      </w:r>
      <w:r w:rsidR="00543555">
        <w:t>Πράξεων που τη</w:t>
      </w:r>
      <w:r w:rsidR="00987E08">
        <w:t xml:space="preserve"> συμπληρώνουν (Ι). Η σύντομη αυτή εισαγωγή στο ειδικό νομοθετικό πλαίσιο της υποβοηθούμενης αναπαραγωγής ακολουθείται από μια αναλυτικότερη και εκτενέστερη παρουσίαση του ρυθμιστικού πλαισίου που διέπει την εφαρμογή των μεθόδων ιατρικά υποβοηθο</w:t>
      </w:r>
      <w:r w:rsidR="000D7268">
        <w:t>ύ</w:t>
      </w:r>
      <w:r w:rsidR="000D7268">
        <w:rPr>
          <w:vanish/>
        </w:rPr>
        <w:t>σε ζε﷽﷽﷽﷽﷽αρμογικοηρκή</w:t>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0D7268">
        <w:rPr>
          <w:vanish/>
        </w:rPr>
        <w:pgNum/>
      </w:r>
      <w:r w:rsidR="00987E08">
        <w:t>μενης</w:t>
      </w:r>
      <w:r w:rsidR="00292D59">
        <w:t xml:space="preserve"> αναπαραγωγής</w:t>
      </w:r>
      <w:r w:rsidR="006D01EA">
        <w:t xml:space="preserve"> τό</w:t>
      </w:r>
      <w:r w:rsidR="004A490E">
        <w:t>σο σε</w:t>
      </w:r>
      <w:r w:rsidR="006D01EA">
        <w:t xml:space="preserve"> ζευγάρια (ΙΙ), όσο και σε άλλα εναλλακτικά οικογ</w:t>
      </w:r>
      <w:r w:rsidR="002E7C6C">
        <w:t xml:space="preserve">ενειακά σχήματα – </w:t>
      </w:r>
      <w:r w:rsidR="00543555">
        <w:t xml:space="preserve">εάν και </w:t>
      </w:r>
      <w:r w:rsidR="006D01EA">
        <w:t xml:space="preserve">όπου </w:t>
      </w:r>
      <w:r w:rsidR="002E7C6C">
        <w:t>αυτό ασφαλώς</w:t>
      </w:r>
      <w:r w:rsidR="006D01EA">
        <w:t xml:space="preserve"> επιτρέπεται (</w:t>
      </w:r>
      <w:r w:rsidR="006D01EA">
        <w:rPr>
          <w:lang w:val="en-US"/>
        </w:rPr>
        <w:t>IV</w:t>
      </w:r>
      <w:r w:rsidR="006D01EA">
        <w:t>), για να συμπληρωθεί από τη διερεύνηση ειδικότερων μορφών ιατρικά υποβοηθούμενης αναπαραγωγής, όπως είναι η μεταθανάτια</w:t>
      </w:r>
      <w:r w:rsidR="00C25D14">
        <w:t xml:space="preserve"> ιατρικά υποβοηθούμενη</w:t>
      </w:r>
      <w:r w:rsidR="006D01EA">
        <w:t xml:space="preserve"> αναπαραγωγή ή η παρένθετη μητρότητα (ΙΙΙ). </w:t>
      </w:r>
    </w:p>
    <w:p w14:paraId="4589FFA0" w14:textId="77777777" w:rsidR="00985045" w:rsidRDefault="001D1BB0" w:rsidP="00987E08">
      <w:r>
        <w:t xml:space="preserve">Η εμβάθυνση του ειδικού νομοθετικού πλαισίου της ιατρικά υποβοηθούμενης αναπαραγωγής δε </w:t>
      </w:r>
      <w:r w:rsidR="00DF50C8">
        <w:t xml:space="preserve">δύναται, παρόλα αυτά, </w:t>
      </w:r>
      <w:r>
        <w:t>να περιοριστεί στην</w:t>
      </w:r>
      <w:r w:rsidR="004B3DA0">
        <w:t xml:space="preserve"> παρουσίαση των όρων πρόσβασης και των προϋποθέσεων </w:t>
      </w:r>
      <w:r>
        <w:t>εφαρμογής των μεθόδων</w:t>
      </w:r>
      <w:r w:rsidR="004B3DA0">
        <w:t xml:space="preserve"> υποβοηθούμενη</w:t>
      </w:r>
      <w:r>
        <w:t>ς</w:t>
      </w:r>
      <w:r w:rsidR="004B3DA0">
        <w:t xml:space="preserve"> αναπαραγωγή</w:t>
      </w:r>
      <w:r>
        <w:t xml:space="preserve">ς. </w:t>
      </w:r>
      <w:r w:rsidR="005B2582">
        <w:t>Η παρούσα Έκθεση</w:t>
      </w:r>
      <w:r>
        <w:t xml:space="preserve"> θα ήταν </w:t>
      </w:r>
      <w:r w:rsidR="00C92496">
        <w:t>ελλιπής</w:t>
      </w:r>
      <w:r>
        <w:t xml:space="preserve"> αν δεν έκανε</w:t>
      </w:r>
      <w:r w:rsidR="005B2582">
        <w:t xml:space="preserve"> αναφορά στα προβλεπόμενα </w:t>
      </w:r>
      <w:r w:rsidR="005B2582" w:rsidRPr="001D1BB0">
        <w:rPr>
          <w:i/>
          <w:lang w:val="en-US"/>
        </w:rPr>
        <w:t>standards</w:t>
      </w:r>
      <w:r w:rsidR="005B2582">
        <w:rPr>
          <w:lang w:val="en-US"/>
        </w:rPr>
        <w:t xml:space="preserve"> της ασφαλούς διεξαγωγής των μεθόδων της ιατρικά υποβοηθούμενης αναπαραγωγής, δεδομένου ότι πρόκειται για μία παράμετρο που </w:t>
      </w:r>
      <w:r w:rsidR="005B2582">
        <w:rPr>
          <w:lang w:val="en-US"/>
        </w:rPr>
        <w:lastRenderedPageBreak/>
        <w:t xml:space="preserve">συνδέεται </w:t>
      </w:r>
      <w:r w:rsidR="004B3DA0">
        <w:rPr>
          <w:lang w:val="en-US"/>
        </w:rPr>
        <w:t xml:space="preserve">άμεσα με την αποτελεσματική της εφαρμογή </w:t>
      </w:r>
      <w:r w:rsidR="00126D37">
        <w:rPr>
          <w:lang w:val="en-US"/>
        </w:rPr>
        <w:t xml:space="preserve">και τη διασφάλιση της επιτυχούς της έκβασης </w:t>
      </w:r>
      <w:r w:rsidR="005B2582">
        <w:rPr>
          <w:lang w:val="en-US"/>
        </w:rPr>
        <w:t>(V)</w:t>
      </w:r>
      <w:r w:rsidR="004B3DA0">
        <w:rPr>
          <w:lang w:val="en-US"/>
        </w:rPr>
        <w:t xml:space="preserve">. </w:t>
      </w:r>
      <w:r w:rsidR="00E33687">
        <w:rPr>
          <w:lang w:val="en-US"/>
        </w:rPr>
        <w:t xml:space="preserve">Eάν, </w:t>
      </w:r>
      <w:r w:rsidR="00E33687">
        <w:t xml:space="preserve">δε, </w:t>
      </w:r>
      <w:r w:rsidR="00E33687">
        <w:rPr>
          <w:lang w:val="en-US"/>
        </w:rPr>
        <w:t>φιλοδοξούμε να αποτυπώσουμε μια όσο το δυνατό πληρέστερη εικόνα της υποβοηθούμενης αναπαραγωγής στη Γαλλία σήμερα, τρισίμισυ περίπου δεκαετίες μετά τη γέννηση του πρώτου παιδιού με εξωσωματική γονι</w:t>
      </w:r>
      <w:r w:rsidR="00E33687">
        <w:t>μ</w:t>
      </w:r>
      <w:r w:rsidR="00E33687">
        <w:rPr>
          <w:lang w:val="en-US"/>
        </w:rPr>
        <w:t>οποίηση, ε</w:t>
      </w:r>
      <w:r>
        <w:rPr>
          <w:lang w:val="en-US"/>
        </w:rPr>
        <w:t>κ των ουκ άνευ επίσης είναι μια σε βάθος διερεύνηση των βιοηθικών προεκτάσεων άλλων θεματικών, εξίσου σημαντικών, που συνδέονται άρρηκτα μ</w:t>
      </w:r>
      <w:r w:rsidR="00931714">
        <w:rPr>
          <w:lang w:val="en-US"/>
        </w:rPr>
        <w:t>ε την υποβοηθούμενη αναπαραγωγή, και δη με το γεννητικό υλικό,</w:t>
      </w:r>
      <w:r>
        <w:rPr>
          <w:lang w:val="en-US"/>
        </w:rPr>
        <w:t xml:space="preserve"> όπως </w:t>
      </w:r>
      <w:r w:rsidRPr="00931714">
        <w:rPr>
          <w:i/>
          <w:lang w:val="en-US"/>
        </w:rPr>
        <w:t>inter alia</w:t>
      </w:r>
      <w:r>
        <w:rPr>
          <w:lang w:val="en-US"/>
        </w:rPr>
        <w:t xml:space="preserve"> </w:t>
      </w:r>
      <w:r w:rsidR="00931714">
        <w:t>η νομική φύση</w:t>
      </w:r>
      <w:r>
        <w:t xml:space="preserve"> του γεννητικού υλικού ή </w:t>
      </w:r>
      <w:r w:rsidR="00931714">
        <w:t>η ανωνυμία του δότη (</w:t>
      </w:r>
      <w:r w:rsidR="00931714">
        <w:rPr>
          <w:lang w:val="en-US"/>
        </w:rPr>
        <w:t>VI</w:t>
      </w:r>
      <w:r w:rsidR="00931714">
        <w:t xml:space="preserve">). </w:t>
      </w:r>
    </w:p>
    <w:p w14:paraId="5A2079A9" w14:textId="77777777" w:rsidR="00931714" w:rsidRPr="001D1BB0" w:rsidRDefault="00931714" w:rsidP="00987E08">
      <w:r>
        <w:t>Οι τελευτ</w:t>
      </w:r>
      <w:r w:rsidR="00E4020F">
        <w:t>αίες τρεις θεματικές της παρούσα</w:t>
      </w:r>
      <w:r>
        <w:t xml:space="preserve">ς Έκθεσης εστιάζονται κυρίως στα «οικονομικά» και τα «νομικά» της ιατρικά υποβοηθούμενης αναπαραγωγής. Ειδικότερα, διερευνάται το κόστος </w:t>
      </w:r>
      <w:r w:rsidRPr="00200D98">
        <w:t>διενέργειας των μεθόδων ιατρικής υποβοήθησης στ</w:t>
      </w:r>
      <w:r w:rsidR="00C92496" w:rsidRPr="00200D98">
        <w:t xml:space="preserve">ην </w:t>
      </w:r>
      <w:r w:rsidR="00836B40" w:rsidRPr="00200D98">
        <w:t xml:space="preserve">ανθρώπινη </w:t>
      </w:r>
      <w:r w:rsidR="00C92496" w:rsidRPr="00200D98">
        <w:t>αναπαραγωγή και οι προϋποθέσεις ασφαλιστικής τους κάλυψης -  εάν και όπου κάτι τέτοιο είναι δυνατό (</w:t>
      </w:r>
      <w:r w:rsidR="00C92496" w:rsidRPr="00200D98">
        <w:rPr>
          <w:lang w:val="en-US"/>
        </w:rPr>
        <w:t>VII</w:t>
      </w:r>
      <w:r w:rsidR="00C92496" w:rsidRPr="00200D98">
        <w:t>). Ακολούθως, επιχειρείται η μελέτη των νομικών προεκτάσεων της ιατρικά υποβοηθούμενης αναπαραγωγής τόσο στο αστικό δίκαιο και σε ό,τι αφορά στις σχέσεις συγγένειας που δημιουργούνται (</w:t>
      </w:r>
      <w:r w:rsidR="00C92496" w:rsidRPr="00200D98">
        <w:rPr>
          <w:lang w:val="en-US"/>
        </w:rPr>
        <w:t>VIII</w:t>
      </w:r>
      <w:r w:rsidR="00C92496" w:rsidRPr="00200D98">
        <w:t>), όσο και στο ιδιωτικό διεθνές δίκαιο και τα ζητήματα που προκύπτουν από τη διασυνοριακή αναπαραγωγή (</w:t>
      </w:r>
      <w:r w:rsidR="00C92496" w:rsidRPr="00200D98">
        <w:rPr>
          <w:lang w:val="en-US"/>
        </w:rPr>
        <w:t>IX</w:t>
      </w:r>
      <w:r w:rsidR="00C92496" w:rsidRPr="00200D98">
        <w:t>).</w:t>
      </w:r>
      <w:r w:rsidR="00C92496">
        <w:t xml:space="preserve">  </w:t>
      </w:r>
    </w:p>
    <w:p w14:paraId="2AE82EC0" w14:textId="77777777" w:rsidR="006D01EA" w:rsidRDefault="00987E08" w:rsidP="006D01EA">
      <w:pPr>
        <w:rPr>
          <w:b/>
          <w:noProof/>
          <w:szCs w:val="22"/>
        </w:rPr>
      </w:pPr>
      <w:r>
        <w:t xml:space="preserve"> </w:t>
      </w:r>
    </w:p>
    <w:p w14:paraId="285633E0" w14:textId="77777777" w:rsidR="00C63AD3" w:rsidRPr="00207E1E" w:rsidRDefault="00C63AD3" w:rsidP="00207E1E">
      <w:pPr>
        <w:rPr>
          <w:rFonts w:ascii="Arial" w:hAnsi="Arial" w:cs="Arial"/>
          <w:color w:val="424242"/>
          <w:sz w:val="26"/>
          <w:szCs w:val="26"/>
          <w:lang w:val="en-US" w:eastAsia="en-US"/>
        </w:rPr>
      </w:pPr>
    </w:p>
    <w:p w14:paraId="0E10CDBA" w14:textId="77777777" w:rsidR="00801C2A" w:rsidRDefault="00801C2A" w:rsidP="007C04BE">
      <w:pPr>
        <w:pStyle w:val="Heading1"/>
      </w:pPr>
      <w:bookmarkStart w:id="7" w:name="_Toc275535582"/>
      <w:bookmarkStart w:id="8" w:name="_Toc276574366"/>
      <w:r>
        <w:lastRenderedPageBreak/>
        <w:t xml:space="preserve">Ι. </w:t>
      </w:r>
      <w:r w:rsidR="003166EB">
        <w:t xml:space="preserve">ΤΟ </w:t>
      </w:r>
      <w:r>
        <w:t xml:space="preserve">ΝΟΜΟΘΕΤΙΚΟ ΠΛΑΙΣΙΟ </w:t>
      </w:r>
      <w:r w:rsidR="00382DE8">
        <w:t>ΤΗΣ</w:t>
      </w:r>
      <w:r>
        <w:t xml:space="preserve"> </w:t>
      </w:r>
      <w:r w:rsidR="00E74181">
        <w:t xml:space="preserve">ΙΑΤΡΙΚΑ </w:t>
      </w:r>
      <w:r>
        <w:t>ΥΠΟΒΟΗΘΟΥΜΕΝΗ</w:t>
      </w:r>
      <w:r w:rsidR="00382DE8">
        <w:t>Σ</w:t>
      </w:r>
      <w:r>
        <w:t xml:space="preserve"> ΑΝΑΠΑΡΑΓΩΓΗ</w:t>
      </w:r>
      <w:bookmarkEnd w:id="7"/>
      <w:r w:rsidR="00382DE8">
        <w:t>Σ</w:t>
      </w:r>
      <w:bookmarkEnd w:id="8"/>
    </w:p>
    <w:p w14:paraId="35B118A3" w14:textId="77777777" w:rsidR="007A72D8" w:rsidRDefault="007A72D8" w:rsidP="007A72D8">
      <w:r>
        <w:t xml:space="preserve">Η ιατρικά υποβοηθούμενη αναπαραγωγή </w:t>
      </w:r>
      <w:r w:rsidR="00382DE8">
        <w:t xml:space="preserve">διέπεται </w:t>
      </w:r>
      <w:r>
        <w:t xml:space="preserve">στη γαλλική έννομη τάξη από ειδικό νομοθετικό πλαίσιο, το οποίο περιλαμβάνει εκτός από τους </w:t>
      </w:r>
      <w:r w:rsidR="006E13EA">
        <w:t xml:space="preserve">Νόμους περί Βιοηθικής και σειρά άλλων κειμένων, νομοθετικής ή κανονιστικής ισχύος, που στόχο τους έχουν </w:t>
      </w:r>
      <w:r w:rsidR="00C83CEC">
        <w:t xml:space="preserve">τη συμπλήρωση των </w:t>
      </w:r>
      <w:r w:rsidR="006E13EA">
        <w:t>περί υποβο</w:t>
      </w:r>
      <w:r w:rsidR="00C83CEC">
        <w:t>ηθούμενης αναπαραγωγής διατάξεων</w:t>
      </w:r>
      <w:r w:rsidR="006E13EA">
        <w:t xml:space="preserve">. Πριν επιχειρήσουμε τη σε βάθος μελέτη της εν λόγω νομοθεσίας, κρίνεται αναγκαίο, για την καλύτερη κατανόησή της, να γίνει σύντομη αναφορά στις συνθήκες και το κλίμα που επικρατούσε κατά τη θέσπιση </w:t>
      </w:r>
      <w:r w:rsidR="00363987">
        <w:t xml:space="preserve">τόσο </w:t>
      </w:r>
      <w:r w:rsidR="006E13EA">
        <w:t>των πρώτων Νόμων περί Βιοηθικής (</w:t>
      </w:r>
      <w:r w:rsidR="003166EB">
        <w:t>Α</w:t>
      </w:r>
      <w:r w:rsidR="006E13EA">
        <w:t xml:space="preserve">), </w:t>
      </w:r>
      <w:r w:rsidR="00363987">
        <w:t>όσο</w:t>
      </w:r>
      <w:r w:rsidR="006E13EA">
        <w:t xml:space="preserve"> και </w:t>
      </w:r>
      <w:r w:rsidR="00363987">
        <w:t>των αναθεωρήσεών</w:t>
      </w:r>
      <w:r w:rsidR="003166EB">
        <w:t xml:space="preserve"> τους (Β</w:t>
      </w:r>
      <w:r w:rsidR="006E13EA">
        <w:t>). Παράλληλα, με τη σύντομη αυτή ιστορική αναδρομή επισημαίνονται και οι βασικότεροι άξονες ή καινοτόμα στοιχεία – εάν και όπου υπάρχουν – που εισήγαγε ο γάλλος νομοθέτης</w:t>
      </w:r>
      <w:r w:rsidR="00363987">
        <w:t xml:space="preserve"> με κάθε ν</w:t>
      </w:r>
      <w:r w:rsidR="00A45CC3">
        <w:t>ομοθετικό κείμενο ξεχωριστά</w:t>
      </w:r>
      <w:r w:rsidR="00254342">
        <w:t>.</w:t>
      </w:r>
      <w:r w:rsidR="006E13EA">
        <w:t xml:space="preserve"> </w:t>
      </w:r>
      <w:r w:rsidR="00193A40">
        <w:t xml:space="preserve">Η μελέτη της σχετικής νομοθεσίας, ωστόσο, δε θα ήταν πλήρης εάν δε συνοδευόταν από μια συνοπτική αναφορά στα λοιπά κείμενα που </w:t>
      </w:r>
      <w:r w:rsidR="00A45CC3">
        <w:t>την πλαισιώνουν</w:t>
      </w:r>
      <w:r w:rsidR="00193A40">
        <w:t xml:space="preserve"> και τα οποία είτε άσκησαν βαθύτατη επιρροή στη διαμόρφωσή</w:t>
      </w:r>
      <w:r w:rsidR="00254342">
        <w:t xml:space="preserve"> της</w:t>
      </w:r>
      <w:r w:rsidR="00193A40">
        <w:t>, είτε εξακολουθούν να κατευθύνουν τους επαγγελματίες υγ</w:t>
      </w:r>
      <w:r w:rsidR="003166EB">
        <w:t>είας ως προς την εφαρμογή της (Γ</w:t>
      </w:r>
      <w:r w:rsidR="00193A40">
        <w:t xml:space="preserve">). Για τον ίδιο λόγο, τέλος, στην παρούσα ενότητα επιχειρείται σύντομη παρουσίαση του τρόπου λειτουργίας και της αποστολής της αρμόδιας για την εποπτεία της ανωτέρω ειδικής νομοθεσίας Αρχής, </w:t>
      </w:r>
      <w:r w:rsidR="00254342">
        <w:t xml:space="preserve">ήτοι </w:t>
      </w:r>
      <w:r w:rsidR="00193A40">
        <w:t>του Οργανισμού Βιοϊατρικής (</w:t>
      </w:r>
      <w:r w:rsidR="003166EB">
        <w:t>Δ</w:t>
      </w:r>
      <w:r w:rsidR="00193A40">
        <w:t xml:space="preserve">). </w:t>
      </w:r>
    </w:p>
    <w:p w14:paraId="660AE44D" w14:textId="77777777" w:rsidR="00E64253" w:rsidRPr="007A72D8" w:rsidRDefault="00E64253" w:rsidP="00E64253">
      <w:pPr>
        <w:pStyle w:val="Heading2"/>
      </w:pPr>
      <w:bookmarkStart w:id="9" w:name="_Toc276574367"/>
      <w:r>
        <w:t>Α. Η θέσπιση των Νόμων περί Βιοηθικής</w:t>
      </w:r>
      <w:bookmarkEnd w:id="9"/>
      <w:r>
        <w:t xml:space="preserve"> </w:t>
      </w:r>
    </w:p>
    <w:p w14:paraId="4AE55BED" w14:textId="77777777" w:rsidR="00801C2A" w:rsidRDefault="00801C2A" w:rsidP="00801C2A">
      <w:r>
        <w:rPr>
          <w:rFonts w:eastAsia="Calibri"/>
          <w:lang w:eastAsia="en-US"/>
        </w:rPr>
        <w:t xml:space="preserve">Η Ιατρικά Υποβοηθούμενη Αναπαραγωγή </w:t>
      </w:r>
      <w:r>
        <w:t>(</w:t>
      </w:r>
      <w:r>
        <w:rPr>
          <w:i/>
          <w:lang w:val="fr-FR"/>
        </w:rPr>
        <w:t>Assistance</w:t>
      </w:r>
      <w:r w:rsidRPr="00801C2A">
        <w:rPr>
          <w:i/>
        </w:rPr>
        <w:t xml:space="preserve"> </w:t>
      </w:r>
      <w:r>
        <w:rPr>
          <w:i/>
          <w:lang w:val="fr-FR"/>
        </w:rPr>
        <w:t>M</w:t>
      </w:r>
      <w:r>
        <w:rPr>
          <w:i/>
        </w:rPr>
        <w:t>é</w:t>
      </w:r>
      <w:r>
        <w:rPr>
          <w:i/>
          <w:lang w:val="fr-FR"/>
        </w:rPr>
        <w:t>dicale</w:t>
      </w:r>
      <w:r>
        <w:rPr>
          <w:i/>
        </w:rPr>
        <w:t xml:space="preserve"> à </w:t>
      </w:r>
      <w:r>
        <w:rPr>
          <w:i/>
          <w:lang w:val="fr-FR"/>
        </w:rPr>
        <w:t>la</w:t>
      </w:r>
      <w:r w:rsidRPr="00801C2A">
        <w:rPr>
          <w:i/>
        </w:rPr>
        <w:t xml:space="preserve"> </w:t>
      </w:r>
      <w:r>
        <w:rPr>
          <w:i/>
          <w:lang w:val="fr-FR"/>
        </w:rPr>
        <w:t>Procr</w:t>
      </w:r>
      <w:r>
        <w:rPr>
          <w:i/>
        </w:rPr>
        <w:t>é</w:t>
      </w:r>
      <w:r>
        <w:rPr>
          <w:i/>
          <w:lang w:val="fr-FR"/>
        </w:rPr>
        <w:t>ation</w:t>
      </w:r>
      <w:r>
        <w:rPr>
          <w:i/>
        </w:rPr>
        <w:t xml:space="preserve"> – </w:t>
      </w:r>
      <w:r>
        <w:rPr>
          <w:i/>
          <w:lang w:val="fr-FR"/>
        </w:rPr>
        <w:t>AMP</w:t>
      </w:r>
      <w:r>
        <w:t xml:space="preserve">) ρυθμίστηκε στη Γαλλία για πρώτη φορά, </w:t>
      </w:r>
      <w:r>
        <w:rPr>
          <w:b/>
        </w:rPr>
        <w:t>το 1994, με τους Νόμους περί Βιοηθικής (</w:t>
      </w:r>
      <w:r>
        <w:rPr>
          <w:b/>
          <w:i/>
          <w:lang w:val="fr-FR"/>
        </w:rPr>
        <w:t>Lois</w:t>
      </w:r>
      <w:r w:rsidRPr="00801C2A">
        <w:rPr>
          <w:b/>
          <w:i/>
        </w:rPr>
        <w:t xml:space="preserve"> </w:t>
      </w:r>
      <w:r>
        <w:rPr>
          <w:b/>
          <w:i/>
          <w:lang w:val="en-US"/>
        </w:rPr>
        <w:t>de</w:t>
      </w:r>
      <w:r w:rsidRPr="00801C2A">
        <w:rPr>
          <w:b/>
          <w:i/>
        </w:rPr>
        <w:t xml:space="preserve"> </w:t>
      </w:r>
      <w:r>
        <w:rPr>
          <w:b/>
          <w:i/>
          <w:lang w:val="fr-FR"/>
        </w:rPr>
        <w:t>bio</w:t>
      </w:r>
      <w:r>
        <w:rPr>
          <w:b/>
          <w:i/>
        </w:rPr>
        <w:t>é</w:t>
      </w:r>
      <w:r>
        <w:rPr>
          <w:b/>
          <w:i/>
          <w:lang w:val="fr-FR"/>
        </w:rPr>
        <w:t>thique</w:t>
      </w:r>
      <w:r>
        <w:rPr>
          <w:b/>
        </w:rPr>
        <w:t>)</w:t>
      </w:r>
      <w:r>
        <w:t xml:space="preserve">, ήτοι το </w:t>
      </w:r>
      <w:r w:rsidRPr="008C2664">
        <w:rPr>
          <w:i/>
        </w:rPr>
        <w:t>Νόμο αριθ. 94-653 της 29</w:t>
      </w:r>
      <w:r w:rsidRPr="008C2664">
        <w:rPr>
          <w:i/>
          <w:vertAlign w:val="superscript"/>
        </w:rPr>
        <w:t>ης</w:t>
      </w:r>
      <w:r w:rsidRPr="008C2664">
        <w:rPr>
          <w:i/>
        </w:rPr>
        <w:t xml:space="preserve"> Ιουλίου 1994 σχετικά με το σε</w:t>
      </w:r>
      <w:r w:rsidR="00653769" w:rsidRPr="008C2664">
        <w:rPr>
          <w:i/>
        </w:rPr>
        <w:t>βασμό του ανθρωπί</w:t>
      </w:r>
      <w:r w:rsidRPr="008C2664">
        <w:rPr>
          <w:i/>
        </w:rPr>
        <w:t>νου σώματος</w:t>
      </w:r>
      <w:bookmarkStart w:id="10" w:name="_Ref397445952"/>
      <w:r>
        <w:rPr>
          <w:rStyle w:val="FootnoteReference"/>
        </w:rPr>
        <w:footnoteReference w:id="6"/>
      </w:r>
      <w:bookmarkEnd w:id="10"/>
      <w:r w:rsidR="00A44BD3">
        <w:t xml:space="preserve"> και το</w:t>
      </w:r>
      <w:r w:rsidRPr="00801C2A">
        <w:t xml:space="preserve"> </w:t>
      </w:r>
      <w:r w:rsidR="00A44BD3" w:rsidRPr="008C2664">
        <w:rPr>
          <w:i/>
        </w:rPr>
        <w:t>Νόμο αριθ. 94-654 της 29</w:t>
      </w:r>
      <w:r w:rsidR="00A44BD3" w:rsidRPr="008C2664">
        <w:rPr>
          <w:i/>
          <w:vertAlign w:val="superscript"/>
        </w:rPr>
        <w:t>ης</w:t>
      </w:r>
      <w:r w:rsidR="00A44BD3" w:rsidRPr="008C2664">
        <w:rPr>
          <w:i/>
        </w:rPr>
        <w:t xml:space="preserve"> Ιουλίου 1994 σχετικά με τη δωρεά</w:t>
      </w:r>
      <w:r w:rsidR="00A44BD3" w:rsidRPr="008C2664">
        <w:rPr>
          <w:b/>
          <w:i/>
        </w:rPr>
        <w:t xml:space="preserve"> </w:t>
      </w:r>
      <w:r w:rsidR="00A44BD3" w:rsidRPr="008C2664">
        <w:rPr>
          <w:i/>
        </w:rPr>
        <w:t>και τη χρήση των στοιχείων και των προϊόντων του ανθρωπίνου σώματος, την ιατρικά υποβοηθούμενη αναπαραγωγή και την προγεννητική διάγνωση</w:t>
      </w:r>
      <w:bookmarkStart w:id="12" w:name="_Ref397445985"/>
      <w:r w:rsidR="00A44BD3">
        <w:rPr>
          <w:rStyle w:val="FootnoteReference"/>
        </w:rPr>
        <w:footnoteReference w:id="7"/>
      </w:r>
      <w:bookmarkEnd w:id="12"/>
      <w:r w:rsidR="00A44BD3" w:rsidRPr="00A44BD3">
        <w:t xml:space="preserve">. </w:t>
      </w:r>
    </w:p>
    <w:p w14:paraId="5C0479E6" w14:textId="77777777" w:rsidR="00801C2A" w:rsidRDefault="00801C2A" w:rsidP="00801C2A">
      <w:r>
        <w:rPr>
          <w:lang w:val="en-US"/>
        </w:rPr>
        <w:t>H</w:t>
      </w:r>
      <w:r>
        <w:t xml:space="preserve"> συζήτηση σχετικά με την ανάγκη οριοθέτησης του νομοθετικού πλαισίου της ιατρικά υποβοηθούμενης αναπαραγωγής είχε, παρόλα αυτά, ανοίξει από τη δεκαετία του 1980.</w:t>
      </w:r>
      <w:r w:rsidR="00867C9E">
        <w:t xml:space="preserve"> </w:t>
      </w:r>
      <w:r w:rsidR="008C2664">
        <w:t xml:space="preserve">Όπως προαναφέρθηκε, το πρώτο «παιδί του σωλήνα» </w:t>
      </w:r>
      <w:r w:rsidR="008C2664" w:rsidRPr="008C2664">
        <w:t>(</w:t>
      </w:r>
      <w:r w:rsidR="008C2664" w:rsidRPr="008C2664">
        <w:rPr>
          <w:i/>
        </w:rPr>
        <w:t>bébé-éprouvette</w:t>
      </w:r>
      <w:r w:rsidR="008C2664" w:rsidRPr="008C2664">
        <w:t>)</w:t>
      </w:r>
      <w:r w:rsidR="008C2664">
        <w:t xml:space="preserve">, η </w:t>
      </w:r>
      <w:r w:rsidR="008C2664">
        <w:rPr>
          <w:lang w:val="en-US"/>
        </w:rPr>
        <w:t>Amandine</w:t>
      </w:r>
      <w:r w:rsidR="008C2664">
        <w:t>, γεννήθηκε στη Γαλλία το 1982</w:t>
      </w:r>
      <w:r w:rsidR="00867C9E">
        <w:t>. Τ</w:t>
      </w:r>
      <w:r w:rsidR="004358C2">
        <w:t xml:space="preserve">ο 1984, τα </w:t>
      </w:r>
      <w:r w:rsidR="004358C2" w:rsidRPr="00867C9E">
        <w:t>Κέντρ</w:t>
      </w:r>
      <w:r w:rsidR="00867C9E">
        <w:t>α</w:t>
      </w:r>
      <w:r w:rsidR="004358C2" w:rsidRPr="00867C9E">
        <w:t xml:space="preserve"> Μελέτης και Συντήρησης </w:t>
      </w:r>
      <w:r w:rsidR="0083348B">
        <w:t>Ανθρωπίνων</w:t>
      </w:r>
      <w:r w:rsidR="004358C2" w:rsidRPr="00867C9E">
        <w:t xml:space="preserve"> Ωαρίων και Σπέρματος (</w:t>
      </w:r>
      <w:r w:rsidR="004358C2" w:rsidRPr="00867C9E">
        <w:rPr>
          <w:i/>
          <w:lang w:val="fr-FR"/>
        </w:rPr>
        <w:t>Centre</w:t>
      </w:r>
      <w:r w:rsidR="00867C9E">
        <w:rPr>
          <w:i/>
          <w:lang w:val="en-US"/>
        </w:rPr>
        <w:t>s</w:t>
      </w:r>
      <w:r w:rsidR="004358C2" w:rsidRPr="00867C9E">
        <w:rPr>
          <w:i/>
        </w:rPr>
        <w:t xml:space="preserve"> </w:t>
      </w:r>
      <w:r w:rsidR="004358C2" w:rsidRPr="00867C9E">
        <w:rPr>
          <w:i/>
          <w:lang w:val="fr-FR"/>
        </w:rPr>
        <w:t>d</w:t>
      </w:r>
      <w:r w:rsidR="004358C2" w:rsidRPr="00867C9E">
        <w:rPr>
          <w:i/>
        </w:rPr>
        <w:t>’</w:t>
      </w:r>
      <w:r w:rsidR="004358C2" w:rsidRPr="00867C9E">
        <w:rPr>
          <w:i/>
          <w:lang w:val="fr-FR"/>
        </w:rPr>
        <w:t>Etude</w:t>
      </w:r>
      <w:r w:rsidR="004358C2" w:rsidRPr="00867C9E">
        <w:rPr>
          <w:i/>
        </w:rPr>
        <w:t xml:space="preserve"> </w:t>
      </w:r>
      <w:r w:rsidR="004358C2" w:rsidRPr="00867C9E">
        <w:rPr>
          <w:i/>
          <w:lang w:val="fr-FR"/>
        </w:rPr>
        <w:t>et</w:t>
      </w:r>
      <w:r w:rsidR="004358C2" w:rsidRPr="00867C9E">
        <w:rPr>
          <w:i/>
        </w:rPr>
        <w:t xml:space="preserve"> </w:t>
      </w:r>
      <w:r w:rsidR="004358C2" w:rsidRPr="00867C9E">
        <w:rPr>
          <w:i/>
          <w:lang w:val="fr-FR"/>
        </w:rPr>
        <w:t>de</w:t>
      </w:r>
      <w:r w:rsidR="004358C2" w:rsidRPr="00867C9E">
        <w:rPr>
          <w:i/>
        </w:rPr>
        <w:t xml:space="preserve"> </w:t>
      </w:r>
      <w:r w:rsidR="004358C2" w:rsidRPr="00867C9E">
        <w:rPr>
          <w:i/>
          <w:lang w:val="fr-FR"/>
        </w:rPr>
        <w:t>Conservation</w:t>
      </w:r>
      <w:r w:rsidR="004358C2" w:rsidRPr="00867C9E">
        <w:rPr>
          <w:i/>
        </w:rPr>
        <w:t xml:space="preserve"> </w:t>
      </w:r>
      <w:r w:rsidR="004358C2" w:rsidRPr="00867C9E">
        <w:rPr>
          <w:i/>
          <w:lang w:val="fr-FR"/>
        </w:rPr>
        <w:t>des</w:t>
      </w:r>
      <w:r w:rsidR="004358C2" w:rsidRPr="00867C9E">
        <w:rPr>
          <w:i/>
        </w:rPr>
        <w:t xml:space="preserve"> Œ</w:t>
      </w:r>
      <w:r w:rsidR="004358C2" w:rsidRPr="00867C9E">
        <w:rPr>
          <w:i/>
          <w:lang w:val="fr-FR"/>
        </w:rPr>
        <w:t>ufs</w:t>
      </w:r>
      <w:r w:rsidR="004358C2" w:rsidRPr="00867C9E">
        <w:rPr>
          <w:i/>
        </w:rPr>
        <w:t xml:space="preserve"> </w:t>
      </w:r>
      <w:r w:rsidR="004358C2" w:rsidRPr="00867C9E">
        <w:rPr>
          <w:i/>
          <w:lang w:val="fr-FR"/>
        </w:rPr>
        <w:t>et</w:t>
      </w:r>
      <w:r w:rsidR="004358C2" w:rsidRPr="00867C9E">
        <w:rPr>
          <w:i/>
        </w:rPr>
        <w:t xml:space="preserve"> </w:t>
      </w:r>
      <w:r w:rsidR="004358C2" w:rsidRPr="00867C9E">
        <w:rPr>
          <w:i/>
          <w:lang w:val="fr-FR"/>
        </w:rPr>
        <w:t>du</w:t>
      </w:r>
      <w:r w:rsidR="004358C2" w:rsidRPr="00867C9E">
        <w:rPr>
          <w:i/>
        </w:rPr>
        <w:t xml:space="preserve"> </w:t>
      </w:r>
      <w:r w:rsidR="004358C2" w:rsidRPr="00867C9E">
        <w:rPr>
          <w:i/>
          <w:lang w:val="fr-FR"/>
        </w:rPr>
        <w:t>Sperme</w:t>
      </w:r>
      <w:r w:rsidR="004358C2" w:rsidRPr="00867C9E">
        <w:rPr>
          <w:i/>
        </w:rPr>
        <w:t xml:space="preserve"> </w:t>
      </w:r>
      <w:r w:rsidR="004358C2" w:rsidRPr="00867C9E">
        <w:rPr>
          <w:i/>
          <w:lang w:val="fr-FR"/>
        </w:rPr>
        <w:t>humains</w:t>
      </w:r>
      <w:r w:rsidR="004358C2" w:rsidRPr="00867C9E">
        <w:rPr>
          <w:i/>
        </w:rPr>
        <w:t xml:space="preserve">, </w:t>
      </w:r>
      <w:r w:rsidR="004358C2" w:rsidRPr="00867C9E">
        <w:rPr>
          <w:i/>
          <w:lang w:val="fr-FR"/>
        </w:rPr>
        <w:t>CECOS</w:t>
      </w:r>
      <w:r w:rsidR="004358C2" w:rsidRPr="00867C9E">
        <w:t>)</w:t>
      </w:r>
      <w:r w:rsidR="00867C9E">
        <w:t xml:space="preserve"> γιόρταζαν ήδη τη δέκατη επέτειο λειτουργίας τους. Το 1985, </w:t>
      </w:r>
      <w:r w:rsidR="006E0938">
        <w:t xml:space="preserve">κατ’ εντολήν του Υπουργού Δικαιοσύνης </w:t>
      </w:r>
      <w:r w:rsidR="006E0938">
        <w:rPr>
          <w:lang w:val="en-US"/>
        </w:rPr>
        <w:t xml:space="preserve">Robert Badinter, </w:t>
      </w:r>
      <w:r w:rsidR="006E0938">
        <w:t xml:space="preserve">μια πρώτη Έκθεση εκπονήθηκε από την καθηγήτρια στο Πανεπιστήμιο Παρίσι ΙΙ, </w:t>
      </w:r>
      <w:r w:rsidR="006E0938">
        <w:rPr>
          <w:lang w:val="en-US"/>
        </w:rPr>
        <w:t xml:space="preserve">Michelle Gobert. Την ίδια χρονιά, </w:t>
      </w:r>
      <w:r w:rsidR="00867C9E">
        <w:t>διοργανώθηκε στο</w:t>
      </w:r>
      <w:r w:rsidR="00867C9E">
        <w:rPr>
          <w:i/>
        </w:rPr>
        <w:t xml:space="preserve"> </w:t>
      </w:r>
      <w:r w:rsidR="00867C9E">
        <w:t xml:space="preserve">Παρίσι </w:t>
      </w:r>
      <w:r w:rsidR="00867C9E" w:rsidRPr="00867C9E">
        <w:lastRenderedPageBreak/>
        <w:t xml:space="preserve">Συνέδριο με τίτλο </w:t>
      </w:r>
      <w:r w:rsidR="00867C9E" w:rsidRPr="00867C9E">
        <w:rPr>
          <w:i/>
        </w:rPr>
        <w:t>Génétique, Procréation et Droit</w:t>
      </w:r>
      <w:r w:rsidR="00867C9E" w:rsidRPr="00867C9E">
        <w:t xml:space="preserve"> (</w:t>
      </w:r>
      <w:r w:rsidR="00867C9E" w:rsidRPr="00867C9E">
        <w:rPr>
          <w:i/>
        </w:rPr>
        <w:t>Γενετική, Αναπαραγωγή και Δίκαιο)</w:t>
      </w:r>
      <w:r w:rsidR="00867C9E">
        <w:rPr>
          <w:i/>
        </w:rPr>
        <w:t>,</w:t>
      </w:r>
      <w:r w:rsidR="00867C9E" w:rsidRPr="00867C9E">
        <w:t xml:space="preserve"> συμ</w:t>
      </w:r>
      <w:r w:rsidR="00867C9E">
        <w:t xml:space="preserve">βάλλοντας σημαντικά, </w:t>
      </w:r>
      <w:r>
        <w:t>όπως αναφέρει ο Ομότιμος</w:t>
      </w:r>
      <w:r>
        <w:rPr>
          <w:b/>
        </w:rPr>
        <w:t xml:space="preserve"> </w:t>
      </w:r>
      <w:r>
        <w:t xml:space="preserve">Καθηγητής Ιατρικής στο Παν/μιο </w:t>
      </w:r>
      <w:r w:rsidR="008C2664">
        <w:t>των Παρισίων</w:t>
      </w:r>
      <w:r>
        <w:t xml:space="preserve"> </w:t>
      </w:r>
      <w:r>
        <w:rPr>
          <w:lang w:val="fr-FR"/>
        </w:rPr>
        <w:t>V</w:t>
      </w:r>
      <w:r>
        <w:t xml:space="preserve"> και μέλος της Εθνικής Ακαδημίας Ιατρικής, Pierre Jouannet, στη διαμόρφωση του δημοσίου διαλόγου σχετικά </w:t>
      </w:r>
      <w:r w:rsidR="00867C9E">
        <w:t>με το θέμα της ιατρικά υποβοηθούμενης αναπαραγωγής</w:t>
      </w:r>
      <w:r>
        <w:rPr>
          <w:rStyle w:val="FootnoteReference"/>
        </w:rPr>
        <w:footnoteReference w:id="8"/>
      </w:r>
      <w:r w:rsidR="00867C9E">
        <w:t xml:space="preserve">. </w:t>
      </w:r>
      <w:r w:rsidR="006E0938">
        <w:t>Ακολούθησε μια ακόμη Έκθεση που εκπονήθηκε από το Τμήμα Εκθέσεων και Μελετών του Συμβουλίου Επικρατείας, με τίτλο «Από την Ηθική στο Δίκαιο» (</w:t>
      </w:r>
      <w:r w:rsidR="006E0938" w:rsidRPr="006E0938">
        <w:rPr>
          <w:i/>
          <w:lang w:val="en-US"/>
        </w:rPr>
        <w:t>De l’Ethique au Droit</w:t>
      </w:r>
      <w:r w:rsidR="006E0938">
        <w:t xml:space="preserve">), οι συντάκτες της οποίας τάσσονταν υπέρ μιας νομοθετικής παρέμβασης για τη νομοθετική ρύθμιση της ιατρικά υποβοηθούμενης αναπαραγωγής. </w:t>
      </w:r>
      <w:r w:rsidR="00867C9E">
        <w:t xml:space="preserve">Λίγα </w:t>
      </w:r>
      <w:r>
        <w:t xml:space="preserve">χρόνια αργότερα, στις 11 Ιουνίου 1991, δημοσιεύθηκε η </w:t>
      </w:r>
      <w:r>
        <w:rPr>
          <w:rStyle w:val="hps"/>
          <w:b/>
        </w:rPr>
        <w:t xml:space="preserve">Έκθεση των </w:t>
      </w:r>
      <w:r>
        <w:rPr>
          <w:b/>
          <w:lang w:val="fr-FR"/>
        </w:rPr>
        <w:t>No</w:t>
      </w:r>
      <w:r>
        <w:rPr>
          <w:b/>
        </w:rPr>
        <w:t>ë</w:t>
      </w:r>
      <w:r>
        <w:rPr>
          <w:b/>
          <w:lang w:val="fr-FR"/>
        </w:rPr>
        <w:t>l</w:t>
      </w:r>
      <w:r>
        <w:rPr>
          <w:b/>
          <w:lang w:val="en-US"/>
        </w:rPr>
        <w:t>le</w:t>
      </w:r>
      <w:r w:rsidRPr="00801C2A">
        <w:rPr>
          <w:b/>
        </w:rPr>
        <w:t xml:space="preserve"> </w:t>
      </w:r>
      <w:r>
        <w:rPr>
          <w:b/>
          <w:lang w:val="fr-FR"/>
        </w:rPr>
        <w:t>Lenoir</w:t>
      </w:r>
      <w:r>
        <w:rPr>
          <w:b/>
        </w:rPr>
        <w:t xml:space="preserve">, </w:t>
      </w:r>
      <w:r>
        <w:rPr>
          <w:b/>
          <w:lang w:val="en-US"/>
        </w:rPr>
        <w:t>Bruno</w:t>
      </w:r>
      <w:r w:rsidRPr="00801C2A">
        <w:rPr>
          <w:b/>
        </w:rPr>
        <w:t xml:space="preserve"> </w:t>
      </w:r>
      <w:r>
        <w:rPr>
          <w:b/>
          <w:lang w:val="en-US"/>
        </w:rPr>
        <w:t>Sturl</w:t>
      </w:r>
      <w:r>
        <w:rPr>
          <w:b/>
        </w:rPr>
        <w:t>è</w:t>
      </w:r>
      <w:r>
        <w:rPr>
          <w:b/>
          <w:lang w:val="en-US"/>
        </w:rPr>
        <w:t>se</w:t>
      </w:r>
      <w:r w:rsidRPr="00801C2A">
        <w:rPr>
          <w:b/>
        </w:rPr>
        <w:t xml:space="preserve"> </w:t>
      </w:r>
      <w:r>
        <w:rPr>
          <w:b/>
        </w:rPr>
        <w:t xml:space="preserve">με τίτλο </w:t>
      </w:r>
      <w:r>
        <w:rPr>
          <w:b/>
          <w:i/>
        </w:rPr>
        <w:t>Στα σύνορα της ζωής: Έκθεση στον Πρωθυπουργό</w:t>
      </w:r>
      <w:r>
        <w:t xml:space="preserve">, η οποία και </w:t>
      </w:r>
      <w:r w:rsidR="00867C9E">
        <w:t>εκπονήθηκε κατ’ εντολήν της Κυβέ</w:t>
      </w:r>
      <w:r>
        <w:t>ρνηση</w:t>
      </w:r>
      <w:r w:rsidR="00867C9E">
        <w:t>ς</w:t>
      </w:r>
      <w:r>
        <w:rPr>
          <w:rStyle w:val="FootnoteReference"/>
        </w:rPr>
        <w:footnoteReference w:id="9"/>
      </w:r>
      <w:r>
        <w:t xml:space="preserve">. Η εν λόγω Έκθεση επεσήμανε, μεταξύ άλλων, την ανάγκη διασφάλισης της ελεύθερης συναίνεσης του ασθενούς προγενέστερα κάθε ιατρικής επέμβασης, καθώς επίσης και τη σημασία της προστασίας της γενετικής κληρονομιάς και της λήψης νομοθετικών μέτρων κατά της εμπορευματοποίησης του </w:t>
      </w:r>
      <w:r w:rsidR="00653769">
        <w:t>ανθρωπίνου</w:t>
      </w:r>
      <w:r>
        <w:t xml:space="preserve"> σώματος. Η σημαντικότερη συμβολή της, ωστόσο, </w:t>
      </w:r>
      <w:r w:rsidR="00A140EB">
        <w:t xml:space="preserve">η οποία άλλωστε </w:t>
      </w:r>
      <w:r>
        <w:t xml:space="preserve">την έχει καθιερώσει έως και σήμερα ως κείμενο-σημείο αναφοράς </w:t>
      </w:r>
      <w:r w:rsidR="00A140EB">
        <w:t>στο πεδίο της</w:t>
      </w:r>
      <w:r>
        <w:t xml:space="preserve"> υποβοηθούμενης αναπαραγωγής, συνίσταται στη σύστασή της για άμεση νομοθετική ρύθμιση της ιατρικά υποβοηθούμενης αναπαραγωγής στη Γαλλία.  </w:t>
      </w:r>
    </w:p>
    <w:p w14:paraId="32C54E7D" w14:textId="77777777" w:rsidR="006E0938" w:rsidRDefault="00801C2A" w:rsidP="00801C2A">
      <w:r>
        <w:t xml:space="preserve">Οι συστάσεις της Έκθεσης </w:t>
      </w:r>
      <w:r>
        <w:rPr>
          <w:lang w:val="fr-FR"/>
        </w:rPr>
        <w:t>Lenoir</w:t>
      </w:r>
      <w:r w:rsidR="006E0938">
        <w:t xml:space="preserve">, καθώς επίσης και οι διαπιστώσεις των προαναφερθέντων Εκθέσεων σε συνδυασμό με τα διδάγματα του Συγκριτικού Δικαίου (νομοθεσία Ισπανίας και </w:t>
      </w:r>
      <w:r w:rsidR="00976E6D">
        <w:t>Ηνωμένου Βασιλείου</w:t>
      </w:r>
      <w:r w:rsidR="006E0938">
        <w:t>)</w:t>
      </w:r>
      <w:r w:rsidR="00976E6D">
        <w:t xml:space="preserve"> συνέβαλαν σημαντικά στη διαμόρφωση συγκεκριμένων πολιτικών προτάσεων και, πιο συγκεκριμένα, στην κατά</w:t>
      </w:r>
      <w:r w:rsidR="00466442">
        <w:t>θεση</w:t>
      </w:r>
      <w:r w:rsidR="00466442" w:rsidRPr="00466442">
        <w:t xml:space="preserve"> </w:t>
      </w:r>
      <w:r w:rsidR="00466442">
        <w:t xml:space="preserve">ενώπιον της Εθνικής Συνέλευσης, </w:t>
      </w:r>
      <w:r w:rsidR="00976E6D">
        <w:t xml:space="preserve">το Μάρτιο </w:t>
      </w:r>
      <w:r w:rsidR="00466442">
        <w:t xml:space="preserve">του </w:t>
      </w:r>
      <w:r w:rsidR="00976E6D">
        <w:t>1992</w:t>
      </w:r>
      <w:r w:rsidR="00466442">
        <w:t>,</w:t>
      </w:r>
      <w:r w:rsidR="00976E6D">
        <w:t xml:space="preserve"> τριών σχεδίων νόμου</w:t>
      </w:r>
      <w:r w:rsidR="00976E6D">
        <w:rPr>
          <w:rStyle w:val="FootnoteReference"/>
        </w:rPr>
        <w:footnoteReference w:id="10"/>
      </w:r>
      <w:r w:rsidR="00466442">
        <w:t xml:space="preserve">: </w:t>
      </w:r>
    </w:p>
    <w:p w14:paraId="5660D465" w14:textId="77777777" w:rsidR="00F21821" w:rsidRDefault="00466442" w:rsidP="00F21821">
      <w:pPr>
        <w:numPr>
          <w:ilvl w:val="0"/>
          <w:numId w:val="25"/>
        </w:numPr>
        <w:tabs>
          <w:tab w:val="left" w:pos="567"/>
        </w:tabs>
        <w:ind w:left="0" w:hanging="11"/>
      </w:pPr>
      <w:r>
        <w:t xml:space="preserve">το Σχέδιο Νόμου αριθ. 2599, που εκπονήθηκε και κατατέθηκε στην Εθνική Συνέλευση από το Υπουργείο Δικαιοσύνης, σχετικά με το ανθρώπινο σώμα, </w:t>
      </w:r>
      <w:r w:rsidR="00CC5100">
        <w:t>αναθεωρώντας τον Αστικό</w:t>
      </w:r>
      <w:r>
        <w:t xml:space="preserve"> Κώδικα</w:t>
      </w:r>
      <w:r w:rsidR="001C6698">
        <w:rPr>
          <w:rStyle w:val="FootnoteReference"/>
        </w:rPr>
        <w:footnoteReference w:id="11"/>
      </w:r>
      <w:r>
        <w:t xml:space="preserve">, </w:t>
      </w:r>
    </w:p>
    <w:p w14:paraId="5BC10F5D" w14:textId="77777777" w:rsidR="00F21821" w:rsidRDefault="00466442" w:rsidP="00F21821">
      <w:pPr>
        <w:numPr>
          <w:ilvl w:val="0"/>
          <w:numId w:val="25"/>
        </w:numPr>
        <w:tabs>
          <w:tab w:val="left" w:pos="567"/>
        </w:tabs>
        <w:ind w:left="0" w:hanging="11"/>
      </w:pPr>
      <w:r>
        <w:t>το Σχέδιο Νόμου αριθ. 2600, που εκπονήθηκε και κατατέθηκε από το Υπουργείο Κοινωνικών Υποθέσεων, σχετικά με τη δωρεά και τη χρήση των στοιχείων και προϊόντων του ανθρωπίνου σώματος και την ιατρικά υποβοηθούμενη αναπαραγωγή</w:t>
      </w:r>
      <w:r w:rsidR="00B716CB">
        <w:t xml:space="preserve">, </w:t>
      </w:r>
      <w:r w:rsidR="009D08CD">
        <w:t>αναθεωρώντας τον</w:t>
      </w:r>
      <w:r w:rsidR="00B716CB">
        <w:t xml:space="preserve"> Κώδικα Δημόσιας Υγείας</w:t>
      </w:r>
      <w:r w:rsidR="005259A2">
        <w:rPr>
          <w:rStyle w:val="FootnoteReference"/>
        </w:rPr>
        <w:footnoteReference w:id="12"/>
      </w:r>
      <w:r w:rsidR="00B716CB">
        <w:t xml:space="preserve">, </w:t>
      </w:r>
    </w:p>
    <w:p w14:paraId="18775979" w14:textId="77777777" w:rsidR="00B716CB" w:rsidRPr="00FA1928" w:rsidRDefault="00B716CB" w:rsidP="00F21821">
      <w:pPr>
        <w:numPr>
          <w:ilvl w:val="0"/>
          <w:numId w:val="25"/>
        </w:numPr>
        <w:tabs>
          <w:tab w:val="left" w:pos="567"/>
        </w:tabs>
        <w:ind w:left="0" w:hanging="11"/>
      </w:pPr>
      <w:r>
        <w:lastRenderedPageBreak/>
        <w:t xml:space="preserve">το Σχέδιο Νόμου αριθ. 2601, που εκπονήθηκε και κατατέθηκε από το αρμόδιο για την Επιστημονική Έρευνα Υπουργείο, σχετικά με την επεξεργασία των προσωπικών δεδομένων με σκοπό την έρευνα για την προστασία ή τη βελτίωση της υγείας και το οποίο τροποποιούσε το </w:t>
      </w:r>
      <w:r w:rsidRPr="00FA1928">
        <w:t>νόμο της 6</w:t>
      </w:r>
      <w:r w:rsidRPr="00F21821">
        <w:rPr>
          <w:vertAlign w:val="superscript"/>
        </w:rPr>
        <w:t>ης</w:t>
      </w:r>
      <w:r w:rsidRPr="00FA1928">
        <w:t xml:space="preserve"> Ιανουαρί</w:t>
      </w:r>
      <w:r w:rsidR="0062398C" w:rsidRPr="00FA1928">
        <w:t>ου 1978 σχετι</w:t>
      </w:r>
      <w:r w:rsidRPr="00FA1928">
        <w:t>κά με την πληροφορική, τα αρχεία και τις ελευθερίες</w:t>
      </w:r>
      <w:r w:rsidR="00945A4E">
        <w:rPr>
          <w:rStyle w:val="FootnoteReference"/>
        </w:rPr>
        <w:footnoteReference w:id="13"/>
      </w:r>
      <w:r w:rsidRPr="00FA1928">
        <w:t xml:space="preserve">. </w:t>
      </w:r>
    </w:p>
    <w:p w14:paraId="35B04602" w14:textId="17F8E665" w:rsidR="00801C2A" w:rsidRDefault="008F154F" w:rsidP="00F21821">
      <w:r w:rsidRPr="00FA1928">
        <w:t>Τα τρία αυτά σχέδια νόμου είναι που οδήγησαν στην εκπόνηση μιας νέας Έκθεσης από την Ειδική Επιτροπή που είχε επιφορτιστεί με την εξέτασή τους στα πλαίσια της Εθνικής Συνέλευσης και, τελικά, δύο</w:t>
      </w:r>
      <w:r w:rsidR="00801C2A" w:rsidRPr="00FA1928">
        <w:t xml:space="preserve"> χρόνια αργότερα, τον Ιούλιο 1994, </w:t>
      </w:r>
      <w:r w:rsidR="00D84F7D">
        <w:t xml:space="preserve">κατέληξαν </w:t>
      </w:r>
      <w:r w:rsidRPr="00FA1928">
        <w:t>σ</w:t>
      </w:r>
      <w:r w:rsidR="00A44BD3" w:rsidRPr="00FA1928">
        <w:t>τα</w:t>
      </w:r>
      <w:r w:rsidR="00801C2A" w:rsidRPr="00FA1928">
        <w:t xml:space="preserve"> δύο πολύ σημαντικά νομοθετικά κείμενα</w:t>
      </w:r>
      <w:r w:rsidR="00A44BD3" w:rsidRPr="00FA1928">
        <w:t xml:space="preserve"> που προαναφέρθηκαν</w:t>
      </w:r>
      <w:r w:rsidR="00801C2A" w:rsidRPr="00FA1928">
        <w:t xml:space="preserve">: το </w:t>
      </w:r>
      <w:r w:rsidR="00801C2A" w:rsidRPr="00FA1928">
        <w:rPr>
          <w:i/>
        </w:rPr>
        <w:t>Νόμο αριθ. 94-653 της 29</w:t>
      </w:r>
      <w:r w:rsidR="00801C2A" w:rsidRPr="00FA1928">
        <w:rPr>
          <w:i/>
          <w:vertAlign w:val="superscript"/>
        </w:rPr>
        <w:t>ης</w:t>
      </w:r>
      <w:r w:rsidR="00801C2A" w:rsidRPr="00FA1928">
        <w:rPr>
          <w:i/>
        </w:rPr>
        <w:t xml:space="preserve"> Ιουλίου 1994 σχετικά με το σεβασμό του </w:t>
      </w:r>
      <w:r w:rsidR="00653769" w:rsidRPr="00FA1928">
        <w:rPr>
          <w:i/>
        </w:rPr>
        <w:t>ανθρωπίνου</w:t>
      </w:r>
      <w:r w:rsidR="00801C2A" w:rsidRPr="00FA1928">
        <w:rPr>
          <w:i/>
        </w:rPr>
        <w:t xml:space="preserve"> σώματος</w:t>
      </w:r>
      <w:r w:rsidR="00801C2A" w:rsidRPr="00FA1928">
        <w:t xml:space="preserve"> και το </w:t>
      </w:r>
      <w:r w:rsidR="00801C2A" w:rsidRPr="00FA1928">
        <w:rPr>
          <w:i/>
        </w:rPr>
        <w:t>Νόμο αριθ. 94-654 της 29</w:t>
      </w:r>
      <w:r w:rsidR="00801C2A" w:rsidRPr="00FA1928">
        <w:rPr>
          <w:i/>
          <w:vertAlign w:val="superscript"/>
        </w:rPr>
        <w:t>ης</w:t>
      </w:r>
      <w:r w:rsidR="00801C2A" w:rsidRPr="00FA1928">
        <w:rPr>
          <w:i/>
        </w:rPr>
        <w:t xml:space="preserve"> Ιουλίου 1994 σχετικά με τη δωρεά</w:t>
      </w:r>
      <w:r w:rsidR="00801C2A" w:rsidRPr="00FA1928">
        <w:rPr>
          <w:b/>
          <w:i/>
        </w:rPr>
        <w:t xml:space="preserve"> </w:t>
      </w:r>
      <w:r w:rsidR="00801C2A" w:rsidRPr="00FA1928">
        <w:rPr>
          <w:i/>
        </w:rPr>
        <w:t xml:space="preserve">και τη χρήση των στοιχείων και των προϊόντων του </w:t>
      </w:r>
      <w:r w:rsidR="00653769" w:rsidRPr="00FA1928">
        <w:rPr>
          <w:i/>
        </w:rPr>
        <w:t>ανθρωπίνου</w:t>
      </w:r>
      <w:r w:rsidR="00801C2A" w:rsidRPr="00FA1928">
        <w:rPr>
          <w:i/>
        </w:rPr>
        <w:t xml:space="preserve"> σώματος, την ιατρικά υποβοηθούμενη αναπαραγωγή και την προγεννητική διάγνωση</w:t>
      </w:r>
      <w:r w:rsidR="00801C2A" w:rsidRPr="00FA1928">
        <w:rPr>
          <w:rStyle w:val="FootnoteReference"/>
        </w:rPr>
        <w:footnoteReference w:id="14"/>
      </w:r>
      <w:r w:rsidR="00801C2A" w:rsidRPr="00FA1928">
        <w:t xml:space="preserve">. Ο πρώτος ερείδεται σε δύο θεμελιώδεις αρχές: το απαραβίαστο του </w:t>
      </w:r>
      <w:r w:rsidR="00653769" w:rsidRPr="00FA1928">
        <w:t>ανθρωπίνου</w:t>
      </w:r>
      <w:r w:rsidR="00801C2A" w:rsidRPr="00FA1928">
        <w:t xml:space="preserve"> σώματος και </w:t>
      </w:r>
      <w:r w:rsidR="00795702" w:rsidRPr="00FA1928">
        <w:t>την απαγόρευση εμπορευματοποίησή</w:t>
      </w:r>
      <w:r w:rsidR="00801C2A" w:rsidRPr="00FA1928">
        <w:t>ς του, ενώ ο δεύτερος δίνει ιδιαίτερη έμφαση στην υποχρ</w:t>
      </w:r>
      <w:r w:rsidR="00795702" w:rsidRPr="00FA1928">
        <w:t xml:space="preserve">έωση προγενέστερης συναίνεσης, </w:t>
      </w:r>
      <w:r w:rsidR="00801C2A" w:rsidRPr="00FA1928">
        <w:t>την άνευ ανταλλάγματος δω</w:t>
      </w:r>
      <w:r w:rsidR="00436774" w:rsidRPr="00FA1928">
        <w:t xml:space="preserve">ρεά γεννητικού υλικού, </w:t>
      </w:r>
      <w:r w:rsidR="00801C2A" w:rsidRPr="00FA1928">
        <w:t>την τήρηση της ανωνυμίας των δοτών, καθώς επίσης και το σεβασμό των κανόνων υγειονομικής ασφάλειας</w:t>
      </w:r>
      <w:r w:rsidR="00801C2A" w:rsidRPr="00FA1928">
        <w:rPr>
          <w:rStyle w:val="FootnoteReference"/>
        </w:rPr>
        <w:footnoteReference w:id="15"/>
      </w:r>
      <w:r w:rsidR="00801C2A" w:rsidRPr="00FA1928">
        <w:t>.</w:t>
      </w:r>
      <w:r w:rsidR="00801C2A">
        <w:t xml:space="preserve"> </w:t>
      </w:r>
    </w:p>
    <w:p w14:paraId="467A8667" w14:textId="77777777" w:rsidR="00801C2A" w:rsidRDefault="00801C2A" w:rsidP="00801C2A">
      <w:r>
        <w:t xml:space="preserve">Σε ό,τι αφορά στο ευρύτερο πολιτικό κλίμα που επικρατούσε πριν και κατά το χρονικό διάστημα της υιοθέτησης της σχετικής νομοθεσίας, κρίνεται σημαντικό να γίνει ειδικότερη αναφορά στην πολιτική συγκυρία της περιόδου εκείνης. Όπως αναφέρει ο Καθηγητής </w:t>
      </w:r>
      <w:r w:rsidR="00CE192B">
        <w:t>της</w:t>
      </w:r>
      <w:r>
        <w:t xml:space="preserve"> Ιατρική</w:t>
      </w:r>
      <w:r w:rsidR="00CE192B">
        <w:t>ς</w:t>
      </w:r>
      <w:r>
        <w:t xml:space="preserve"> Σχολή</w:t>
      </w:r>
      <w:r w:rsidR="00CE192B">
        <w:t>ς</w:t>
      </w:r>
      <w:r>
        <w:t xml:space="preserve"> του Παν/μίου της Λυών και Πρόεδρος της Επιτροπής Ηθικής της Γαλλικής Ομοσπονδίας των Κέντρων Μελέτης και Συντήρησης </w:t>
      </w:r>
      <w:r w:rsidR="0083348B">
        <w:t>Ανθρωπίνων</w:t>
      </w:r>
      <w:r>
        <w:t xml:space="preserve"> Ωαρίων και Σπέρματος (</w:t>
      </w:r>
      <w:r>
        <w:rPr>
          <w:i/>
        </w:rPr>
        <w:t>CECOS</w:t>
      </w:r>
      <w:r>
        <w:t xml:space="preserve">), Jean-Francois Guerin, τη νομοθετική πρωτοβουλία για τους </w:t>
      </w:r>
      <w:r>
        <w:rPr>
          <w:i/>
        </w:rPr>
        <w:t>Νόμους περί Βιοηθικής</w:t>
      </w:r>
      <w:r>
        <w:t xml:space="preserve"> είχε η σοσιαλιστική Κυβέρνηση επί Προεδρίας François Mitterrand</w:t>
      </w:r>
      <w:r>
        <w:rPr>
          <w:rStyle w:val="FootnoteReference"/>
        </w:rPr>
        <w:footnoteReference w:id="16"/>
      </w:r>
      <w:r>
        <w:t>. Η αλλαγή του πολιτικού σκηνικού στη Γαλλία, ωστόσο, το 1993 και ο ερχομός της δεύτερης πολιτικής συγκατοίκησης με πιο συντηρητική κυβέρνηση από το χώρο της δεξιάς (Κυβέρνηση E. Balladur) είχε ως αποτέλε</w:t>
      </w:r>
      <w:r w:rsidR="009C68B5">
        <w:t>σμα να επέλθουν στα</w:t>
      </w:r>
      <w:r>
        <w:t xml:space="preserve"> προς ψήφιση </w:t>
      </w:r>
      <w:r w:rsidR="009C68B5">
        <w:t>σχέδια νόμου</w:t>
      </w:r>
      <w:r>
        <w:t xml:space="preserve"> σημαντικές τροποποιήσεις σε καίρια σημεία του</w:t>
      </w:r>
      <w:r w:rsidR="009C68B5">
        <w:t xml:space="preserve">ς, </w:t>
      </w:r>
      <w:r>
        <w:t xml:space="preserve">όπως π.χ. σχετικά με την κρυοσυντήρηση </w:t>
      </w:r>
      <w:r w:rsidR="007936CA">
        <w:t>των εμβρύων</w:t>
      </w:r>
      <w:r>
        <w:t xml:space="preserve">. Μια ομάδα βουλευτών, μάλιστα, είχε προτείνει να απαγορευτεί εντελώς. Προκρίθηκε τελικά μια ενδιάμεση, μάλλον παράδοξη – και σίγουρα χωρίς λογική, όπως υποστηρίζει ο Καθηγητής </w:t>
      </w:r>
      <w:r>
        <w:lastRenderedPageBreak/>
        <w:t>Jean-Francois Guerin – λύση: θα ήταν δυνατή η κρυοσυντήρηση του εμβρύου, αλλά θα απαγορε</w:t>
      </w:r>
      <w:r w:rsidR="007936CA">
        <w:t xml:space="preserve">υόταν η καταστροφή του. Η αιτιολογική σκέψη πίσω από την επιλογή αυτή βασιζόταν στο γεγονός ότι η ρύθμιση θα είχε «προσωρινό» χαρακτήρα και θα ετίθετο σε εφαρμογή </w:t>
      </w:r>
      <w:r w:rsidR="00B44016">
        <w:t xml:space="preserve">για μια δοκιμαστική περίοδο, με τη δυνατότητα, αν κρινόταν αναγκαίο, </w:t>
      </w:r>
      <w:r>
        <w:t>να καταρ</w:t>
      </w:r>
      <w:r w:rsidR="007936CA">
        <w:t>γηθεί</w:t>
      </w:r>
      <w:r>
        <w:t xml:space="preserve"> η εν λόγω διάταξη ή να βελτι</w:t>
      </w:r>
      <w:r w:rsidR="007936CA">
        <w:t xml:space="preserve">ωθεί κατά την αναθεώρηση του νόμου, </w:t>
      </w:r>
      <w:r>
        <w:t xml:space="preserve">που θα </w:t>
      </w:r>
      <w:r w:rsidR="00B44016">
        <w:t>λάμβανε</w:t>
      </w:r>
      <w:r>
        <w:t xml:space="preserve"> χώρα εντός χρονικού διαστήματος πέντε (5) ετών. </w:t>
      </w:r>
      <w:r w:rsidR="00B44016">
        <w:t>Η</w:t>
      </w:r>
      <w:r>
        <w:t xml:space="preserve"> αναθεώρηση</w:t>
      </w:r>
      <w:r w:rsidR="00B44016">
        <w:t>, ωστόσο, αυτή έγινε</w:t>
      </w:r>
      <w:r>
        <w:t xml:space="preserve"> τελικά δέκα (10) χρόνια μετά, το 2004</w:t>
      </w:r>
      <w:r w:rsidR="009C68B5">
        <w:rPr>
          <w:rStyle w:val="FootnoteReference"/>
        </w:rPr>
        <w:footnoteReference w:id="17"/>
      </w:r>
      <w:r>
        <w:t>.</w:t>
      </w:r>
      <w:r w:rsidR="00B44016">
        <w:t xml:space="preserve"> </w:t>
      </w:r>
      <w:r>
        <w:t xml:space="preserve">Σύμφωνα μάλιστα με τον Καθηγητή Jean-Francois Guerin, η Ένωση των Βιολόγων </w:t>
      </w:r>
      <w:r>
        <w:rPr>
          <w:lang w:val="fr-FR"/>
        </w:rPr>
        <w:t>BLEFCO</w:t>
      </w:r>
      <w:r>
        <w:rPr>
          <w:rStyle w:val="FootnoteReference"/>
          <w:lang w:val="fr-FR"/>
        </w:rPr>
        <w:footnoteReference w:id="18"/>
      </w:r>
      <w:r>
        <w:t>, μπροστά στην παραδοξότητα της πρόβλεψης του νόμου, αποφάσισε να μην υπακούει στις διατάξεις του και υπό προϋποθέσεις προέβαινε σε καταστροφή των κρυοσυντηρημένων εμβρύων. Όλο αυτό, όμως, όπως είναι λογικό, στοίχισε στη Γαλλία 10 χρόνια έρευνας</w:t>
      </w:r>
      <w:r>
        <w:rPr>
          <w:rStyle w:val="FootnoteReference"/>
        </w:rPr>
        <w:footnoteReference w:id="19"/>
      </w:r>
      <w:r>
        <w:t>.</w:t>
      </w:r>
    </w:p>
    <w:p w14:paraId="658308CA" w14:textId="77777777" w:rsidR="00801C2A" w:rsidRDefault="00801C2A" w:rsidP="00801C2A">
      <w:r>
        <w:t>Η αλήθεια είναι, όπως αναφέρει και η Καθηγήτρια Κοινωνιολογίας και Διευθύντρια έρευνας (</w:t>
      </w:r>
      <w:r>
        <w:rPr>
          <w:i/>
        </w:rPr>
        <w:t>Directrice de recherche</w:t>
      </w:r>
      <w:r>
        <w:t xml:space="preserve">) στο CNRS, Simone Bateman, </w:t>
      </w:r>
      <w:r w:rsidR="00B44016">
        <w:t xml:space="preserve">ότι κατά την περίοδο εκείνη που λάμβαναν χώρα οι κοινοβουλευτικές συζητήσεις για την ψήφιση των Νόμων του 1994, </w:t>
      </w:r>
      <w:r>
        <w:t>πολλές και σημαντικές πιέσεις ασκήθηκαν στο νομοθέτη από όλες τις πλευρές: από την Εκκλησία,</w:t>
      </w:r>
      <w:r w:rsidR="00B44016">
        <w:t xml:space="preserve"> από</w:t>
      </w:r>
      <w:r>
        <w:t xml:space="preserve"> φεμινιστικές οργανώσεις, </w:t>
      </w:r>
      <w:r w:rsidR="00B44016">
        <w:t xml:space="preserve">από </w:t>
      </w:r>
      <w:r>
        <w:t>ιατρικούς συλλόγους, καθώς επίσης και</w:t>
      </w:r>
      <w:r w:rsidR="00B44016">
        <w:t xml:space="preserve"> από</w:t>
      </w:r>
      <w:r>
        <w:t xml:space="preserve"> κέντρα ιατρικά υποβοηθούμενης αναπαραγωγής. Το γεγονός αυτό μάλιστα οδήγησε το νομοθέτη σε ένα συμβιβασμό των διαφόρων θέσεων που υποστηρίζονταν από τους ανωτέρω φορείς</w:t>
      </w:r>
      <w:r>
        <w:rPr>
          <w:rStyle w:val="FootnoteReference"/>
          <w:rFonts w:cs="TimesNewRomanPSMT"/>
        </w:rPr>
        <w:footnoteReference w:id="20"/>
      </w:r>
      <w:r>
        <w:t xml:space="preserve">. </w:t>
      </w:r>
      <w:r w:rsidR="00023342">
        <w:t xml:space="preserve">Πάντως, κατά κοινή ομολογία – όπως είναι και αναμενόμενο – </w:t>
      </w:r>
      <w:r>
        <w:t xml:space="preserve">οι γιατροί είναι </w:t>
      </w:r>
      <w:r w:rsidR="00023342">
        <w:t>εκείνοι</w:t>
      </w:r>
      <w:r>
        <w:t xml:space="preserve"> που άσκησαν τις μεγαλύτερες πιέσεις, </w:t>
      </w:r>
      <w:r w:rsidR="00023342">
        <w:t xml:space="preserve">καθώς είναι αυτοί των οποίων </w:t>
      </w:r>
      <w:r>
        <w:t>τα μεγαλύτερα συμφέροντα</w:t>
      </w:r>
      <w:r w:rsidR="00023342">
        <w:t xml:space="preserve"> διακυβεύονταν. Αντιθέτως, οι αντιστάσεις της</w:t>
      </w:r>
      <w:r>
        <w:t xml:space="preserve"> Εκκλησία</w:t>
      </w:r>
      <w:r w:rsidR="00023342">
        <w:t>ς, η οποία</w:t>
      </w:r>
      <w:r>
        <w:t xml:space="preserve"> είχε ταχθεί εναντίον της </w:t>
      </w:r>
      <w:r w:rsidR="00023342">
        <w:t xml:space="preserve">σχετικής </w:t>
      </w:r>
      <w:r>
        <w:t>νομοθεσίας</w:t>
      </w:r>
      <w:r w:rsidR="00023342">
        <w:t>, κάμφθηκαν πιο εύκολα</w:t>
      </w:r>
      <w:r>
        <w:t xml:space="preserve">. Σχετικά, μάλιστα, η </w:t>
      </w:r>
      <w:r>
        <w:rPr>
          <w:rStyle w:val="Emphasis"/>
          <w:i w:val="0"/>
        </w:rPr>
        <w:t>Λέκτορας Ιδιωτικού Δικαίου στο Παν/μιο É</w:t>
      </w:r>
      <w:r>
        <w:rPr>
          <w:rStyle w:val="Emphasis"/>
          <w:i w:val="0"/>
          <w:lang w:val="en-US"/>
        </w:rPr>
        <w:t>vry</w:t>
      </w:r>
      <w:r>
        <w:rPr>
          <w:rStyle w:val="Emphasis"/>
          <w:i w:val="0"/>
        </w:rPr>
        <w:t xml:space="preserve"> στο</w:t>
      </w:r>
      <w:r>
        <w:t xml:space="preserve"> Παρίσι, </w:t>
      </w:r>
      <w:r>
        <w:rPr>
          <w:rStyle w:val="st"/>
          <w:lang w:val="en-US"/>
        </w:rPr>
        <w:t>Aude</w:t>
      </w:r>
      <w:r w:rsidRPr="00801C2A">
        <w:rPr>
          <w:rStyle w:val="st"/>
          <w:i/>
        </w:rPr>
        <w:t xml:space="preserve"> </w:t>
      </w:r>
      <w:r>
        <w:rPr>
          <w:rStyle w:val="Emphasis"/>
          <w:i w:val="0"/>
          <w:lang w:val="en-US"/>
        </w:rPr>
        <w:t>Mirkovic</w:t>
      </w:r>
      <w:r>
        <w:rPr>
          <w:rStyle w:val="Emphasis"/>
          <w:i w:val="0"/>
        </w:rPr>
        <w:t>, αναφέρει</w:t>
      </w:r>
      <w:r w:rsidR="00023342">
        <w:rPr>
          <w:rStyle w:val="Emphasis"/>
          <w:i w:val="0"/>
        </w:rPr>
        <w:t xml:space="preserve"> χαρακτηριστικά</w:t>
      </w:r>
      <w:r>
        <w:rPr>
          <w:rStyle w:val="Emphasis"/>
          <w:i w:val="0"/>
        </w:rPr>
        <w:t xml:space="preserve"> ότι </w:t>
      </w:r>
      <w:r>
        <w:t xml:space="preserve">οι μεγαλύτερες πιέσεις ασκήθηκαν από όσους </w:t>
      </w:r>
      <w:r w:rsidR="00023342">
        <w:t>«</w:t>
      </w:r>
      <w:r>
        <w:t>εμπορεύονται</w:t>
      </w:r>
      <w:r w:rsidR="00023342">
        <w:t>»</w:t>
      </w:r>
      <w:r>
        <w:t xml:space="preserve"> την ιατρικά υποβοηθούμενη αναπαραγωγή (</w:t>
      </w:r>
      <w:r>
        <w:rPr>
          <w:i/>
        </w:rPr>
        <w:t>Business de PMA</w:t>
      </w:r>
      <w:r>
        <w:t xml:space="preserve">), από τα lobbys </w:t>
      </w:r>
      <w:r w:rsidR="00023342">
        <w:t>για την ασφαλιστική της κάλυψη, καθώς επίσης και από τις φαρμακευτικές εταιρίες.</w:t>
      </w:r>
      <w:r>
        <w:t xml:space="preserve"> Για το λόγο αυτό, κατά τη γνώμη της, προωθήθηκε τόσο έντονα κατά τις κοινοβουλευτικές συζητήσεις </w:t>
      </w:r>
      <w:r w:rsidR="00023342">
        <w:t>η</w:t>
      </w:r>
      <w:r>
        <w:t xml:space="preserve"> </w:t>
      </w:r>
      <w:r w:rsidR="00BB105A">
        <w:t xml:space="preserve">λεγόμενη </w:t>
      </w:r>
      <w:r>
        <w:t>«ιατρικά υποβοηθούμενη αναπαραγωγή από ευσπλαχνία» (</w:t>
      </w:r>
      <w:r>
        <w:rPr>
          <w:i/>
        </w:rPr>
        <w:t>PMA compassionnelle</w:t>
      </w:r>
      <w:r>
        <w:t xml:space="preserve">), δηλαδή η πρόσβαση στην υποβοηθούμενη αναπαραγωγή χωρίς </w:t>
      </w:r>
      <w:r w:rsidR="00B64B6B">
        <w:t>ιατρικές ενδείξεις</w:t>
      </w:r>
      <w:r>
        <w:rPr>
          <w:rStyle w:val="FootnoteReference"/>
        </w:rPr>
        <w:footnoteReference w:id="21"/>
      </w:r>
      <w:r>
        <w:t xml:space="preserve">. </w:t>
      </w:r>
    </w:p>
    <w:p w14:paraId="6EF51262" w14:textId="77777777" w:rsidR="00801C2A" w:rsidRDefault="00801C2A" w:rsidP="00801C2A">
      <w:pPr>
        <w:rPr>
          <w:b/>
          <w:iCs/>
        </w:rPr>
      </w:pPr>
      <w:r>
        <w:t>Σήμερα, οι αντιδράσεις που εκδηλώνονται και οι πιέσεις πο</w:t>
      </w:r>
      <w:r w:rsidR="00281540">
        <w:t>υ ασκούνται δεν αφορούν πια στη νομοθετικη αναγνώριση της</w:t>
      </w:r>
      <w:r>
        <w:t xml:space="preserve"> ιατρικά υποβοηθούμενη</w:t>
      </w:r>
      <w:r w:rsidR="00281540">
        <w:t>ς</w:t>
      </w:r>
      <w:r>
        <w:t xml:space="preserve"> αναπαραγωγή</w:t>
      </w:r>
      <w:r w:rsidR="00281540">
        <w:t>ς</w:t>
      </w:r>
      <w:r>
        <w:t xml:space="preserve"> αυτή</w:t>
      </w:r>
      <w:r w:rsidR="00281540">
        <w:t>ς</w:t>
      </w:r>
      <w:r>
        <w:t xml:space="preserve"> καθ’ </w:t>
      </w:r>
      <w:r>
        <w:lastRenderedPageBreak/>
        <w:t>εαυτή</w:t>
      </w:r>
      <w:r w:rsidR="00281540">
        <w:t>ς</w:t>
      </w:r>
      <w:r>
        <w:t xml:space="preserve">, αλλά στην πρόσβαση σε αυτήν των ζευγαριών του </w:t>
      </w:r>
      <w:r w:rsidR="004D78B1">
        <w:t>ιδί</w:t>
      </w:r>
      <w:r>
        <w:t xml:space="preserve">ου φύλου. Ειδικότερα, </w:t>
      </w:r>
      <w:r>
        <w:rPr>
          <w:rStyle w:val="hps"/>
        </w:rPr>
        <w:t>μετά την ψήφιση του Νόμου της 17</w:t>
      </w:r>
      <w:r>
        <w:rPr>
          <w:rStyle w:val="hps"/>
          <w:vertAlign w:val="superscript"/>
        </w:rPr>
        <w:t>ης</w:t>
      </w:r>
      <w:r>
        <w:rPr>
          <w:rStyle w:val="hps"/>
        </w:rPr>
        <w:t xml:space="preserve"> Μαΐου 2013 και το άνοιγμα του γάμου στα ομοφυλόφιλα ζευγάρια, οι φωνές για διεύρυνση των προϋποθέσεων της νομοθεσίας πολλαπλασιάζονται και γίνονται ολοένα πιο δυνατές</w:t>
      </w:r>
      <w:r>
        <w:rPr>
          <w:rStyle w:val="FootnoteReference"/>
        </w:rPr>
        <w:footnoteReference w:id="22"/>
      </w:r>
      <w:r>
        <w:rPr>
          <w:rStyle w:val="hps"/>
        </w:rPr>
        <w:t>.</w:t>
      </w:r>
    </w:p>
    <w:p w14:paraId="4ACF341C" w14:textId="77777777" w:rsidR="00801C2A" w:rsidRDefault="000D05AA" w:rsidP="007C04BE">
      <w:pPr>
        <w:pStyle w:val="Heading2"/>
        <w:rPr>
          <w:rStyle w:val="hps"/>
        </w:rPr>
      </w:pPr>
      <w:bookmarkStart w:id="14" w:name="_Toc275535585"/>
      <w:bookmarkStart w:id="15" w:name="_Toc276574368"/>
      <w:r>
        <w:rPr>
          <w:rStyle w:val="hps"/>
          <w:lang w:val="el-GR"/>
        </w:rPr>
        <w:t>Β</w:t>
      </w:r>
      <w:r w:rsidR="00801C2A">
        <w:rPr>
          <w:rStyle w:val="hps"/>
        </w:rPr>
        <w:t>. Οι αναθεωρήσεις των Νόμων περί Βιοηθικής</w:t>
      </w:r>
      <w:bookmarkEnd w:id="14"/>
      <w:bookmarkEnd w:id="15"/>
    </w:p>
    <w:p w14:paraId="0A0EEF6A" w14:textId="77777777" w:rsidR="00801C2A" w:rsidRDefault="00801C2A" w:rsidP="008E6D3B">
      <w:pPr>
        <w:rPr>
          <w:rStyle w:val="hps"/>
        </w:rPr>
      </w:pPr>
      <w:r>
        <w:rPr>
          <w:rStyle w:val="hps"/>
        </w:rPr>
        <w:t>Η ανωτέρω νομοθεσία της 29</w:t>
      </w:r>
      <w:r>
        <w:rPr>
          <w:rStyle w:val="hps"/>
          <w:vertAlign w:val="superscript"/>
        </w:rPr>
        <w:t>ης</w:t>
      </w:r>
      <w:r>
        <w:rPr>
          <w:rStyle w:val="hps"/>
        </w:rPr>
        <w:t xml:space="preserve"> Ιουλίου 1994 </w:t>
      </w:r>
      <w:r>
        <w:t xml:space="preserve">(γνωστή και ως Νόμοι περί Βιοηθικής, </w:t>
      </w:r>
      <w:r>
        <w:rPr>
          <w:i/>
          <w:lang w:val="fr-FR"/>
        </w:rPr>
        <w:t>lois</w:t>
      </w:r>
      <w:r w:rsidRPr="00801C2A">
        <w:rPr>
          <w:i/>
        </w:rPr>
        <w:t xml:space="preserve"> </w:t>
      </w:r>
      <w:r>
        <w:rPr>
          <w:i/>
          <w:lang w:val="en-US"/>
        </w:rPr>
        <w:t>de</w:t>
      </w:r>
      <w:r w:rsidRPr="00801C2A">
        <w:rPr>
          <w:i/>
        </w:rPr>
        <w:t xml:space="preserve"> </w:t>
      </w:r>
      <w:r>
        <w:rPr>
          <w:i/>
          <w:lang w:val="fr-FR"/>
        </w:rPr>
        <w:t>bio</w:t>
      </w:r>
      <w:r>
        <w:rPr>
          <w:i/>
        </w:rPr>
        <w:t>é</w:t>
      </w:r>
      <w:r>
        <w:rPr>
          <w:i/>
          <w:lang w:val="fr-FR"/>
        </w:rPr>
        <w:t>thique</w:t>
      </w:r>
      <w:r>
        <w:t>), η οποία ρύθμιζε μεταξύ άλλων και την ιατρικά υποβοηθούμενη αναπαραγωγή</w:t>
      </w:r>
      <w:r>
        <w:rPr>
          <w:rStyle w:val="hps"/>
        </w:rPr>
        <w:t xml:space="preserve">, υιοθετήθηκε για διάρκεια πέντε (5) ετών. </w:t>
      </w:r>
      <w:bookmarkStart w:id="16" w:name="ΝΒ_2004"/>
      <w:r w:rsidR="008E6D3B">
        <w:rPr>
          <w:rStyle w:val="hps"/>
        </w:rPr>
        <w:t>Σύμφωνα με το άρθρο 21 του Νόμου του 1994, έπρεπε να αναθεωρηθεί εντός χρονικ</w:t>
      </w:r>
      <w:r w:rsidR="008333D6">
        <w:rPr>
          <w:rStyle w:val="hps"/>
        </w:rPr>
        <w:t>ού</w:t>
      </w:r>
      <w:r w:rsidR="008E6D3B">
        <w:rPr>
          <w:rStyle w:val="hps"/>
        </w:rPr>
        <w:t xml:space="preserve"> διαστήματος πέντε (5) ετών. Η αναθεώρηση, εντούτοις, τόσο εξαιτίας της πολιτικής κατάστασης που επικρατούσε στη Χώρα, όσο και διότι τα θέματα που είχε να αντιμετωπίσει προκαλούσαν πολεμική, άργησε δέκα (10) χρόνια</w:t>
      </w:r>
      <w:r w:rsidR="0019188D">
        <w:rPr>
          <w:rStyle w:val="FootnoteReference"/>
        </w:rPr>
        <w:footnoteReference w:id="23"/>
      </w:r>
      <w:r w:rsidR="008E6D3B">
        <w:rPr>
          <w:rStyle w:val="hps"/>
        </w:rPr>
        <w:t xml:space="preserve">. </w:t>
      </w:r>
      <w:r>
        <w:rPr>
          <w:rStyle w:val="hps"/>
        </w:rPr>
        <w:t xml:space="preserve">Ο νόμος που «αναθεώρησε» τους Νόμους περί Βιοηθικής είναι ο </w:t>
      </w:r>
      <w:r>
        <w:rPr>
          <w:rStyle w:val="hps"/>
          <w:b/>
        </w:rPr>
        <w:t>Νόμος αριθ. 2004-800 της 6</w:t>
      </w:r>
      <w:r>
        <w:rPr>
          <w:rStyle w:val="hps"/>
          <w:b/>
          <w:vertAlign w:val="superscript"/>
        </w:rPr>
        <w:t>ης</w:t>
      </w:r>
      <w:r>
        <w:rPr>
          <w:rStyle w:val="hps"/>
          <w:b/>
        </w:rPr>
        <w:t xml:space="preserve"> Αυγούστου 2004 σχετικά με τη βιοηθική</w:t>
      </w:r>
      <w:r>
        <w:rPr>
          <w:rStyle w:val="FootnoteReference"/>
        </w:rPr>
        <w:footnoteReference w:id="24"/>
      </w:r>
      <w:r>
        <w:rPr>
          <w:rStyle w:val="hps"/>
        </w:rPr>
        <w:t xml:space="preserve">. </w:t>
      </w:r>
      <w:r w:rsidR="00CB661F">
        <w:rPr>
          <w:rStyle w:val="hps"/>
        </w:rPr>
        <w:t xml:space="preserve">Στο άρθρο 29, μάλιστα, προέβλεπε </w:t>
      </w:r>
      <w:r w:rsidR="00F4371E">
        <w:rPr>
          <w:rStyle w:val="hps"/>
        </w:rPr>
        <w:t>την επανεξέτασή του ε</w:t>
      </w:r>
      <w:r w:rsidR="00276A3E">
        <w:rPr>
          <w:rStyle w:val="hps"/>
        </w:rPr>
        <w:t xml:space="preserve">ντός διαστήματος πέντε (5) ετών, καθώς επίσης </w:t>
      </w:r>
      <w:r w:rsidR="00F4371E">
        <w:rPr>
          <w:rStyle w:val="hps"/>
        </w:rPr>
        <w:t xml:space="preserve">και μια συνολική αξιολόγηση εντός τεσσάρων (4) ετών. </w:t>
      </w:r>
    </w:p>
    <w:p w14:paraId="7A0375CB" w14:textId="77777777" w:rsidR="00801C2A" w:rsidRDefault="006A3532" w:rsidP="00801C2A">
      <w:pPr>
        <w:rPr>
          <w:rStyle w:val="hps"/>
        </w:rPr>
      </w:pPr>
      <w:r>
        <w:rPr>
          <w:rStyle w:val="hps"/>
        </w:rPr>
        <w:t>Πιο συγκεκριμένα, ο</w:t>
      </w:r>
      <w:r w:rsidR="00801C2A">
        <w:rPr>
          <w:rStyle w:val="hps"/>
        </w:rPr>
        <w:t xml:space="preserve"> Νόμος του 2004 ήρθε να συμπληρώσει και να επικαιροποιήσει τη νομοθεσία του 1994. Ειδικότερα, ο νομοθέτης του 2004 μερίμνησε για:</w:t>
      </w:r>
    </w:p>
    <w:p w14:paraId="71CAE71A" w14:textId="77777777" w:rsidR="00F21821" w:rsidRDefault="00801C2A" w:rsidP="00F21821">
      <w:pPr>
        <w:numPr>
          <w:ilvl w:val="0"/>
          <w:numId w:val="24"/>
        </w:numPr>
        <w:tabs>
          <w:tab w:val="left" w:pos="567"/>
        </w:tabs>
        <w:ind w:left="0" w:firstLine="0"/>
        <w:rPr>
          <w:rStyle w:val="hps"/>
        </w:rPr>
      </w:pPr>
      <w:r>
        <w:rPr>
          <w:rStyle w:val="hps"/>
        </w:rPr>
        <w:t xml:space="preserve">τη δημιουργία του Οργανισμού Βιοϊατρικής, </w:t>
      </w:r>
      <w:r>
        <w:t>εθνική δημόσια κρατική υπηρεσία, υπαγόμενη διοικητικά στο Υπουργείο Υγείας, με αρμοδιότητες στα πεδία συλλογής και μεταμόσχευσης οργάνων, ιστών και κυττάρων, καθώς επίσης και στα πεδία της αναπαραγωγής, της εμβρυολογίας και της ανθρώπινης γενετικής,</w:t>
      </w:r>
    </w:p>
    <w:p w14:paraId="1010C21D" w14:textId="77777777" w:rsidR="00F21821" w:rsidRDefault="00801C2A" w:rsidP="00F21821">
      <w:pPr>
        <w:numPr>
          <w:ilvl w:val="0"/>
          <w:numId w:val="24"/>
        </w:numPr>
        <w:tabs>
          <w:tab w:val="left" w:pos="567"/>
        </w:tabs>
        <w:ind w:left="0" w:firstLine="0"/>
        <w:rPr>
          <w:rStyle w:val="hps"/>
        </w:rPr>
      </w:pPr>
      <w:r>
        <w:rPr>
          <w:rStyle w:val="hps"/>
        </w:rPr>
        <w:t xml:space="preserve">την οριοθέτηση του νομοθετικού πλαισίου στον τομέα της κυτταρικής θεραπείας και </w:t>
      </w:r>
    </w:p>
    <w:p w14:paraId="6DF39B23" w14:textId="77777777" w:rsidR="00801C2A" w:rsidRDefault="00801C2A" w:rsidP="00F21821">
      <w:pPr>
        <w:numPr>
          <w:ilvl w:val="0"/>
          <w:numId w:val="24"/>
        </w:numPr>
        <w:tabs>
          <w:tab w:val="left" w:pos="567"/>
        </w:tabs>
        <w:ind w:left="0" w:firstLine="0"/>
        <w:rPr>
          <w:rStyle w:val="hps"/>
        </w:rPr>
      </w:pPr>
      <w:r>
        <w:rPr>
          <w:rStyle w:val="hps"/>
        </w:rPr>
        <w:t xml:space="preserve">την επέκταση των αρχών του νόμου του 1994 σχετικά με τη δωρεά και τη χρήση των προϊόντων του </w:t>
      </w:r>
      <w:r w:rsidR="00653769">
        <w:rPr>
          <w:rStyle w:val="hps"/>
        </w:rPr>
        <w:t>ανθρωπίνου</w:t>
      </w:r>
      <w:r>
        <w:rPr>
          <w:rStyle w:val="hps"/>
        </w:rPr>
        <w:t xml:space="preserve"> σώματος, τη γενίκευση της τεκμαιρόμενης συναίνεσης και τη διεύρυνση του πεδίου των εν ζωή δοτών. </w:t>
      </w:r>
      <w:bookmarkEnd w:id="16"/>
    </w:p>
    <w:p w14:paraId="35938E4B" w14:textId="77777777" w:rsidR="00801C2A" w:rsidRDefault="00801C2A" w:rsidP="00801C2A">
      <w:pPr>
        <w:rPr>
          <w:rStyle w:val="hps"/>
        </w:rPr>
      </w:pPr>
      <w:r>
        <w:rPr>
          <w:rStyle w:val="hps"/>
        </w:rPr>
        <w:t>Επίσης, επέφερε τις ακόλουθες καινοτομίες:</w:t>
      </w:r>
    </w:p>
    <w:p w14:paraId="78C6A165" w14:textId="77777777" w:rsidR="00F21821" w:rsidRDefault="00801C2A" w:rsidP="00E01021">
      <w:pPr>
        <w:numPr>
          <w:ilvl w:val="0"/>
          <w:numId w:val="24"/>
        </w:numPr>
        <w:tabs>
          <w:tab w:val="left" w:pos="567"/>
        </w:tabs>
        <w:ind w:left="0" w:firstLine="0"/>
        <w:rPr>
          <w:rStyle w:val="hps"/>
        </w:rPr>
      </w:pPr>
      <w:r>
        <w:rPr>
          <w:rStyle w:val="hps"/>
        </w:rPr>
        <w:t xml:space="preserve">ποινικοποίηση του «εγκλήματος κατά του </w:t>
      </w:r>
      <w:r w:rsidR="00653769">
        <w:rPr>
          <w:rStyle w:val="hps"/>
        </w:rPr>
        <w:t>ανθρωπίνου</w:t>
      </w:r>
      <w:r>
        <w:rPr>
          <w:rStyle w:val="hps"/>
        </w:rPr>
        <w:t xml:space="preserve"> είδους» προκειμένου να τιμωρείται ποινικά η αναπαραγωγική κλωνοποίηση, </w:t>
      </w:r>
    </w:p>
    <w:p w14:paraId="772A8AD6" w14:textId="77777777" w:rsidR="00F21821" w:rsidRDefault="00801C2A" w:rsidP="00E01021">
      <w:pPr>
        <w:numPr>
          <w:ilvl w:val="0"/>
          <w:numId w:val="24"/>
        </w:numPr>
        <w:tabs>
          <w:tab w:val="left" w:pos="567"/>
        </w:tabs>
        <w:ind w:left="0" w:firstLine="0"/>
        <w:rPr>
          <w:rStyle w:val="hps"/>
        </w:rPr>
      </w:pPr>
      <w:r>
        <w:rPr>
          <w:rStyle w:val="hps"/>
        </w:rPr>
        <w:t xml:space="preserve">απαγόρευση της θεραπευτικής κλωνοποίησης (με εξαίρεση την κλωνοποίηση κυττάρων με θεραπευτικό σκοπό), </w:t>
      </w:r>
    </w:p>
    <w:p w14:paraId="361D2A5B" w14:textId="77777777" w:rsidR="00F21821" w:rsidRDefault="00801C2A" w:rsidP="00E01021">
      <w:pPr>
        <w:numPr>
          <w:ilvl w:val="0"/>
          <w:numId w:val="24"/>
        </w:numPr>
        <w:tabs>
          <w:tab w:val="left" w:pos="567"/>
        </w:tabs>
        <w:ind w:left="0" w:firstLine="0"/>
        <w:rPr>
          <w:rStyle w:val="hps"/>
        </w:rPr>
      </w:pPr>
      <w:r>
        <w:rPr>
          <w:rStyle w:val="hps"/>
        </w:rPr>
        <w:lastRenderedPageBreak/>
        <w:t xml:space="preserve">αυστηρά οριοθετημένο επιτρεπτό της έρευνας στα έμβρυα υπό την προϋπόθεση ότι μπορεί να συμβάλει στην πρόοδο της επιστήμης, </w:t>
      </w:r>
    </w:p>
    <w:p w14:paraId="17EEAD38" w14:textId="77777777" w:rsidR="00F21821" w:rsidRDefault="00801C2A" w:rsidP="00E01021">
      <w:pPr>
        <w:numPr>
          <w:ilvl w:val="0"/>
          <w:numId w:val="24"/>
        </w:numPr>
        <w:tabs>
          <w:tab w:val="left" w:pos="567"/>
        </w:tabs>
        <w:ind w:left="0" w:firstLine="0"/>
        <w:rPr>
          <w:rStyle w:val="hps"/>
        </w:rPr>
      </w:pPr>
      <w:r>
        <w:rPr>
          <w:rStyle w:val="hps"/>
        </w:rPr>
        <w:t>καθιέρωση της συνδρομής του όρου της κοινής συμβίωσης τουλάχιστον δύο</w:t>
      </w:r>
      <w:r w:rsidR="004C40ED">
        <w:rPr>
          <w:rStyle w:val="hps"/>
        </w:rPr>
        <w:t xml:space="preserve"> (2)</w:t>
      </w:r>
      <w:r>
        <w:rPr>
          <w:rStyle w:val="hps"/>
        </w:rPr>
        <w:t xml:space="preserve"> ετών προκειμένου να επιτραπεί στο ζευγάρι η πρόσβαση στην ιατρικά υποβοηθούμενη αναπαραγωγή, </w:t>
      </w:r>
    </w:p>
    <w:p w14:paraId="3A77EDC0" w14:textId="77777777" w:rsidR="00801C2A" w:rsidRDefault="00801C2A" w:rsidP="00E01021">
      <w:pPr>
        <w:numPr>
          <w:ilvl w:val="0"/>
          <w:numId w:val="24"/>
        </w:numPr>
        <w:tabs>
          <w:tab w:val="left" w:pos="567"/>
        </w:tabs>
        <w:ind w:left="0" w:firstLine="0"/>
        <w:rPr>
          <w:rStyle w:val="hps"/>
        </w:rPr>
      </w:pPr>
      <w:r>
        <w:rPr>
          <w:rStyle w:val="hps"/>
        </w:rPr>
        <w:t xml:space="preserve">απαγόρευση της προεμφυτευτικής διάγνωσης, με παράλληλη αυστηρά οριοθετημένη χρήση </w:t>
      </w:r>
      <w:r w:rsidR="004C40ED">
        <w:rPr>
          <w:rStyle w:val="hps"/>
        </w:rPr>
        <w:t xml:space="preserve">της </w:t>
      </w:r>
      <w:r>
        <w:rPr>
          <w:rStyle w:val="hps"/>
        </w:rPr>
        <w:t>με την προϋπόθεση ότι παρέχει βάσιμη ελπίδα για την αποτελεσματική αντιμετώπιση σοβαρής ασθένειας</w:t>
      </w:r>
      <w:r>
        <w:rPr>
          <w:rStyle w:val="FootnoteReference"/>
        </w:rPr>
        <w:footnoteReference w:id="25"/>
      </w:r>
      <w:r>
        <w:rPr>
          <w:rStyle w:val="hps"/>
        </w:rPr>
        <w:t xml:space="preserve">. </w:t>
      </w:r>
    </w:p>
    <w:p w14:paraId="25E89F44" w14:textId="77777777" w:rsidR="00801C2A" w:rsidRDefault="000A2C08" w:rsidP="00801C2A">
      <w:pPr>
        <w:rPr>
          <w:rStyle w:val="hps"/>
        </w:rPr>
      </w:pPr>
      <w:r>
        <w:rPr>
          <w:rStyle w:val="hps"/>
        </w:rPr>
        <w:t>Η νομοθεσία περί Β</w:t>
      </w:r>
      <w:r w:rsidR="00801C2A">
        <w:rPr>
          <w:rStyle w:val="hps"/>
        </w:rPr>
        <w:t xml:space="preserve">ιοηθικής, ωστόσο, έχρηζε νέας αναθεώρησης για λόγους νομικούς, επιστημονικούς καθώς επίσης και κοινωνικούς. </w:t>
      </w:r>
    </w:p>
    <w:p w14:paraId="6832B63D" w14:textId="77777777" w:rsidR="00801C2A" w:rsidRPr="000979C4" w:rsidRDefault="00801C2A" w:rsidP="00801C2A">
      <w:pPr>
        <w:ind w:firstLine="0"/>
        <w:rPr>
          <w:rStyle w:val="hps"/>
          <w:i/>
        </w:rPr>
      </w:pPr>
      <w:r w:rsidRPr="000979C4">
        <w:rPr>
          <w:rStyle w:val="hps"/>
          <w:i/>
        </w:rPr>
        <w:t>Νομικά αίτια:</w:t>
      </w:r>
    </w:p>
    <w:p w14:paraId="7C862763" w14:textId="77777777" w:rsidR="00801C2A" w:rsidRDefault="00CF37AA" w:rsidP="00801C2A">
      <w:pPr>
        <w:rPr>
          <w:rStyle w:val="hps"/>
        </w:rPr>
      </w:pPr>
      <w:r>
        <w:rPr>
          <w:rStyle w:val="hps"/>
        </w:rPr>
        <w:t>Καταρχάς, τα αίτια που ωθού</w:t>
      </w:r>
      <w:r w:rsidR="00801C2A">
        <w:rPr>
          <w:rStyle w:val="hps"/>
        </w:rPr>
        <w:t xml:space="preserve">σαν το νομοθέτη στην αναθεώρηση των προγενέστερων </w:t>
      </w:r>
      <w:r w:rsidR="00801C2A">
        <w:rPr>
          <w:rStyle w:val="hps"/>
          <w:i/>
        </w:rPr>
        <w:t>Νόμων περί Βιοηθικής</w:t>
      </w:r>
      <w:r>
        <w:rPr>
          <w:rStyle w:val="hps"/>
        </w:rPr>
        <w:t xml:space="preserve"> ήταν νομικής φύσης:</w:t>
      </w:r>
      <w:r w:rsidR="00801C2A">
        <w:rPr>
          <w:rStyle w:val="hps"/>
        </w:rPr>
        <w:t xml:space="preserve"> ο νόμος της 6</w:t>
      </w:r>
      <w:r w:rsidR="00801C2A">
        <w:rPr>
          <w:rStyle w:val="hps"/>
          <w:vertAlign w:val="superscript"/>
        </w:rPr>
        <w:t>ης</w:t>
      </w:r>
      <w:r w:rsidR="00801C2A">
        <w:rPr>
          <w:rStyle w:val="hps"/>
        </w:rPr>
        <w:t xml:space="preserve"> Αυγούστου 2004 προέβλεπε την αναθεώρησή του εντός πέντε (5) ετών, θέτοντας ταυτόχρονα καταληκτική προθεσμία ως προς την απαγόρευση της έρευνας στο έμβρυο, εξαίρεση η οποία εξέπνεε την 6</w:t>
      </w:r>
      <w:r w:rsidR="00801C2A">
        <w:rPr>
          <w:rStyle w:val="hps"/>
          <w:vertAlign w:val="superscript"/>
        </w:rPr>
        <w:t>η</w:t>
      </w:r>
      <w:r w:rsidR="00801C2A">
        <w:rPr>
          <w:rStyle w:val="hps"/>
        </w:rPr>
        <w:t xml:space="preserve"> Φεβρουαρίου 2011. Το ζήτημα, λοιπόν, αυτό έπρεπε να επανεξεταστεί, προκειμένου να ενσωματωθεί εν συνεχεία στους </w:t>
      </w:r>
      <w:r w:rsidR="00801C2A">
        <w:rPr>
          <w:rStyle w:val="hps"/>
          <w:i/>
        </w:rPr>
        <w:t>Νόμους περί Βιοηθικής</w:t>
      </w:r>
      <w:r w:rsidR="00801C2A">
        <w:rPr>
          <w:rStyle w:val="hps"/>
        </w:rPr>
        <w:t xml:space="preserve">. </w:t>
      </w:r>
    </w:p>
    <w:p w14:paraId="41A1EA04" w14:textId="77777777" w:rsidR="00801C2A" w:rsidRPr="000979C4" w:rsidRDefault="00801C2A" w:rsidP="00801C2A">
      <w:pPr>
        <w:tabs>
          <w:tab w:val="left" w:pos="284"/>
        </w:tabs>
        <w:ind w:firstLine="0"/>
        <w:rPr>
          <w:rStyle w:val="hps"/>
          <w:i/>
        </w:rPr>
      </w:pPr>
      <w:r w:rsidRPr="000979C4">
        <w:rPr>
          <w:rStyle w:val="hps"/>
          <w:i/>
        </w:rPr>
        <w:t>Επιστημονικά αίτια:</w:t>
      </w:r>
    </w:p>
    <w:p w14:paraId="7B9B6867" w14:textId="77777777" w:rsidR="00801C2A" w:rsidRDefault="00586F02" w:rsidP="00586F02">
      <w:pPr>
        <w:rPr>
          <w:rStyle w:val="hps"/>
        </w:rPr>
      </w:pPr>
      <w:r>
        <w:rPr>
          <w:rStyle w:val="hps"/>
        </w:rPr>
        <w:t>Τα αίτια που καθ</w:t>
      </w:r>
      <w:r w:rsidR="000979C4">
        <w:rPr>
          <w:rStyle w:val="hps"/>
        </w:rPr>
        <w:t>ι</w:t>
      </w:r>
      <w:r>
        <w:rPr>
          <w:rStyle w:val="hps"/>
        </w:rPr>
        <w:t xml:space="preserve">στούσαν αναγκαία την αναθεώρηση των προγενέστερων </w:t>
      </w:r>
      <w:r>
        <w:rPr>
          <w:rStyle w:val="hps"/>
          <w:i/>
        </w:rPr>
        <w:t>Νόμων περί Βιοηθικής</w:t>
      </w:r>
      <w:r>
        <w:rPr>
          <w:rStyle w:val="hps"/>
        </w:rPr>
        <w:t xml:space="preserve"> ήταν επίσης επιστημονικής φύσης: η</w:t>
      </w:r>
      <w:r w:rsidR="00801C2A">
        <w:rPr>
          <w:rStyle w:val="hps"/>
        </w:rPr>
        <w:t xml:space="preserve"> εξέλιξη της επιστημονικής έρευνας δημιουργούσε νέους προβληματισμούς και άνοιγε νέα ζητήματα προς συζήτηση, ειδικότερα σε ό,τι αφορά στη χρήση των βλαστοκυττάρων για θεραπευτικούς σκοπούς και τη θεραπευτική κλωνοποίηση. </w:t>
      </w:r>
    </w:p>
    <w:p w14:paraId="1401262A" w14:textId="77777777" w:rsidR="00801C2A" w:rsidRPr="000979C4" w:rsidRDefault="00801C2A" w:rsidP="00801C2A">
      <w:pPr>
        <w:tabs>
          <w:tab w:val="left" w:pos="284"/>
        </w:tabs>
        <w:ind w:firstLine="0"/>
        <w:rPr>
          <w:rStyle w:val="hps"/>
          <w:i/>
        </w:rPr>
      </w:pPr>
      <w:r w:rsidRPr="000979C4">
        <w:rPr>
          <w:rStyle w:val="hps"/>
          <w:i/>
        </w:rPr>
        <w:t>Κοινωνικά αίτια:</w:t>
      </w:r>
    </w:p>
    <w:p w14:paraId="0B21DEB8" w14:textId="72B07A7C" w:rsidR="00801C2A" w:rsidRDefault="000979C4" w:rsidP="00801C2A">
      <w:pPr>
        <w:tabs>
          <w:tab w:val="left" w:pos="284"/>
        </w:tabs>
        <w:rPr>
          <w:rStyle w:val="hps"/>
        </w:rPr>
      </w:pPr>
      <w:r>
        <w:rPr>
          <w:rStyle w:val="hps"/>
        </w:rPr>
        <w:t xml:space="preserve">Η εξέλιξη της κοινωνίας, </w:t>
      </w:r>
      <w:r w:rsidR="00801C2A">
        <w:rPr>
          <w:rStyle w:val="hps"/>
        </w:rPr>
        <w:t>επίσης</w:t>
      </w:r>
      <w:r>
        <w:rPr>
          <w:rStyle w:val="hps"/>
        </w:rPr>
        <w:t>,</w:t>
      </w:r>
      <w:r w:rsidR="00801C2A">
        <w:rPr>
          <w:rStyle w:val="hps"/>
        </w:rPr>
        <w:t xml:space="preserve"> δημιουργούσε νέους προβληματισμούς, όπως</w:t>
      </w:r>
      <w:r>
        <w:rPr>
          <w:rStyle w:val="hps"/>
        </w:rPr>
        <w:t xml:space="preserve"> </w:t>
      </w:r>
      <w:r w:rsidRPr="000979C4">
        <w:rPr>
          <w:rStyle w:val="hps"/>
          <w:i/>
        </w:rPr>
        <w:t>inter alia</w:t>
      </w:r>
      <w:r w:rsidR="00801C2A">
        <w:rPr>
          <w:rStyle w:val="hps"/>
        </w:rPr>
        <w:t xml:space="preserve"> το αίτημα άρσης της ανωνυμίας των δοτών, όπως αυτό προκύπτει από την ανάγκη των τέκνων που γεννιούνται με δωρεά γαμετών να μάθ</w:t>
      </w:r>
      <w:r>
        <w:rPr>
          <w:rStyle w:val="hps"/>
        </w:rPr>
        <w:t xml:space="preserve">ουν τη γενετική τους ταυτότητα ή, ακόμη, </w:t>
      </w:r>
      <w:r w:rsidR="00801C2A">
        <w:rPr>
          <w:rStyle w:val="hps"/>
        </w:rPr>
        <w:t>το αίτημα διεύρυνσης των μορφών ιατρικά υποβοηθούμενης αναπαραγωγής στη μεταθα</w:t>
      </w:r>
      <w:r>
        <w:rPr>
          <w:rStyle w:val="hps"/>
        </w:rPr>
        <w:t xml:space="preserve">νάτια </w:t>
      </w:r>
      <w:r w:rsidR="00C25D14">
        <w:rPr>
          <w:rStyle w:val="hps"/>
        </w:rPr>
        <w:t>ιατρικά υποβοηθούμενη αναπαραγωγή</w:t>
      </w:r>
      <w:r>
        <w:rPr>
          <w:rStyle w:val="hps"/>
        </w:rPr>
        <w:t xml:space="preserve"> ή</w:t>
      </w:r>
      <w:r w:rsidR="00801C2A">
        <w:rPr>
          <w:rStyle w:val="hps"/>
        </w:rPr>
        <w:t xml:space="preserve"> την παρένθετη μητρότητα κ.ά</w:t>
      </w:r>
      <w:r w:rsidR="00801C2A">
        <w:rPr>
          <w:rStyle w:val="FootnoteReference"/>
        </w:rPr>
        <w:footnoteReference w:id="26"/>
      </w:r>
      <w:r w:rsidR="00801C2A">
        <w:rPr>
          <w:rStyle w:val="hps"/>
        </w:rPr>
        <w:t xml:space="preserve">. </w:t>
      </w:r>
    </w:p>
    <w:p w14:paraId="2D69FAEF" w14:textId="77777777" w:rsidR="00801C2A" w:rsidRDefault="00801C2A" w:rsidP="00801C2A">
      <w:pPr>
        <w:tabs>
          <w:tab w:val="left" w:pos="284"/>
        </w:tabs>
        <w:rPr>
          <w:rStyle w:val="hps"/>
        </w:rPr>
      </w:pPr>
      <w:r>
        <w:rPr>
          <w:rStyle w:val="hps"/>
        </w:rPr>
        <w:lastRenderedPageBreak/>
        <w:t>Προσβλέποντας λοιπόν στην αποτελεσματικότερ</w:t>
      </w:r>
      <w:r w:rsidR="006D55AF">
        <w:rPr>
          <w:rStyle w:val="hps"/>
        </w:rPr>
        <w:t>η</w:t>
      </w:r>
      <w:r>
        <w:rPr>
          <w:rStyle w:val="hps"/>
        </w:rPr>
        <w:t xml:space="preserve"> και δημοκρατικότερη οργάνωση της διαδικασίας αναθεώρησης των </w:t>
      </w:r>
      <w:r>
        <w:rPr>
          <w:rStyle w:val="hps"/>
          <w:i/>
        </w:rPr>
        <w:t>Νόμων περί Βιοηθικής</w:t>
      </w:r>
      <w:r>
        <w:rPr>
          <w:rStyle w:val="hps"/>
        </w:rPr>
        <w:t xml:space="preserve">, </w:t>
      </w:r>
      <w:r w:rsidR="006D55AF">
        <w:rPr>
          <w:rStyle w:val="hps"/>
        </w:rPr>
        <w:t xml:space="preserve">η γαλλική κυβέρνηση διοργάνωσε, το 2009, </w:t>
      </w:r>
      <w:r>
        <w:rPr>
          <w:rStyle w:val="hps"/>
        </w:rPr>
        <w:t xml:space="preserve">ένα δημόσιο διάλογο ανοιχτό σε όλους, συγκαλώντας τις </w:t>
      </w:r>
      <w:r w:rsidRPr="00331D6A">
        <w:rPr>
          <w:rStyle w:val="hps"/>
          <w:b/>
        </w:rPr>
        <w:t>Γενικές Τάξεις της Βιοηθικής (</w:t>
      </w:r>
      <w:r w:rsidRPr="00331D6A">
        <w:rPr>
          <w:rStyle w:val="hps"/>
          <w:b/>
          <w:i/>
        </w:rPr>
        <w:t>É</w:t>
      </w:r>
      <w:r w:rsidRPr="00331D6A">
        <w:rPr>
          <w:rStyle w:val="hps"/>
          <w:b/>
          <w:i/>
          <w:lang w:val="en-US"/>
        </w:rPr>
        <w:t>tats</w:t>
      </w:r>
      <w:r w:rsidRPr="00331D6A">
        <w:rPr>
          <w:rStyle w:val="hps"/>
          <w:b/>
          <w:i/>
        </w:rPr>
        <w:t xml:space="preserve"> </w:t>
      </w:r>
      <w:r w:rsidRPr="00331D6A">
        <w:rPr>
          <w:rStyle w:val="hps"/>
          <w:b/>
          <w:i/>
          <w:lang w:val="en-US"/>
        </w:rPr>
        <w:t>G</w:t>
      </w:r>
      <w:r w:rsidRPr="00331D6A">
        <w:rPr>
          <w:rStyle w:val="hps"/>
          <w:b/>
          <w:i/>
        </w:rPr>
        <w:t>é</w:t>
      </w:r>
      <w:r w:rsidRPr="00331D6A">
        <w:rPr>
          <w:rStyle w:val="hps"/>
          <w:b/>
          <w:i/>
          <w:lang w:val="en-US"/>
        </w:rPr>
        <w:t>n</w:t>
      </w:r>
      <w:r w:rsidRPr="00331D6A">
        <w:rPr>
          <w:rStyle w:val="hps"/>
          <w:b/>
          <w:i/>
        </w:rPr>
        <w:t>é</w:t>
      </w:r>
      <w:r w:rsidRPr="00331D6A">
        <w:rPr>
          <w:rStyle w:val="hps"/>
          <w:b/>
          <w:i/>
          <w:lang w:val="en-US"/>
        </w:rPr>
        <w:t>raux</w:t>
      </w:r>
      <w:r w:rsidRPr="00331D6A">
        <w:rPr>
          <w:rStyle w:val="hps"/>
          <w:b/>
          <w:i/>
        </w:rPr>
        <w:t xml:space="preserve"> </w:t>
      </w:r>
      <w:r w:rsidRPr="00331D6A">
        <w:rPr>
          <w:rStyle w:val="hps"/>
          <w:b/>
          <w:i/>
          <w:lang w:val="en-US"/>
        </w:rPr>
        <w:t>de</w:t>
      </w:r>
      <w:r w:rsidRPr="00331D6A">
        <w:rPr>
          <w:rStyle w:val="hps"/>
          <w:b/>
          <w:i/>
        </w:rPr>
        <w:t xml:space="preserve"> </w:t>
      </w:r>
      <w:r w:rsidRPr="00331D6A">
        <w:rPr>
          <w:rStyle w:val="hps"/>
          <w:b/>
          <w:i/>
          <w:lang w:val="en-US"/>
        </w:rPr>
        <w:t>la</w:t>
      </w:r>
      <w:r w:rsidRPr="00331D6A">
        <w:rPr>
          <w:rStyle w:val="hps"/>
          <w:b/>
          <w:i/>
        </w:rPr>
        <w:t xml:space="preserve"> </w:t>
      </w:r>
      <w:r w:rsidRPr="00331D6A">
        <w:rPr>
          <w:rStyle w:val="hps"/>
          <w:b/>
          <w:i/>
          <w:lang w:val="en-US"/>
        </w:rPr>
        <w:t>Bio</w:t>
      </w:r>
      <w:r w:rsidRPr="00331D6A">
        <w:rPr>
          <w:rStyle w:val="hps"/>
          <w:b/>
          <w:i/>
        </w:rPr>
        <w:t>é</w:t>
      </w:r>
      <w:r w:rsidRPr="00331D6A">
        <w:rPr>
          <w:rStyle w:val="hps"/>
          <w:b/>
          <w:i/>
          <w:lang w:val="en-US"/>
        </w:rPr>
        <w:t>thique</w:t>
      </w:r>
      <w:r w:rsidRPr="00331D6A">
        <w:rPr>
          <w:rStyle w:val="hps"/>
          <w:b/>
        </w:rPr>
        <w:t>)</w:t>
      </w:r>
      <w:r>
        <w:rPr>
          <w:rStyle w:val="hps"/>
        </w:rPr>
        <w:t xml:space="preserve">. </w:t>
      </w:r>
      <w:r w:rsidR="00ED65FB">
        <w:rPr>
          <w:rStyle w:val="hps"/>
        </w:rPr>
        <w:t>Τη διεύθυνση των Γενικών Τάξεων</w:t>
      </w:r>
      <w:r>
        <w:rPr>
          <w:rStyle w:val="hps"/>
        </w:rPr>
        <w:t xml:space="preserve"> της Βιοηθικής </w:t>
      </w:r>
      <w:r w:rsidR="00ED65FB">
        <w:rPr>
          <w:rStyle w:val="hps"/>
        </w:rPr>
        <w:t xml:space="preserve">ανέλαβε μια </w:t>
      </w:r>
      <w:r w:rsidR="002D7357">
        <w:rPr>
          <w:rStyle w:val="hps"/>
        </w:rPr>
        <w:t>Ε</w:t>
      </w:r>
      <w:r>
        <w:rPr>
          <w:rStyle w:val="hps"/>
        </w:rPr>
        <w:t>πιτροπή</w:t>
      </w:r>
      <w:r w:rsidR="00ED65FB">
        <w:rPr>
          <w:rStyle w:val="hps"/>
        </w:rPr>
        <w:t>, αποτελούμενη</w:t>
      </w:r>
      <w:r>
        <w:rPr>
          <w:rStyle w:val="hps"/>
        </w:rPr>
        <w:t xml:space="preserve"> από έξι διακεκριμένες στο χώρο προσωπικότητες</w:t>
      </w:r>
      <w:r w:rsidR="00ED65FB">
        <w:rPr>
          <w:rStyle w:val="hps"/>
        </w:rPr>
        <w:t xml:space="preserve">, με πρόεδρο το βουλευτή </w:t>
      </w:r>
      <w:r w:rsidR="00ED65FB">
        <w:rPr>
          <w:rStyle w:val="hps"/>
          <w:lang w:val="en-US"/>
        </w:rPr>
        <w:t xml:space="preserve">Jean </w:t>
      </w:r>
      <w:r w:rsidR="00ED65FB">
        <w:rPr>
          <w:rStyle w:val="hps"/>
          <w:lang w:val="fr-FR"/>
        </w:rPr>
        <w:t>Léonetti</w:t>
      </w:r>
      <w:r w:rsidR="00901C60">
        <w:rPr>
          <w:rStyle w:val="hps"/>
        </w:rPr>
        <w:t>. Αποστολή</w:t>
      </w:r>
      <w:r w:rsidR="00ED65FB">
        <w:rPr>
          <w:rStyle w:val="hps"/>
        </w:rPr>
        <w:t xml:space="preserve"> της</w:t>
      </w:r>
      <w:r w:rsidR="002D7357">
        <w:rPr>
          <w:rStyle w:val="hps"/>
        </w:rPr>
        <w:t xml:space="preserve"> Επιτροπής</w:t>
      </w:r>
      <w:r w:rsidR="00ED65FB">
        <w:rPr>
          <w:rStyle w:val="hps"/>
        </w:rPr>
        <w:t xml:space="preserve"> ήταν ο </w:t>
      </w:r>
      <w:r>
        <w:rPr>
          <w:rStyle w:val="hps"/>
        </w:rPr>
        <w:t>συντονισμό</w:t>
      </w:r>
      <w:r w:rsidR="00ED65FB">
        <w:rPr>
          <w:rStyle w:val="hps"/>
        </w:rPr>
        <w:t>ς</w:t>
      </w:r>
      <w:r>
        <w:rPr>
          <w:rStyle w:val="hps"/>
        </w:rPr>
        <w:t xml:space="preserve"> των εργασιών τριών διαφορετικών εξεταστικών επιτροπών με έδρα τη Μασσαλία, τη </w:t>
      </w:r>
      <w:r>
        <w:rPr>
          <w:rStyle w:val="hps"/>
          <w:lang w:val="en-US"/>
        </w:rPr>
        <w:t>Rennes</w:t>
      </w:r>
      <w:r>
        <w:rPr>
          <w:rStyle w:val="hps"/>
        </w:rPr>
        <w:t xml:space="preserve"> και το Στρασβούργο. Σ</w:t>
      </w:r>
      <w:r w:rsidR="00901C60">
        <w:rPr>
          <w:rStyle w:val="hps"/>
        </w:rPr>
        <w:t>τόχος, δε,</w:t>
      </w:r>
      <w:r>
        <w:rPr>
          <w:rStyle w:val="hps"/>
        </w:rPr>
        <w:t xml:space="preserve"> της όλης διαδικασίας ήταν ολοφάνερα ο εκδημοκρατισμός του διαλόγου, καθώς οι συνελεύσεις και τα </w:t>
      </w:r>
      <w:r>
        <w:rPr>
          <w:rStyle w:val="hps"/>
          <w:i/>
          <w:lang w:val="fr-FR"/>
        </w:rPr>
        <w:t>fora</w:t>
      </w:r>
      <w:r w:rsidRPr="00801C2A">
        <w:rPr>
          <w:rStyle w:val="hps"/>
        </w:rPr>
        <w:t xml:space="preserve"> </w:t>
      </w:r>
      <w:r>
        <w:rPr>
          <w:rStyle w:val="hps"/>
        </w:rPr>
        <w:t xml:space="preserve">που έλαβαν χώρα επέτρεψαν στους πολίτες να εκφραστούν και να διατυπώσουν τη γνώμη τους σε ζητήματα σχετικά με τη βιοηθική. Μετά το πέρας των συζητήσεων αυτών, οι εκπρόσωποι κάθε </w:t>
      </w:r>
      <w:r>
        <w:rPr>
          <w:rStyle w:val="hps"/>
          <w:i/>
          <w:lang w:val="en-US"/>
        </w:rPr>
        <w:t>forum</w:t>
      </w:r>
      <w:r>
        <w:rPr>
          <w:rStyle w:val="hps"/>
        </w:rPr>
        <w:t xml:space="preserve"> παρουσίασαν τις προτάσεις τους αναφορικά με κάθε </w:t>
      </w:r>
      <w:r w:rsidR="00901C60">
        <w:rPr>
          <w:rStyle w:val="hps"/>
        </w:rPr>
        <w:t>θεματική</w:t>
      </w:r>
      <w:r>
        <w:rPr>
          <w:rStyle w:val="hps"/>
        </w:rPr>
        <w:t xml:space="preserve"> ξεχωριστά και συγκεντρώθηκαν όλο</w:t>
      </w:r>
      <w:r w:rsidR="00901C60">
        <w:rPr>
          <w:rStyle w:val="hps"/>
        </w:rPr>
        <w:t xml:space="preserve">ι μαζί, </w:t>
      </w:r>
      <w:r>
        <w:rPr>
          <w:rStyle w:val="hps"/>
        </w:rPr>
        <w:t>στις 23 Ιουνίου 2009</w:t>
      </w:r>
      <w:r w:rsidR="00901C60">
        <w:rPr>
          <w:rStyle w:val="hps"/>
        </w:rPr>
        <w:t>,</w:t>
      </w:r>
      <w:r>
        <w:rPr>
          <w:rStyle w:val="hps"/>
        </w:rPr>
        <w:t xml:space="preserve"> προκειμένου να επιχειρήσουν τη σύνθεση των διαφόρων προτάσεων. </w:t>
      </w:r>
    </w:p>
    <w:p w14:paraId="55CC5E3E" w14:textId="36EF101A" w:rsidR="00801C2A" w:rsidRDefault="00801C2A" w:rsidP="00801C2A">
      <w:pPr>
        <w:tabs>
          <w:tab w:val="left" w:pos="284"/>
        </w:tabs>
        <w:rPr>
          <w:rStyle w:val="hps"/>
        </w:rPr>
      </w:pPr>
      <w:r>
        <w:rPr>
          <w:rStyle w:val="hps"/>
        </w:rPr>
        <w:t>Ενδεικτικά αναφέρεται ότι το</w:t>
      </w:r>
      <w:r>
        <w:t xml:space="preserve"> </w:t>
      </w:r>
      <w:r w:rsidRPr="00FA2508">
        <w:rPr>
          <w:b/>
          <w:i/>
        </w:rPr>
        <w:t>forum</w:t>
      </w:r>
      <w:r w:rsidRPr="00FA2508">
        <w:rPr>
          <w:b/>
        </w:rPr>
        <w:t xml:space="preserve"> της Rennes</w:t>
      </w:r>
      <w:r>
        <w:t xml:space="preserve"> εκφράστηκε ενάντια τόσο στη νομοθετική ρύθμιση της παρένθετης μητρότητας, όσο και στο άνοιγμα της ιατρικά υποβοηθούμενης </w:t>
      </w:r>
      <w:r w:rsidR="004D78B1">
        <w:t>αναπαραγωγής σε ζευγάρια του ιδί</w:t>
      </w:r>
      <w:r w:rsidR="00E621AC">
        <w:t>ου φύλου ή σε μοναχικά άγαμα υποβοηθούμενα πρόσωπα</w:t>
      </w:r>
      <w:r w:rsidR="000D05AA">
        <w:t xml:space="preserve">. Διατύπωσε, επίσης, </w:t>
      </w:r>
      <w:r>
        <w:t xml:space="preserve">επιφυλάξεις ως προς την μεταθανάτια μεταφορά </w:t>
      </w:r>
      <w:r w:rsidR="00C25D14">
        <w:t>εμβρύων</w:t>
      </w:r>
      <w:r>
        <w:t xml:space="preserve">, ενώ ήταν ευνοϊκά διακείμενο απέναντι </w:t>
      </w:r>
      <w:r w:rsidR="00FA2508">
        <w:t>στη λήψη προληπτικών μέτρων</w:t>
      </w:r>
      <w:r>
        <w:t xml:space="preserve"> κατά του αναπαραγωγικού τουρισμού. Αντίστοιχα, το </w:t>
      </w:r>
      <w:r w:rsidRPr="00FA2508">
        <w:rPr>
          <w:b/>
          <w:i/>
          <w:lang w:val="fr-FR"/>
        </w:rPr>
        <w:t>forum</w:t>
      </w:r>
      <w:r w:rsidRPr="00FA2508">
        <w:rPr>
          <w:b/>
        </w:rPr>
        <w:t xml:space="preserve"> της Μασσαλίας</w:t>
      </w:r>
      <w:r>
        <w:t xml:space="preserve"> επεσήμανε την ανάγκη </w:t>
      </w:r>
      <w:r w:rsidR="00B87CDE">
        <w:t>υιοθέτησης</w:t>
      </w:r>
      <w:r>
        <w:t xml:space="preserve"> ενός νομοθετικού πλαισίου σχετικά με τις εφαρμογές της έρευνας στο έμβρυο και τα βλαστοκύτταρα και πρότεινε το επιτρεπτό της διεξαγωγής έρευνας στα έμβρυα που δεν αποτελούν πλέον μέρος του «</w:t>
      </w:r>
      <w:r w:rsidR="00B91D30">
        <w:t>οικογενειακού προγραμματισμού</w:t>
      </w:r>
      <w:r>
        <w:t>» (</w:t>
      </w:r>
      <w:r>
        <w:rPr>
          <w:i/>
          <w:lang w:val="fr-FR"/>
        </w:rPr>
        <w:t>projet</w:t>
      </w:r>
      <w:r w:rsidRPr="00801C2A">
        <w:rPr>
          <w:i/>
        </w:rPr>
        <w:t xml:space="preserve"> </w:t>
      </w:r>
      <w:r>
        <w:rPr>
          <w:i/>
          <w:lang w:val="fr-FR"/>
        </w:rPr>
        <w:t>parental</w:t>
      </w:r>
      <w:r>
        <w:t xml:space="preserve">) των υποβοηθούμενων προσώπων, όχι όμως και στα «έμβρυα που θα οδηγήσουν σε τοκετό». Τέλος, το </w:t>
      </w:r>
      <w:r w:rsidRPr="00FA2508">
        <w:rPr>
          <w:b/>
          <w:i/>
          <w:lang w:val="fr-FR"/>
        </w:rPr>
        <w:t>forum</w:t>
      </w:r>
      <w:r w:rsidRPr="00FA2508">
        <w:rPr>
          <w:b/>
        </w:rPr>
        <w:t xml:space="preserve"> του Στρασβούργου</w:t>
      </w:r>
      <w:r>
        <w:t xml:space="preserve"> επέμεινε στην ανάγκη </w:t>
      </w:r>
      <w:r w:rsidR="00A94E02">
        <w:t xml:space="preserve">διασφάλισης της αρχής </w:t>
      </w:r>
      <w:r>
        <w:t>της άνευ ανταλλάγματος δωρεάς γεννητικού υλικού και της διατήρησης της αρχής της ανωνυμίας</w:t>
      </w:r>
      <w:r w:rsidR="00555D26">
        <w:t xml:space="preserve"> του δότη</w:t>
      </w:r>
      <w:r>
        <w:rPr>
          <w:rStyle w:val="FootnoteReference"/>
        </w:rPr>
        <w:footnoteReference w:id="27"/>
      </w:r>
      <w:r>
        <w:t xml:space="preserve">. </w:t>
      </w:r>
    </w:p>
    <w:p w14:paraId="1C484BF0" w14:textId="77777777" w:rsidR="00801C2A" w:rsidRDefault="00801C2A" w:rsidP="00801C2A">
      <w:pPr>
        <w:tabs>
          <w:tab w:val="left" w:pos="284"/>
        </w:tabs>
        <w:rPr>
          <w:rStyle w:val="hps"/>
        </w:rPr>
      </w:pPr>
      <w:r>
        <w:rPr>
          <w:rStyle w:val="hps"/>
        </w:rPr>
        <w:t>Τα αποτελέσματα των διαβουλεύσεων αυτών αποτέλεσαν την πρώτη ύλη κατά τη διάρκεια των εργασιών του Κοινοβουλίου. Εκτός από τις καταληκτικές παρατηρήσεις των Γενικών Τά</w:t>
      </w:r>
      <w:r w:rsidR="00B4555F">
        <w:rPr>
          <w:rStyle w:val="hps"/>
        </w:rPr>
        <w:t xml:space="preserve">ξεων της Βιοηθικής, η Κυβέρνηση, </w:t>
      </w:r>
      <w:r>
        <w:rPr>
          <w:rStyle w:val="hps"/>
        </w:rPr>
        <w:t xml:space="preserve">προκειμένου να εκπονήσει το νέο </w:t>
      </w:r>
      <w:r>
        <w:rPr>
          <w:rStyle w:val="hps"/>
          <w:i/>
        </w:rPr>
        <w:t>Νόμο περί Βιοηθικής</w:t>
      </w:r>
      <w:r w:rsidR="00B4555F">
        <w:rPr>
          <w:rStyle w:val="hps"/>
        </w:rPr>
        <w:t xml:space="preserve">, </w:t>
      </w:r>
      <w:r>
        <w:rPr>
          <w:rStyle w:val="hps"/>
        </w:rPr>
        <w:t>είχε στη διάθεσή της γνωμοδοτήσεις και εκθέσεις από διάφορους</w:t>
      </w:r>
      <w:r w:rsidR="00B4555F">
        <w:rPr>
          <w:rStyle w:val="hps"/>
        </w:rPr>
        <w:t xml:space="preserve"> άλλους αρμόδιους φορείς, όπως π.χ. από</w:t>
      </w:r>
      <w:r>
        <w:rPr>
          <w:rStyle w:val="hps"/>
        </w:rPr>
        <w:t xml:space="preserve"> την Εθνική Συμβουλευτική Επιτροπή Ηθικής (</w:t>
      </w:r>
      <w:r>
        <w:rPr>
          <w:rStyle w:val="hps"/>
          <w:i/>
          <w:lang w:val="en-US"/>
        </w:rPr>
        <w:t>Comit</w:t>
      </w:r>
      <w:r>
        <w:rPr>
          <w:rStyle w:val="hps"/>
          <w:i/>
        </w:rPr>
        <w:t xml:space="preserve">é </w:t>
      </w:r>
      <w:r>
        <w:rPr>
          <w:rStyle w:val="hps"/>
          <w:i/>
          <w:lang w:val="en-US"/>
        </w:rPr>
        <w:t>consultatif</w:t>
      </w:r>
      <w:r w:rsidRPr="00801C2A">
        <w:rPr>
          <w:rStyle w:val="hps"/>
          <w:i/>
        </w:rPr>
        <w:t xml:space="preserve"> </w:t>
      </w:r>
      <w:r>
        <w:rPr>
          <w:rStyle w:val="hps"/>
          <w:i/>
          <w:lang w:val="en-US"/>
        </w:rPr>
        <w:t>national</w:t>
      </w:r>
      <w:r w:rsidRPr="00801C2A">
        <w:rPr>
          <w:rStyle w:val="hps"/>
          <w:i/>
        </w:rPr>
        <w:t xml:space="preserve"> </w:t>
      </w:r>
      <w:r>
        <w:rPr>
          <w:rStyle w:val="hps"/>
          <w:i/>
          <w:lang w:val="en-US"/>
        </w:rPr>
        <w:t>d</w:t>
      </w:r>
      <w:r>
        <w:rPr>
          <w:rStyle w:val="hps"/>
          <w:i/>
        </w:rPr>
        <w:t>’é</w:t>
      </w:r>
      <w:r>
        <w:rPr>
          <w:rStyle w:val="hps"/>
          <w:i/>
          <w:lang w:val="en-US"/>
        </w:rPr>
        <w:t>thique</w:t>
      </w:r>
      <w:r>
        <w:rPr>
          <w:rStyle w:val="hps"/>
          <w:i/>
        </w:rPr>
        <w:t>-</w:t>
      </w:r>
      <w:r>
        <w:rPr>
          <w:rStyle w:val="hps"/>
          <w:i/>
          <w:lang w:val="en-US"/>
        </w:rPr>
        <w:t>CCNE</w:t>
      </w:r>
      <w:r>
        <w:rPr>
          <w:rStyle w:val="hps"/>
        </w:rPr>
        <w:t xml:space="preserve">) ή το Κοινοβουλευτικό Γραφείο Επιστημονικών και </w:t>
      </w:r>
      <w:r>
        <w:rPr>
          <w:rStyle w:val="hps"/>
        </w:rPr>
        <w:lastRenderedPageBreak/>
        <w:t>Τεχνολο</w:t>
      </w:r>
      <w:r w:rsidR="00B4555F">
        <w:rPr>
          <w:rStyle w:val="hps"/>
        </w:rPr>
        <w:t>γικών Επιλογών</w:t>
      </w:r>
      <w:r w:rsidR="00B4555F">
        <w:rPr>
          <w:rStyle w:val="FootnoteReference"/>
        </w:rPr>
        <w:footnoteReference w:id="28"/>
      </w:r>
      <w:r>
        <w:rPr>
          <w:rStyle w:val="hps"/>
        </w:rPr>
        <w:t xml:space="preserve">. Ενδεικτικά αναφέρεται ότι πολύ σημαντική υπήρξε η συνεισφορά του Συμβουλίου της Επικρατείας, το οποίο με την Έκθεσή του επί του νομοσχεδίου παρείχε γνωμοδότηση σχετικά με την ανάγκη αναθεώρησης των </w:t>
      </w:r>
      <w:r w:rsidRPr="00E6491B">
        <w:rPr>
          <w:rStyle w:val="hps"/>
          <w:i/>
        </w:rPr>
        <w:t>Νόμων περί Βιοηθικής</w:t>
      </w:r>
      <w:r>
        <w:rPr>
          <w:rStyle w:val="FootnoteReference"/>
        </w:rPr>
        <w:footnoteReference w:id="29"/>
      </w:r>
      <w:r>
        <w:rPr>
          <w:rStyle w:val="hps"/>
        </w:rPr>
        <w:t xml:space="preserve">.   </w:t>
      </w:r>
    </w:p>
    <w:p w14:paraId="1C9600BE" w14:textId="77777777" w:rsidR="00801C2A" w:rsidRDefault="00801C2A" w:rsidP="00801C2A">
      <w:pPr>
        <w:rPr>
          <w:rStyle w:val="hps"/>
        </w:rPr>
      </w:pPr>
      <w:r>
        <w:rPr>
          <w:rStyle w:val="hps"/>
        </w:rPr>
        <w:t xml:space="preserve">Η δεύτερη αναθεώρηση-τροποποίηση της νομοθεσίας σχετικά με τη βιοηθική έγινε, επομένως, λίγα χρόνια αργότερα, με το </w:t>
      </w:r>
      <w:r>
        <w:rPr>
          <w:rStyle w:val="hps"/>
          <w:b/>
        </w:rPr>
        <w:t>Νόμο αριθ. 2011-814 της 7</w:t>
      </w:r>
      <w:r>
        <w:rPr>
          <w:rStyle w:val="hps"/>
          <w:b/>
          <w:vertAlign w:val="superscript"/>
        </w:rPr>
        <w:t>ης</w:t>
      </w:r>
      <w:r>
        <w:rPr>
          <w:rStyle w:val="hps"/>
          <w:b/>
        </w:rPr>
        <w:t xml:space="preserve"> Ιουλίου 2011 σχετικά με τη βιοηθική</w:t>
      </w:r>
      <w:r>
        <w:rPr>
          <w:rStyle w:val="FootnoteReference"/>
        </w:rPr>
        <w:footnoteReference w:id="30"/>
      </w:r>
      <w:r>
        <w:rPr>
          <w:rStyle w:val="hps"/>
        </w:rPr>
        <w:t xml:space="preserve">, ο οποίος προβλέπει εκ νέου την αναθεώρησή του από το Κοινοβούλιο εντός </w:t>
      </w:r>
      <w:r w:rsidR="005C7850">
        <w:rPr>
          <w:rStyle w:val="hps"/>
        </w:rPr>
        <w:t>χρονικού διαστήματος</w:t>
      </w:r>
      <w:r>
        <w:rPr>
          <w:rStyle w:val="hps"/>
        </w:rPr>
        <w:t xml:space="preserve"> επτά (7) ετών από τη θέση του σε ισχύ. Το νέο νομοθετικό κείμενο επαναπροσδιορίζει τις προϋποθέσεις και τα κριτήρια του επιτρεπτού της πρόσβασης στην ιατρικά υποβοηθούμενη αναπαραγωγή. </w:t>
      </w:r>
    </w:p>
    <w:p w14:paraId="41A74899" w14:textId="77777777" w:rsidR="00801C2A" w:rsidRDefault="00801C2A" w:rsidP="00801C2A">
      <w:pPr>
        <w:rPr>
          <w:rStyle w:val="hps"/>
        </w:rPr>
      </w:pPr>
      <w:r>
        <w:rPr>
          <w:rStyle w:val="hps"/>
        </w:rPr>
        <w:t xml:space="preserve">Ειδικότερα, οι </w:t>
      </w:r>
      <w:r>
        <w:rPr>
          <w:rStyle w:val="hps"/>
          <w:b/>
        </w:rPr>
        <w:t>διατάξεις που διατηρήθηκαν</w:t>
      </w:r>
      <w:r>
        <w:rPr>
          <w:rStyle w:val="hps"/>
        </w:rPr>
        <w:t xml:space="preserve"> είναι οι ακόλουθες:</w:t>
      </w:r>
    </w:p>
    <w:p w14:paraId="4998EBAD" w14:textId="77777777" w:rsidR="005C7850" w:rsidRPr="00A9124C" w:rsidRDefault="00801C2A" w:rsidP="005C7850">
      <w:pPr>
        <w:numPr>
          <w:ilvl w:val="0"/>
          <w:numId w:val="27"/>
        </w:numPr>
        <w:tabs>
          <w:tab w:val="left" w:pos="567"/>
        </w:tabs>
        <w:ind w:left="0" w:firstLine="0"/>
        <w:rPr>
          <w:rStyle w:val="hps"/>
        </w:rPr>
      </w:pPr>
      <w:r>
        <w:rPr>
          <w:rStyle w:val="hps"/>
          <w:b/>
        </w:rPr>
        <w:t>Η ανωνυμία της δωρεάς γαμετών</w:t>
      </w:r>
      <w:r>
        <w:rPr>
          <w:rStyle w:val="hps"/>
        </w:rPr>
        <w:t xml:space="preserve">. Το </w:t>
      </w:r>
      <w:r w:rsidR="00780E8D">
        <w:rPr>
          <w:rStyle w:val="hps"/>
        </w:rPr>
        <w:t>ζήτημα</w:t>
      </w:r>
      <w:r>
        <w:rPr>
          <w:rStyle w:val="hps"/>
        </w:rPr>
        <w:t xml:space="preserve"> αυτό προκάλεσε έντονες συζ</w:t>
      </w:r>
      <w:r w:rsidR="00780E8D">
        <w:rPr>
          <w:rStyle w:val="hps"/>
        </w:rPr>
        <w:t>ητήσεις, καθώς υποστηρίζεται ολοένα</w:t>
      </w:r>
      <w:r>
        <w:rPr>
          <w:rStyle w:val="hps"/>
        </w:rPr>
        <w:t xml:space="preserve"> και περισσότερο το δικαίωμα του τέκνου να γνωρίζει την γενετική το</w:t>
      </w:r>
      <w:r w:rsidR="00780E8D">
        <w:rPr>
          <w:rStyle w:val="hps"/>
        </w:rPr>
        <w:t xml:space="preserve">υ ταυτότητα. Η Εθνική Συνέλευση, </w:t>
      </w:r>
      <w:r>
        <w:rPr>
          <w:rStyle w:val="hps"/>
        </w:rPr>
        <w:t>παρόλα αυτά</w:t>
      </w:r>
      <w:r w:rsidR="00780E8D">
        <w:rPr>
          <w:rStyle w:val="hps"/>
        </w:rPr>
        <w:t>,</w:t>
      </w:r>
      <w:r>
        <w:rPr>
          <w:rStyle w:val="hps"/>
        </w:rPr>
        <w:t xml:space="preserve"> υιοθέτησε μια τροπολογία, </w:t>
      </w:r>
      <w:r w:rsidRPr="00A9124C">
        <w:rPr>
          <w:rStyle w:val="hps"/>
        </w:rPr>
        <w:t xml:space="preserve">απορρίπτοντας τη δυνατότητα αυτή. </w:t>
      </w:r>
    </w:p>
    <w:p w14:paraId="0A961A60" w14:textId="77777777" w:rsidR="005C7850" w:rsidRPr="00A9124C" w:rsidRDefault="00801C2A" w:rsidP="005C7850">
      <w:pPr>
        <w:numPr>
          <w:ilvl w:val="0"/>
          <w:numId w:val="27"/>
        </w:numPr>
        <w:tabs>
          <w:tab w:val="left" w:pos="567"/>
        </w:tabs>
        <w:ind w:left="0" w:firstLine="0"/>
        <w:rPr>
          <w:rStyle w:val="hps"/>
        </w:rPr>
      </w:pPr>
      <w:r w:rsidRPr="00A9124C">
        <w:rPr>
          <w:rStyle w:val="hps"/>
          <w:b/>
        </w:rPr>
        <w:t>Η απαγόρευση της παρένθετης μητρότητας</w:t>
      </w:r>
      <w:r w:rsidRPr="00A9124C">
        <w:rPr>
          <w:rStyle w:val="hps"/>
        </w:rPr>
        <w:t>. Το άρθρο 16-7 ΑΚ</w:t>
      </w:r>
      <w:r w:rsidR="0018435B" w:rsidRPr="00A9124C">
        <w:rPr>
          <w:rStyle w:val="hps"/>
        </w:rPr>
        <w:t xml:space="preserve"> [ακυρότητα σύμβασης παρένθετης μητρότητας]</w:t>
      </w:r>
      <w:r w:rsidRPr="00A9124C">
        <w:rPr>
          <w:rStyle w:val="hps"/>
        </w:rPr>
        <w:t xml:space="preserve"> παραμένει το ίδιο, παρότι οι αντιδράσεις </w:t>
      </w:r>
      <w:r w:rsidR="00BB7BC2">
        <w:rPr>
          <w:rStyle w:val="hps"/>
        </w:rPr>
        <w:t>μεγάλου</w:t>
      </w:r>
      <w:r w:rsidRPr="00A9124C">
        <w:rPr>
          <w:rStyle w:val="hps"/>
        </w:rPr>
        <w:t xml:space="preserve"> μέρους της κοινωνίας σχετικά με τις επιπτώσεις ενός τέτοιου μέτρου στα τέκνα που γεννιούνται από παρένθετη μητέρα στο εξωτερικό ήταν πολύ έντονες. </w:t>
      </w:r>
    </w:p>
    <w:p w14:paraId="3B7E9623" w14:textId="77777777" w:rsidR="005C7850" w:rsidRPr="00A9124C" w:rsidRDefault="00801C2A" w:rsidP="005C7850">
      <w:pPr>
        <w:numPr>
          <w:ilvl w:val="0"/>
          <w:numId w:val="27"/>
        </w:numPr>
        <w:tabs>
          <w:tab w:val="left" w:pos="567"/>
        </w:tabs>
        <w:ind w:left="0" w:firstLine="0"/>
        <w:rPr>
          <w:rStyle w:val="hps"/>
        </w:rPr>
      </w:pPr>
      <w:r w:rsidRPr="00A9124C">
        <w:rPr>
          <w:rStyle w:val="hps"/>
          <w:b/>
        </w:rPr>
        <w:t>Η απαγόρευση της μεταθανάτιας μεταφοράς εμβρύων</w:t>
      </w:r>
      <w:r w:rsidRPr="00A9124C">
        <w:rPr>
          <w:rStyle w:val="hps"/>
        </w:rPr>
        <w:t>. Η διατήρηση της διάταξης αυτή</w:t>
      </w:r>
      <w:r w:rsidR="00A0080E">
        <w:rPr>
          <w:rStyle w:val="hps"/>
        </w:rPr>
        <w:t>ς</w:t>
      </w:r>
      <w:r w:rsidRPr="00A9124C">
        <w:rPr>
          <w:rStyle w:val="hps"/>
        </w:rPr>
        <w:t xml:space="preserve"> θα μπορούσε να αναλυθεί ως η αναπόφευκτη συνέπεια του τέλους του </w:t>
      </w:r>
      <w:r w:rsidR="00B91D30" w:rsidRPr="00A9124C">
        <w:rPr>
          <w:rStyle w:val="hps"/>
        </w:rPr>
        <w:t>οικογενειακού προγραμματισμού</w:t>
      </w:r>
      <w:r w:rsidRPr="00A9124C">
        <w:t xml:space="preserve"> (</w:t>
      </w:r>
      <w:r w:rsidRPr="00A9124C">
        <w:rPr>
          <w:i/>
          <w:lang w:val="fr-FR"/>
        </w:rPr>
        <w:t>projet</w:t>
      </w:r>
      <w:r w:rsidRPr="00A9124C">
        <w:rPr>
          <w:i/>
        </w:rPr>
        <w:t xml:space="preserve"> </w:t>
      </w:r>
      <w:r w:rsidRPr="00A9124C">
        <w:rPr>
          <w:i/>
          <w:lang w:val="fr-FR"/>
        </w:rPr>
        <w:t>parental</w:t>
      </w:r>
      <w:r w:rsidRPr="00A9124C">
        <w:t>), το οπ</w:t>
      </w:r>
      <w:r w:rsidR="00B00500">
        <w:t xml:space="preserve">οίο θεωρείται, στη Γαλλία, </w:t>
      </w:r>
      <w:r w:rsidRPr="00A9124C">
        <w:t>ως μία εκ των ουκ άνευ προϋποθέσεων για την πρόσβαση στη ιατρικά υποβοηθούμενη αναπαραγωγή</w:t>
      </w:r>
      <w:r w:rsidRPr="00A9124C">
        <w:rPr>
          <w:rStyle w:val="hps"/>
        </w:rPr>
        <w:t xml:space="preserve">. </w:t>
      </w:r>
    </w:p>
    <w:p w14:paraId="02529E93" w14:textId="77777777" w:rsidR="00801C2A" w:rsidRDefault="00801C2A" w:rsidP="005C7850">
      <w:pPr>
        <w:numPr>
          <w:ilvl w:val="0"/>
          <w:numId w:val="27"/>
        </w:numPr>
        <w:tabs>
          <w:tab w:val="left" w:pos="567"/>
        </w:tabs>
        <w:ind w:left="0" w:firstLine="0"/>
        <w:rPr>
          <w:rStyle w:val="hps"/>
        </w:rPr>
      </w:pPr>
      <w:r w:rsidRPr="00A9124C">
        <w:rPr>
          <w:rStyle w:val="hps"/>
        </w:rPr>
        <w:t xml:space="preserve">Η πρόσβαση στις μεθόδους της ιατρικά υποβοηθούμενης αναπαραγωγής </w:t>
      </w:r>
      <w:r w:rsidRPr="00A9124C">
        <w:rPr>
          <w:rStyle w:val="hps"/>
          <w:b/>
        </w:rPr>
        <w:t>επιτρέπεται μόνο στα ζευγάρια</w:t>
      </w:r>
      <w:r w:rsidRPr="005C7850">
        <w:rPr>
          <w:rStyle w:val="hps"/>
          <w:b/>
        </w:rPr>
        <w:t xml:space="preserve"> διαφορετικού φύλου</w:t>
      </w:r>
      <w:r>
        <w:rPr>
          <w:rStyle w:val="hps"/>
        </w:rPr>
        <w:t>. Η γαλλική Σύγκλητος είχε προτείνει μια διαφορετ</w:t>
      </w:r>
      <w:r w:rsidR="00002BAA">
        <w:rPr>
          <w:rStyle w:val="hps"/>
        </w:rPr>
        <w:t>ική εκδοχή της εν λόγω διάταξης, προκειμένου να επιτρέπεται η πρόσβαση στην</w:t>
      </w:r>
      <w:r>
        <w:rPr>
          <w:rStyle w:val="hps"/>
        </w:rPr>
        <w:t xml:space="preserve"> υποβοηθούμενη </w:t>
      </w:r>
      <w:r w:rsidR="004D78B1">
        <w:rPr>
          <w:rStyle w:val="hps"/>
        </w:rPr>
        <w:t>αναπαραγωγή και στα ζευγάρια ιδί</w:t>
      </w:r>
      <w:r>
        <w:rPr>
          <w:rStyle w:val="hps"/>
        </w:rPr>
        <w:t>ου φύλου. Η Εθνική Συνέλευση ωστόσο απέρριψε την πρόταση αυτή. Σήμερα, βέβαια, μετά την ψήφιση του Νόμου της 17</w:t>
      </w:r>
      <w:r w:rsidRPr="005C7850">
        <w:rPr>
          <w:rStyle w:val="hps"/>
          <w:vertAlign w:val="superscript"/>
        </w:rPr>
        <w:t>ης</w:t>
      </w:r>
      <w:r>
        <w:rPr>
          <w:rStyle w:val="hps"/>
        </w:rPr>
        <w:t xml:space="preserve"> Μαΐου 2013 και το άνοιγμα του γάμου στα </w:t>
      </w:r>
      <w:r w:rsidR="00002BAA">
        <w:rPr>
          <w:rStyle w:val="hps"/>
        </w:rPr>
        <w:t>ομόφυλα</w:t>
      </w:r>
      <w:r>
        <w:rPr>
          <w:rStyle w:val="hps"/>
        </w:rPr>
        <w:t xml:space="preserve"> ζευγάρια, οι φωνές για διεύρυνση των προϋποθέσεων της νομοθεσίας πολλαπλασιάζονται και γίνονται ολοένα πιο δυνατές.</w:t>
      </w:r>
    </w:p>
    <w:p w14:paraId="369A296C" w14:textId="77777777" w:rsidR="00801C2A" w:rsidRDefault="00801C2A" w:rsidP="00801C2A">
      <w:pPr>
        <w:rPr>
          <w:rStyle w:val="hps"/>
        </w:rPr>
      </w:pPr>
      <w:r>
        <w:rPr>
          <w:rStyle w:val="hps"/>
        </w:rPr>
        <w:t xml:space="preserve">Αντίθετα, παρατηρείται </w:t>
      </w:r>
      <w:r>
        <w:rPr>
          <w:rStyle w:val="hps"/>
          <w:b/>
        </w:rPr>
        <w:t>διαφοροποίηση στις ακόλουθες</w:t>
      </w:r>
      <w:r>
        <w:rPr>
          <w:rStyle w:val="hps"/>
        </w:rPr>
        <w:t xml:space="preserve"> </w:t>
      </w:r>
      <w:r>
        <w:rPr>
          <w:rStyle w:val="hps"/>
          <w:b/>
        </w:rPr>
        <w:t>διατάξεις</w:t>
      </w:r>
      <w:r>
        <w:rPr>
          <w:rStyle w:val="hps"/>
        </w:rPr>
        <w:t>:</w:t>
      </w:r>
    </w:p>
    <w:p w14:paraId="5333DAAB" w14:textId="77777777" w:rsidR="00801C2A" w:rsidRDefault="00C6690C" w:rsidP="00E5410F">
      <w:pPr>
        <w:numPr>
          <w:ilvl w:val="0"/>
          <w:numId w:val="4"/>
        </w:numPr>
        <w:tabs>
          <w:tab w:val="left" w:pos="284"/>
        </w:tabs>
        <w:ind w:left="0" w:firstLine="0"/>
        <w:rPr>
          <w:rStyle w:val="hps"/>
        </w:rPr>
      </w:pPr>
      <w:r>
        <w:rPr>
          <w:rStyle w:val="hps"/>
        </w:rPr>
        <w:t>Η</w:t>
      </w:r>
      <w:r w:rsidR="00801C2A">
        <w:rPr>
          <w:rStyle w:val="hps"/>
        </w:rPr>
        <w:t xml:space="preserve"> ιατρικά υποβοηθούμενη αναπαραγωγή </w:t>
      </w:r>
      <w:r w:rsidR="00FC0FD2">
        <w:rPr>
          <w:rStyle w:val="hps"/>
        </w:rPr>
        <w:t>συνιστ</w:t>
      </w:r>
      <w:r>
        <w:rPr>
          <w:rStyle w:val="hps"/>
        </w:rPr>
        <w:t>ούσε ανέκαθεν, στη γαλλική έννομη τάξη,</w:t>
      </w:r>
      <w:r w:rsidR="00801C2A">
        <w:rPr>
          <w:rStyle w:val="hps"/>
        </w:rPr>
        <w:t xml:space="preserve"> ιατρική λύση σε ένα ιατρικό πρόβλημα</w:t>
      </w:r>
      <w:r>
        <w:rPr>
          <w:rStyle w:val="hps"/>
        </w:rPr>
        <w:t xml:space="preserve">. Ο νομοθέτης του 2011 φροντίζει, </w:t>
      </w:r>
      <w:r w:rsidR="00801C2A">
        <w:rPr>
          <w:rStyle w:val="hps"/>
        </w:rPr>
        <w:t>ωστόσο</w:t>
      </w:r>
      <w:r>
        <w:rPr>
          <w:rStyle w:val="hps"/>
        </w:rPr>
        <w:t>,</w:t>
      </w:r>
      <w:r w:rsidR="00801C2A">
        <w:rPr>
          <w:rStyle w:val="hps"/>
        </w:rPr>
        <w:t xml:space="preserve"> να δώσει </w:t>
      </w:r>
      <w:r w:rsidR="00801C2A">
        <w:rPr>
          <w:rStyle w:val="hps"/>
        </w:rPr>
        <w:lastRenderedPageBreak/>
        <w:t xml:space="preserve">ιδιαίτερη έμφαση στον </w:t>
      </w:r>
      <w:r w:rsidR="00801C2A">
        <w:rPr>
          <w:rStyle w:val="hps"/>
          <w:b/>
        </w:rPr>
        <w:t>παθολογικό χαρακτήρα της υπογονιμότητας του υποβοηθούμενου ζευγαριού και της ρητά πλέον προβλεπόμενης ιατρικής της διάγνωσης</w:t>
      </w:r>
      <w:r w:rsidR="00801C2A">
        <w:rPr>
          <w:rStyle w:val="hps"/>
        </w:rPr>
        <w:t xml:space="preserve">. </w:t>
      </w:r>
    </w:p>
    <w:p w14:paraId="0758B914" w14:textId="77777777" w:rsidR="00801C2A" w:rsidRDefault="00801C2A" w:rsidP="00E5410F">
      <w:pPr>
        <w:numPr>
          <w:ilvl w:val="0"/>
          <w:numId w:val="4"/>
        </w:numPr>
        <w:tabs>
          <w:tab w:val="left" w:pos="284"/>
        </w:tabs>
        <w:ind w:left="0" w:firstLine="0"/>
        <w:rPr>
          <w:rStyle w:val="hps"/>
        </w:rPr>
      </w:pPr>
      <w:r>
        <w:rPr>
          <w:rStyle w:val="hps"/>
        </w:rPr>
        <w:t xml:space="preserve">Ταυτόχρονα, επιτρέπεται η </w:t>
      </w:r>
      <w:r>
        <w:rPr>
          <w:rStyle w:val="hps"/>
          <w:b/>
        </w:rPr>
        <w:t xml:space="preserve">τεχνική της ταχείας κρυοσυντήρησης </w:t>
      </w:r>
      <w:r w:rsidR="00B40CD5">
        <w:rPr>
          <w:rStyle w:val="hps"/>
          <w:b/>
        </w:rPr>
        <w:t xml:space="preserve">ή υαλοποίησης των </w:t>
      </w:r>
      <w:r>
        <w:rPr>
          <w:rStyle w:val="hps"/>
          <w:b/>
        </w:rPr>
        <w:t>ωαρίων με τον ταυτόχρονο περιορισμό του αριθμού των κρυοσυντηρημένων εμβρύων</w:t>
      </w:r>
      <w:r>
        <w:rPr>
          <w:rStyle w:val="hps"/>
        </w:rPr>
        <w:t xml:space="preserve">. </w:t>
      </w:r>
    </w:p>
    <w:p w14:paraId="71C0D767" w14:textId="77777777" w:rsidR="00801C2A" w:rsidRDefault="00801C2A" w:rsidP="00E5410F">
      <w:pPr>
        <w:numPr>
          <w:ilvl w:val="0"/>
          <w:numId w:val="4"/>
        </w:numPr>
        <w:tabs>
          <w:tab w:val="left" w:pos="284"/>
        </w:tabs>
        <w:ind w:left="0" w:firstLine="0"/>
        <w:rPr>
          <w:rStyle w:val="hps"/>
        </w:rPr>
      </w:pPr>
      <w:r>
        <w:rPr>
          <w:rStyle w:val="hps"/>
        </w:rPr>
        <w:t xml:space="preserve">Επεκτείνεται η προσφυγή στην </w:t>
      </w:r>
      <w:r>
        <w:rPr>
          <w:rStyle w:val="hps"/>
          <w:b/>
        </w:rPr>
        <w:t>τ</w:t>
      </w:r>
      <w:r w:rsidR="00577CE4">
        <w:rPr>
          <w:rStyle w:val="hps"/>
          <w:b/>
        </w:rPr>
        <w:t xml:space="preserve">εχνική του «μωρού </w:t>
      </w:r>
      <w:r>
        <w:rPr>
          <w:rStyle w:val="hps"/>
          <w:b/>
        </w:rPr>
        <w:t>φάρμακο» (</w:t>
      </w:r>
      <w:r>
        <w:rPr>
          <w:rStyle w:val="hps"/>
          <w:b/>
          <w:i/>
          <w:lang w:val="en-US"/>
        </w:rPr>
        <w:t>b</w:t>
      </w:r>
      <w:r>
        <w:rPr>
          <w:rStyle w:val="hps"/>
          <w:b/>
          <w:i/>
        </w:rPr>
        <w:t>é</w:t>
      </w:r>
      <w:r>
        <w:rPr>
          <w:rStyle w:val="hps"/>
          <w:b/>
          <w:i/>
          <w:lang w:val="en-US"/>
        </w:rPr>
        <w:t>b</w:t>
      </w:r>
      <w:r>
        <w:rPr>
          <w:rStyle w:val="hps"/>
          <w:b/>
          <w:i/>
        </w:rPr>
        <w:t xml:space="preserve">é </w:t>
      </w:r>
      <w:r>
        <w:rPr>
          <w:rStyle w:val="hps"/>
          <w:b/>
          <w:i/>
          <w:lang w:val="en-US"/>
        </w:rPr>
        <w:t>m</w:t>
      </w:r>
      <w:r>
        <w:rPr>
          <w:rStyle w:val="hps"/>
          <w:b/>
          <w:i/>
        </w:rPr>
        <w:t>é</w:t>
      </w:r>
      <w:r>
        <w:rPr>
          <w:rStyle w:val="hps"/>
          <w:b/>
          <w:i/>
          <w:lang w:val="en-US"/>
        </w:rPr>
        <w:t>dicament</w:t>
      </w:r>
      <w:r>
        <w:rPr>
          <w:rStyle w:val="hps"/>
          <w:b/>
        </w:rPr>
        <w:t>)</w:t>
      </w:r>
      <w:r>
        <w:rPr>
          <w:rStyle w:val="hps"/>
        </w:rPr>
        <w:t>, γνωστή και ως δ</w:t>
      </w:r>
      <w:r w:rsidR="00577CE4">
        <w:rPr>
          <w:rStyle w:val="hps"/>
        </w:rPr>
        <w:t xml:space="preserve">ιπλή προεμφυτευτική διάγνωση, η οποία </w:t>
      </w:r>
      <w:r>
        <w:rPr>
          <w:rStyle w:val="hps"/>
        </w:rPr>
        <w:t>επιτρέπεται πλέον όχ</w:t>
      </w:r>
      <w:r w:rsidR="00577CE4">
        <w:rPr>
          <w:rStyle w:val="hps"/>
        </w:rPr>
        <w:t xml:space="preserve">ι μόνο για πειραματικούς λόγους, </w:t>
      </w:r>
      <w:r>
        <w:rPr>
          <w:rStyle w:val="hps"/>
        </w:rPr>
        <w:t xml:space="preserve">όπως το 2004. </w:t>
      </w:r>
    </w:p>
    <w:p w14:paraId="0E1491E4" w14:textId="77777777" w:rsidR="00801C2A" w:rsidRDefault="00801C2A" w:rsidP="00E5410F">
      <w:pPr>
        <w:numPr>
          <w:ilvl w:val="0"/>
          <w:numId w:val="4"/>
        </w:numPr>
        <w:tabs>
          <w:tab w:val="left" w:pos="284"/>
        </w:tabs>
        <w:ind w:left="0" w:firstLine="0"/>
        <w:rPr>
          <w:rStyle w:val="hps"/>
        </w:rPr>
      </w:pPr>
      <w:r>
        <w:rPr>
          <w:rStyle w:val="hps"/>
          <w:b/>
        </w:rPr>
        <w:t>Καταργείται η υποχρέωση του διετούς κοινού βίου των υποψηφίων υποβοηθούμενων προσώπων</w:t>
      </w:r>
      <w:r>
        <w:rPr>
          <w:rStyle w:val="hps"/>
        </w:rPr>
        <w:t xml:space="preserve">. </w:t>
      </w:r>
    </w:p>
    <w:p w14:paraId="462D9AE4" w14:textId="77777777" w:rsidR="00801C2A" w:rsidRDefault="00801C2A" w:rsidP="00E5410F">
      <w:pPr>
        <w:numPr>
          <w:ilvl w:val="0"/>
          <w:numId w:val="4"/>
        </w:numPr>
        <w:tabs>
          <w:tab w:val="left" w:pos="284"/>
        </w:tabs>
        <w:ind w:left="0" w:firstLine="0"/>
        <w:rPr>
          <w:rStyle w:val="hps"/>
        </w:rPr>
      </w:pPr>
      <w:r>
        <w:rPr>
          <w:rStyle w:val="hps"/>
        </w:rPr>
        <w:t xml:space="preserve">Επιχειρείται η </w:t>
      </w:r>
      <w:r>
        <w:rPr>
          <w:rStyle w:val="hps"/>
          <w:b/>
        </w:rPr>
        <w:t>ενίσχυση της δωρεάς ωαρίων</w:t>
      </w:r>
      <w:r>
        <w:rPr>
          <w:rStyle w:val="hps"/>
        </w:rPr>
        <w:t xml:space="preserve"> μέσω </w:t>
      </w:r>
      <w:r w:rsidR="00E00715">
        <w:rPr>
          <w:rStyle w:val="hps"/>
        </w:rPr>
        <w:t xml:space="preserve">(α) </w:t>
      </w:r>
      <w:r>
        <w:rPr>
          <w:rStyle w:val="hps"/>
        </w:rPr>
        <w:t xml:space="preserve">της </w:t>
      </w:r>
      <w:r>
        <w:rPr>
          <w:rStyle w:val="hps"/>
          <w:b/>
        </w:rPr>
        <w:t>πληροφόρησης των ασθενών</w:t>
      </w:r>
      <w:r>
        <w:rPr>
          <w:rStyle w:val="hps"/>
        </w:rPr>
        <w:t xml:space="preserve"> από τον ιατρό τους για τη δυνατότητα δωρεάς γαμετών, </w:t>
      </w:r>
      <w:r w:rsidR="00E00715">
        <w:rPr>
          <w:rStyle w:val="hps"/>
        </w:rPr>
        <w:t>(β)</w:t>
      </w:r>
      <w:r>
        <w:rPr>
          <w:rStyle w:val="hps"/>
        </w:rPr>
        <w:t xml:space="preserve"> του </w:t>
      </w:r>
      <w:r>
        <w:rPr>
          <w:rStyle w:val="hps"/>
          <w:b/>
        </w:rPr>
        <w:t>επιτρεπτού της δωρεάς και σε άτεκνες γυναίκες</w:t>
      </w:r>
      <w:r>
        <w:rPr>
          <w:rStyle w:val="hps"/>
        </w:rPr>
        <w:t xml:space="preserve">, καθώς επίσης και </w:t>
      </w:r>
      <w:r w:rsidR="00E00715">
        <w:rPr>
          <w:rStyle w:val="hps"/>
        </w:rPr>
        <w:t>(γ)</w:t>
      </w:r>
      <w:r w:rsidR="00577CE4">
        <w:rPr>
          <w:rStyle w:val="hps"/>
        </w:rPr>
        <w:t xml:space="preserve"> </w:t>
      </w:r>
      <w:r>
        <w:rPr>
          <w:rStyle w:val="hps"/>
        </w:rPr>
        <w:t xml:space="preserve">της καθιέρωσης μίας μεθόδου ταχείας κρυοσυντήρησης των ωαρίων γνωστής και ως </w:t>
      </w:r>
      <w:r>
        <w:rPr>
          <w:rStyle w:val="hps"/>
          <w:b/>
        </w:rPr>
        <w:t>«υαλοποίησης των ωαρίων» (</w:t>
      </w:r>
      <w:r>
        <w:rPr>
          <w:rStyle w:val="hps"/>
          <w:b/>
          <w:i/>
          <w:lang w:val="en-US"/>
        </w:rPr>
        <w:t>vitrification</w:t>
      </w:r>
      <w:r w:rsidRPr="00801C2A">
        <w:rPr>
          <w:rStyle w:val="hps"/>
          <w:b/>
          <w:i/>
        </w:rPr>
        <w:t xml:space="preserve"> </w:t>
      </w:r>
      <w:r>
        <w:rPr>
          <w:rStyle w:val="hps"/>
          <w:b/>
          <w:i/>
          <w:lang w:val="en-US"/>
        </w:rPr>
        <w:t>ovocytaire</w:t>
      </w:r>
      <w:r>
        <w:rPr>
          <w:rStyle w:val="hps"/>
          <w:b/>
        </w:rPr>
        <w:t>)</w:t>
      </w:r>
      <w:r>
        <w:rPr>
          <w:rStyle w:val="hps"/>
        </w:rPr>
        <w:t xml:space="preserve">. </w:t>
      </w:r>
    </w:p>
    <w:p w14:paraId="5E9BE61B" w14:textId="77777777" w:rsidR="00801C2A" w:rsidRDefault="00801C2A" w:rsidP="00E5410F">
      <w:pPr>
        <w:numPr>
          <w:ilvl w:val="0"/>
          <w:numId w:val="4"/>
        </w:numPr>
        <w:tabs>
          <w:tab w:val="left" w:pos="284"/>
        </w:tabs>
        <w:ind w:left="0" w:firstLine="0"/>
        <w:rPr>
          <w:rStyle w:val="hps"/>
        </w:rPr>
      </w:pPr>
      <w:r>
        <w:rPr>
          <w:rStyle w:val="hps"/>
          <w:b/>
        </w:rPr>
        <w:t>Διατηρείται,</w:t>
      </w:r>
      <w:r>
        <w:rPr>
          <w:rStyle w:val="hps"/>
        </w:rPr>
        <w:t xml:space="preserve"> τέλος, η </w:t>
      </w:r>
      <w:r>
        <w:rPr>
          <w:rStyle w:val="hps"/>
          <w:b/>
        </w:rPr>
        <w:t>αρχή της απαγόρευσης της έρευνας στο έμβρυο και τα βλαστοκύτταρα</w:t>
      </w:r>
      <w:r>
        <w:rPr>
          <w:rStyle w:val="hps"/>
        </w:rPr>
        <w:t xml:space="preserve">. Εντούτοις, η έρευνα μπορεί να εγκριθεί κατ’ εξαίρεση εάν συντρέχουν πολύ συγκεκριμένες και αυστηρά οριοθετημένες προϋποθέσεις, τόσο επιστημονικού όσο και δεοντολογικού-ηθικού περιεχομένου. </w:t>
      </w:r>
      <w:r w:rsidR="00B81688">
        <w:rPr>
          <w:rStyle w:val="hps"/>
        </w:rPr>
        <w:t>Οι προϋποθέσεις α</w:t>
      </w:r>
      <w:r w:rsidRPr="00B76408">
        <w:rPr>
          <w:rStyle w:val="hps"/>
        </w:rPr>
        <w:t>υτές συνίστανται, μεταξύ άλλων, στην επιστημονική συνάφεια της συγκεκριμένης έρευνας, τη συνεισφορά</w:t>
      </w:r>
      <w:r>
        <w:rPr>
          <w:rStyle w:val="hps"/>
        </w:rPr>
        <w:t xml:space="preserve"> της στην ιατρική πρόοδο, την αδυναμία επίτευξης του ίδιου αποτελέσματος χωρίς τη διεξαγωγή έρευνας σε ανθρώπινα έμβρυα ή εμβρυικά βλαστοκύτταρα και το σεβασμό των αρχών δεοντολογίας και ηθικής σχετικά με την έρευνα στο έμβρυο και τα εμβρυικά βλαστοκύτταρα</w:t>
      </w:r>
      <w:r>
        <w:rPr>
          <w:rStyle w:val="FootnoteReference"/>
        </w:rPr>
        <w:footnoteReference w:id="31"/>
      </w:r>
      <w:r>
        <w:rPr>
          <w:rStyle w:val="hps"/>
        </w:rPr>
        <w:t xml:space="preserve">. </w:t>
      </w:r>
    </w:p>
    <w:p w14:paraId="1DD78C60" w14:textId="77777777" w:rsidR="00801C2A" w:rsidRDefault="00B81688" w:rsidP="00801C2A">
      <w:pPr>
        <w:rPr>
          <w:rStyle w:val="hps"/>
        </w:rPr>
      </w:pPr>
      <w:r>
        <w:rPr>
          <w:rStyle w:val="hps"/>
        </w:rPr>
        <w:t>Κλείνοντας πάντως</w:t>
      </w:r>
      <w:r w:rsidR="00801C2A">
        <w:rPr>
          <w:rStyle w:val="hps"/>
        </w:rPr>
        <w:t xml:space="preserve"> τη σύντομη αυτή επισκόπηση των τριών νομοθετικών κειμένων που ρυθμίζουν την ιατρικά υποβοηθούμενη αναπαραγωγή, </w:t>
      </w:r>
      <w:r>
        <w:rPr>
          <w:rStyle w:val="hps"/>
        </w:rPr>
        <w:t>συνάγεται</w:t>
      </w:r>
      <w:r w:rsidR="00801C2A">
        <w:rPr>
          <w:rStyle w:val="hps"/>
        </w:rPr>
        <w:t xml:space="preserve"> εύλογα το συμπέρασμα ότι οι πρώτοι </w:t>
      </w:r>
      <w:r w:rsidR="00801C2A">
        <w:rPr>
          <w:rStyle w:val="hps"/>
          <w:i/>
        </w:rPr>
        <w:t>Νόμοι περί Βιοηθικής</w:t>
      </w:r>
      <w:r w:rsidR="00801C2A">
        <w:rPr>
          <w:rStyle w:val="hps"/>
        </w:rPr>
        <w:t xml:space="preserve"> του 1994 έθεταν πολυάριθμους περιορισμούς, υπαγορευόμενους από το συμφέρον του παιδιού. Ζητούμενο φα</w:t>
      </w:r>
      <w:r>
        <w:rPr>
          <w:rStyle w:val="hps"/>
        </w:rPr>
        <w:t xml:space="preserve">ίνεται </w:t>
      </w:r>
      <w:r w:rsidR="00801C2A">
        <w:rPr>
          <w:rStyle w:val="hps"/>
        </w:rPr>
        <w:t xml:space="preserve">να </w:t>
      </w:r>
      <w:r>
        <w:rPr>
          <w:rStyle w:val="hps"/>
        </w:rPr>
        <w:t>ήταν</w:t>
      </w:r>
      <w:r w:rsidR="00801C2A">
        <w:rPr>
          <w:rStyle w:val="hps"/>
        </w:rPr>
        <w:t>, στο μέτρο του δ</w:t>
      </w:r>
      <w:r>
        <w:rPr>
          <w:rStyle w:val="hps"/>
        </w:rPr>
        <w:t>υνατού, το παιδί να γεννιέται σα</w:t>
      </w:r>
      <w:r w:rsidR="00801C2A">
        <w:rPr>
          <w:rStyle w:val="hps"/>
        </w:rPr>
        <w:t xml:space="preserve"> να μην </w:t>
      </w:r>
      <w:r>
        <w:rPr>
          <w:rStyle w:val="hps"/>
        </w:rPr>
        <w:t>έχει μεσολαβήσει η προσφυγή σε μεθόδους</w:t>
      </w:r>
      <w:r w:rsidR="00801C2A">
        <w:rPr>
          <w:rStyle w:val="hps"/>
        </w:rPr>
        <w:t xml:space="preserve"> ιατρικά υποβοηθούμενης αναπαραγωγής. Η λογική αυτή δεν τέθηκε σε αμφισβήτηση ούτε με το </w:t>
      </w:r>
      <w:r w:rsidR="00801C2A">
        <w:rPr>
          <w:rStyle w:val="hps"/>
          <w:i/>
        </w:rPr>
        <w:t>Νόμο περί Βιοηθικής</w:t>
      </w:r>
      <w:r w:rsidR="00801C2A">
        <w:rPr>
          <w:rStyle w:val="hps"/>
        </w:rPr>
        <w:t xml:space="preserve"> της 6</w:t>
      </w:r>
      <w:r w:rsidR="00801C2A">
        <w:rPr>
          <w:rStyle w:val="hps"/>
          <w:vertAlign w:val="superscript"/>
        </w:rPr>
        <w:t>ης</w:t>
      </w:r>
      <w:r w:rsidR="00801C2A">
        <w:rPr>
          <w:rStyle w:val="hps"/>
        </w:rPr>
        <w:t xml:space="preserve"> Αυγούστου 2004, ούτε με τον πιο πρόσφατο </w:t>
      </w:r>
      <w:r w:rsidR="00801C2A">
        <w:rPr>
          <w:rStyle w:val="hps"/>
          <w:i/>
        </w:rPr>
        <w:t>Νόμο</w:t>
      </w:r>
      <w:r w:rsidR="00801C2A">
        <w:rPr>
          <w:rStyle w:val="hps"/>
        </w:rPr>
        <w:t xml:space="preserve"> της 11</w:t>
      </w:r>
      <w:r w:rsidR="00801C2A">
        <w:rPr>
          <w:rStyle w:val="hps"/>
          <w:vertAlign w:val="superscript"/>
        </w:rPr>
        <w:t>ης</w:t>
      </w:r>
      <w:r w:rsidR="00801C2A">
        <w:rPr>
          <w:rStyle w:val="hps"/>
        </w:rPr>
        <w:t xml:space="preserve"> Ιουλίου 2011</w:t>
      </w:r>
      <w:r w:rsidR="00801C2A">
        <w:rPr>
          <w:rStyle w:val="FootnoteReference"/>
        </w:rPr>
        <w:footnoteReference w:id="32"/>
      </w:r>
      <w:r>
        <w:rPr>
          <w:rStyle w:val="hps"/>
        </w:rPr>
        <w:t>. Εξάλλου</w:t>
      </w:r>
      <w:r w:rsidR="00801C2A">
        <w:rPr>
          <w:rStyle w:val="hps"/>
        </w:rPr>
        <w:t xml:space="preserve">, </w:t>
      </w:r>
      <w:r>
        <w:rPr>
          <w:rStyle w:val="hps"/>
        </w:rPr>
        <w:t>μπορεί η συνειδητή επιλογή της συγκεκριμένης</w:t>
      </w:r>
      <w:r w:rsidR="00801C2A">
        <w:rPr>
          <w:rStyle w:val="hps"/>
        </w:rPr>
        <w:t xml:space="preserve"> διαδικασία</w:t>
      </w:r>
      <w:r>
        <w:rPr>
          <w:rStyle w:val="hps"/>
        </w:rPr>
        <w:t>ς</w:t>
      </w:r>
      <w:r w:rsidR="00801C2A">
        <w:rPr>
          <w:rStyle w:val="hps"/>
        </w:rPr>
        <w:t xml:space="preserve"> για </w:t>
      </w:r>
      <w:r w:rsidR="000A2C08">
        <w:rPr>
          <w:rStyle w:val="hps"/>
        </w:rPr>
        <w:t>τη θέσπιση της νομοθεσίας περί Β</w:t>
      </w:r>
      <w:r w:rsidR="00801C2A">
        <w:rPr>
          <w:rStyle w:val="hps"/>
        </w:rPr>
        <w:t xml:space="preserve">ιοηθικής </w:t>
      </w:r>
      <w:r>
        <w:rPr>
          <w:rStyle w:val="hps"/>
        </w:rPr>
        <w:t xml:space="preserve">να είχε ως </w:t>
      </w:r>
      <w:r w:rsidR="00801C2A">
        <w:rPr>
          <w:rStyle w:val="hps"/>
        </w:rPr>
        <w:t>σκοπό της τον εκδημοκρατισμό του διαλόγου και τη συμμετοχή της κοινωνίας των πολιτών στη συζήτηση σχετικά με μεγάλα ζητήματα ηθικής που εγείρουν παραδοσιακά έντ</w:t>
      </w:r>
      <w:r>
        <w:rPr>
          <w:rStyle w:val="hps"/>
        </w:rPr>
        <w:t>ονο προβληματισμό και πολεμική, ω</w:t>
      </w:r>
      <w:r w:rsidR="00801C2A">
        <w:rPr>
          <w:rStyle w:val="hps"/>
        </w:rPr>
        <w:t xml:space="preserve">στόσο, όπως θα δούμε και στη συνέχεια αναλυτικότερα, μετά το πέρας των διαβουλεύσεων μεταξύ </w:t>
      </w:r>
      <w:r w:rsidR="00801C2A">
        <w:rPr>
          <w:rStyle w:val="hps"/>
        </w:rPr>
        <w:lastRenderedPageBreak/>
        <w:t>της γαλλικής Εθνικής Συνέλευσης και της Συγκλήτου, δεν υιοθετήθηκε καμία από τις καινοτ</w:t>
      </w:r>
      <w:r>
        <w:rPr>
          <w:rStyle w:val="hps"/>
        </w:rPr>
        <w:t>όμες προτάσεις τους. Αντίθετα, π</w:t>
      </w:r>
      <w:r w:rsidR="00801C2A">
        <w:rPr>
          <w:rStyle w:val="hps"/>
        </w:rPr>
        <w:t xml:space="preserve">ροτιμήθηκε η διατήρηση του </w:t>
      </w:r>
      <w:r w:rsidR="00801C2A">
        <w:rPr>
          <w:rStyle w:val="hps"/>
          <w:i/>
          <w:lang w:val="fr-FR"/>
        </w:rPr>
        <w:t>statu</w:t>
      </w:r>
      <w:r w:rsidR="00801C2A" w:rsidRPr="00801C2A">
        <w:rPr>
          <w:rStyle w:val="hps"/>
          <w:i/>
        </w:rPr>
        <w:t xml:space="preserve"> </w:t>
      </w:r>
      <w:r w:rsidR="00801C2A">
        <w:rPr>
          <w:rStyle w:val="hps"/>
          <w:i/>
          <w:lang w:val="fr-FR"/>
        </w:rPr>
        <w:t>quo</w:t>
      </w:r>
      <w:r w:rsidR="00801C2A">
        <w:rPr>
          <w:rStyle w:val="hps"/>
        </w:rPr>
        <w:t xml:space="preserve">.  </w:t>
      </w:r>
    </w:p>
    <w:p w14:paraId="71310E4C" w14:textId="77777777" w:rsidR="00307456" w:rsidRDefault="00801C2A" w:rsidP="00307456">
      <w:pPr>
        <w:rPr>
          <w:rStyle w:val="hps"/>
        </w:rPr>
      </w:pPr>
      <w:r>
        <w:rPr>
          <w:rStyle w:val="hps"/>
        </w:rPr>
        <w:t xml:space="preserve">Τέλος, κρίνεται αναγκαίο να αναφερθεί, υπό μορφή εισαγωγικής επισήμανσης, ότι το σύνολο των διατάξεων των </w:t>
      </w:r>
      <w:r>
        <w:rPr>
          <w:rStyle w:val="hps"/>
          <w:b/>
          <w:i/>
        </w:rPr>
        <w:t>Νόμων περί Βιοηθικής</w:t>
      </w:r>
      <w:r>
        <w:rPr>
          <w:rStyle w:val="hps"/>
        </w:rPr>
        <w:t xml:space="preserve"> έχει κωδικοποιηθεί και ενσωματωθεί κυρίως στον </w:t>
      </w:r>
      <w:r>
        <w:rPr>
          <w:rStyle w:val="hps"/>
          <w:b/>
        </w:rPr>
        <w:t>Κώδικα Δημόσιας Υγείας</w:t>
      </w:r>
      <w:r>
        <w:rPr>
          <w:rStyle w:val="FootnoteReference"/>
          <w:b/>
        </w:rPr>
        <w:footnoteReference w:id="33"/>
      </w:r>
      <w:r>
        <w:rPr>
          <w:rStyle w:val="hps"/>
        </w:rPr>
        <w:t xml:space="preserve"> και τον </w:t>
      </w:r>
      <w:r>
        <w:rPr>
          <w:rStyle w:val="hps"/>
          <w:b/>
        </w:rPr>
        <w:t>Αστικό Κώδικα</w:t>
      </w:r>
      <w:r>
        <w:rPr>
          <w:rStyle w:val="FootnoteReference"/>
          <w:b/>
        </w:rPr>
        <w:footnoteReference w:id="34"/>
      </w:r>
      <w:r>
        <w:rPr>
          <w:rStyle w:val="hps"/>
        </w:rPr>
        <w:t xml:space="preserve">, ενώ διατάξεις σχετικές με την υποβοηθούμενη αναπαραγωγή και την προστασία του εμβρύου </w:t>
      </w:r>
      <w:r>
        <w:rPr>
          <w:rStyle w:val="hps"/>
          <w:i/>
          <w:lang w:val="en-US"/>
        </w:rPr>
        <w:t>in</w:t>
      </w:r>
      <w:r w:rsidRPr="00801C2A">
        <w:rPr>
          <w:rStyle w:val="hps"/>
          <w:i/>
        </w:rPr>
        <w:t xml:space="preserve"> </w:t>
      </w:r>
      <w:r>
        <w:rPr>
          <w:rStyle w:val="hps"/>
          <w:i/>
          <w:lang w:val="en-US"/>
        </w:rPr>
        <w:t>vitro</w:t>
      </w:r>
      <w:r w:rsidRPr="00801C2A">
        <w:rPr>
          <w:rStyle w:val="hps"/>
        </w:rPr>
        <w:t xml:space="preserve"> </w:t>
      </w:r>
      <w:r>
        <w:rPr>
          <w:rStyle w:val="hps"/>
        </w:rPr>
        <w:t xml:space="preserve">βρίσκονται επίσης στον </w:t>
      </w:r>
      <w:r>
        <w:rPr>
          <w:rStyle w:val="hps"/>
          <w:b/>
        </w:rPr>
        <w:t>Ποινικό Κώδικα</w:t>
      </w:r>
      <w:r>
        <w:rPr>
          <w:rStyle w:val="hps"/>
        </w:rPr>
        <w:t xml:space="preserve">, τον </w:t>
      </w:r>
      <w:r>
        <w:rPr>
          <w:rStyle w:val="hps"/>
          <w:b/>
        </w:rPr>
        <w:t>Κώδικα Πολιτικής Δικονομίας</w:t>
      </w:r>
      <w:r>
        <w:rPr>
          <w:rStyle w:val="hps"/>
        </w:rPr>
        <w:t xml:space="preserve">, τον </w:t>
      </w:r>
      <w:r>
        <w:rPr>
          <w:rStyle w:val="hps"/>
          <w:b/>
        </w:rPr>
        <w:t>Κώδικα Κοινωνικής Ασφάλισης</w:t>
      </w:r>
      <w:r>
        <w:rPr>
          <w:rStyle w:val="hps"/>
        </w:rPr>
        <w:t xml:space="preserve">, τον </w:t>
      </w:r>
      <w:r>
        <w:rPr>
          <w:rStyle w:val="hps"/>
          <w:b/>
        </w:rPr>
        <w:t>Κώδικα Ιατρικής Δεοντολογίας κ.ά.</w:t>
      </w:r>
      <w:r w:rsidR="00104460">
        <w:rPr>
          <w:rStyle w:val="hps"/>
          <w:b/>
        </w:rPr>
        <w:t xml:space="preserve"> </w:t>
      </w:r>
      <w:r w:rsidR="00104460" w:rsidRPr="00104460">
        <w:rPr>
          <w:rStyle w:val="hps"/>
        </w:rPr>
        <w:t>Θ</w:t>
      </w:r>
      <w:r w:rsidR="004B436E" w:rsidRPr="00104460">
        <w:rPr>
          <w:rStyle w:val="hps"/>
        </w:rPr>
        <w:t>ε</w:t>
      </w:r>
      <w:r w:rsidR="00104460">
        <w:rPr>
          <w:rStyle w:val="hps"/>
        </w:rPr>
        <w:t xml:space="preserve">ωρητικό ενδιαφέρον, μάλιστα, </w:t>
      </w:r>
      <w:r w:rsidR="004B436E">
        <w:rPr>
          <w:rStyle w:val="hps"/>
        </w:rPr>
        <w:t>παρουσιάζουν οι αντιδράσεις όσων ήταν ενάντια στον κατακερματισμό της νομοθεσίας σχετικά με την ιατρικά υποβοηθούμενη αναπαραγωγή, υποστηρίζοντας ότι τόσο για λόγους ουσίας</w:t>
      </w:r>
      <w:r w:rsidR="004B436E">
        <w:rPr>
          <w:rStyle w:val="FootnoteReference"/>
        </w:rPr>
        <w:footnoteReference w:id="35"/>
      </w:r>
      <w:r w:rsidR="004B436E">
        <w:rPr>
          <w:rStyle w:val="hps"/>
        </w:rPr>
        <w:t xml:space="preserve">, όσο και για τυπικούς λόγους η σχετική νομοθεσία θα έπρεπε να μείνει ενιαία. </w:t>
      </w:r>
      <w:r w:rsidR="00307456">
        <w:rPr>
          <w:rStyle w:val="hps"/>
        </w:rPr>
        <w:t xml:space="preserve"> </w:t>
      </w:r>
    </w:p>
    <w:p w14:paraId="01FE6822" w14:textId="77777777" w:rsidR="00801C2A" w:rsidRDefault="007C04BE" w:rsidP="007C04BE">
      <w:pPr>
        <w:pStyle w:val="Heading2"/>
      </w:pPr>
      <w:bookmarkStart w:id="17" w:name="_Toc275535586"/>
      <w:bookmarkStart w:id="18" w:name="_Toc276574369"/>
      <w:r>
        <w:t>Γ</w:t>
      </w:r>
      <w:r w:rsidR="00801C2A">
        <w:t>. Γνωμοδοτήσεις και Κατευθυντήριες Οδηγίες που συμπληρώνουν τους Νόμους περί Βιοηθικής</w:t>
      </w:r>
      <w:bookmarkEnd w:id="17"/>
      <w:bookmarkEnd w:id="18"/>
      <w:r w:rsidR="00801C2A">
        <w:t xml:space="preserve"> </w:t>
      </w:r>
    </w:p>
    <w:p w14:paraId="17ED90D5" w14:textId="77777777" w:rsidR="00801C2A" w:rsidRDefault="00801C2A" w:rsidP="00801C2A">
      <w:r>
        <w:rPr>
          <w:rStyle w:val="hps"/>
        </w:rPr>
        <w:t>Η ειδική νομοθεσία σχετικά με την ιατρικά υποβοηθού</w:t>
      </w:r>
      <w:r w:rsidR="00FC78CB">
        <w:rPr>
          <w:rStyle w:val="hps"/>
        </w:rPr>
        <w:t xml:space="preserve">μενη αναπαραγωγή συμπληρώνεται ιδίως </w:t>
      </w:r>
      <w:r>
        <w:rPr>
          <w:rStyle w:val="hps"/>
        </w:rPr>
        <w:t xml:space="preserve">με τον </w:t>
      </w:r>
      <w:r>
        <w:rPr>
          <w:rFonts w:eastAsia="Calibri"/>
          <w:b/>
          <w:lang w:eastAsia="en-US"/>
        </w:rPr>
        <w:t>Οδηγό Καλών Κλινικών και Βιολογικών Πρακτικών στην ιατρικά υποβοηθούμενη αναπαραγωγή (</w:t>
      </w:r>
      <w:r>
        <w:rPr>
          <w:b/>
          <w:i/>
          <w:lang w:val="fr-FR"/>
        </w:rPr>
        <w:t>Guide</w:t>
      </w:r>
      <w:r w:rsidRPr="00801C2A">
        <w:rPr>
          <w:b/>
          <w:i/>
        </w:rPr>
        <w:t xml:space="preserve"> </w:t>
      </w:r>
      <w:r>
        <w:rPr>
          <w:b/>
          <w:i/>
          <w:lang w:val="fr-FR"/>
        </w:rPr>
        <w:t>de</w:t>
      </w:r>
      <w:r w:rsidRPr="00801C2A">
        <w:rPr>
          <w:b/>
          <w:i/>
        </w:rPr>
        <w:t xml:space="preserve"> </w:t>
      </w:r>
      <w:r>
        <w:rPr>
          <w:b/>
          <w:i/>
          <w:lang w:val="fr-FR"/>
        </w:rPr>
        <w:t>Bonnes</w:t>
      </w:r>
      <w:r w:rsidRPr="00801C2A">
        <w:rPr>
          <w:b/>
          <w:i/>
        </w:rPr>
        <w:t xml:space="preserve"> </w:t>
      </w:r>
      <w:r>
        <w:rPr>
          <w:b/>
          <w:i/>
          <w:lang w:val="fr-FR"/>
        </w:rPr>
        <w:t>Pratiques</w:t>
      </w:r>
      <w:r w:rsidRPr="00801C2A">
        <w:rPr>
          <w:b/>
          <w:i/>
        </w:rPr>
        <w:t xml:space="preserve"> </w:t>
      </w:r>
      <w:r>
        <w:rPr>
          <w:b/>
          <w:i/>
          <w:lang w:val="fr-FR"/>
        </w:rPr>
        <w:t>Cliniques</w:t>
      </w:r>
      <w:r w:rsidRPr="00801C2A">
        <w:rPr>
          <w:b/>
          <w:i/>
        </w:rPr>
        <w:t xml:space="preserve"> </w:t>
      </w:r>
      <w:r>
        <w:rPr>
          <w:b/>
          <w:i/>
          <w:lang w:val="fr-FR"/>
        </w:rPr>
        <w:t>et</w:t>
      </w:r>
      <w:r w:rsidRPr="00801C2A">
        <w:rPr>
          <w:b/>
          <w:i/>
        </w:rPr>
        <w:t xml:space="preserve"> </w:t>
      </w:r>
      <w:r>
        <w:rPr>
          <w:b/>
          <w:i/>
          <w:lang w:val="fr-FR"/>
        </w:rPr>
        <w:t>Biologiques</w:t>
      </w:r>
      <w:r w:rsidRPr="00801C2A">
        <w:rPr>
          <w:b/>
          <w:i/>
        </w:rPr>
        <w:t xml:space="preserve"> </w:t>
      </w:r>
      <w:r>
        <w:rPr>
          <w:b/>
          <w:i/>
          <w:lang w:val="fr-FR"/>
        </w:rPr>
        <w:t>en</w:t>
      </w:r>
      <w:r w:rsidRPr="00801C2A">
        <w:rPr>
          <w:b/>
          <w:i/>
        </w:rPr>
        <w:t xml:space="preserve"> </w:t>
      </w:r>
      <w:r>
        <w:rPr>
          <w:b/>
          <w:i/>
          <w:lang w:val="fr-FR"/>
        </w:rPr>
        <w:t>Assistance</w:t>
      </w:r>
      <w:r w:rsidRPr="00801C2A">
        <w:rPr>
          <w:b/>
          <w:i/>
        </w:rPr>
        <w:t xml:space="preserve"> </w:t>
      </w:r>
      <w:r>
        <w:rPr>
          <w:b/>
          <w:i/>
          <w:lang w:val="fr-FR"/>
        </w:rPr>
        <w:t>M</w:t>
      </w:r>
      <w:r>
        <w:rPr>
          <w:b/>
          <w:i/>
        </w:rPr>
        <w:t>é</w:t>
      </w:r>
      <w:r>
        <w:rPr>
          <w:b/>
          <w:i/>
          <w:lang w:val="fr-FR"/>
        </w:rPr>
        <w:t>dicale</w:t>
      </w:r>
      <w:r>
        <w:rPr>
          <w:b/>
          <w:i/>
        </w:rPr>
        <w:t xml:space="preserve"> à </w:t>
      </w:r>
      <w:r>
        <w:rPr>
          <w:b/>
          <w:i/>
          <w:lang w:val="fr-FR"/>
        </w:rPr>
        <w:t>la</w:t>
      </w:r>
      <w:r w:rsidRPr="00801C2A">
        <w:rPr>
          <w:b/>
          <w:i/>
        </w:rPr>
        <w:t xml:space="preserve"> </w:t>
      </w:r>
      <w:r>
        <w:rPr>
          <w:b/>
          <w:i/>
          <w:lang w:val="fr-FR"/>
        </w:rPr>
        <w:t>Procr</w:t>
      </w:r>
      <w:r>
        <w:rPr>
          <w:b/>
          <w:i/>
        </w:rPr>
        <w:t>é</w:t>
      </w:r>
      <w:r>
        <w:rPr>
          <w:b/>
          <w:i/>
          <w:lang w:val="fr-FR"/>
        </w:rPr>
        <w:t>ation</w:t>
      </w:r>
      <w:r>
        <w:rPr>
          <w:b/>
        </w:rPr>
        <w:t>)</w:t>
      </w:r>
      <w:r>
        <w:rPr>
          <w:rStyle w:val="hps"/>
        </w:rPr>
        <w:t>, όπως αυτός θεσπίστηκε με την Υπουργική απόφαση</w:t>
      </w:r>
      <w:r>
        <w:rPr>
          <w:rFonts w:eastAsia="Calibri"/>
          <w:lang w:eastAsia="en-US"/>
        </w:rPr>
        <w:t xml:space="preserve"> της 12</w:t>
      </w:r>
      <w:r>
        <w:rPr>
          <w:rFonts w:eastAsia="Calibri"/>
          <w:vertAlign w:val="superscript"/>
          <w:lang w:eastAsia="en-US"/>
        </w:rPr>
        <w:t>ης</w:t>
      </w:r>
      <w:r>
        <w:rPr>
          <w:rFonts w:eastAsia="Calibri"/>
          <w:lang w:eastAsia="en-US"/>
        </w:rPr>
        <w:t xml:space="preserve"> Ιανουαρίου 1999 σχετικά με τους κανόνες καλών κλινικών και βιολογικών πρακτικών </w:t>
      </w:r>
      <w:r w:rsidR="0004076A">
        <w:rPr>
          <w:rFonts w:eastAsia="Calibri"/>
          <w:lang w:eastAsia="en-US"/>
        </w:rPr>
        <w:t>στην ιατρικά υποβοηθούμενη αναπαραγωγή</w:t>
      </w:r>
      <w:r>
        <w:rPr>
          <w:rStyle w:val="FootnoteReference"/>
          <w:rFonts w:eastAsia="Calibri"/>
          <w:lang w:eastAsia="en-US"/>
        </w:rPr>
        <w:footnoteReference w:id="36"/>
      </w:r>
      <w:r>
        <w:rPr>
          <w:rFonts w:eastAsia="Calibri"/>
          <w:lang w:eastAsia="en-US"/>
        </w:rPr>
        <w:t xml:space="preserve">. Σήμερα, η εν λόγω απόφαση έχει καταργηθεί και αντικατασταθεί από την </w:t>
      </w:r>
      <w:r>
        <w:rPr>
          <w:rFonts w:eastAsia="Calibri"/>
          <w:b/>
          <w:lang w:eastAsia="en-US"/>
        </w:rPr>
        <w:t>Υπουργική απόφαση της 11</w:t>
      </w:r>
      <w:r>
        <w:rPr>
          <w:rFonts w:eastAsia="Calibri"/>
          <w:b/>
          <w:vertAlign w:val="superscript"/>
          <w:lang w:eastAsia="en-US"/>
        </w:rPr>
        <w:t>ης</w:t>
      </w:r>
      <w:r>
        <w:rPr>
          <w:rFonts w:eastAsia="Calibri"/>
          <w:b/>
          <w:lang w:eastAsia="en-US"/>
        </w:rPr>
        <w:t xml:space="preserve"> Απριλίου 2008, </w:t>
      </w:r>
      <w:r>
        <w:rPr>
          <w:rFonts w:eastAsia="Calibri"/>
          <w:lang w:eastAsia="en-US"/>
        </w:rPr>
        <w:t>όπως αυτή τροποποιήθηκε από την Απόφαση της 3</w:t>
      </w:r>
      <w:r>
        <w:rPr>
          <w:rFonts w:eastAsia="Calibri"/>
          <w:vertAlign w:val="superscript"/>
          <w:lang w:eastAsia="en-US"/>
        </w:rPr>
        <w:t>ης</w:t>
      </w:r>
      <w:r>
        <w:rPr>
          <w:rFonts w:eastAsia="Calibri"/>
          <w:lang w:eastAsia="en-US"/>
        </w:rPr>
        <w:t xml:space="preserve"> Αυγούστου 2010</w:t>
      </w:r>
      <w:r>
        <w:rPr>
          <w:rStyle w:val="FootnoteReference"/>
          <w:rFonts w:eastAsia="Calibri"/>
          <w:lang w:eastAsia="en-US"/>
        </w:rPr>
        <w:footnoteReference w:id="37"/>
      </w:r>
      <w:r>
        <w:t xml:space="preserve">. Λεπτομερέστερη αναφορά στον Οδηγό θα γίνεται σε όλη την Έκθεση κατά τρόπο θεματικό, δεδομένου ότι όλα τα επιμέρους ζητήματα που αφορούν στην ιατρικά υποβοηθούμενη </w:t>
      </w:r>
      <w:r>
        <w:lastRenderedPageBreak/>
        <w:t xml:space="preserve">αναπαραγωγή ρυθμίζονται </w:t>
      </w:r>
      <w:r w:rsidR="00FC78CB">
        <w:t>αλληλοσυμπληρωματικά τόσο από τα προαναφερθέντα νομοθετικά κείμενα όσο</w:t>
      </w:r>
      <w:r>
        <w:t xml:space="preserve"> και από τον </w:t>
      </w:r>
      <w:r>
        <w:rPr>
          <w:rFonts w:eastAsia="Calibri"/>
        </w:rPr>
        <w:t xml:space="preserve">Οδηγό Καλών Κλινικών και Βιολογικών Πρακτικών στην ιατρικά υποβοηθούμενη αναπαραγωγή. </w:t>
      </w:r>
    </w:p>
    <w:p w14:paraId="0FDA02DE" w14:textId="77777777" w:rsidR="00801C2A" w:rsidRDefault="00801C2A" w:rsidP="00801C2A">
      <w:r>
        <w:t xml:space="preserve">Η Αρχή που </w:t>
      </w:r>
      <w:r>
        <w:rPr>
          <w:rFonts w:eastAsia="Calibri"/>
          <w:lang w:eastAsia="en-US"/>
        </w:rPr>
        <w:t xml:space="preserve">εποπτεύει την ορθή εφαρμογή της νομοθεσίας για την ιατρικά υποβοηθούμενη αναπαραγωγή είναι, όπως θα δούμε αναλυτικότερα πιο κάτω, ο </w:t>
      </w:r>
      <w:r>
        <w:rPr>
          <w:rFonts w:eastAsia="Calibri"/>
          <w:b/>
          <w:lang w:eastAsia="en-US"/>
        </w:rPr>
        <w:t>Οργανισμός Βιοϊατρικής (</w:t>
      </w:r>
      <w:r>
        <w:rPr>
          <w:b/>
          <w:i/>
        </w:rPr>
        <w:t>Agence de la biomédecine</w:t>
      </w:r>
      <w:r>
        <w:rPr>
          <w:b/>
        </w:rPr>
        <w:t>)</w:t>
      </w:r>
      <w:r>
        <w:t>, ο οποίος συμμετέχει στην ε</w:t>
      </w:r>
      <w:r w:rsidR="0035737B">
        <w:t xml:space="preserve">κπόνηση και, εάν προκύψει ανάγκη, </w:t>
      </w:r>
      <w:r>
        <w:t xml:space="preserve">την εφαρμογή των κανόνων και των καλών πρακτικών και διατυπώνει συστάσεις στα πεδία της αναπαραγωγής, της εμβρυολογίας και της ανθρώπινης γενετικής. Στο πλαίσιο της άσκησης των αρμοδιοτήτων του μάλιστα, </w:t>
      </w:r>
      <w:r w:rsidR="00627D62" w:rsidRPr="00627D62">
        <w:t xml:space="preserve">ο </w:t>
      </w:r>
      <w:r w:rsidR="00627D62" w:rsidRPr="00627D62">
        <w:rPr>
          <w:rFonts w:eastAsia="Calibri"/>
          <w:lang w:eastAsia="en-US"/>
        </w:rPr>
        <w:t>Οργανισμός Βιοϊατρικής</w:t>
      </w:r>
      <w:r w:rsidR="00627D62">
        <w:rPr>
          <w:rFonts w:eastAsia="Calibri"/>
          <w:b/>
          <w:lang w:eastAsia="en-US"/>
        </w:rPr>
        <w:t xml:space="preserve"> </w:t>
      </w:r>
      <w:r>
        <w:t>εκπονεί ετήσια έκθεση πεπραγμένων, την οποία και δημοσιεύει</w:t>
      </w:r>
      <w:r w:rsidR="00627D62">
        <w:t xml:space="preserve"> και απευθύνει στο Κοινοβούλιο και, μέσω αυτού, </w:t>
      </w:r>
      <w:r>
        <w:t xml:space="preserve">στο </w:t>
      </w:r>
      <w:r>
        <w:rPr>
          <w:rStyle w:val="hps"/>
        </w:rPr>
        <w:t>Κοινοβουλευτικό</w:t>
      </w:r>
      <w:r>
        <w:t xml:space="preserve"> </w:t>
      </w:r>
      <w:r>
        <w:rPr>
          <w:rStyle w:val="hps"/>
        </w:rPr>
        <w:t>Γραφείο</w:t>
      </w:r>
      <w:r>
        <w:t xml:space="preserve"> </w:t>
      </w:r>
      <w:r>
        <w:rPr>
          <w:rStyle w:val="hps"/>
        </w:rPr>
        <w:t>Αξιολόγησης</w:t>
      </w:r>
      <w:r>
        <w:t xml:space="preserve"> </w:t>
      </w:r>
      <w:r>
        <w:rPr>
          <w:rStyle w:val="hps"/>
        </w:rPr>
        <w:t>Επιστημονικών και Τεχνολογικών</w:t>
      </w:r>
      <w:r w:rsidR="00627D62">
        <w:t xml:space="preserve"> Επιλογών, </w:t>
      </w:r>
      <w:r>
        <w:t>την Κυβέρνηση και στην Εθνική Συμβουλευτική Επιτροπή Ηθικής για τις επιστήμες της ζωής και την υγεία (</w:t>
      </w:r>
      <w:r>
        <w:rPr>
          <w:i/>
          <w:lang w:val="fr-FR"/>
        </w:rPr>
        <w:t>Comit</w:t>
      </w:r>
      <w:r>
        <w:rPr>
          <w:i/>
        </w:rPr>
        <w:t xml:space="preserve">é </w:t>
      </w:r>
      <w:r>
        <w:rPr>
          <w:i/>
          <w:lang w:val="fr-FR"/>
        </w:rPr>
        <w:t>consultatif</w:t>
      </w:r>
      <w:r w:rsidRPr="00801C2A">
        <w:rPr>
          <w:i/>
        </w:rPr>
        <w:t xml:space="preserve"> </w:t>
      </w:r>
      <w:r>
        <w:rPr>
          <w:i/>
          <w:lang w:val="fr-FR"/>
        </w:rPr>
        <w:t>national</w:t>
      </w:r>
      <w:r w:rsidRPr="00801C2A">
        <w:rPr>
          <w:i/>
        </w:rPr>
        <w:t xml:space="preserve"> </w:t>
      </w:r>
      <w:r>
        <w:rPr>
          <w:i/>
          <w:lang w:val="fr-FR"/>
        </w:rPr>
        <w:t>d</w:t>
      </w:r>
      <w:r>
        <w:rPr>
          <w:i/>
        </w:rPr>
        <w:t>’é</w:t>
      </w:r>
      <w:r>
        <w:rPr>
          <w:i/>
          <w:lang w:val="fr-FR"/>
        </w:rPr>
        <w:t>thique</w:t>
      </w:r>
      <w:r w:rsidRPr="00801C2A">
        <w:rPr>
          <w:i/>
        </w:rPr>
        <w:t xml:space="preserve"> </w:t>
      </w:r>
      <w:r>
        <w:rPr>
          <w:i/>
          <w:lang w:val="fr-FR"/>
        </w:rPr>
        <w:t>pour</w:t>
      </w:r>
      <w:r w:rsidRPr="00801C2A">
        <w:rPr>
          <w:i/>
        </w:rPr>
        <w:t xml:space="preserve"> </w:t>
      </w:r>
      <w:r>
        <w:rPr>
          <w:i/>
          <w:lang w:val="fr-FR"/>
        </w:rPr>
        <w:t>les</w:t>
      </w:r>
      <w:r w:rsidRPr="00801C2A">
        <w:rPr>
          <w:i/>
        </w:rPr>
        <w:t xml:space="preserve"> </w:t>
      </w:r>
      <w:r>
        <w:rPr>
          <w:i/>
          <w:lang w:val="fr-FR"/>
        </w:rPr>
        <w:t>sciences</w:t>
      </w:r>
      <w:r w:rsidRPr="00801C2A">
        <w:rPr>
          <w:i/>
        </w:rPr>
        <w:t xml:space="preserve"> </w:t>
      </w:r>
      <w:r>
        <w:rPr>
          <w:i/>
          <w:lang w:val="fr-FR"/>
        </w:rPr>
        <w:t>de</w:t>
      </w:r>
      <w:r w:rsidRPr="00801C2A">
        <w:rPr>
          <w:i/>
        </w:rPr>
        <w:t xml:space="preserve"> </w:t>
      </w:r>
      <w:r>
        <w:rPr>
          <w:i/>
          <w:lang w:val="fr-FR"/>
        </w:rPr>
        <w:t>la</w:t>
      </w:r>
      <w:r w:rsidRPr="00801C2A">
        <w:rPr>
          <w:i/>
        </w:rPr>
        <w:t xml:space="preserve"> </w:t>
      </w:r>
      <w:r>
        <w:rPr>
          <w:i/>
          <w:lang w:val="fr-FR"/>
        </w:rPr>
        <w:t>vie</w:t>
      </w:r>
      <w:r w:rsidRPr="00801C2A">
        <w:rPr>
          <w:i/>
        </w:rPr>
        <w:t xml:space="preserve"> </w:t>
      </w:r>
      <w:r>
        <w:rPr>
          <w:i/>
          <w:lang w:val="fr-FR"/>
        </w:rPr>
        <w:t>et</w:t>
      </w:r>
      <w:r w:rsidRPr="00801C2A">
        <w:rPr>
          <w:i/>
        </w:rPr>
        <w:t xml:space="preserve"> </w:t>
      </w:r>
      <w:r>
        <w:rPr>
          <w:i/>
          <w:lang w:val="fr-FR"/>
        </w:rPr>
        <w:t>de</w:t>
      </w:r>
      <w:r w:rsidRPr="00801C2A">
        <w:rPr>
          <w:i/>
        </w:rPr>
        <w:t xml:space="preserve"> </w:t>
      </w:r>
      <w:r>
        <w:rPr>
          <w:i/>
          <w:lang w:val="fr-FR"/>
        </w:rPr>
        <w:t>la</w:t>
      </w:r>
      <w:r w:rsidRPr="00801C2A">
        <w:rPr>
          <w:i/>
        </w:rPr>
        <w:t xml:space="preserve"> </w:t>
      </w:r>
      <w:r>
        <w:rPr>
          <w:i/>
          <w:lang w:val="fr-FR"/>
        </w:rPr>
        <w:t>sant</w:t>
      </w:r>
      <w:r>
        <w:rPr>
          <w:i/>
        </w:rPr>
        <w:t xml:space="preserve">é, </w:t>
      </w:r>
      <w:r>
        <w:rPr>
          <w:i/>
          <w:lang w:val="en-US"/>
        </w:rPr>
        <w:t>CCNE</w:t>
      </w:r>
      <w:r>
        <w:t xml:space="preserve">). Η εν λόγω Έκθεση παρουσιάζει τις κύριες εξελίξεις των γνώσεων και των τεχνικών σχετικά με τις δραστηριότητες που εμπίπτουν στη δικαιοδοσία του. </w:t>
      </w:r>
    </w:p>
    <w:p w14:paraId="39ACADB4" w14:textId="77777777" w:rsidR="00801C2A" w:rsidRDefault="00801C2A" w:rsidP="00801C2A">
      <w:r>
        <w:t xml:space="preserve">Ειδικότερα, το </w:t>
      </w:r>
      <w:r>
        <w:rPr>
          <w:b/>
        </w:rPr>
        <w:t>Συμβούλιο Προσανατολισμού του Οργανισμού Βιοϊατρικής</w:t>
      </w:r>
      <w:r>
        <w:t xml:space="preserve"> έχει εκδώσει τις ακόλουθες </w:t>
      </w:r>
      <w:r>
        <w:rPr>
          <w:b/>
        </w:rPr>
        <w:t>γνωμοδοτήσεις</w:t>
      </w:r>
      <w:r>
        <w:rPr>
          <w:rStyle w:val="FootnoteReference"/>
        </w:rPr>
        <w:footnoteReference w:id="38"/>
      </w:r>
      <w:r>
        <w:t>:</w:t>
      </w:r>
    </w:p>
    <w:p w14:paraId="3090AEEE" w14:textId="77777777" w:rsidR="00801C2A" w:rsidRDefault="00801C2A" w:rsidP="00E5410F">
      <w:pPr>
        <w:numPr>
          <w:ilvl w:val="0"/>
          <w:numId w:val="5"/>
        </w:numPr>
        <w:tabs>
          <w:tab w:val="left" w:pos="284"/>
        </w:tabs>
        <w:ind w:left="0" w:firstLine="0"/>
      </w:pPr>
      <w:r>
        <w:rPr>
          <w:i/>
        </w:rPr>
        <w:t>Αυτοσυντήρηση των γαμετών των διαφυλικών προσώπων που επιθυμούν να προβούν σε θε</w:t>
      </w:r>
      <w:r w:rsidR="000E1266">
        <w:rPr>
          <w:i/>
        </w:rPr>
        <w:t>ραπεία επαναπροσδιορισμού φύλ</w:t>
      </w:r>
      <w:r>
        <w:rPr>
          <w:i/>
        </w:rPr>
        <w:t>ου</w:t>
      </w:r>
      <w:r>
        <w:t>, 26.6.2014</w:t>
      </w:r>
      <w:r>
        <w:rPr>
          <w:rStyle w:val="FootnoteReference"/>
        </w:rPr>
        <w:footnoteReference w:id="39"/>
      </w:r>
      <w:r>
        <w:t xml:space="preserve">. </w:t>
      </w:r>
    </w:p>
    <w:p w14:paraId="3993A073" w14:textId="77777777" w:rsidR="00801C2A" w:rsidRDefault="00801C2A" w:rsidP="00E5410F">
      <w:pPr>
        <w:numPr>
          <w:ilvl w:val="0"/>
          <w:numId w:val="5"/>
        </w:numPr>
        <w:tabs>
          <w:tab w:val="left" w:pos="284"/>
        </w:tabs>
        <w:ind w:left="0" w:firstLine="0"/>
      </w:pPr>
      <w:r>
        <w:rPr>
          <w:i/>
        </w:rPr>
        <w:t xml:space="preserve">Σκέψεις σχετικά με τη διεύρυνση της ιατρικής </w:t>
      </w:r>
      <w:r w:rsidR="00A763A5">
        <w:rPr>
          <w:i/>
        </w:rPr>
        <w:t>υποβοήθησης στην αναπαραγωγή σε</w:t>
      </w:r>
      <w:r>
        <w:rPr>
          <w:i/>
        </w:rPr>
        <w:t xml:space="preserve"> ζευγάρια γυναικών</w:t>
      </w:r>
      <w:r>
        <w:t>, 18.4.2013</w:t>
      </w:r>
      <w:r>
        <w:rPr>
          <w:rStyle w:val="FootnoteReference"/>
        </w:rPr>
        <w:footnoteReference w:id="40"/>
      </w:r>
      <w:r>
        <w:t>.</w:t>
      </w:r>
    </w:p>
    <w:p w14:paraId="6F7F3A42" w14:textId="77777777" w:rsidR="00801C2A" w:rsidRDefault="00801C2A" w:rsidP="00E5410F">
      <w:pPr>
        <w:numPr>
          <w:ilvl w:val="0"/>
          <w:numId w:val="5"/>
        </w:numPr>
        <w:tabs>
          <w:tab w:val="left" w:pos="284"/>
        </w:tabs>
        <w:ind w:left="0" w:firstLine="0"/>
      </w:pPr>
      <w:r>
        <w:rPr>
          <w:i/>
        </w:rPr>
        <w:t>Αυτοσυντήρηση γαμετών</w:t>
      </w:r>
      <w:r>
        <w:t xml:space="preserve">, </w:t>
      </w:r>
      <w:r>
        <w:rPr>
          <w:lang w:val="en-US"/>
        </w:rPr>
        <w:t>6.7.2012</w:t>
      </w:r>
      <w:r>
        <w:rPr>
          <w:rStyle w:val="FootnoteReference"/>
          <w:lang w:val="en-US"/>
        </w:rPr>
        <w:footnoteReference w:id="41"/>
      </w:r>
      <w:r>
        <w:rPr>
          <w:lang w:val="en-US"/>
        </w:rPr>
        <w:t xml:space="preserve">. </w:t>
      </w:r>
    </w:p>
    <w:p w14:paraId="7EEAF80C" w14:textId="77777777" w:rsidR="00801C2A" w:rsidRDefault="00801C2A" w:rsidP="00E5410F">
      <w:pPr>
        <w:numPr>
          <w:ilvl w:val="0"/>
          <w:numId w:val="5"/>
        </w:numPr>
        <w:tabs>
          <w:tab w:val="left" w:pos="284"/>
        </w:tabs>
        <w:ind w:left="0" w:firstLine="0"/>
      </w:pPr>
      <w:r>
        <w:rPr>
          <w:i/>
        </w:rPr>
        <w:t>Κατάλογος των βιολογικών διεργασιών που χρησιμοποιούνται τακτικά στην ΙΥΑ και των τεχνικών που στοχεύουν στη βελτίωση των επιτρεπόμενων βιολογικών διεργασιών</w:t>
      </w:r>
      <w:r>
        <w:t>, 4.5.2012</w:t>
      </w:r>
      <w:r>
        <w:rPr>
          <w:rStyle w:val="FootnoteReference"/>
        </w:rPr>
        <w:footnoteReference w:id="42"/>
      </w:r>
      <w:r>
        <w:t xml:space="preserve">. </w:t>
      </w:r>
    </w:p>
    <w:p w14:paraId="173AF127" w14:textId="77777777" w:rsidR="00801C2A" w:rsidRDefault="00801C2A" w:rsidP="00E5410F">
      <w:pPr>
        <w:numPr>
          <w:ilvl w:val="0"/>
          <w:numId w:val="5"/>
        </w:numPr>
        <w:tabs>
          <w:tab w:val="left" w:pos="284"/>
        </w:tabs>
        <w:ind w:left="0" w:firstLine="0"/>
      </w:pPr>
      <w:r>
        <w:rPr>
          <w:i/>
        </w:rPr>
        <w:lastRenderedPageBreak/>
        <w:t>Υποδείγματα συλλογής συναίνεσης στη δωρεά εμβρύων για την έρευνα</w:t>
      </w:r>
      <w:r>
        <w:t>, 17.12.2010</w:t>
      </w:r>
      <w:r>
        <w:rPr>
          <w:rStyle w:val="FootnoteReference"/>
        </w:rPr>
        <w:footnoteReference w:id="43"/>
      </w:r>
      <w:r>
        <w:t>.</w:t>
      </w:r>
    </w:p>
    <w:p w14:paraId="4B422455" w14:textId="77777777" w:rsidR="00801C2A" w:rsidRDefault="00801C2A" w:rsidP="00E5410F">
      <w:pPr>
        <w:numPr>
          <w:ilvl w:val="0"/>
          <w:numId w:val="5"/>
        </w:numPr>
        <w:tabs>
          <w:tab w:val="left" w:pos="284"/>
        </w:tabs>
        <w:ind w:left="0" w:firstLine="0"/>
      </w:pPr>
      <w:r>
        <w:rPr>
          <w:i/>
        </w:rPr>
        <w:t>Συστάσεις καλών πρακτικών στην υποδοχή εμβρύων</w:t>
      </w:r>
      <w:r>
        <w:t>, 17.12.2010</w:t>
      </w:r>
      <w:r>
        <w:rPr>
          <w:rStyle w:val="FootnoteReference"/>
        </w:rPr>
        <w:footnoteReference w:id="44"/>
      </w:r>
      <w:r>
        <w:t xml:space="preserve">. </w:t>
      </w:r>
    </w:p>
    <w:p w14:paraId="4378AF70" w14:textId="77777777" w:rsidR="00801C2A" w:rsidRDefault="00801C2A" w:rsidP="00E5410F">
      <w:pPr>
        <w:numPr>
          <w:ilvl w:val="0"/>
          <w:numId w:val="5"/>
        </w:numPr>
        <w:tabs>
          <w:tab w:val="left" w:pos="284"/>
        </w:tabs>
        <w:ind w:left="0" w:firstLine="0"/>
      </w:pPr>
      <w:r>
        <w:rPr>
          <w:i/>
        </w:rPr>
        <w:t>Γνωμοδότηση σχετικά με την παρένθετη μητρότητα</w:t>
      </w:r>
      <w:r>
        <w:t>, 18.9.2009</w:t>
      </w:r>
      <w:r>
        <w:rPr>
          <w:rStyle w:val="FootnoteReference"/>
        </w:rPr>
        <w:footnoteReference w:id="45"/>
      </w:r>
      <w:r>
        <w:t xml:space="preserve">. </w:t>
      </w:r>
    </w:p>
    <w:p w14:paraId="07EF3E5F" w14:textId="77777777" w:rsidR="00801C2A" w:rsidRDefault="00801C2A" w:rsidP="00E5410F">
      <w:pPr>
        <w:numPr>
          <w:ilvl w:val="0"/>
          <w:numId w:val="5"/>
        </w:numPr>
        <w:tabs>
          <w:tab w:val="left" w:pos="284"/>
        </w:tabs>
        <w:ind w:left="0" w:firstLine="0"/>
      </w:pPr>
      <w:r>
        <w:rPr>
          <w:i/>
        </w:rPr>
        <w:t>Συνεισφορά στις προπαρασκευαστικές συζητήσεις σχετικά με την αναθεώρηση του Νόμου περί Βιοηθικής</w:t>
      </w:r>
      <w:r>
        <w:t>, 20.6.2008</w:t>
      </w:r>
      <w:r>
        <w:rPr>
          <w:rStyle w:val="FootnoteReference"/>
        </w:rPr>
        <w:footnoteReference w:id="46"/>
      </w:r>
      <w:r>
        <w:t xml:space="preserve">. </w:t>
      </w:r>
    </w:p>
    <w:p w14:paraId="00387E75" w14:textId="77777777" w:rsidR="00801C2A" w:rsidRDefault="00801C2A" w:rsidP="00E5410F">
      <w:pPr>
        <w:numPr>
          <w:ilvl w:val="0"/>
          <w:numId w:val="5"/>
        </w:numPr>
        <w:tabs>
          <w:tab w:val="left" w:pos="284"/>
        </w:tabs>
        <w:ind w:left="0" w:firstLine="0"/>
      </w:pPr>
      <w:r>
        <w:rPr>
          <w:i/>
        </w:rPr>
        <w:t>«Πώς και γιατί να προωθήσουμε τη δωρεά ωαρίων»</w:t>
      </w:r>
      <w:r>
        <w:t>, 1</w:t>
      </w:r>
      <w:r>
        <w:rPr>
          <w:vertAlign w:val="superscript"/>
        </w:rPr>
        <w:t>η</w:t>
      </w:r>
      <w:r>
        <w:t>.</w:t>
      </w:r>
      <w:r w:rsidR="000C39D9">
        <w:t>6</w:t>
      </w:r>
      <w:r>
        <w:t>.2007</w:t>
      </w:r>
      <w:r>
        <w:rPr>
          <w:rStyle w:val="FootnoteReference"/>
        </w:rPr>
        <w:footnoteReference w:id="47"/>
      </w:r>
      <w:r>
        <w:t xml:space="preserve">. </w:t>
      </w:r>
    </w:p>
    <w:p w14:paraId="12580DF9" w14:textId="77777777" w:rsidR="00801C2A" w:rsidRDefault="00801C2A" w:rsidP="00E5410F">
      <w:pPr>
        <w:numPr>
          <w:ilvl w:val="0"/>
          <w:numId w:val="5"/>
        </w:numPr>
        <w:tabs>
          <w:tab w:val="left" w:pos="284"/>
        </w:tabs>
        <w:ind w:left="0" w:firstLine="0"/>
      </w:pPr>
      <w:r>
        <w:rPr>
          <w:i/>
        </w:rPr>
        <w:t>Καλές κλινικές και βιολογικές πρακτικές στην ιατρικά υποβοηθούμενη αναπαραγωγή</w:t>
      </w:r>
      <w:r>
        <w:t>, 17.11.2006</w:t>
      </w:r>
      <w:r>
        <w:rPr>
          <w:rStyle w:val="FootnoteReference"/>
        </w:rPr>
        <w:footnoteReference w:id="48"/>
      </w:r>
      <w:r>
        <w:t xml:space="preserve">. </w:t>
      </w:r>
    </w:p>
    <w:p w14:paraId="571CB72A" w14:textId="77777777" w:rsidR="00801C2A" w:rsidRDefault="00801C2A" w:rsidP="00E5410F">
      <w:pPr>
        <w:numPr>
          <w:ilvl w:val="0"/>
          <w:numId w:val="5"/>
        </w:numPr>
        <w:tabs>
          <w:tab w:val="left" w:pos="284"/>
        </w:tabs>
        <w:ind w:left="0" w:firstLine="0"/>
      </w:pPr>
      <w:r>
        <w:rPr>
          <w:i/>
        </w:rPr>
        <w:t>Στρατηγική σχετικά με την αξιολόγηση των δραστηριοτήτων και των αποτελεσμάτων της ιατρικά υποβοηθούμενης αναπαραγωγής: «εθνικό αρχείο προσπαθειών εξωσωματικής γονιμοποίησης»</w:t>
      </w:r>
      <w:r>
        <w:t>, 9.6.2006</w:t>
      </w:r>
      <w:r>
        <w:rPr>
          <w:rStyle w:val="FootnoteReference"/>
        </w:rPr>
        <w:footnoteReference w:id="49"/>
      </w:r>
      <w:r>
        <w:t xml:space="preserve">. </w:t>
      </w:r>
    </w:p>
    <w:p w14:paraId="03ABA6D3" w14:textId="77777777" w:rsidR="00801C2A" w:rsidRDefault="00801C2A" w:rsidP="00E5410F">
      <w:pPr>
        <w:numPr>
          <w:ilvl w:val="0"/>
          <w:numId w:val="5"/>
        </w:numPr>
        <w:tabs>
          <w:tab w:val="left" w:pos="284"/>
        </w:tabs>
        <w:ind w:left="0" w:firstLine="0"/>
      </w:pPr>
      <w:r>
        <w:rPr>
          <w:i/>
        </w:rPr>
        <w:t>Γνωμοδότηση σχετικά με τις ηθικές διαστάσεις της μη-αναπαραγωγικής κλωνοποίησης</w:t>
      </w:r>
      <w:r>
        <w:t>, 6.6.2006</w:t>
      </w:r>
      <w:r>
        <w:rPr>
          <w:rStyle w:val="FootnoteReference"/>
        </w:rPr>
        <w:footnoteReference w:id="50"/>
      </w:r>
      <w:r>
        <w:t xml:space="preserve">. </w:t>
      </w:r>
    </w:p>
    <w:p w14:paraId="6B2BAD2A" w14:textId="77777777" w:rsidR="00801C2A" w:rsidRDefault="00801C2A" w:rsidP="00801C2A">
      <w:pPr>
        <w:rPr>
          <w:i/>
        </w:rPr>
      </w:pPr>
      <w:r>
        <w:t xml:space="preserve">Συνάμα, η </w:t>
      </w:r>
      <w:r>
        <w:rPr>
          <w:b/>
        </w:rPr>
        <w:t>Γενική Διευθύντρια του Οργανισμού Βιοϊατρικής</w:t>
      </w:r>
      <w:r>
        <w:t xml:space="preserve"> έχει λάβει τις ακόλουθες αποφάσεις</w:t>
      </w:r>
      <w:r w:rsidR="009A7368">
        <w:rPr>
          <w:rStyle w:val="FootnoteReference"/>
        </w:rPr>
        <w:footnoteReference w:id="51"/>
      </w:r>
      <w:r>
        <w:t>:</w:t>
      </w:r>
    </w:p>
    <w:p w14:paraId="059F0D29" w14:textId="77777777" w:rsidR="00801C2A" w:rsidRDefault="00801C2A" w:rsidP="00E5410F">
      <w:pPr>
        <w:numPr>
          <w:ilvl w:val="0"/>
          <w:numId w:val="6"/>
        </w:numPr>
        <w:tabs>
          <w:tab w:val="left" w:pos="284"/>
        </w:tabs>
        <w:ind w:left="0" w:firstLine="0"/>
        <w:rPr>
          <w:rFonts w:eastAsia="Calibri"/>
          <w:b/>
          <w:lang w:eastAsia="en-US"/>
        </w:rPr>
      </w:pPr>
      <w:r>
        <w:rPr>
          <w:rFonts w:eastAsia="Calibri"/>
          <w:lang w:eastAsia="en-US"/>
        </w:rPr>
        <w:t>Απόφαση αριθ. 2010-08 της Γενικής Διευθύντριας του Οργανισμού Βιοϊατρικής της 11</w:t>
      </w:r>
      <w:r>
        <w:rPr>
          <w:rFonts w:eastAsia="Calibri"/>
          <w:vertAlign w:val="superscript"/>
          <w:lang w:eastAsia="en-US"/>
        </w:rPr>
        <w:t>ης</w:t>
      </w:r>
      <w:r>
        <w:rPr>
          <w:rFonts w:eastAsia="Calibri"/>
          <w:lang w:eastAsia="en-US"/>
        </w:rPr>
        <w:t xml:space="preserve"> Ιουνίου 2010 για τον καθορισμό της σύνθεσης του φακέλου </w:t>
      </w:r>
      <w:r w:rsidR="008D5875">
        <w:rPr>
          <w:rFonts w:eastAsia="Calibri"/>
          <w:lang w:eastAsia="en-US"/>
        </w:rPr>
        <w:t>με τα απαιτούμενα δικαιολογητικά</w:t>
      </w:r>
      <w:r>
        <w:rPr>
          <w:rFonts w:eastAsia="Calibri"/>
          <w:lang w:eastAsia="en-US"/>
        </w:rPr>
        <w:t xml:space="preserve"> για το αίτημα αδειοδότησης για διασυνοριακή μετακίνηση εμβρύων. </w:t>
      </w:r>
    </w:p>
    <w:p w14:paraId="41C89CC2" w14:textId="77777777" w:rsidR="00801C2A" w:rsidRDefault="00801C2A" w:rsidP="00E5410F">
      <w:pPr>
        <w:numPr>
          <w:ilvl w:val="0"/>
          <w:numId w:val="6"/>
        </w:numPr>
        <w:tabs>
          <w:tab w:val="left" w:pos="284"/>
        </w:tabs>
        <w:ind w:left="0" w:firstLine="0"/>
        <w:rPr>
          <w:rFonts w:eastAsia="Calibri"/>
          <w:b/>
          <w:lang w:eastAsia="en-US"/>
        </w:rPr>
      </w:pPr>
      <w:r>
        <w:rPr>
          <w:rFonts w:eastAsia="Calibri"/>
          <w:lang w:eastAsia="en-US"/>
        </w:rPr>
        <w:lastRenderedPageBreak/>
        <w:t>Απόφαση αριθ. 2009-16 της Γενικής Διευθύντριας του Οργανισμού Βιοϊατρικής της 13</w:t>
      </w:r>
      <w:r>
        <w:rPr>
          <w:rFonts w:eastAsia="Calibri"/>
          <w:vertAlign w:val="superscript"/>
          <w:lang w:eastAsia="en-US"/>
        </w:rPr>
        <w:t>ης</w:t>
      </w:r>
      <w:r>
        <w:rPr>
          <w:rFonts w:eastAsia="Calibri"/>
          <w:lang w:eastAsia="en-US"/>
        </w:rPr>
        <w:t xml:space="preserve"> Ιουλίου 2009 για τον καθορισμό της σύνθεσης του φακέλου </w:t>
      </w:r>
      <w:r w:rsidR="008D5875">
        <w:rPr>
          <w:rFonts w:eastAsia="Calibri"/>
          <w:lang w:eastAsia="en-US"/>
        </w:rPr>
        <w:t>με τα απαιτούμενα δικαιολογητικά</w:t>
      </w:r>
      <w:r>
        <w:rPr>
          <w:rFonts w:eastAsia="Calibri"/>
          <w:lang w:eastAsia="en-US"/>
        </w:rPr>
        <w:t xml:space="preserve"> για το αίτημα αδειοδότησης για εισαγωγή ή εξαγωγή γαμετών ή εμβρυακών ιστών. </w:t>
      </w:r>
    </w:p>
    <w:p w14:paraId="4832A787" w14:textId="77777777" w:rsidR="00801C2A" w:rsidRDefault="00801C2A" w:rsidP="00E5410F">
      <w:pPr>
        <w:numPr>
          <w:ilvl w:val="0"/>
          <w:numId w:val="6"/>
        </w:numPr>
        <w:tabs>
          <w:tab w:val="left" w:pos="284"/>
        </w:tabs>
        <w:ind w:left="0" w:firstLine="0"/>
        <w:rPr>
          <w:rFonts w:eastAsia="Calibri"/>
          <w:b/>
          <w:lang w:eastAsia="en-US"/>
        </w:rPr>
      </w:pPr>
      <w:r>
        <w:rPr>
          <w:rFonts w:eastAsia="Calibri"/>
          <w:lang w:eastAsia="en-US"/>
        </w:rPr>
        <w:t>Απόφαση αριθ. 2008-23 της Γενικής Διευθύντριας του Οργανισμού Βιοϊατρικής της 23</w:t>
      </w:r>
      <w:r>
        <w:rPr>
          <w:rFonts w:eastAsia="Calibri"/>
          <w:vertAlign w:val="superscript"/>
          <w:lang w:eastAsia="en-US"/>
        </w:rPr>
        <w:t>ης</w:t>
      </w:r>
      <w:r>
        <w:rPr>
          <w:rFonts w:eastAsia="Calibri"/>
          <w:lang w:eastAsia="en-US"/>
        </w:rPr>
        <w:t xml:space="preserve"> Ιουνίου 2008 για τον καθορισμό του υποδείγματος του </w:t>
      </w:r>
      <w:r w:rsidR="008D5875">
        <w:rPr>
          <w:rFonts w:eastAsia="Calibri"/>
          <w:lang w:eastAsia="en-US"/>
        </w:rPr>
        <w:t xml:space="preserve">φακέλου με τα απαιτούμενα δικαιολογητικά για το </w:t>
      </w:r>
      <w:r>
        <w:rPr>
          <w:rFonts w:eastAsia="Calibri"/>
          <w:lang w:eastAsia="en-US"/>
        </w:rPr>
        <w:t xml:space="preserve">αίτημα πιστοποίησης για τις κλινικές και βιολογικές δραστηριότητες ιατρικά υποβοηθούμενης αναπαραγωγής. </w:t>
      </w:r>
    </w:p>
    <w:p w14:paraId="5A51B2D8" w14:textId="77777777" w:rsidR="00801C2A" w:rsidRDefault="00801C2A" w:rsidP="00E5410F">
      <w:pPr>
        <w:numPr>
          <w:ilvl w:val="0"/>
          <w:numId w:val="6"/>
        </w:numPr>
        <w:tabs>
          <w:tab w:val="left" w:pos="284"/>
        </w:tabs>
        <w:ind w:left="0" w:firstLine="0"/>
      </w:pPr>
      <w:r>
        <w:rPr>
          <w:rFonts w:eastAsia="Calibri"/>
          <w:lang w:eastAsia="en-US"/>
        </w:rPr>
        <w:t>Απόφαση αριθ. 2006-46 της Γενικής Διευθύντριας του Οργανισμού Βιοϊατρικής της 26</w:t>
      </w:r>
      <w:r>
        <w:rPr>
          <w:rFonts w:eastAsia="Calibri"/>
          <w:vertAlign w:val="superscript"/>
          <w:lang w:eastAsia="en-US"/>
        </w:rPr>
        <w:t>ης</w:t>
      </w:r>
      <w:r>
        <w:rPr>
          <w:rFonts w:eastAsia="Calibri"/>
          <w:lang w:eastAsia="en-US"/>
        </w:rPr>
        <w:t xml:space="preserve"> Δεκεμβρίου 2006 για τον καθορισμό της σύνθεσης </w:t>
      </w:r>
      <w:r w:rsidR="00C51956">
        <w:rPr>
          <w:rFonts w:eastAsia="Calibri"/>
          <w:lang w:eastAsia="en-US"/>
        </w:rPr>
        <w:t>του φακέλου με τα απαιτούμενα δικαιολογητικά για το αίτημα</w:t>
      </w:r>
      <w:r>
        <w:rPr>
          <w:rFonts w:eastAsia="Calibri"/>
          <w:lang w:eastAsia="en-US"/>
        </w:rPr>
        <w:t xml:space="preserve"> αδειοδότησης για διασυνοριακή μετακίνηση εμβρύων. </w:t>
      </w:r>
    </w:p>
    <w:p w14:paraId="0B46E948" w14:textId="77777777" w:rsidR="00801C2A" w:rsidRDefault="00801C2A" w:rsidP="00E5410F">
      <w:pPr>
        <w:numPr>
          <w:ilvl w:val="0"/>
          <w:numId w:val="6"/>
        </w:numPr>
        <w:tabs>
          <w:tab w:val="left" w:pos="284"/>
        </w:tabs>
        <w:ind w:left="0" w:firstLine="0"/>
      </w:pPr>
      <w:r>
        <w:rPr>
          <w:rFonts w:eastAsia="Calibri"/>
          <w:lang w:eastAsia="en-US"/>
        </w:rPr>
        <w:t>Απόφαση αριθ. 2006-41 της Γενικής Διευθύντριας του Οργανισμού Βιοϊατρικής της 26</w:t>
      </w:r>
      <w:r>
        <w:rPr>
          <w:rFonts w:eastAsia="Calibri"/>
          <w:vertAlign w:val="superscript"/>
          <w:lang w:eastAsia="en-US"/>
        </w:rPr>
        <w:t>ης</w:t>
      </w:r>
      <w:r>
        <w:rPr>
          <w:rFonts w:eastAsia="Calibri"/>
          <w:lang w:eastAsia="en-US"/>
        </w:rPr>
        <w:t xml:space="preserve"> Δεκεμβρίου 2006 για τον καθορισμό της σύνθεσης </w:t>
      </w:r>
      <w:r w:rsidR="00C51956">
        <w:rPr>
          <w:rFonts w:eastAsia="Calibri"/>
          <w:lang w:eastAsia="en-US"/>
        </w:rPr>
        <w:t xml:space="preserve">του φακέλου με τα απαιτούμενα δικαιολογητικά για το αίτημα </w:t>
      </w:r>
      <w:r>
        <w:rPr>
          <w:rFonts w:eastAsia="Calibri"/>
          <w:lang w:eastAsia="en-US"/>
        </w:rPr>
        <w:t xml:space="preserve">πιστοποίησης ιατρού [ή άλλου εξειδικευμένου προσωπικού] για την άσκηση κλινικών και βιολογικών δραστηριοτήτων της ιατρικά υποβοηθούμενης αναπαραγωγής. </w:t>
      </w:r>
      <w:bookmarkStart w:id="19" w:name="reglementaire"/>
      <w:bookmarkEnd w:id="19"/>
    </w:p>
    <w:p w14:paraId="3A701658" w14:textId="77777777" w:rsidR="00801C2A" w:rsidRDefault="00801C2A" w:rsidP="00801C2A">
      <w:r>
        <w:t xml:space="preserve">Εκτός από τον Οργανισμό Βιοϊατρικής Γνωμοδοτήσεις σχετικές με την </w:t>
      </w:r>
      <w:r w:rsidR="000F3CBA">
        <w:t>ιατρικά υποβοηθούμενη αναπαραγωγή</w:t>
      </w:r>
      <w:r>
        <w:t xml:space="preserve"> έχει εκδώσει και η </w:t>
      </w:r>
      <w:r>
        <w:rPr>
          <w:b/>
        </w:rPr>
        <w:t>Εθνική Ακαδημία Ιατρικής</w:t>
      </w:r>
      <w:r>
        <w:t>. Ενδεικτικά αναφέρονται οι ακόλουθες:</w:t>
      </w:r>
    </w:p>
    <w:p w14:paraId="791607BB" w14:textId="77777777" w:rsidR="00801C2A" w:rsidRDefault="00801C2A" w:rsidP="00E5410F">
      <w:pPr>
        <w:numPr>
          <w:ilvl w:val="0"/>
          <w:numId w:val="7"/>
        </w:numPr>
        <w:tabs>
          <w:tab w:val="left" w:pos="284"/>
        </w:tabs>
        <w:ind w:left="0" w:firstLine="0"/>
      </w:pPr>
      <w:r>
        <w:rPr>
          <w:i/>
        </w:rPr>
        <w:t>Διεύρυνση της πρόσβασης στην ιατρικά υποβοηθούμενη αναπαραγωγή με σπέρμα δότη για μη-ιατρικούς λόγους</w:t>
      </w:r>
      <w:r>
        <w:t>, 27.5.2014</w:t>
      </w:r>
      <w:r>
        <w:rPr>
          <w:rStyle w:val="FootnoteReference"/>
        </w:rPr>
        <w:footnoteReference w:id="52"/>
      </w:r>
      <w:r>
        <w:t xml:space="preserve">. </w:t>
      </w:r>
    </w:p>
    <w:p w14:paraId="5D338200" w14:textId="77777777" w:rsidR="00801C2A" w:rsidRDefault="00801C2A" w:rsidP="00E5410F">
      <w:pPr>
        <w:numPr>
          <w:ilvl w:val="0"/>
          <w:numId w:val="7"/>
        </w:numPr>
        <w:tabs>
          <w:tab w:val="left" w:pos="284"/>
        </w:tabs>
        <w:ind w:left="0" w:firstLine="0"/>
      </w:pPr>
      <w:r>
        <w:rPr>
          <w:i/>
        </w:rPr>
        <w:t>Η παρένθετη μητρότητα υπό το πρίσμα τ</w:t>
      </w:r>
      <w:r w:rsidR="004D78B1">
        <w:rPr>
          <w:i/>
        </w:rPr>
        <w:t>ου γάμου μεταξύ προσώπων του ιδί</w:t>
      </w:r>
      <w:r>
        <w:rPr>
          <w:i/>
        </w:rPr>
        <w:t>ου φύλου</w:t>
      </w:r>
      <w:r>
        <w:t>, 27.5.2014</w:t>
      </w:r>
      <w:r>
        <w:rPr>
          <w:rStyle w:val="FootnoteReference"/>
        </w:rPr>
        <w:footnoteReference w:id="53"/>
      </w:r>
      <w:r>
        <w:t xml:space="preserve">. </w:t>
      </w:r>
    </w:p>
    <w:p w14:paraId="1C0F1797" w14:textId="77777777" w:rsidR="00801C2A" w:rsidRDefault="00801C2A" w:rsidP="00E5410F">
      <w:pPr>
        <w:numPr>
          <w:ilvl w:val="0"/>
          <w:numId w:val="7"/>
        </w:numPr>
        <w:tabs>
          <w:tab w:val="left" w:pos="284"/>
        </w:tabs>
        <w:ind w:left="0" w:firstLine="0"/>
      </w:pPr>
      <w:r>
        <w:rPr>
          <w:i/>
        </w:rPr>
        <w:t xml:space="preserve">Αυτοσυντήρηση των γαμετών των διαφυλικών προσώπων και ενδεχόμενο </w:t>
      </w:r>
      <w:r w:rsidR="0047468B">
        <w:rPr>
          <w:i/>
        </w:rPr>
        <w:t>οικογενειακό προγραμματισμό</w:t>
      </w:r>
      <w:r>
        <w:t>, 25.3.2014</w:t>
      </w:r>
      <w:r>
        <w:rPr>
          <w:rStyle w:val="FootnoteReference"/>
          <w:lang w:val="fr-FR"/>
        </w:rPr>
        <w:footnoteReference w:id="54"/>
      </w:r>
      <w:r>
        <w:t xml:space="preserve">. </w:t>
      </w:r>
    </w:p>
    <w:p w14:paraId="0A08AA51" w14:textId="77777777" w:rsidR="00801C2A" w:rsidRDefault="00801C2A" w:rsidP="00E5410F">
      <w:pPr>
        <w:numPr>
          <w:ilvl w:val="0"/>
          <w:numId w:val="7"/>
        </w:numPr>
        <w:tabs>
          <w:tab w:val="left" w:pos="284"/>
        </w:tabs>
        <w:ind w:left="0" w:firstLine="0"/>
      </w:pPr>
      <w:r>
        <w:rPr>
          <w:i/>
        </w:rPr>
        <w:t>Ιατρικά υποβοηθούμενη αναπαραγωγή στη φυλακή</w:t>
      </w:r>
      <w:r>
        <w:t>, 23.10.2012</w:t>
      </w:r>
      <w:r>
        <w:rPr>
          <w:rStyle w:val="FootnoteReference"/>
        </w:rPr>
        <w:footnoteReference w:id="55"/>
      </w:r>
      <w:r>
        <w:t xml:space="preserve">. </w:t>
      </w:r>
    </w:p>
    <w:p w14:paraId="097A8A38" w14:textId="77777777" w:rsidR="00801C2A" w:rsidRDefault="00801C2A" w:rsidP="00E5410F">
      <w:pPr>
        <w:numPr>
          <w:ilvl w:val="0"/>
          <w:numId w:val="7"/>
        </w:numPr>
        <w:tabs>
          <w:tab w:val="left" w:pos="284"/>
        </w:tabs>
        <w:ind w:left="0" w:firstLine="0"/>
      </w:pPr>
      <w:r>
        <w:rPr>
          <w:i/>
        </w:rPr>
        <w:t>Συνεδρία αφιερωμένη στην Προεμφυτευτική Διάγνωση</w:t>
      </w:r>
      <w:r>
        <w:t>, 24.5. 2011</w:t>
      </w:r>
      <w:r>
        <w:rPr>
          <w:rStyle w:val="FootnoteReference"/>
        </w:rPr>
        <w:footnoteReference w:id="56"/>
      </w:r>
      <w:r>
        <w:t xml:space="preserve">. </w:t>
      </w:r>
    </w:p>
    <w:p w14:paraId="3D1540F0" w14:textId="77777777" w:rsidR="00801C2A" w:rsidRDefault="00801C2A" w:rsidP="00E5410F">
      <w:pPr>
        <w:numPr>
          <w:ilvl w:val="0"/>
          <w:numId w:val="7"/>
        </w:numPr>
        <w:tabs>
          <w:tab w:val="left" w:pos="284"/>
        </w:tabs>
        <w:ind w:left="0" w:firstLine="0"/>
      </w:pPr>
      <w:r>
        <w:rPr>
          <w:i/>
        </w:rPr>
        <w:lastRenderedPageBreak/>
        <w:t>Βλαστοκύτταρα και θεραπευτικές προοπτικές</w:t>
      </w:r>
      <w:r>
        <w:t>, 30.11.2010</w:t>
      </w:r>
      <w:r>
        <w:rPr>
          <w:rStyle w:val="FootnoteReference"/>
        </w:rPr>
        <w:footnoteReference w:id="57"/>
      </w:r>
      <w:r>
        <w:t xml:space="preserve">. </w:t>
      </w:r>
    </w:p>
    <w:p w14:paraId="736912AC" w14:textId="77777777" w:rsidR="00801C2A" w:rsidRDefault="00801C2A" w:rsidP="00E5410F">
      <w:pPr>
        <w:numPr>
          <w:ilvl w:val="0"/>
          <w:numId w:val="7"/>
        </w:numPr>
        <w:tabs>
          <w:tab w:val="left" w:pos="284"/>
        </w:tabs>
        <w:ind w:left="0" w:firstLine="0"/>
      </w:pPr>
      <w:r>
        <w:rPr>
          <w:i/>
        </w:rPr>
        <w:t>Σκέψεις σχετικά με την Έκθεση Πληροφόρησης αριθ. 2235 της κοινοβουλευτικής αποστολής για την αναθεώρηση των Νόμων περί Βιοηθικής</w:t>
      </w:r>
      <w:r>
        <w:t>, 22.6.2010</w:t>
      </w:r>
      <w:r>
        <w:rPr>
          <w:rStyle w:val="FootnoteReference"/>
          <w:lang w:val="fr-FR"/>
        </w:rPr>
        <w:footnoteReference w:id="58"/>
      </w:r>
      <w:r>
        <w:t xml:space="preserve">. </w:t>
      </w:r>
    </w:p>
    <w:p w14:paraId="20FE485F" w14:textId="77777777" w:rsidR="00801C2A" w:rsidRDefault="00801C2A" w:rsidP="00E5410F">
      <w:pPr>
        <w:numPr>
          <w:ilvl w:val="0"/>
          <w:numId w:val="7"/>
        </w:numPr>
        <w:tabs>
          <w:tab w:val="left" w:pos="284"/>
        </w:tabs>
        <w:ind w:left="0" w:firstLine="0"/>
      </w:pPr>
      <w:r>
        <w:rPr>
          <w:i/>
        </w:rPr>
        <w:t>Παρένθετη Μητρότητα</w:t>
      </w:r>
      <w:r>
        <w:t>, 10. 3. 2009</w:t>
      </w:r>
      <w:r>
        <w:rPr>
          <w:rStyle w:val="FootnoteReference"/>
        </w:rPr>
        <w:footnoteReference w:id="59"/>
      </w:r>
      <w:r>
        <w:t xml:space="preserve">. </w:t>
      </w:r>
    </w:p>
    <w:p w14:paraId="562B2FF7" w14:textId="77777777" w:rsidR="00801C2A" w:rsidRDefault="00801C2A" w:rsidP="00E5410F">
      <w:pPr>
        <w:numPr>
          <w:ilvl w:val="0"/>
          <w:numId w:val="7"/>
        </w:numPr>
        <w:tabs>
          <w:tab w:val="left" w:pos="284"/>
        </w:tabs>
        <w:ind w:left="0" w:firstLine="0"/>
      </w:pPr>
      <w:r w:rsidRPr="009D320C">
        <w:rPr>
          <w:i/>
        </w:rPr>
        <w:t>Η ιατρικά υποβοηθούμενη αναπαραγωγή στη Γαλλία, καταγραφή της κατάστασης και προοπτικές</w:t>
      </w:r>
      <w:r>
        <w:t>, 29.1.2008</w:t>
      </w:r>
      <w:r>
        <w:rPr>
          <w:rStyle w:val="FootnoteReference"/>
        </w:rPr>
        <w:footnoteReference w:id="60"/>
      </w:r>
      <w:r>
        <w:t xml:space="preserve">. </w:t>
      </w:r>
    </w:p>
    <w:p w14:paraId="51DBED32" w14:textId="77777777" w:rsidR="00801C2A" w:rsidRDefault="00801C2A" w:rsidP="00801C2A">
      <w:r>
        <w:t xml:space="preserve">Σημαντικές γνωμοδοτήσεις σχετικά με την ιατρικά υποβοηθούμενη αναπαραγωγή και την προστασία του εμβρύου </w:t>
      </w:r>
      <w:r>
        <w:rPr>
          <w:i/>
          <w:lang w:val="en-US"/>
        </w:rPr>
        <w:t>in</w:t>
      </w:r>
      <w:r w:rsidRPr="00801C2A">
        <w:rPr>
          <w:i/>
        </w:rPr>
        <w:t xml:space="preserve"> </w:t>
      </w:r>
      <w:r>
        <w:rPr>
          <w:i/>
          <w:lang w:val="en-US"/>
        </w:rPr>
        <w:t>vitro</w:t>
      </w:r>
      <w:r w:rsidR="00E7120E">
        <w:t xml:space="preserve"> έχει, επίσης, </w:t>
      </w:r>
      <w:r>
        <w:t xml:space="preserve">εκδώσει η </w:t>
      </w:r>
      <w:r>
        <w:rPr>
          <w:b/>
        </w:rPr>
        <w:t>Εθνική Συμβουλευτική Επιτροπή Ηθικής για τις επιστήμες της ζωής και την υγεία</w:t>
      </w:r>
      <w:r>
        <w:t xml:space="preserve"> (</w:t>
      </w:r>
      <w:r>
        <w:rPr>
          <w:i/>
          <w:lang w:val="fr-FR"/>
        </w:rPr>
        <w:t>Comit</w:t>
      </w:r>
      <w:r>
        <w:rPr>
          <w:i/>
        </w:rPr>
        <w:t xml:space="preserve">é </w:t>
      </w:r>
      <w:r>
        <w:rPr>
          <w:i/>
          <w:lang w:val="fr-FR"/>
        </w:rPr>
        <w:t>consultatif</w:t>
      </w:r>
      <w:r w:rsidRPr="00801C2A">
        <w:rPr>
          <w:i/>
        </w:rPr>
        <w:t xml:space="preserve"> </w:t>
      </w:r>
      <w:r>
        <w:rPr>
          <w:i/>
          <w:lang w:val="fr-FR"/>
        </w:rPr>
        <w:t>national</w:t>
      </w:r>
      <w:r w:rsidRPr="00801C2A">
        <w:rPr>
          <w:i/>
        </w:rPr>
        <w:t xml:space="preserve"> </w:t>
      </w:r>
      <w:r>
        <w:rPr>
          <w:i/>
          <w:lang w:val="fr-FR"/>
        </w:rPr>
        <w:t>d</w:t>
      </w:r>
      <w:r>
        <w:rPr>
          <w:i/>
        </w:rPr>
        <w:t>’é</w:t>
      </w:r>
      <w:r>
        <w:rPr>
          <w:i/>
          <w:lang w:val="fr-FR"/>
        </w:rPr>
        <w:t>thique</w:t>
      </w:r>
      <w:r w:rsidRPr="00801C2A">
        <w:rPr>
          <w:i/>
        </w:rPr>
        <w:t xml:space="preserve"> </w:t>
      </w:r>
      <w:r>
        <w:rPr>
          <w:i/>
          <w:lang w:val="fr-FR"/>
        </w:rPr>
        <w:t>pour</w:t>
      </w:r>
      <w:r w:rsidRPr="00801C2A">
        <w:rPr>
          <w:i/>
        </w:rPr>
        <w:t xml:space="preserve"> </w:t>
      </w:r>
      <w:r>
        <w:rPr>
          <w:i/>
          <w:lang w:val="fr-FR"/>
        </w:rPr>
        <w:t>les</w:t>
      </w:r>
      <w:r w:rsidRPr="00801C2A">
        <w:rPr>
          <w:i/>
        </w:rPr>
        <w:t xml:space="preserve"> </w:t>
      </w:r>
      <w:r>
        <w:rPr>
          <w:i/>
          <w:lang w:val="fr-FR"/>
        </w:rPr>
        <w:t>sciences</w:t>
      </w:r>
      <w:r w:rsidRPr="00801C2A">
        <w:rPr>
          <w:i/>
        </w:rPr>
        <w:t xml:space="preserve"> </w:t>
      </w:r>
      <w:r>
        <w:rPr>
          <w:i/>
          <w:lang w:val="fr-FR"/>
        </w:rPr>
        <w:t>de</w:t>
      </w:r>
      <w:r w:rsidRPr="00801C2A">
        <w:rPr>
          <w:i/>
        </w:rPr>
        <w:t xml:space="preserve"> </w:t>
      </w:r>
      <w:r>
        <w:rPr>
          <w:i/>
          <w:lang w:val="fr-FR"/>
        </w:rPr>
        <w:t>la</w:t>
      </w:r>
      <w:r w:rsidRPr="00801C2A">
        <w:rPr>
          <w:i/>
        </w:rPr>
        <w:t xml:space="preserve"> </w:t>
      </w:r>
      <w:r>
        <w:rPr>
          <w:i/>
          <w:lang w:val="fr-FR"/>
        </w:rPr>
        <w:t>vie</w:t>
      </w:r>
      <w:r w:rsidRPr="00801C2A">
        <w:rPr>
          <w:i/>
        </w:rPr>
        <w:t xml:space="preserve"> </w:t>
      </w:r>
      <w:r>
        <w:rPr>
          <w:i/>
          <w:lang w:val="fr-FR"/>
        </w:rPr>
        <w:t>et</w:t>
      </w:r>
      <w:r w:rsidRPr="00801C2A">
        <w:rPr>
          <w:i/>
        </w:rPr>
        <w:t xml:space="preserve"> </w:t>
      </w:r>
      <w:r>
        <w:rPr>
          <w:i/>
          <w:lang w:val="fr-FR"/>
        </w:rPr>
        <w:t>de</w:t>
      </w:r>
      <w:r w:rsidRPr="00801C2A">
        <w:rPr>
          <w:i/>
        </w:rPr>
        <w:t xml:space="preserve"> </w:t>
      </w:r>
      <w:r>
        <w:rPr>
          <w:i/>
          <w:lang w:val="fr-FR"/>
        </w:rPr>
        <w:t>la</w:t>
      </w:r>
      <w:r w:rsidRPr="00801C2A">
        <w:rPr>
          <w:i/>
        </w:rPr>
        <w:t xml:space="preserve"> </w:t>
      </w:r>
      <w:r>
        <w:rPr>
          <w:i/>
          <w:lang w:val="fr-FR"/>
        </w:rPr>
        <w:t>sant</w:t>
      </w:r>
      <w:r>
        <w:rPr>
          <w:i/>
        </w:rPr>
        <w:t xml:space="preserve">é, </w:t>
      </w:r>
      <w:r>
        <w:rPr>
          <w:i/>
          <w:lang w:val="en-US"/>
        </w:rPr>
        <w:t>CCNE</w:t>
      </w:r>
      <w:r>
        <w:t>). Ενδεικτικά γίνεται αναφορά στις ακόλουθες:</w:t>
      </w:r>
    </w:p>
    <w:p w14:paraId="7D278887" w14:textId="77777777" w:rsidR="00801C2A" w:rsidRDefault="00801C2A" w:rsidP="00E5410F">
      <w:pPr>
        <w:numPr>
          <w:ilvl w:val="0"/>
          <w:numId w:val="8"/>
        </w:numPr>
        <w:tabs>
          <w:tab w:val="left" w:pos="284"/>
        </w:tabs>
        <w:ind w:left="0" w:firstLine="0"/>
      </w:pPr>
      <w:r>
        <w:rPr>
          <w:i/>
        </w:rPr>
        <w:t>Γνωμοδότηση αριθ. 113 σχετικά με Το αίτημα ιατρικά υποβοηθούμενης αναπαραγωγής μετά το θάνατο του</w:t>
      </w:r>
      <w:r w:rsidR="00E7120E">
        <w:rPr>
          <w:i/>
        </w:rPr>
        <w:t>/της</w:t>
      </w:r>
      <w:r>
        <w:rPr>
          <w:i/>
        </w:rPr>
        <w:t xml:space="preserve"> συζύγου</w:t>
      </w:r>
      <w:r>
        <w:t>, 10.2.2011</w:t>
      </w:r>
      <w:r>
        <w:rPr>
          <w:rStyle w:val="FootnoteReference"/>
        </w:rPr>
        <w:footnoteReference w:id="61"/>
      </w:r>
      <w:r>
        <w:t xml:space="preserve">. </w:t>
      </w:r>
    </w:p>
    <w:p w14:paraId="70AD9C6D" w14:textId="77777777" w:rsidR="00801C2A" w:rsidRDefault="00801C2A" w:rsidP="00E5410F">
      <w:pPr>
        <w:numPr>
          <w:ilvl w:val="0"/>
          <w:numId w:val="8"/>
        </w:numPr>
        <w:tabs>
          <w:tab w:val="left" w:pos="284"/>
        </w:tabs>
        <w:ind w:left="0" w:firstLine="0"/>
      </w:pPr>
      <w:r>
        <w:rPr>
          <w:i/>
        </w:rPr>
        <w:t xml:space="preserve">Γνωμοδότηση αριθ. 112 σχετικά με τον Ηθικό προβληματισμό για την έρευνα στα ανθρώπινα εμβρυϊκά βλαστοκύτταρα και την έρευνα στο ανθρώπινο έμβρυο </w:t>
      </w:r>
      <w:r>
        <w:rPr>
          <w:i/>
          <w:lang w:val="en-US"/>
        </w:rPr>
        <w:t>in</w:t>
      </w:r>
      <w:r w:rsidRPr="00801C2A">
        <w:rPr>
          <w:i/>
        </w:rPr>
        <w:t xml:space="preserve"> </w:t>
      </w:r>
      <w:r>
        <w:rPr>
          <w:i/>
          <w:lang w:val="en-US"/>
        </w:rPr>
        <w:t>vitro</w:t>
      </w:r>
      <w:r>
        <w:rPr>
          <w:i/>
        </w:rPr>
        <w:t xml:space="preserve">, </w:t>
      </w:r>
      <w:r>
        <w:t>21.10.2010</w:t>
      </w:r>
      <w:r>
        <w:rPr>
          <w:rStyle w:val="FootnoteReference"/>
        </w:rPr>
        <w:footnoteReference w:id="62"/>
      </w:r>
      <w:r>
        <w:t xml:space="preserve">. </w:t>
      </w:r>
      <w:r>
        <w:rPr>
          <w:i/>
        </w:rPr>
        <w:t xml:space="preserve"> </w:t>
      </w:r>
    </w:p>
    <w:p w14:paraId="4F56E554" w14:textId="77777777" w:rsidR="00801C2A" w:rsidRPr="00E56290" w:rsidRDefault="00801C2A" w:rsidP="00E5410F">
      <w:pPr>
        <w:numPr>
          <w:ilvl w:val="0"/>
          <w:numId w:val="8"/>
        </w:numPr>
        <w:tabs>
          <w:tab w:val="left" w:pos="284"/>
        </w:tabs>
        <w:ind w:left="0" w:firstLine="0"/>
      </w:pPr>
      <w:r>
        <w:rPr>
          <w:i/>
        </w:rPr>
        <w:t>Γνωμοδότηση αριθ. 110 σχετικά με τα Ηθικά προβλήματα που εγείρει η παρένθετη μητρότητα</w:t>
      </w:r>
      <w:r>
        <w:t>, 1.4.2010</w:t>
      </w:r>
      <w:r>
        <w:rPr>
          <w:rStyle w:val="FootnoteReference"/>
        </w:rPr>
        <w:footnoteReference w:id="63"/>
      </w:r>
      <w:r>
        <w:t>.</w:t>
      </w:r>
      <w:r>
        <w:rPr>
          <w:i/>
        </w:rPr>
        <w:t xml:space="preserve"> </w:t>
      </w:r>
    </w:p>
    <w:p w14:paraId="53A8985D" w14:textId="77777777" w:rsidR="00E56290" w:rsidRDefault="00E56290" w:rsidP="00E5410F">
      <w:pPr>
        <w:numPr>
          <w:ilvl w:val="0"/>
          <w:numId w:val="8"/>
        </w:numPr>
        <w:tabs>
          <w:tab w:val="left" w:pos="284"/>
        </w:tabs>
        <w:ind w:left="0" w:firstLine="0"/>
      </w:pPr>
      <w:r w:rsidRPr="00E56290">
        <w:rPr>
          <w:i/>
        </w:rPr>
        <w:t>Γνωμοδότηση αριθ. 107 σχετικά με τα Ηθικά προβλήματα που σχετίζονται με τον προγεννητικό έλεγχο</w:t>
      </w:r>
      <w:r>
        <w:rPr>
          <w:i/>
        </w:rPr>
        <w:t xml:space="preserve">: προγεννητική διάγνωση και προεμφυτευτική διάγνωση, </w:t>
      </w:r>
      <w:r>
        <w:t>15.10.</w:t>
      </w:r>
      <w:r w:rsidRPr="00E254F5">
        <w:t>2009</w:t>
      </w:r>
      <w:r>
        <w:rPr>
          <w:rStyle w:val="FootnoteReference"/>
        </w:rPr>
        <w:footnoteReference w:id="64"/>
      </w:r>
      <w:r w:rsidRPr="00E254F5">
        <w:t>.</w:t>
      </w:r>
    </w:p>
    <w:p w14:paraId="05EA0141" w14:textId="77777777" w:rsidR="00801C2A" w:rsidRDefault="00801C2A" w:rsidP="00E5410F">
      <w:pPr>
        <w:numPr>
          <w:ilvl w:val="0"/>
          <w:numId w:val="8"/>
        </w:numPr>
        <w:tabs>
          <w:tab w:val="left" w:pos="284"/>
        </w:tabs>
        <w:ind w:left="0" w:firstLine="0"/>
      </w:pPr>
      <w:r>
        <w:rPr>
          <w:i/>
        </w:rPr>
        <w:lastRenderedPageBreak/>
        <w:t>Γνωμοδότηση αριθ. 105 σχετικά με τους Προβληματισμούς για τις Γενικές Τάξεις της Βιοηθικής</w:t>
      </w:r>
      <w:r>
        <w:t>, 9.10.2008</w:t>
      </w:r>
      <w:r>
        <w:rPr>
          <w:rStyle w:val="FootnoteReference"/>
        </w:rPr>
        <w:footnoteReference w:id="65"/>
      </w:r>
      <w:r>
        <w:t>.</w:t>
      </w:r>
      <w:r>
        <w:rPr>
          <w:i/>
        </w:rPr>
        <w:t xml:space="preserve"> </w:t>
      </w:r>
    </w:p>
    <w:p w14:paraId="7D3EC971" w14:textId="77777777" w:rsidR="00801C2A" w:rsidRDefault="00801C2A" w:rsidP="00E5410F">
      <w:pPr>
        <w:numPr>
          <w:ilvl w:val="0"/>
          <w:numId w:val="8"/>
        </w:numPr>
        <w:tabs>
          <w:tab w:val="left" w:pos="284"/>
        </w:tabs>
        <w:ind w:left="0" w:firstLine="0"/>
      </w:pPr>
      <w:r>
        <w:rPr>
          <w:i/>
        </w:rPr>
        <w:t xml:space="preserve">Γνωμοδότηση αριθ. 90 σχετικά με την Πρόσβαση στην καταγωγή, </w:t>
      </w:r>
      <w:r w:rsidR="00E7120E">
        <w:rPr>
          <w:i/>
        </w:rPr>
        <w:t xml:space="preserve">την </w:t>
      </w:r>
      <w:r>
        <w:rPr>
          <w:i/>
        </w:rPr>
        <w:t xml:space="preserve">ανωνυμία και </w:t>
      </w:r>
      <w:r w:rsidR="00E7120E">
        <w:rPr>
          <w:i/>
        </w:rPr>
        <w:t xml:space="preserve">το </w:t>
      </w:r>
      <w:r>
        <w:rPr>
          <w:i/>
        </w:rPr>
        <w:t xml:space="preserve">απόρρητο, </w:t>
      </w:r>
      <w:r>
        <w:t>24.11.2005</w:t>
      </w:r>
      <w:r>
        <w:rPr>
          <w:rStyle w:val="FootnoteReference"/>
        </w:rPr>
        <w:footnoteReference w:id="66"/>
      </w:r>
      <w:r>
        <w:t xml:space="preserve">. </w:t>
      </w:r>
    </w:p>
    <w:p w14:paraId="6CC2E20B" w14:textId="77777777" w:rsidR="00ED4612" w:rsidRDefault="00ED4612" w:rsidP="00E5410F">
      <w:pPr>
        <w:numPr>
          <w:ilvl w:val="0"/>
          <w:numId w:val="8"/>
        </w:numPr>
        <w:tabs>
          <w:tab w:val="left" w:pos="284"/>
        </w:tabs>
        <w:ind w:left="0" w:firstLine="0"/>
      </w:pPr>
      <w:r w:rsidRPr="00ED4612">
        <w:rPr>
          <w:i/>
        </w:rPr>
        <w:t>Γνωμοδότηση αριθ. 72 σχετικά με τις Σκέψεις αναφορικά με την επέκταση της προεμφυτευτικής διάγνωσης</w:t>
      </w:r>
      <w:r>
        <w:t>, 4.7.2002</w:t>
      </w:r>
      <w:r>
        <w:rPr>
          <w:rStyle w:val="FootnoteReference"/>
        </w:rPr>
        <w:footnoteReference w:id="67"/>
      </w:r>
      <w:r>
        <w:t xml:space="preserve">. </w:t>
      </w:r>
    </w:p>
    <w:p w14:paraId="0B66B2B7" w14:textId="77777777" w:rsidR="00801C2A" w:rsidRDefault="00801C2A" w:rsidP="00E5410F">
      <w:pPr>
        <w:numPr>
          <w:ilvl w:val="0"/>
          <w:numId w:val="8"/>
        </w:numPr>
        <w:tabs>
          <w:tab w:val="left" w:pos="284"/>
        </w:tabs>
        <w:ind w:left="0" w:firstLine="0"/>
      </w:pPr>
      <w:r>
        <w:rPr>
          <w:i/>
        </w:rPr>
        <w:t>Γνωμοδότηση αριθ. 67 σχετικά με το Σχέδιο Νόμου των Νόμων περί Βιοηθικής</w:t>
      </w:r>
      <w:r>
        <w:t>, 27.1.2000</w:t>
      </w:r>
      <w:r>
        <w:rPr>
          <w:rStyle w:val="FootnoteReference"/>
        </w:rPr>
        <w:footnoteReference w:id="68"/>
      </w:r>
      <w:r>
        <w:t xml:space="preserve">. </w:t>
      </w:r>
    </w:p>
    <w:p w14:paraId="7DE2CD8D" w14:textId="77777777" w:rsidR="00801C2A" w:rsidRDefault="00801C2A" w:rsidP="00E5410F">
      <w:pPr>
        <w:numPr>
          <w:ilvl w:val="0"/>
          <w:numId w:val="8"/>
        </w:numPr>
        <w:tabs>
          <w:tab w:val="left" w:pos="284"/>
        </w:tabs>
        <w:ind w:left="0" w:firstLine="0"/>
      </w:pPr>
      <w:r>
        <w:rPr>
          <w:i/>
        </w:rPr>
        <w:t xml:space="preserve">Γνωμοδότηση αριθ. 60 σχετικά με </w:t>
      </w:r>
      <w:r w:rsidR="00E7120E">
        <w:rPr>
          <w:i/>
        </w:rPr>
        <w:t>την επανεξέταση των Νόμων περί Β</w:t>
      </w:r>
      <w:r>
        <w:rPr>
          <w:i/>
        </w:rPr>
        <w:t>ιοηθικής</w:t>
      </w:r>
      <w:r>
        <w:t>, 25.6.1998</w:t>
      </w:r>
      <w:r>
        <w:rPr>
          <w:rStyle w:val="FootnoteReference"/>
        </w:rPr>
        <w:footnoteReference w:id="69"/>
      </w:r>
      <w:r>
        <w:t xml:space="preserve">. </w:t>
      </w:r>
    </w:p>
    <w:p w14:paraId="00F48779" w14:textId="77777777" w:rsidR="00801C2A" w:rsidRDefault="00801C2A" w:rsidP="00E5410F">
      <w:pPr>
        <w:numPr>
          <w:ilvl w:val="0"/>
          <w:numId w:val="8"/>
        </w:numPr>
        <w:tabs>
          <w:tab w:val="left" w:pos="284"/>
        </w:tabs>
        <w:ind w:left="0" w:firstLine="0"/>
      </w:pPr>
      <w:r>
        <w:rPr>
          <w:i/>
        </w:rPr>
        <w:t>Γνωμοδότηση αριθ. 40 σχετικά με τη μεταφορά εμβρύων μετά το θάνατο του</w:t>
      </w:r>
      <w:r w:rsidR="00E7120E">
        <w:rPr>
          <w:i/>
        </w:rPr>
        <w:t>/της</w:t>
      </w:r>
      <w:r>
        <w:rPr>
          <w:i/>
        </w:rPr>
        <w:t xml:space="preserve"> συντρόφου</w:t>
      </w:r>
      <w:r>
        <w:t>, 17.12.1993</w:t>
      </w:r>
      <w:r>
        <w:rPr>
          <w:rStyle w:val="FootnoteReference"/>
        </w:rPr>
        <w:footnoteReference w:id="70"/>
      </w:r>
      <w:r>
        <w:t>.</w:t>
      </w:r>
      <w:r>
        <w:rPr>
          <w:i/>
        </w:rPr>
        <w:t xml:space="preserve"> </w:t>
      </w:r>
    </w:p>
    <w:p w14:paraId="3FFDDA24" w14:textId="77777777" w:rsidR="00801C2A" w:rsidRDefault="00801C2A" w:rsidP="00E5410F">
      <w:pPr>
        <w:numPr>
          <w:ilvl w:val="0"/>
          <w:numId w:val="8"/>
        </w:numPr>
        <w:tabs>
          <w:tab w:val="left" w:pos="284"/>
        </w:tabs>
        <w:ind w:left="0" w:firstLine="0"/>
      </w:pPr>
      <w:r>
        <w:rPr>
          <w:i/>
        </w:rPr>
        <w:t>Γνωμοδότηση αριθ. 18 σχετικά με την Κατάσταση των μελετών που διενεργήθηκαν από την Επιτροπή σχετικά με τις δωρεές γαμετών και εμβρύων</w:t>
      </w:r>
      <w:r>
        <w:t>, 15.12.1989</w:t>
      </w:r>
      <w:r>
        <w:rPr>
          <w:rStyle w:val="FootnoteReference"/>
        </w:rPr>
        <w:footnoteReference w:id="71"/>
      </w:r>
      <w:r>
        <w:t>.</w:t>
      </w:r>
      <w:r>
        <w:rPr>
          <w:i/>
        </w:rPr>
        <w:t xml:space="preserve"> </w:t>
      </w:r>
    </w:p>
    <w:p w14:paraId="08A65EDD" w14:textId="77777777" w:rsidR="00801C2A" w:rsidRDefault="00940D99" w:rsidP="00801C2A">
      <w:pPr>
        <w:rPr>
          <w:lang w:val="en-US"/>
        </w:rPr>
      </w:pPr>
      <w:r>
        <w:t>Σε ό,τι αφορά στην εφαρμογή μεθόδων</w:t>
      </w:r>
      <w:r w:rsidR="00801C2A">
        <w:t xml:space="preserve"> ιατρ</w:t>
      </w:r>
      <w:r>
        <w:t xml:space="preserve">ικά υποβοηθούμενης αναπαραγωγής, εκθέσεις </w:t>
      </w:r>
      <w:r w:rsidR="00801C2A">
        <w:t xml:space="preserve">έχει δημοσιεύσει και το </w:t>
      </w:r>
      <w:r w:rsidR="00801C2A">
        <w:rPr>
          <w:b/>
        </w:rPr>
        <w:t>Εθνικό Συμβούλιο του Ιατρικού Συλλόγου (</w:t>
      </w:r>
      <w:r w:rsidR="00801C2A">
        <w:rPr>
          <w:b/>
          <w:i/>
          <w:lang w:val="fr-FR"/>
        </w:rPr>
        <w:t>Conseil</w:t>
      </w:r>
      <w:r w:rsidR="00801C2A" w:rsidRPr="00801C2A">
        <w:rPr>
          <w:b/>
          <w:i/>
        </w:rPr>
        <w:t xml:space="preserve"> </w:t>
      </w:r>
      <w:r w:rsidR="00801C2A">
        <w:rPr>
          <w:b/>
          <w:i/>
          <w:lang w:val="fr-FR"/>
        </w:rPr>
        <w:t>National</w:t>
      </w:r>
      <w:r w:rsidR="00801C2A" w:rsidRPr="00801C2A">
        <w:rPr>
          <w:b/>
          <w:i/>
        </w:rPr>
        <w:t xml:space="preserve"> </w:t>
      </w:r>
      <w:r w:rsidR="00801C2A">
        <w:rPr>
          <w:b/>
          <w:i/>
          <w:lang w:val="fr-FR"/>
        </w:rPr>
        <w:t>de</w:t>
      </w:r>
      <w:r w:rsidR="00801C2A" w:rsidRPr="00801C2A">
        <w:rPr>
          <w:b/>
          <w:i/>
        </w:rPr>
        <w:t xml:space="preserve"> </w:t>
      </w:r>
      <w:r w:rsidR="00801C2A">
        <w:rPr>
          <w:b/>
          <w:i/>
          <w:lang w:val="fr-FR"/>
        </w:rPr>
        <w:t>l</w:t>
      </w:r>
      <w:r w:rsidR="00801C2A">
        <w:rPr>
          <w:b/>
          <w:i/>
        </w:rPr>
        <w:t>’</w:t>
      </w:r>
      <w:r w:rsidR="00801C2A">
        <w:rPr>
          <w:b/>
          <w:i/>
          <w:lang w:val="fr-FR"/>
        </w:rPr>
        <w:t>Ordre</w:t>
      </w:r>
      <w:r w:rsidR="00801C2A" w:rsidRPr="00801C2A">
        <w:rPr>
          <w:b/>
          <w:i/>
        </w:rPr>
        <w:t xml:space="preserve"> </w:t>
      </w:r>
      <w:r w:rsidR="00801C2A">
        <w:rPr>
          <w:b/>
          <w:i/>
          <w:lang w:val="fr-FR"/>
        </w:rPr>
        <w:t>National</w:t>
      </w:r>
      <w:r w:rsidR="00801C2A" w:rsidRPr="00801C2A">
        <w:rPr>
          <w:b/>
          <w:i/>
        </w:rPr>
        <w:t xml:space="preserve"> </w:t>
      </w:r>
      <w:r w:rsidR="00801C2A">
        <w:rPr>
          <w:b/>
          <w:i/>
          <w:lang w:val="fr-FR"/>
        </w:rPr>
        <w:t>des</w:t>
      </w:r>
      <w:r w:rsidR="00801C2A" w:rsidRPr="00801C2A">
        <w:rPr>
          <w:b/>
          <w:i/>
        </w:rPr>
        <w:t xml:space="preserve"> </w:t>
      </w:r>
      <w:r w:rsidR="00801C2A">
        <w:rPr>
          <w:b/>
          <w:i/>
          <w:lang w:val="fr-FR"/>
        </w:rPr>
        <w:t>M</w:t>
      </w:r>
      <w:r w:rsidR="00801C2A">
        <w:rPr>
          <w:b/>
          <w:i/>
        </w:rPr>
        <w:t>é</w:t>
      </w:r>
      <w:r w:rsidR="00801C2A">
        <w:rPr>
          <w:b/>
          <w:i/>
          <w:lang w:val="fr-FR"/>
        </w:rPr>
        <w:t>decins</w:t>
      </w:r>
      <w:r w:rsidR="00801C2A">
        <w:rPr>
          <w:b/>
        </w:rPr>
        <w:t>)</w:t>
      </w:r>
      <w:r w:rsidR="00801C2A">
        <w:t>. Ενδεικτικά γίνεται αναφορά στις ακόλουθες:</w:t>
      </w:r>
    </w:p>
    <w:p w14:paraId="719203AC" w14:textId="77777777" w:rsidR="00801C2A" w:rsidRDefault="00801C2A" w:rsidP="00E5410F">
      <w:pPr>
        <w:numPr>
          <w:ilvl w:val="0"/>
          <w:numId w:val="8"/>
        </w:numPr>
        <w:tabs>
          <w:tab w:val="left" w:pos="284"/>
        </w:tabs>
        <w:ind w:left="0" w:firstLine="0"/>
      </w:pPr>
      <w:r>
        <w:rPr>
          <w:i/>
        </w:rPr>
        <w:t xml:space="preserve">Η ιατρικά υποβοηθούμενη αναπαραγωγή στο εξωτερικό – Δωρεά ωαρίων, </w:t>
      </w:r>
      <w:r>
        <w:t>Δελτίο Τύπου,</w:t>
      </w:r>
      <w:r>
        <w:rPr>
          <w:i/>
        </w:rPr>
        <w:t xml:space="preserve"> </w:t>
      </w:r>
      <w:r w:rsidR="00940D99">
        <w:t>2.2.</w:t>
      </w:r>
      <w:r>
        <w:t>2013</w:t>
      </w:r>
      <w:r>
        <w:rPr>
          <w:rStyle w:val="FootnoteReference"/>
          <w:i/>
        </w:rPr>
        <w:footnoteReference w:id="72"/>
      </w:r>
      <w:r>
        <w:t>.</w:t>
      </w:r>
    </w:p>
    <w:p w14:paraId="09A3D0F4" w14:textId="77777777" w:rsidR="00801C2A" w:rsidRDefault="00801C2A" w:rsidP="00E5410F">
      <w:pPr>
        <w:numPr>
          <w:ilvl w:val="0"/>
          <w:numId w:val="8"/>
        </w:numPr>
        <w:tabs>
          <w:tab w:val="left" w:pos="284"/>
        </w:tabs>
        <w:ind w:left="0" w:firstLine="0"/>
      </w:pPr>
      <w:r w:rsidRPr="00525BE5">
        <w:rPr>
          <w:i/>
        </w:rPr>
        <w:t>Σχολι</w:t>
      </w:r>
      <w:r w:rsidR="00525BE5" w:rsidRPr="00525BE5">
        <w:rPr>
          <w:i/>
        </w:rPr>
        <w:t>ασμός του άρθρου 17 του Κώδικα Ι</w:t>
      </w:r>
      <w:r w:rsidRPr="00525BE5">
        <w:rPr>
          <w:i/>
        </w:rPr>
        <w:t xml:space="preserve">ατρικής </w:t>
      </w:r>
      <w:r w:rsidR="00525BE5" w:rsidRPr="00525BE5">
        <w:rPr>
          <w:i/>
        </w:rPr>
        <w:t>Δ</w:t>
      </w:r>
      <w:r w:rsidRPr="00525BE5">
        <w:rPr>
          <w:i/>
        </w:rPr>
        <w:t>εοντολογίας – Ιατρικά υποβοηθούμενη αναπαραγωγή</w:t>
      </w:r>
      <w:r>
        <w:t>, 11.10.2012</w:t>
      </w:r>
      <w:r>
        <w:rPr>
          <w:rStyle w:val="FootnoteReference"/>
        </w:rPr>
        <w:footnoteReference w:id="73"/>
      </w:r>
      <w:r>
        <w:t xml:space="preserve">. </w:t>
      </w:r>
    </w:p>
    <w:p w14:paraId="6C93D0AB" w14:textId="77777777" w:rsidR="00801C2A" w:rsidRDefault="00801C2A" w:rsidP="00E5410F">
      <w:pPr>
        <w:numPr>
          <w:ilvl w:val="0"/>
          <w:numId w:val="8"/>
        </w:numPr>
        <w:tabs>
          <w:tab w:val="left" w:pos="284"/>
        </w:tabs>
        <w:ind w:left="0" w:firstLine="0"/>
      </w:pPr>
      <w:r>
        <w:rPr>
          <w:i/>
        </w:rPr>
        <w:lastRenderedPageBreak/>
        <w:t>Η παρένθετη μητρότητα. Έκθεση που υιοθετήθηκε κατά τη συνεδρίαση του Εθνικού Συμβου</w:t>
      </w:r>
      <w:r w:rsidR="004F59CA">
        <w:rPr>
          <w:i/>
        </w:rPr>
        <w:t xml:space="preserve">λίου του Ιατρικού Συλλόγου, </w:t>
      </w:r>
      <w:r w:rsidR="004F59CA">
        <w:t>4.2.</w:t>
      </w:r>
      <w:r w:rsidRPr="004F59CA">
        <w:t>2010</w:t>
      </w:r>
      <w:r w:rsidRPr="004F59CA">
        <w:rPr>
          <w:rStyle w:val="FootnoteReference"/>
        </w:rPr>
        <w:footnoteReference w:id="74"/>
      </w:r>
      <w:r w:rsidRPr="004F59CA">
        <w:t>.</w:t>
      </w:r>
      <w:r>
        <w:rPr>
          <w:b/>
        </w:rPr>
        <w:t xml:space="preserve"> </w:t>
      </w:r>
    </w:p>
    <w:p w14:paraId="7DB91A84" w14:textId="77777777" w:rsidR="00801C2A" w:rsidRDefault="00801C2A" w:rsidP="00801C2A">
      <w:r>
        <w:t xml:space="preserve">Τέλος, στο σημείο αυτό θα ήταν ενδιαφέρον να γίνει μια σύντομη αναφορά και σε ένα δελτίο τύπου, που ασφαλώς δε συνιστά κατευθυντήρια οδηγία συμπληρωματική της ειδικής νομοθεσίας. Είναι όμως ενδεικτικό του κλίματος που καλλιεργείται στους διάφορους αρμόδιους φορείς. Έτσι, ο </w:t>
      </w:r>
      <w:r>
        <w:rPr>
          <w:b/>
        </w:rPr>
        <w:t>Εθνικός Σύλλογος Μαιών Γαλλίας (</w:t>
      </w:r>
      <w:r>
        <w:rPr>
          <w:b/>
          <w:i/>
          <w:lang w:val="fr-FR"/>
        </w:rPr>
        <w:t>Coll</w:t>
      </w:r>
      <w:r>
        <w:rPr>
          <w:b/>
          <w:i/>
        </w:rPr>
        <w:t>è</w:t>
      </w:r>
      <w:r>
        <w:rPr>
          <w:b/>
          <w:i/>
          <w:lang w:val="fr-FR"/>
        </w:rPr>
        <w:t>ge</w:t>
      </w:r>
      <w:r w:rsidRPr="00801C2A">
        <w:rPr>
          <w:b/>
          <w:i/>
        </w:rPr>
        <w:t xml:space="preserve"> </w:t>
      </w:r>
      <w:r>
        <w:rPr>
          <w:b/>
          <w:i/>
          <w:lang w:val="fr-FR"/>
        </w:rPr>
        <w:t>Nationale</w:t>
      </w:r>
      <w:r w:rsidRPr="00801C2A">
        <w:rPr>
          <w:b/>
          <w:i/>
        </w:rPr>
        <w:t xml:space="preserve"> </w:t>
      </w:r>
      <w:r>
        <w:rPr>
          <w:b/>
          <w:i/>
          <w:lang w:val="fr-FR"/>
        </w:rPr>
        <w:t>des</w:t>
      </w:r>
      <w:r w:rsidRPr="00801C2A">
        <w:rPr>
          <w:b/>
          <w:i/>
        </w:rPr>
        <w:t xml:space="preserve"> </w:t>
      </w:r>
      <w:r>
        <w:rPr>
          <w:b/>
          <w:i/>
          <w:lang w:val="fr-FR"/>
        </w:rPr>
        <w:t>Sages</w:t>
      </w:r>
      <w:r>
        <w:rPr>
          <w:b/>
          <w:i/>
        </w:rPr>
        <w:t>-</w:t>
      </w:r>
      <w:r>
        <w:rPr>
          <w:b/>
          <w:i/>
          <w:lang w:val="fr-FR"/>
        </w:rPr>
        <w:t>Femmes</w:t>
      </w:r>
      <w:r w:rsidRPr="00801C2A">
        <w:rPr>
          <w:b/>
          <w:i/>
        </w:rPr>
        <w:t xml:space="preserve"> </w:t>
      </w:r>
      <w:r>
        <w:rPr>
          <w:b/>
          <w:i/>
          <w:lang w:val="fr-FR"/>
        </w:rPr>
        <w:t>de</w:t>
      </w:r>
      <w:r w:rsidRPr="00801C2A">
        <w:rPr>
          <w:b/>
          <w:i/>
        </w:rPr>
        <w:t xml:space="preserve"> </w:t>
      </w:r>
      <w:r>
        <w:rPr>
          <w:b/>
          <w:i/>
          <w:lang w:val="fr-FR"/>
        </w:rPr>
        <w:t>France</w:t>
      </w:r>
      <w:r>
        <w:rPr>
          <w:b/>
        </w:rPr>
        <w:t>)</w:t>
      </w:r>
      <w:r w:rsidR="00C471A4">
        <w:t xml:space="preserve"> εξέδωσε, </w:t>
      </w:r>
      <w:r>
        <w:t>στις 8 Μαρτίου 2010</w:t>
      </w:r>
      <w:r w:rsidR="00C471A4">
        <w:t>, Δελτίο</w:t>
      </w:r>
      <w:r>
        <w:t xml:space="preserve"> Τύπου με θέμα την </w:t>
      </w:r>
      <w:r>
        <w:rPr>
          <w:i/>
        </w:rPr>
        <w:t>Παρένθετη μητρότητα</w:t>
      </w:r>
      <w:r>
        <w:rPr>
          <w:rStyle w:val="FootnoteReference"/>
          <w:i/>
        </w:rPr>
        <w:footnoteReference w:id="75"/>
      </w:r>
      <w:r>
        <w:t xml:space="preserve">, </w:t>
      </w:r>
      <w:r w:rsidR="00C471A4">
        <w:t>στο οποίο θα γίνει</w:t>
      </w:r>
      <w:r>
        <w:t xml:space="preserve"> λεπτομερέστερη παρουσίαση </w:t>
      </w:r>
      <w:r w:rsidR="00C471A4">
        <w:t>στο αντίστοιχο κεφάλαιο</w:t>
      </w:r>
      <w:r w:rsidR="00C471A4">
        <w:rPr>
          <w:rStyle w:val="FootnoteReference"/>
        </w:rPr>
        <w:footnoteReference w:id="76"/>
      </w:r>
      <w:r>
        <w:t xml:space="preserve">. </w:t>
      </w:r>
    </w:p>
    <w:p w14:paraId="413B3775" w14:textId="77777777" w:rsidR="00801C2A" w:rsidRDefault="00801C2A" w:rsidP="00801C2A">
      <w:r>
        <w:t xml:space="preserve">Κλείνοντας την ενότητα αυτή, σκόπιμο </w:t>
      </w:r>
      <w:r w:rsidR="005E5398">
        <w:t>είναι</w:t>
      </w:r>
      <w:r>
        <w:t xml:space="preserve"> να γίνει επιγραμματική αναφορά στις πιο σημαντικές </w:t>
      </w:r>
      <w:r>
        <w:rPr>
          <w:b/>
        </w:rPr>
        <w:t>διοικητικές πράξεις</w:t>
      </w:r>
      <w:r>
        <w:t xml:space="preserve"> που έχουν εκδοθεί έως και σήμερα και διέπουν την ιατρικά υποβοηθούμενη αναπαραγωγή και την προστασία του εμβρύου </w:t>
      </w:r>
      <w:r>
        <w:rPr>
          <w:i/>
          <w:lang w:val="en-US"/>
        </w:rPr>
        <w:t>in</w:t>
      </w:r>
      <w:r w:rsidRPr="00801C2A">
        <w:rPr>
          <w:i/>
        </w:rPr>
        <w:t xml:space="preserve"> </w:t>
      </w:r>
      <w:r>
        <w:rPr>
          <w:i/>
          <w:lang w:val="en-US"/>
        </w:rPr>
        <w:t>vitro</w:t>
      </w:r>
      <w:r w:rsidR="005E5398">
        <w:t xml:space="preserve"> στη Γαλλία. </w:t>
      </w:r>
      <w:r>
        <w:t>Ενδεικτικά αναφέρονται</w:t>
      </w:r>
      <w:r w:rsidR="005E5398">
        <w:t xml:space="preserve"> οι ακόλουθες πράξεις</w:t>
      </w:r>
      <w:r>
        <w:t>:</w:t>
      </w:r>
      <w:r>
        <w:rPr>
          <w:szCs w:val="28"/>
        </w:rPr>
        <w:t xml:space="preserve"> </w:t>
      </w:r>
    </w:p>
    <w:p w14:paraId="17CB66F0" w14:textId="77777777" w:rsidR="00801C2A" w:rsidRDefault="00801C2A" w:rsidP="00801C2A">
      <w:pPr>
        <w:ind w:firstLine="0"/>
        <w:rPr>
          <w:rStyle w:val="hps"/>
          <w:rFonts w:eastAsia="Calibri"/>
          <w:b/>
          <w:lang w:eastAsia="en-US"/>
        </w:rPr>
      </w:pPr>
      <w:r>
        <w:rPr>
          <w:rFonts w:eastAsia="Calibri"/>
          <w:b/>
        </w:rPr>
        <w:t>Διατάγματα</w:t>
      </w:r>
      <w:r>
        <w:rPr>
          <w:rStyle w:val="FootnoteReference"/>
          <w:rFonts w:eastAsia="Calibri"/>
          <w:b/>
          <w:lang w:eastAsia="en-US"/>
        </w:rPr>
        <w:footnoteReference w:id="77"/>
      </w:r>
      <w:r>
        <w:rPr>
          <w:rStyle w:val="hps"/>
          <w:rFonts w:eastAsia="Calibri"/>
          <w:b/>
          <w:lang w:eastAsia="en-US"/>
        </w:rPr>
        <w:t xml:space="preserve">:  </w:t>
      </w:r>
    </w:p>
    <w:p w14:paraId="7138BA16" w14:textId="77777777" w:rsidR="00801C2A" w:rsidRDefault="00E752AF" w:rsidP="00E5410F">
      <w:pPr>
        <w:numPr>
          <w:ilvl w:val="0"/>
          <w:numId w:val="9"/>
        </w:numPr>
        <w:tabs>
          <w:tab w:val="left" w:pos="284"/>
        </w:tabs>
        <w:ind w:left="0" w:firstLine="0"/>
        <w:rPr>
          <w:rFonts w:eastAsia="Calibri"/>
        </w:rPr>
      </w:pPr>
      <w:r>
        <w:rPr>
          <w:rFonts w:eastAsia="Calibri"/>
          <w:lang w:eastAsia="en-US"/>
        </w:rPr>
        <w:t>Διάταγμα αριθ. 2012-885</w:t>
      </w:r>
      <w:r w:rsidR="00801C2A">
        <w:rPr>
          <w:rFonts w:eastAsia="Calibri"/>
          <w:lang w:eastAsia="en-US"/>
        </w:rPr>
        <w:t xml:space="preserve"> της 17</w:t>
      </w:r>
      <w:r w:rsidR="00801C2A">
        <w:rPr>
          <w:rFonts w:eastAsia="Calibri"/>
          <w:vertAlign w:val="superscript"/>
          <w:lang w:eastAsia="en-US"/>
        </w:rPr>
        <w:t>ης</w:t>
      </w:r>
      <w:r w:rsidR="00801C2A">
        <w:rPr>
          <w:rFonts w:eastAsia="Calibri"/>
          <w:lang w:eastAsia="en-US"/>
        </w:rPr>
        <w:t xml:space="preserve"> Ιουλίου 2012 σχετικά με τις προϋποθέσεις υπό τις οποίες οι μαίες συμβάλλουν στις δραστηριότητες της ιατρικά υποβοηθούμενης αναπαραγωγής  (ΦΕΚ 19/07). </w:t>
      </w:r>
    </w:p>
    <w:p w14:paraId="2847C0F9"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2012-467 της 11</w:t>
      </w:r>
      <w:r>
        <w:rPr>
          <w:rFonts w:eastAsia="Calibri"/>
          <w:vertAlign w:val="superscript"/>
          <w:lang w:eastAsia="en-US"/>
        </w:rPr>
        <w:t>ης</w:t>
      </w:r>
      <w:r>
        <w:rPr>
          <w:rFonts w:eastAsia="Calibri"/>
          <w:lang w:eastAsia="en-US"/>
        </w:rPr>
        <w:t xml:space="preserve"> Απριλίου 2012 σχετικά με την έρευνα στο έμβρυο και τα εμβρυικά βλαστικά κύτταρα και τις μελέτες στο έμβρυο (ΦΕΚ 12/04). </w:t>
      </w:r>
    </w:p>
    <w:p w14:paraId="63C2E859"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2012-360 της 14</w:t>
      </w:r>
      <w:r>
        <w:rPr>
          <w:rFonts w:eastAsia="Calibri"/>
          <w:vertAlign w:val="superscript"/>
          <w:lang w:eastAsia="en-US"/>
        </w:rPr>
        <w:t>ης</w:t>
      </w:r>
      <w:r>
        <w:rPr>
          <w:rFonts w:eastAsia="Calibri"/>
          <w:lang w:eastAsia="en-US"/>
        </w:rPr>
        <w:t xml:space="preserve"> Μαρτίου 2012 σχετικά με τις βιολογικές διεργασίες που χρησιμοποιούνται στην ιατρικά υποβοηθούμενη αναπαραγωγή (ΦΕΚ 16/03). </w:t>
      </w:r>
    </w:p>
    <w:p w14:paraId="47587AA5"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2010-440 της 30</w:t>
      </w:r>
      <w:r>
        <w:rPr>
          <w:rFonts w:eastAsia="Calibri"/>
          <w:vertAlign w:val="superscript"/>
          <w:lang w:eastAsia="en-US"/>
        </w:rPr>
        <w:t>ης</w:t>
      </w:r>
      <w:r>
        <w:rPr>
          <w:rFonts w:eastAsia="Calibri"/>
          <w:lang w:eastAsia="en-US"/>
        </w:rPr>
        <w:t xml:space="preserve"> Απριλίου 2010 σχετικά με την επίσκεψη συμμόρφωσης που προβλέπεται στο άρθρο </w:t>
      </w:r>
      <w:r>
        <w:rPr>
          <w:rFonts w:eastAsia="Calibri"/>
          <w:lang w:val="fr-FR" w:eastAsia="en-US"/>
        </w:rPr>
        <w:t>L</w:t>
      </w:r>
      <w:r>
        <w:rPr>
          <w:rFonts w:eastAsia="Calibri"/>
          <w:lang w:eastAsia="en-US"/>
        </w:rPr>
        <w:t>.</w:t>
      </w:r>
      <w:r w:rsidR="00E752AF">
        <w:rPr>
          <w:rFonts w:eastAsia="Calibri"/>
          <w:lang w:eastAsia="en-US"/>
        </w:rPr>
        <w:t xml:space="preserve"> </w:t>
      </w:r>
      <w:r>
        <w:rPr>
          <w:rFonts w:eastAsia="Calibri"/>
          <w:lang w:eastAsia="en-US"/>
        </w:rPr>
        <w:t xml:space="preserve">6122-4 </w:t>
      </w:r>
      <w:r w:rsidR="005A1087">
        <w:rPr>
          <w:rFonts w:eastAsia="Calibri"/>
          <w:lang w:eastAsia="en-US"/>
        </w:rPr>
        <w:t>ΚΔΥ</w:t>
      </w:r>
      <w:r>
        <w:rPr>
          <w:rFonts w:eastAsia="Calibri"/>
          <w:lang w:eastAsia="en-US"/>
        </w:rPr>
        <w:t xml:space="preserve"> (ΦΕΚ 08/05). </w:t>
      </w:r>
    </w:p>
    <w:p w14:paraId="2865DD64"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2010-437 της 30</w:t>
      </w:r>
      <w:r>
        <w:rPr>
          <w:rFonts w:eastAsia="Calibri"/>
          <w:vertAlign w:val="superscript"/>
          <w:lang w:eastAsia="en-US"/>
        </w:rPr>
        <w:t>ης</w:t>
      </w:r>
      <w:r>
        <w:rPr>
          <w:rFonts w:eastAsia="Calibri"/>
          <w:lang w:eastAsia="en-US"/>
        </w:rPr>
        <w:t xml:space="preserve"> Απριλίου 2010 σχετικά με τη διάρκεια ισχύος των αδειών εξοπλισμού υγιεινής (ΦΕΚ 02/05). </w:t>
      </w:r>
    </w:p>
    <w:p w14:paraId="66EB09CF" w14:textId="77777777" w:rsidR="00801C2A" w:rsidRDefault="00801C2A" w:rsidP="00E5410F">
      <w:pPr>
        <w:numPr>
          <w:ilvl w:val="0"/>
          <w:numId w:val="9"/>
        </w:numPr>
        <w:tabs>
          <w:tab w:val="left" w:pos="284"/>
        </w:tabs>
        <w:ind w:left="0" w:firstLine="0"/>
        <w:rPr>
          <w:rStyle w:val="hps"/>
          <w:rFonts w:eastAsia="Calibri"/>
        </w:rPr>
      </w:pPr>
      <w:r>
        <w:rPr>
          <w:rStyle w:val="hps"/>
        </w:rPr>
        <w:t>Διάταγμα αριθ.</w:t>
      </w:r>
      <w:r>
        <w:t xml:space="preserve"> </w:t>
      </w:r>
      <w:r>
        <w:rPr>
          <w:rStyle w:val="hps"/>
        </w:rPr>
        <w:t>2008-588</w:t>
      </w:r>
      <w:r>
        <w:t xml:space="preserve"> </w:t>
      </w:r>
      <w:r>
        <w:rPr>
          <w:rStyle w:val="hps"/>
        </w:rPr>
        <w:t>της 19</w:t>
      </w:r>
      <w:r>
        <w:rPr>
          <w:rStyle w:val="hps"/>
          <w:vertAlign w:val="superscript"/>
        </w:rPr>
        <w:t>ης</w:t>
      </w:r>
      <w:r>
        <w:rPr>
          <w:rStyle w:val="hps"/>
        </w:rPr>
        <w:t xml:space="preserve"> Ιουνίου 2008</w:t>
      </w:r>
      <w:r w:rsidR="00E752AF">
        <w:rPr>
          <w:rStyle w:val="hps"/>
        </w:rPr>
        <w:t xml:space="preserve"> σχετικά με την ενσωμάτωση της Ο</w:t>
      </w:r>
      <w:r>
        <w:rPr>
          <w:rStyle w:val="hps"/>
        </w:rPr>
        <w:t>δηγίας αριθ. 2004-23</w:t>
      </w:r>
      <w:r>
        <w:rPr>
          <w:rStyle w:val="hps"/>
          <w:lang w:val="en-US"/>
        </w:rPr>
        <w:t>CE</w:t>
      </w:r>
      <w:r>
        <w:rPr>
          <w:rStyle w:val="hps"/>
        </w:rPr>
        <w:t xml:space="preserve"> του ευρωπαϊκού Κοινοβουλίου και του Συμβουλίου της 31</w:t>
      </w:r>
      <w:r>
        <w:rPr>
          <w:rStyle w:val="hps"/>
          <w:vertAlign w:val="superscript"/>
        </w:rPr>
        <w:t>ης</w:t>
      </w:r>
      <w:r>
        <w:rPr>
          <w:rStyle w:val="hps"/>
        </w:rPr>
        <w:t xml:space="preserve"> Μαρτίου 2004 για τη δωρεά γαμετών και την ιατρικά υποβοηθούμενη αναπαραγωγή (ΦΕΚ 21/06). </w:t>
      </w:r>
    </w:p>
    <w:p w14:paraId="61E44B26" w14:textId="77777777" w:rsidR="00801C2A" w:rsidRDefault="00801C2A" w:rsidP="00E5410F">
      <w:pPr>
        <w:numPr>
          <w:ilvl w:val="0"/>
          <w:numId w:val="9"/>
        </w:numPr>
        <w:tabs>
          <w:tab w:val="left" w:pos="284"/>
        </w:tabs>
        <w:ind w:left="0" w:firstLine="0"/>
        <w:rPr>
          <w:rFonts w:eastAsia="Calibri"/>
        </w:rPr>
      </w:pPr>
      <w:r>
        <w:rPr>
          <w:rFonts w:eastAsia="Calibri"/>
          <w:lang w:eastAsia="en-US"/>
        </w:rPr>
        <w:lastRenderedPageBreak/>
        <w:t>Διάταγμα αριθ. 2006-1660 της 22</w:t>
      </w:r>
      <w:r w:rsidRPr="00630507">
        <w:rPr>
          <w:rFonts w:eastAsia="Calibri"/>
          <w:vertAlign w:val="superscript"/>
          <w:lang w:eastAsia="en-US"/>
        </w:rPr>
        <w:t>ας</w:t>
      </w:r>
      <w:r>
        <w:rPr>
          <w:rFonts w:eastAsia="Calibri"/>
          <w:lang w:eastAsia="en-US"/>
        </w:rPr>
        <w:t xml:space="preserve"> Δεκεμβρίου 2006 σχετικά με τη δωρεά γαμετών και την ιατρικά υποβοηθούμενη αναπαραγωγή και την τροποποίηση του Κώδικα Δημόσιας Υγείας (Τροποποιήθηκε από </w:t>
      </w:r>
      <w:r w:rsidR="00630507">
        <w:rPr>
          <w:rFonts w:eastAsia="Calibri"/>
          <w:lang w:eastAsia="en-US"/>
        </w:rPr>
        <w:t xml:space="preserve">το </w:t>
      </w:r>
      <w:r>
        <w:rPr>
          <w:rStyle w:val="hps"/>
        </w:rPr>
        <w:t>Διάταγμα αριθ.</w:t>
      </w:r>
      <w:r>
        <w:t xml:space="preserve"> </w:t>
      </w:r>
      <w:r>
        <w:rPr>
          <w:rStyle w:val="hps"/>
        </w:rPr>
        <w:t>2008-588</w:t>
      </w:r>
      <w:r>
        <w:t xml:space="preserve"> </w:t>
      </w:r>
      <w:r>
        <w:rPr>
          <w:rStyle w:val="hps"/>
        </w:rPr>
        <w:t>της 19</w:t>
      </w:r>
      <w:r>
        <w:rPr>
          <w:rStyle w:val="hps"/>
          <w:vertAlign w:val="superscript"/>
        </w:rPr>
        <w:t>ης</w:t>
      </w:r>
      <w:r>
        <w:rPr>
          <w:rStyle w:val="hps"/>
        </w:rPr>
        <w:t xml:space="preserve"> Ιουνίου 2008</w:t>
      </w:r>
      <w:r>
        <w:rPr>
          <w:rFonts w:eastAsia="Calibri"/>
          <w:lang w:eastAsia="en-US"/>
        </w:rPr>
        <w:t xml:space="preserve">). </w:t>
      </w:r>
    </w:p>
    <w:p w14:paraId="0E23E1CD"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2005-1618 της 21</w:t>
      </w:r>
      <w:r>
        <w:rPr>
          <w:rFonts w:eastAsia="Calibri"/>
          <w:vertAlign w:val="superscript"/>
          <w:lang w:eastAsia="en-US"/>
        </w:rPr>
        <w:t>ης</w:t>
      </w:r>
      <w:r>
        <w:rPr>
          <w:rFonts w:eastAsia="Calibri"/>
          <w:lang w:eastAsia="en-US"/>
        </w:rPr>
        <w:t xml:space="preserve"> Δεκεμβρίου 2005 σχετικά με τους κανόνες υγειονομικής ασφάλειας για τη συλλογή και χρήση στοιχείων και προϊόντων του </w:t>
      </w:r>
      <w:r w:rsidR="00653769">
        <w:rPr>
          <w:rFonts w:eastAsia="Calibri"/>
          <w:lang w:eastAsia="en-US"/>
        </w:rPr>
        <w:t>ανθρωπίνου</w:t>
      </w:r>
      <w:r>
        <w:rPr>
          <w:rFonts w:eastAsia="Calibri"/>
          <w:lang w:eastAsia="en-US"/>
        </w:rPr>
        <w:t xml:space="preserve"> σώματος και την τροποποίηση του Κώδικα Δημόσιας Υγείας. </w:t>
      </w:r>
    </w:p>
    <w:p w14:paraId="119A25A8"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2004-606 της 24</w:t>
      </w:r>
      <w:r>
        <w:rPr>
          <w:rFonts w:eastAsia="Calibri"/>
          <w:vertAlign w:val="superscript"/>
          <w:lang w:eastAsia="en-US"/>
        </w:rPr>
        <w:t>ης</w:t>
      </w:r>
      <w:r>
        <w:rPr>
          <w:rFonts w:eastAsia="Calibri"/>
          <w:lang w:eastAsia="en-US"/>
        </w:rPr>
        <w:t xml:space="preserve"> Ιουνίου 2004 σχετικά με τους κανόνες υγειονομικής ασφαλείας που εφαρμόζονται για</w:t>
      </w:r>
      <w:r w:rsidR="0083348B">
        <w:rPr>
          <w:rFonts w:eastAsia="Calibri"/>
          <w:lang w:eastAsia="en-US"/>
        </w:rPr>
        <w:t xml:space="preserve"> τη συλλογή και τη χρήση ανθρωπί</w:t>
      </w:r>
      <w:r>
        <w:rPr>
          <w:rFonts w:eastAsia="Calibri"/>
          <w:lang w:eastAsia="en-US"/>
        </w:rPr>
        <w:t xml:space="preserve">νων ωαρίων που προέρχονται από δωρεά με σκοπό την ιατρικά υποβοηθούμενη αναπαραγωγή (Τροποποιήθηκε από </w:t>
      </w:r>
      <w:r w:rsidR="00630507">
        <w:rPr>
          <w:rFonts w:eastAsia="Calibri"/>
          <w:lang w:eastAsia="en-US"/>
        </w:rPr>
        <w:t xml:space="preserve">το </w:t>
      </w:r>
      <w:r>
        <w:rPr>
          <w:rFonts w:eastAsia="Calibri"/>
          <w:lang w:eastAsia="en-US"/>
        </w:rPr>
        <w:t>Διάταγμα αριθ. 2005-1618 της 21</w:t>
      </w:r>
      <w:r>
        <w:rPr>
          <w:rFonts w:eastAsia="Calibri"/>
          <w:vertAlign w:val="superscript"/>
          <w:lang w:eastAsia="en-US"/>
        </w:rPr>
        <w:t>ης</w:t>
      </w:r>
      <w:r>
        <w:rPr>
          <w:rFonts w:eastAsia="Calibri"/>
          <w:lang w:eastAsia="en-US"/>
        </w:rPr>
        <w:t xml:space="preserve"> Δεκεμβρίου 2005). </w:t>
      </w:r>
    </w:p>
    <w:p w14:paraId="61A349A3" w14:textId="77777777" w:rsidR="00801C2A" w:rsidRDefault="00801C2A" w:rsidP="00E5410F">
      <w:pPr>
        <w:numPr>
          <w:ilvl w:val="0"/>
          <w:numId w:val="9"/>
        </w:numPr>
        <w:tabs>
          <w:tab w:val="left" w:pos="284"/>
        </w:tabs>
        <w:ind w:left="0" w:firstLine="0"/>
        <w:rPr>
          <w:rFonts w:eastAsia="Calibri"/>
          <w:lang w:eastAsia="en-US"/>
        </w:rPr>
      </w:pPr>
      <w:r>
        <w:rPr>
          <w:rFonts w:eastAsia="Calibri"/>
          <w:lang w:eastAsia="en-US"/>
        </w:rPr>
        <w:t>Διάταγμα αριθ. 95-560 της 6</w:t>
      </w:r>
      <w:r>
        <w:rPr>
          <w:rFonts w:eastAsia="Calibri"/>
          <w:vertAlign w:val="superscript"/>
          <w:lang w:eastAsia="en-US"/>
        </w:rPr>
        <w:t>ης</w:t>
      </w:r>
      <w:r>
        <w:rPr>
          <w:rFonts w:eastAsia="Calibri"/>
          <w:lang w:eastAsia="en-US"/>
        </w:rPr>
        <w:t xml:space="preserve"> Μαΐου 1995 σχετικά με την ιατρικά υποβοηθούμενη αναπαραγωγή και τη δωρεά γαμετών (Τροποποιήθηκε από</w:t>
      </w:r>
      <w:r w:rsidR="00630507">
        <w:rPr>
          <w:rFonts w:eastAsia="Calibri"/>
          <w:lang w:eastAsia="en-US"/>
        </w:rPr>
        <w:t xml:space="preserve"> το</w:t>
      </w:r>
      <w:r>
        <w:rPr>
          <w:rFonts w:eastAsia="Calibri"/>
          <w:lang w:eastAsia="en-US"/>
        </w:rPr>
        <w:t xml:space="preserve"> Διάταγμα αριθ. 2006-1660 της 22</w:t>
      </w:r>
      <w:r w:rsidRPr="00630507">
        <w:rPr>
          <w:rFonts w:eastAsia="Calibri"/>
          <w:vertAlign w:val="superscript"/>
          <w:lang w:eastAsia="en-US"/>
        </w:rPr>
        <w:t xml:space="preserve">ας </w:t>
      </w:r>
      <w:r>
        <w:rPr>
          <w:rFonts w:eastAsia="Calibri"/>
          <w:lang w:eastAsia="en-US"/>
        </w:rPr>
        <w:t xml:space="preserve">Δεκεμβρίου 2006). </w:t>
      </w:r>
    </w:p>
    <w:p w14:paraId="504CE77A" w14:textId="77777777" w:rsidR="00801C2A" w:rsidRDefault="00801C2A" w:rsidP="00801C2A">
      <w:pPr>
        <w:ind w:firstLine="0"/>
        <w:rPr>
          <w:rFonts w:eastAsia="Calibri"/>
          <w:b/>
          <w:lang w:eastAsia="en-US"/>
        </w:rPr>
      </w:pPr>
      <w:r>
        <w:rPr>
          <w:rFonts w:eastAsia="Calibri"/>
          <w:b/>
          <w:lang w:eastAsia="en-US"/>
        </w:rPr>
        <w:t>Υπουργικές αποφάσεις</w:t>
      </w:r>
      <w:r w:rsidR="00BB50F2">
        <w:rPr>
          <w:rStyle w:val="FootnoteReference"/>
          <w:rFonts w:eastAsia="Calibri"/>
          <w:b/>
          <w:lang w:eastAsia="en-US"/>
        </w:rPr>
        <w:footnoteReference w:id="78"/>
      </w:r>
      <w:r>
        <w:rPr>
          <w:rFonts w:eastAsia="Calibri"/>
          <w:b/>
          <w:lang w:eastAsia="en-US"/>
        </w:rPr>
        <w:t xml:space="preserve">: </w:t>
      </w:r>
    </w:p>
    <w:p w14:paraId="3159176D"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18</w:t>
      </w:r>
      <w:r>
        <w:rPr>
          <w:rFonts w:eastAsia="Calibri"/>
          <w:vertAlign w:val="superscript"/>
          <w:lang w:eastAsia="en-US"/>
        </w:rPr>
        <w:t>ης</w:t>
      </w:r>
      <w:r>
        <w:rPr>
          <w:rFonts w:eastAsia="Calibri"/>
          <w:lang w:eastAsia="en-US"/>
        </w:rPr>
        <w:t xml:space="preserve"> Ιουνίου 2012 για την κατάρτιση του καταλόγου των βιολογικών διεργασιών που χρησιμοποιούνται στην ιατρικά υποβοηθούμενη αναπαραγωγή (ΦΕΚ 26/06). </w:t>
      </w:r>
    </w:p>
    <w:p w14:paraId="41E47DD9"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10</w:t>
      </w:r>
      <w:r>
        <w:rPr>
          <w:rFonts w:eastAsia="Calibri"/>
          <w:vertAlign w:val="superscript"/>
          <w:lang w:eastAsia="en-US"/>
        </w:rPr>
        <w:t>ης</w:t>
      </w:r>
      <w:r>
        <w:rPr>
          <w:rFonts w:eastAsia="Calibri"/>
          <w:lang w:eastAsia="en-US"/>
        </w:rPr>
        <w:t xml:space="preserve"> Δεκεμβρίου 2010 για την τροποποίηση της ΥΑ της 9</w:t>
      </w:r>
      <w:r>
        <w:rPr>
          <w:rFonts w:eastAsia="Calibri"/>
          <w:vertAlign w:val="superscript"/>
          <w:lang w:eastAsia="en-US"/>
        </w:rPr>
        <w:t>ης</w:t>
      </w:r>
      <w:r>
        <w:rPr>
          <w:rFonts w:eastAsia="Calibri"/>
          <w:lang w:eastAsia="en-US"/>
        </w:rPr>
        <w:t xml:space="preserve"> Φεβρουαρίου 2010 για το διορισμό</w:t>
      </w:r>
      <w:r>
        <w:rPr>
          <w:rFonts w:eastAsia="Calibri"/>
        </w:rPr>
        <w:t xml:space="preserve"> στην Εθνική Επιτροπή Μη</w:t>
      </w:r>
      <w:r w:rsidR="002A543E">
        <w:rPr>
          <w:rFonts w:eastAsia="Calibri"/>
        </w:rPr>
        <w:t>χανισμού Παρακολούθησης για την ιατρικά υποβοηθούμενη αναπαραγωγή</w:t>
      </w:r>
      <w:r>
        <w:rPr>
          <w:rFonts w:eastAsia="Calibri"/>
        </w:rPr>
        <w:t xml:space="preserve">. </w:t>
      </w:r>
    </w:p>
    <w:p w14:paraId="75BCD215"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9</w:t>
      </w:r>
      <w:r>
        <w:rPr>
          <w:rFonts w:eastAsia="Calibri"/>
          <w:vertAlign w:val="superscript"/>
          <w:lang w:eastAsia="en-US"/>
        </w:rPr>
        <w:t>ης</w:t>
      </w:r>
      <w:r>
        <w:rPr>
          <w:rFonts w:eastAsia="Calibri"/>
          <w:lang w:eastAsia="en-US"/>
        </w:rPr>
        <w:t xml:space="preserve"> Φεβρουαρίου 2010 για το διορισμό</w:t>
      </w:r>
      <w:r>
        <w:rPr>
          <w:rFonts w:eastAsia="Calibri"/>
        </w:rPr>
        <w:t xml:space="preserve"> στην Εθνική Επιτροπή Μ</w:t>
      </w:r>
      <w:r w:rsidR="002A543E">
        <w:rPr>
          <w:rFonts w:eastAsia="Calibri"/>
        </w:rPr>
        <w:t>ηχανισμού Παρακολούθησης για την ιατρικά υποβοηθούμενη</w:t>
      </w:r>
      <w:r>
        <w:rPr>
          <w:rFonts w:eastAsia="Calibri"/>
        </w:rPr>
        <w:t xml:space="preserve"> αναπαραγωγής  (ΦΕΚ 17/02). </w:t>
      </w:r>
    </w:p>
    <w:p w14:paraId="67D4712E"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18</w:t>
      </w:r>
      <w:r>
        <w:rPr>
          <w:rFonts w:eastAsia="Calibri"/>
          <w:vertAlign w:val="superscript"/>
          <w:lang w:eastAsia="en-US"/>
        </w:rPr>
        <w:t>ης</w:t>
      </w:r>
      <w:r>
        <w:rPr>
          <w:rFonts w:eastAsia="Calibri"/>
          <w:lang w:eastAsia="en-US"/>
        </w:rPr>
        <w:t xml:space="preserve"> Δεκεμβρίου 2008 για τον καθορισμό των στοιχείων ενημέρωσης σχετικά με την αναφορά ενός συμβάντος ή μιας ανεπιθύμητης παρενέργειας στα πλαίσια του Μηχανισμού Παρακολούθησης για την ιατρικά υποβοηθούμενη αναπαραγωγή (ΦΕΚ 27/12). </w:t>
      </w:r>
    </w:p>
    <w:p w14:paraId="5C06CDCC"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22</w:t>
      </w:r>
      <w:r>
        <w:rPr>
          <w:rFonts w:eastAsia="Calibri"/>
          <w:vertAlign w:val="superscript"/>
          <w:lang w:eastAsia="en-US"/>
        </w:rPr>
        <w:t>ας</w:t>
      </w:r>
      <w:r>
        <w:rPr>
          <w:rFonts w:eastAsia="Calibri"/>
          <w:lang w:eastAsia="en-US"/>
        </w:rPr>
        <w:t xml:space="preserve"> Αυγούστου 2008 σχετικά με τη συναίνεση και την επιβεβαίωση της συναίνεσης ζεύγους ή επιζώντος μέλους σε περίπτωση θανάτου του άλλου μέλους του ζεύγους για </w:t>
      </w:r>
      <w:r w:rsidR="008621B3">
        <w:rPr>
          <w:rFonts w:eastAsia="Calibri"/>
          <w:lang w:eastAsia="en-US"/>
        </w:rPr>
        <w:t>τη λήψη</w:t>
      </w:r>
      <w:r>
        <w:rPr>
          <w:rFonts w:eastAsia="Calibri"/>
          <w:lang w:eastAsia="en-US"/>
        </w:rPr>
        <w:t xml:space="preserve"> ενός ή περισσότερων εμβρύων από τρίτο ζευγάρι (ΦΕΚ 02/09). </w:t>
      </w:r>
    </w:p>
    <w:p w14:paraId="0C11EE05"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8</w:t>
      </w:r>
      <w:r>
        <w:rPr>
          <w:rFonts w:eastAsia="Calibri"/>
          <w:vertAlign w:val="superscript"/>
          <w:lang w:eastAsia="en-US"/>
        </w:rPr>
        <w:t>ης</w:t>
      </w:r>
      <w:r>
        <w:rPr>
          <w:rFonts w:eastAsia="Calibri"/>
          <w:lang w:eastAsia="en-US"/>
        </w:rPr>
        <w:t xml:space="preserve"> Αυγούστου 2008 για τον καθορισμό του περιεχομένου των ετήσιων εκθέσεων δραστηριότητας των μη κερδοσκοπικών οργανισμών, των νοσηλευτικών </w:t>
      </w:r>
      <w:r>
        <w:rPr>
          <w:rFonts w:eastAsia="Calibri"/>
          <w:lang w:eastAsia="en-US"/>
        </w:rPr>
        <w:lastRenderedPageBreak/>
        <w:t xml:space="preserve">ιδρυμάτων και των εργαστηρίων βίο-ιατρικών αναλύσεων που έχουν άδεια άσκησης δραστηριοτήτων ιατρικά υποβοηθούμενης αναπαραγωγής (ΦΕΚ 28/08). </w:t>
      </w:r>
    </w:p>
    <w:p w14:paraId="26E4E04D"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11</w:t>
      </w:r>
      <w:r>
        <w:rPr>
          <w:rFonts w:eastAsia="Calibri"/>
          <w:vertAlign w:val="superscript"/>
          <w:lang w:eastAsia="en-US"/>
        </w:rPr>
        <w:t>ης</w:t>
      </w:r>
      <w:r>
        <w:rPr>
          <w:rFonts w:eastAsia="Calibri"/>
          <w:lang w:eastAsia="en-US"/>
        </w:rPr>
        <w:t xml:space="preserve"> Απριλίου 2008 σχετικά με τους κανόνες καλών κλινικών και βιολογικών πρακτικών </w:t>
      </w:r>
      <w:r w:rsidR="0004076A">
        <w:rPr>
          <w:rFonts w:eastAsia="Calibri"/>
          <w:lang w:eastAsia="en-US"/>
        </w:rPr>
        <w:t>στην ιατρικά υποβοηθούμενη αναπαραγωγή</w:t>
      </w:r>
      <w:r>
        <w:rPr>
          <w:rFonts w:eastAsia="Calibri"/>
          <w:lang w:eastAsia="en-US"/>
        </w:rPr>
        <w:t xml:space="preserve"> (Τροποποιήθηκε από</w:t>
      </w:r>
      <w:r w:rsidR="00B31200">
        <w:rPr>
          <w:rFonts w:eastAsia="Calibri"/>
          <w:lang w:eastAsia="en-US"/>
        </w:rPr>
        <w:t xml:space="preserve"> την</w:t>
      </w:r>
      <w:r>
        <w:rPr>
          <w:rFonts w:eastAsia="Calibri"/>
          <w:lang w:eastAsia="en-US"/>
        </w:rPr>
        <w:t xml:space="preserve"> Απόφαση της 3</w:t>
      </w:r>
      <w:r>
        <w:rPr>
          <w:rFonts w:eastAsia="Calibri"/>
          <w:vertAlign w:val="superscript"/>
          <w:lang w:eastAsia="en-US"/>
        </w:rPr>
        <w:t>ης</w:t>
      </w:r>
      <w:r>
        <w:rPr>
          <w:rFonts w:eastAsia="Calibri"/>
          <w:lang w:eastAsia="en-US"/>
        </w:rPr>
        <w:t xml:space="preserve"> Αυγούστου 2010). </w:t>
      </w:r>
    </w:p>
    <w:p w14:paraId="357DC370"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20</w:t>
      </w:r>
      <w:r>
        <w:rPr>
          <w:rFonts w:eastAsia="Calibri"/>
          <w:vertAlign w:val="superscript"/>
          <w:lang w:eastAsia="en-US"/>
        </w:rPr>
        <w:t>ης</w:t>
      </w:r>
      <w:r>
        <w:rPr>
          <w:rFonts w:eastAsia="Calibri"/>
          <w:lang w:eastAsia="en-US"/>
        </w:rPr>
        <w:t xml:space="preserve"> Ιουνίου 2007 σχετικά με το περιεχόμενο του εγγράφου αξιολόγησης των δραστηριοτήτων της ιατρικά υποβοηθούμενης αναπαραγωγής (ανανέωση άδειας). </w:t>
      </w:r>
    </w:p>
    <w:p w14:paraId="34BF74E2"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26</w:t>
      </w:r>
      <w:r>
        <w:rPr>
          <w:rFonts w:eastAsia="Calibri"/>
          <w:vertAlign w:val="superscript"/>
          <w:lang w:eastAsia="en-US"/>
        </w:rPr>
        <w:t>ης</w:t>
      </w:r>
      <w:r>
        <w:rPr>
          <w:rFonts w:eastAsia="Calibri"/>
          <w:lang w:eastAsia="en-US"/>
        </w:rPr>
        <w:t xml:space="preserve"> Φεβρουαρίου 2007 για τον καθορισμό της σύνθεσης </w:t>
      </w:r>
      <w:r w:rsidR="006D4252">
        <w:rPr>
          <w:rFonts w:eastAsia="Calibri"/>
          <w:lang w:eastAsia="en-US"/>
        </w:rPr>
        <w:t xml:space="preserve">του φακέλου με τα απαιτούμενα δικαιολογητικά για το αίτημα </w:t>
      </w:r>
      <w:r>
        <w:rPr>
          <w:rFonts w:eastAsia="Calibri"/>
          <w:lang w:eastAsia="en-US"/>
        </w:rPr>
        <w:t xml:space="preserve">αδειοδότησης για την άσκηση δραστηριοτήτων της ιατρικά υποβοηθούμενης αναπαραγωγής. </w:t>
      </w:r>
    </w:p>
    <w:p w14:paraId="2FF3C9BC"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30</w:t>
      </w:r>
      <w:r>
        <w:rPr>
          <w:rFonts w:eastAsia="Calibri"/>
          <w:vertAlign w:val="superscript"/>
          <w:lang w:eastAsia="en-US"/>
        </w:rPr>
        <w:t>ης</w:t>
      </w:r>
      <w:r>
        <w:rPr>
          <w:rFonts w:eastAsia="Calibri"/>
          <w:lang w:eastAsia="en-US"/>
        </w:rPr>
        <w:t xml:space="preserve"> Δεκεμβρίου 2005 σχετικά με την αποτίμηση της κάρτας υγείας των δραστηριοτήτων της ιατρικά υποβοηθούμενης αναπαραγωγής και </w:t>
      </w:r>
      <w:r w:rsidR="006D4252">
        <w:rPr>
          <w:rFonts w:eastAsia="Calibri"/>
          <w:lang w:eastAsia="en-US"/>
        </w:rPr>
        <w:t>του</w:t>
      </w:r>
      <w:r>
        <w:rPr>
          <w:rFonts w:eastAsia="Calibri"/>
          <w:lang w:eastAsia="en-US"/>
        </w:rPr>
        <w:t xml:space="preserve"> προγεννητικ</w:t>
      </w:r>
      <w:r w:rsidR="006D4252">
        <w:rPr>
          <w:rFonts w:eastAsia="Calibri"/>
          <w:lang w:eastAsia="en-US"/>
        </w:rPr>
        <w:t xml:space="preserve">ού ελέγχου. </w:t>
      </w:r>
    </w:p>
    <w:p w14:paraId="368EFDA6"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11</w:t>
      </w:r>
      <w:r>
        <w:rPr>
          <w:rFonts w:eastAsia="Calibri"/>
          <w:vertAlign w:val="superscript"/>
          <w:lang w:eastAsia="en-US"/>
        </w:rPr>
        <w:t>ης</w:t>
      </w:r>
      <w:r>
        <w:rPr>
          <w:rFonts w:eastAsia="Calibri"/>
          <w:lang w:eastAsia="en-US"/>
        </w:rPr>
        <w:t xml:space="preserve"> Απριλίου 2001 σχετικά με τη συναίνεση </w:t>
      </w:r>
      <w:r w:rsidR="006D4252">
        <w:rPr>
          <w:rFonts w:eastAsia="Calibri"/>
          <w:lang w:eastAsia="en-US"/>
        </w:rPr>
        <w:t>ζ</w:t>
      </w:r>
      <w:r>
        <w:rPr>
          <w:rFonts w:eastAsia="Calibri"/>
          <w:lang w:eastAsia="en-US"/>
        </w:rPr>
        <w:t xml:space="preserve">εύγους ή επιζώντος μέλους </w:t>
      </w:r>
      <w:r w:rsidR="006D4252">
        <w:rPr>
          <w:rFonts w:eastAsia="Calibri"/>
          <w:lang w:eastAsia="en-US"/>
        </w:rPr>
        <w:t xml:space="preserve">ζεύγους </w:t>
      </w:r>
      <w:r>
        <w:rPr>
          <w:rFonts w:eastAsia="Calibri"/>
          <w:lang w:eastAsia="en-US"/>
        </w:rPr>
        <w:t xml:space="preserve">σε περίπτωση θανάτου του άλλου μέλους για </w:t>
      </w:r>
      <w:r w:rsidR="00B31200">
        <w:rPr>
          <w:rFonts w:eastAsia="Calibri"/>
          <w:lang w:eastAsia="en-US"/>
        </w:rPr>
        <w:t>τη λήψη</w:t>
      </w:r>
      <w:r>
        <w:rPr>
          <w:rFonts w:eastAsia="Calibri"/>
          <w:lang w:eastAsia="en-US"/>
        </w:rPr>
        <w:t xml:space="preserve"> των εμβρύων τους από τρίτο ζευγάρι (Τροποποιήθηκε από </w:t>
      </w:r>
      <w:r w:rsidR="006D4252">
        <w:rPr>
          <w:rFonts w:eastAsia="Calibri"/>
          <w:lang w:eastAsia="en-US"/>
        </w:rPr>
        <w:t xml:space="preserve">την </w:t>
      </w:r>
      <w:r>
        <w:rPr>
          <w:rFonts w:eastAsia="Calibri"/>
          <w:lang w:eastAsia="en-US"/>
        </w:rPr>
        <w:t>Υπουργική απόφαση της 22</w:t>
      </w:r>
      <w:r>
        <w:rPr>
          <w:rFonts w:eastAsia="Calibri"/>
          <w:vertAlign w:val="superscript"/>
          <w:lang w:eastAsia="en-US"/>
        </w:rPr>
        <w:t>ας</w:t>
      </w:r>
      <w:r>
        <w:rPr>
          <w:rFonts w:eastAsia="Calibri"/>
          <w:lang w:eastAsia="en-US"/>
        </w:rPr>
        <w:t xml:space="preserve"> Αυγούστου 2008). </w:t>
      </w:r>
    </w:p>
    <w:p w14:paraId="26A5A6AB"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12</w:t>
      </w:r>
      <w:r>
        <w:rPr>
          <w:rFonts w:eastAsia="Calibri"/>
          <w:vertAlign w:val="superscript"/>
          <w:lang w:eastAsia="en-US"/>
        </w:rPr>
        <w:t>ης</w:t>
      </w:r>
      <w:r>
        <w:rPr>
          <w:rFonts w:eastAsia="Calibri"/>
          <w:lang w:eastAsia="en-US"/>
        </w:rPr>
        <w:t xml:space="preserve"> Ιανουαρίου 1999 σχετικά με τους κανόνες καλών κλι</w:t>
      </w:r>
      <w:r w:rsidR="00C41185">
        <w:rPr>
          <w:rFonts w:eastAsia="Calibri"/>
          <w:lang w:eastAsia="en-US"/>
        </w:rPr>
        <w:t xml:space="preserve">νικών και βιολογικών πρακτικών </w:t>
      </w:r>
      <w:r w:rsidR="0004076A">
        <w:rPr>
          <w:rFonts w:eastAsia="Calibri"/>
          <w:lang w:eastAsia="en-US"/>
        </w:rPr>
        <w:t>στην ιατρικά υποβοηθούμενη αναπαραγωγή</w:t>
      </w:r>
      <w:r>
        <w:rPr>
          <w:rFonts w:eastAsia="Calibri"/>
          <w:lang w:eastAsia="en-US"/>
        </w:rPr>
        <w:t xml:space="preserve"> (Καταργήθηκε από </w:t>
      </w:r>
      <w:r w:rsidR="006D4252">
        <w:rPr>
          <w:rFonts w:eastAsia="Calibri"/>
          <w:lang w:eastAsia="en-US"/>
        </w:rPr>
        <w:t xml:space="preserve">την </w:t>
      </w:r>
      <w:r>
        <w:rPr>
          <w:rFonts w:eastAsia="Calibri"/>
          <w:lang w:eastAsia="en-US"/>
        </w:rPr>
        <w:t>Απόφαση της 11</w:t>
      </w:r>
      <w:r>
        <w:rPr>
          <w:rFonts w:eastAsia="Calibri"/>
          <w:vertAlign w:val="superscript"/>
          <w:lang w:eastAsia="en-US"/>
        </w:rPr>
        <w:t>ης</w:t>
      </w:r>
      <w:r>
        <w:rPr>
          <w:rFonts w:eastAsia="Calibri"/>
          <w:lang w:eastAsia="en-US"/>
        </w:rPr>
        <w:t xml:space="preserve"> Απριλίου 2008). </w:t>
      </w:r>
    </w:p>
    <w:p w14:paraId="3BF7AE09" w14:textId="77777777" w:rsidR="00801C2A" w:rsidRDefault="00801C2A" w:rsidP="00E5410F">
      <w:pPr>
        <w:numPr>
          <w:ilvl w:val="0"/>
          <w:numId w:val="10"/>
        </w:numPr>
        <w:tabs>
          <w:tab w:val="left" w:pos="284"/>
        </w:tabs>
        <w:ind w:left="0" w:firstLine="0"/>
        <w:rPr>
          <w:rFonts w:eastAsia="Calibri"/>
          <w:lang w:eastAsia="en-US"/>
        </w:rPr>
      </w:pPr>
      <w:r>
        <w:rPr>
          <w:rFonts w:eastAsia="Calibri"/>
          <w:lang w:eastAsia="en-US"/>
        </w:rPr>
        <w:t>Υπουργική απόφαση της 10</w:t>
      </w:r>
      <w:r>
        <w:rPr>
          <w:rFonts w:eastAsia="Calibri"/>
          <w:vertAlign w:val="superscript"/>
          <w:lang w:eastAsia="en-US"/>
        </w:rPr>
        <w:t>ης</w:t>
      </w:r>
      <w:r>
        <w:rPr>
          <w:rFonts w:eastAsia="Calibri"/>
          <w:lang w:eastAsia="en-US"/>
        </w:rPr>
        <w:t xml:space="preserve"> Φεβρουαρίου 1998 για τον καθορισμό του περιεχομένου της ετήσιας έκθεσης δραστηριοτήτων των κέντρων ή εργαστηρίων που έχουν άδεια άσκησης δραστηριοτήτων της ιατρικά υποβοηθούμενης αναπαραγωγής. </w:t>
      </w:r>
    </w:p>
    <w:p w14:paraId="27DC66CA" w14:textId="77777777" w:rsidR="00801C2A" w:rsidRDefault="007C04BE" w:rsidP="007C04BE">
      <w:pPr>
        <w:pStyle w:val="Heading2"/>
        <w:rPr>
          <w:lang w:val="el-GR"/>
        </w:rPr>
      </w:pPr>
      <w:bookmarkStart w:id="20" w:name="_Toc275535587"/>
      <w:bookmarkStart w:id="21" w:name="_Toc276574370"/>
      <w:r>
        <w:t>Δ</w:t>
      </w:r>
      <w:r w:rsidR="00801C2A">
        <w:t>. Η αρμόδια για την εποπτεία των Νόμων περί Βιοηθικής Αρχή</w:t>
      </w:r>
      <w:bookmarkEnd w:id="20"/>
      <w:bookmarkEnd w:id="21"/>
    </w:p>
    <w:p w14:paraId="4D600CDA" w14:textId="77777777" w:rsidR="00801C2A" w:rsidRDefault="00801C2A" w:rsidP="00801C2A">
      <w:pPr>
        <w:rPr>
          <w:rStyle w:val="hps"/>
        </w:rPr>
      </w:pPr>
      <w:r>
        <w:rPr>
          <w:rFonts w:eastAsia="Calibri"/>
          <w:lang w:eastAsia="en-US"/>
        </w:rPr>
        <w:t xml:space="preserve">Η Αρχή που εποπτεύει την ορθή εφαρμογή της νομοθεσίας για την ιατρικά υποβοηθούμενη αναπαραγωγή είναι ο </w:t>
      </w:r>
      <w:r>
        <w:rPr>
          <w:rFonts w:eastAsia="Calibri"/>
          <w:b/>
          <w:lang w:eastAsia="en-US"/>
        </w:rPr>
        <w:t>Οργανισμός Βιοϊατρικής (</w:t>
      </w:r>
      <w:r>
        <w:rPr>
          <w:b/>
          <w:i/>
        </w:rPr>
        <w:t>Agence de la biomédecine</w:t>
      </w:r>
      <w:r>
        <w:rPr>
          <w:b/>
        </w:rPr>
        <w:t>)</w:t>
      </w:r>
      <w:r>
        <w:t xml:space="preserve">, ο οποίος αποτελεί εθνική δημόσια κρατική υπηρεσία που συστάθηκε με το </w:t>
      </w:r>
      <w:r>
        <w:rPr>
          <w:i/>
        </w:rPr>
        <w:t>Νόμο περί Βιοηθικής του 2004</w:t>
      </w:r>
      <w:r>
        <w:rPr>
          <w:rStyle w:val="FootnoteReference"/>
        </w:rPr>
        <w:footnoteReference w:id="79"/>
      </w:r>
      <w:r>
        <w:rPr>
          <w:rStyle w:val="hps"/>
        </w:rPr>
        <w:t>.</w:t>
      </w:r>
    </w:p>
    <w:p w14:paraId="78D9ED3F" w14:textId="77777777" w:rsidR="00801C2A" w:rsidRDefault="00801C2A" w:rsidP="00801C2A">
      <w:pPr>
        <w:ind w:firstLine="0"/>
      </w:pPr>
      <w:r>
        <w:rPr>
          <w:rStyle w:val="hps"/>
          <w:b/>
        </w:rPr>
        <w:t xml:space="preserve">Αποστολή – Αρμοδιότητες: </w:t>
      </w:r>
    </w:p>
    <w:p w14:paraId="5B6F72DC" w14:textId="77777777" w:rsidR="00801C2A" w:rsidRDefault="00801C2A" w:rsidP="00801C2A">
      <w:r>
        <w:t xml:space="preserve">Ο Οργανισμός εκπληρώνει τα καθήκοντα και την αποστολή που του έχει αναθέσει ο νομοθέτης στα πεδία της συλλογής και μεταμόσχευσης οργάνων, ιστών και κυττάρων, καθώς επίσης και στα πεδία της αναπαραγωγής, της εμβρυολογίας και της ανθρώπινης γενετικής. </w:t>
      </w:r>
      <w:r>
        <w:lastRenderedPageBreak/>
        <w:t xml:space="preserve">Με την τεχνογνωσία του, είναι η κατ’ εξοχήν Αρχή αναφοράς για κάθε ζήτημα ιατρικής, επιστημονικής ή ηθικής φύσης που προκύπτει σε σχέση με τους ανωτέρω τομείς. </w:t>
      </w:r>
    </w:p>
    <w:p w14:paraId="5D964E31" w14:textId="77777777" w:rsidR="00801C2A" w:rsidRDefault="00801C2A" w:rsidP="00801C2A">
      <w:r>
        <w:t xml:space="preserve">Ειδικότερα, οι σχετικές διατάξεις του Νόμου του 2004 έχουν ενσωματωθεί στο Πρώτο μέρος του Κώδικα Δημόσιας Υγείας (Γενική Προστασία της Υγείας), Τέταρτο Βιβλίο (Γενική Διοίκηση της Υγείας), Τίτλος 1 (Θεσμοί), Κεφάλαιο 8 (Βιοϊατρική, Οργανισμός Βιοϊατρικής), στα άρθρα </w:t>
      </w:r>
      <w:r>
        <w:rPr>
          <w:lang w:val="en-US"/>
        </w:rPr>
        <w:t>L</w:t>
      </w:r>
      <w:r>
        <w:t xml:space="preserve">.1418-1 </w:t>
      </w:r>
      <w:r>
        <w:rPr>
          <w:lang w:val="en-US"/>
        </w:rPr>
        <w:t>L</w:t>
      </w:r>
      <w:r>
        <w:t xml:space="preserve">.1418-8. </w:t>
      </w:r>
    </w:p>
    <w:p w14:paraId="6A4299B2" w14:textId="77777777" w:rsidR="00801C2A" w:rsidRDefault="00801C2A" w:rsidP="00801C2A">
      <w:r>
        <w:t xml:space="preserve">Πιο συγκεκριμένα, σύμφωνα με τις διατάξεις του </w:t>
      </w:r>
      <w:r>
        <w:rPr>
          <w:b/>
        </w:rPr>
        <w:t xml:space="preserve">άρθρου </w:t>
      </w:r>
      <w:r>
        <w:rPr>
          <w:b/>
          <w:lang w:val="en-US"/>
        </w:rPr>
        <w:t>L</w:t>
      </w:r>
      <w:r>
        <w:rPr>
          <w:b/>
        </w:rPr>
        <w:t>.</w:t>
      </w:r>
      <w:r w:rsidR="0035737B">
        <w:rPr>
          <w:b/>
        </w:rPr>
        <w:t xml:space="preserve"> </w:t>
      </w:r>
      <w:r>
        <w:rPr>
          <w:b/>
        </w:rPr>
        <w:t>1418-1</w:t>
      </w:r>
      <w:r>
        <w:t>, ο Οργανισμός Βιοϊατρικής είναι ένα δημόσιο κρατικό ίδρυμα που υπάγεται στο Υπουργείο Υγείας και οι αποστολές του μπορούν να συνοψισθούν στα ακόλουθα:</w:t>
      </w:r>
    </w:p>
    <w:p w14:paraId="180F3116" w14:textId="77777777" w:rsidR="00801C2A" w:rsidRPr="000F5393" w:rsidRDefault="000F5393" w:rsidP="00801C2A">
      <w:pPr>
        <w:rPr>
          <w:i/>
        </w:rPr>
      </w:pPr>
      <w:r>
        <w:t>«</w:t>
      </w:r>
      <w:r w:rsidR="0035737B">
        <w:rPr>
          <w:i/>
        </w:rPr>
        <w:t xml:space="preserve">1. Συμμετοχή στην εκπόνηση και, εάν προκύψει ανάγκη, </w:t>
      </w:r>
      <w:r w:rsidR="00801C2A" w:rsidRPr="000F5393">
        <w:rPr>
          <w:i/>
        </w:rPr>
        <w:t xml:space="preserve">την εφαρμογή των κανόνων και των καλών πρακτικών και διατύπωση συστάσεων για τις δραστηριότητες που εμπίπτουν στη δικαιοδοσία του. </w:t>
      </w:r>
    </w:p>
    <w:p w14:paraId="19DAD04B" w14:textId="77777777" w:rsidR="00801C2A" w:rsidRPr="000F5393" w:rsidRDefault="00801C2A" w:rsidP="00801C2A">
      <w:pPr>
        <w:rPr>
          <w:i/>
        </w:rPr>
      </w:pPr>
      <w:r w:rsidRPr="000F5393">
        <w:rPr>
          <w:i/>
        </w:rPr>
        <w:t xml:space="preserve">2. Διαρκής ενημέρωση του Κοινοβουλίου και της Κυβέρνησης σχετικά με την ανάπτυξη της γνώσης και της τεχνικής στον τομέα δραστηριοτήτων που εμπίπτουν στη δικαιοδοσία του και πρόταση αναγκαίων κατευθύνσεων ή μέτρων. </w:t>
      </w:r>
    </w:p>
    <w:p w14:paraId="7A7582AB" w14:textId="77777777" w:rsidR="00801C2A" w:rsidRPr="000F5393" w:rsidRDefault="00801C2A" w:rsidP="00801C2A">
      <w:pPr>
        <w:rPr>
          <w:i/>
        </w:rPr>
      </w:pPr>
      <w:r w:rsidRPr="000F5393">
        <w:rPr>
          <w:i/>
        </w:rPr>
        <w:t xml:space="preserve">3. Προώθηση της ποιότητας και της υγειονομικής ασφάλειας, καθώς επίσης και της ιατρικής και επιστημονικής έρευνας στους τομείς των δραστηριοτήτων που εμπίπτουν στη δικαιοδοσία του. </w:t>
      </w:r>
    </w:p>
    <w:p w14:paraId="0922C785" w14:textId="77777777" w:rsidR="00801C2A" w:rsidRPr="000F5393" w:rsidRDefault="00801C2A" w:rsidP="00801C2A">
      <w:pPr>
        <w:rPr>
          <w:i/>
        </w:rPr>
      </w:pPr>
      <w:r w:rsidRPr="000F5393">
        <w:rPr>
          <w:i/>
        </w:rPr>
        <w:t xml:space="preserve">4. Παρακολούθηση, αξιολόγηση και, </w:t>
      </w:r>
      <w:r w:rsidR="0003419E">
        <w:rPr>
          <w:i/>
        </w:rPr>
        <w:t>εάν προκύωει ανάγκη</w:t>
      </w:r>
      <w:r w:rsidRPr="000F5393">
        <w:rPr>
          <w:i/>
        </w:rPr>
        <w:t>, έλεγχος των ιατρικών και βιολογικών δραστηριοτήτων που εμπίπτουν στη δικαιοδοσία του, καθώς επίσης και διασφάλιση διαφάνειας των δραστηριοτήτων αυτώ</w:t>
      </w:r>
      <w:r w:rsidR="0003419E">
        <w:rPr>
          <w:i/>
        </w:rPr>
        <w:t>ν. Για το σκοπό αυτό, δέχεται τι</w:t>
      </w:r>
      <w:r w:rsidRPr="000F5393">
        <w:rPr>
          <w:i/>
        </w:rPr>
        <w:t xml:space="preserve">ς ετήσιες εκθέσεις πεπραγμένων των ιδρυμάτων και οργανισμών των οποίων οι αρμοδιότητες εμπίπτουν στη δικαιοδοσία του. Αξιολογεί ιδίως τις ενδεχόμενες συνέπειες της ιατρικά υποβοηθούμενης αναπαραγωγής  στην υγεία των προσώπων που θα προσφύγουν σε αυτήν και στα παιδιά που θα γεννηθούν. Στον τομέα αυτό, θέτει σε εφαρμογή και λειτουργία ένα Μηχανισμό Παρακολούθησης σχετικά με τις κλινικές και βιολογικές δραστηριότητες. Προβλέπει την τακτική δημοσίευση των αποτελεσμάτων κάθε κέντρου ιατρικά υποβοηθούμενης αναπαραγωγής, σύμφωνα με μια μεθοδολογία </w:t>
      </w:r>
      <w:r w:rsidR="0003419E">
        <w:rPr>
          <w:i/>
        </w:rPr>
        <w:t>που λαμβάνει</w:t>
      </w:r>
      <w:r w:rsidRPr="000F5393">
        <w:rPr>
          <w:i/>
        </w:rPr>
        <w:t xml:space="preserve"> υπόψη </w:t>
      </w:r>
      <w:r w:rsidR="0003419E">
        <w:rPr>
          <w:i/>
        </w:rPr>
        <w:t xml:space="preserve">της </w:t>
      </w:r>
      <w:r w:rsidRPr="000F5393">
        <w:rPr>
          <w:i/>
        </w:rPr>
        <w:t xml:space="preserve">τα ιδιαίτερα χαρακτηριστικά </w:t>
      </w:r>
      <w:r w:rsidR="0003419E">
        <w:rPr>
          <w:i/>
        </w:rPr>
        <w:t>του πελατολογίου τους</w:t>
      </w:r>
      <w:r w:rsidRPr="000F5393">
        <w:rPr>
          <w:i/>
        </w:rPr>
        <w:t xml:space="preserve"> και ιδίως την ηλικία των γυναικών. Ενόψει αυτών των δεδομένων, φροντίζει για την υποστήριξη και παροχή συμβουλευτικής σε</w:t>
      </w:r>
      <w:r w:rsidR="00A27446">
        <w:rPr>
          <w:i/>
        </w:rPr>
        <w:t xml:space="preserve"> ορισμένα κέντρα, προτείνοντάς</w:t>
      </w:r>
      <w:r w:rsidRPr="000F5393">
        <w:rPr>
          <w:i/>
        </w:rPr>
        <w:t xml:space="preserve"> </w:t>
      </w:r>
      <w:r w:rsidR="00A27446">
        <w:rPr>
          <w:i/>
        </w:rPr>
        <w:t xml:space="preserve">τους </w:t>
      </w:r>
      <w:r w:rsidRPr="000F5393">
        <w:rPr>
          <w:i/>
        </w:rPr>
        <w:t xml:space="preserve">πολλές φορές </w:t>
      </w:r>
      <w:r w:rsidR="00A27446">
        <w:rPr>
          <w:i/>
        </w:rPr>
        <w:t xml:space="preserve">συστάσεις με αριθμητικούς δείκτες. </w:t>
      </w:r>
    </w:p>
    <w:p w14:paraId="164CF44A" w14:textId="77777777" w:rsidR="00801C2A" w:rsidRPr="000F5393" w:rsidRDefault="00801C2A" w:rsidP="00801C2A">
      <w:pPr>
        <w:rPr>
          <w:i/>
        </w:rPr>
      </w:pPr>
      <w:r w:rsidRPr="000F5393">
        <w:rPr>
          <w:i/>
        </w:rPr>
        <w:t xml:space="preserve">5. Προώθηση δωρεάς οργάνων, ιστών και κυττάρων προερχόμενων από το ανθρώπινο σώμα, καθώς επίσης δωρεάς γαμετών. </w:t>
      </w:r>
    </w:p>
    <w:p w14:paraId="21446C7D" w14:textId="77777777" w:rsidR="00801C2A" w:rsidRPr="000F5393" w:rsidRDefault="00801C2A" w:rsidP="00801C2A">
      <w:pPr>
        <w:rPr>
          <w:i/>
        </w:rPr>
      </w:pPr>
      <w:r w:rsidRPr="000F5393">
        <w:rPr>
          <w:i/>
        </w:rPr>
        <w:t xml:space="preserve">6. Θέση σε λειτουργία παρακολούθησης της κατάστασης της υγείας των δοτών οργάνων και ωαρίων </w:t>
      </w:r>
      <w:r w:rsidR="00A27446">
        <w:rPr>
          <w:i/>
        </w:rPr>
        <w:t>προκειμένου να αξιολογούνται οι συνέπειες</w:t>
      </w:r>
      <w:r w:rsidRPr="000F5393">
        <w:rPr>
          <w:i/>
        </w:rPr>
        <w:t xml:space="preserve"> της συλλογής τους στην υγεία των δοτών. </w:t>
      </w:r>
    </w:p>
    <w:p w14:paraId="5902B453" w14:textId="77777777" w:rsidR="00801C2A" w:rsidRPr="000F5393" w:rsidRDefault="00801C2A" w:rsidP="00801C2A">
      <w:pPr>
        <w:rPr>
          <w:i/>
        </w:rPr>
      </w:pPr>
      <w:r w:rsidRPr="000F5393">
        <w:rPr>
          <w:i/>
        </w:rPr>
        <w:t>[…]</w:t>
      </w:r>
    </w:p>
    <w:p w14:paraId="57CCC7D7" w14:textId="77777777" w:rsidR="00801C2A" w:rsidRPr="000F5393" w:rsidRDefault="00801C2A" w:rsidP="00801C2A">
      <w:pPr>
        <w:rPr>
          <w:i/>
        </w:rPr>
      </w:pPr>
      <w:r w:rsidRPr="000F5393">
        <w:rPr>
          <w:i/>
        </w:rPr>
        <w:lastRenderedPageBreak/>
        <w:t>10. Αδειοδότηση στις περιπτώσεις:</w:t>
      </w:r>
    </w:p>
    <w:p w14:paraId="661B6E53" w14:textId="77777777" w:rsidR="00801C2A" w:rsidRPr="000F5393" w:rsidRDefault="00A27446" w:rsidP="00801C2A">
      <w:pPr>
        <w:rPr>
          <w:i/>
        </w:rPr>
      </w:pPr>
      <w:r>
        <w:rPr>
          <w:i/>
        </w:rPr>
        <w:t>α) των άρθρων</w:t>
      </w:r>
      <w:r w:rsidR="00801C2A" w:rsidRPr="000F5393">
        <w:rPr>
          <w:i/>
        </w:rPr>
        <w:t xml:space="preserve"> </w:t>
      </w:r>
      <w:r w:rsidR="00801C2A" w:rsidRPr="000F5393">
        <w:rPr>
          <w:i/>
          <w:lang w:val="fr-FR"/>
        </w:rPr>
        <w:t>L</w:t>
      </w:r>
      <w:r w:rsidR="00801C2A" w:rsidRPr="000F5393">
        <w:rPr>
          <w:i/>
        </w:rPr>
        <w:t xml:space="preserve">. 2141-9 και </w:t>
      </w:r>
      <w:r w:rsidR="00801C2A" w:rsidRPr="000F5393">
        <w:rPr>
          <w:i/>
          <w:lang w:val="fr-FR"/>
        </w:rPr>
        <w:t>L</w:t>
      </w:r>
      <w:r w:rsidR="00801C2A" w:rsidRPr="000F5393">
        <w:rPr>
          <w:i/>
        </w:rPr>
        <w:t>. 2141-11-1 [γενικοί όροι πρόσβασης στην ιατρικά υποβοηθούμενη αναπαραγωγή]</w:t>
      </w:r>
    </w:p>
    <w:p w14:paraId="45646395" w14:textId="77777777" w:rsidR="00801C2A" w:rsidRPr="000F5393" w:rsidRDefault="00801C2A" w:rsidP="00801C2A">
      <w:pPr>
        <w:rPr>
          <w:i/>
        </w:rPr>
      </w:pPr>
      <w:r w:rsidRPr="000F5393">
        <w:rPr>
          <w:i/>
        </w:rPr>
        <w:t xml:space="preserve">β) των άρθρων </w:t>
      </w:r>
      <w:r w:rsidRPr="000F5393">
        <w:rPr>
          <w:i/>
          <w:lang w:val="fr-FR"/>
        </w:rPr>
        <w:t>L</w:t>
      </w:r>
      <w:r w:rsidRPr="000F5393">
        <w:rPr>
          <w:i/>
        </w:rPr>
        <w:t xml:space="preserve">. 2131-4-1 [προγεννητική διάγνωση, προεμφυτευτική διάγνωση], </w:t>
      </w:r>
      <w:r w:rsidRPr="000F5393">
        <w:rPr>
          <w:i/>
          <w:lang w:val="fr-FR"/>
        </w:rPr>
        <w:t>L</w:t>
      </w:r>
      <w:r w:rsidRPr="000F5393">
        <w:rPr>
          <w:i/>
        </w:rPr>
        <w:t xml:space="preserve">. 2151-5 έως </w:t>
      </w:r>
      <w:r w:rsidRPr="000F5393">
        <w:rPr>
          <w:i/>
          <w:lang w:val="fr-FR"/>
        </w:rPr>
        <w:t>L</w:t>
      </w:r>
      <w:r w:rsidRPr="000F5393">
        <w:rPr>
          <w:i/>
        </w:rPr>
        <w:t xml:space="preserve">. 2151-7 [έρευνα στο έμβρυο και σε εμβρυικά βλαστικά κύτταρα] και του τελευταίου εδαφίου των άρθρων </w:t>
      </w:r>
      <w:r w:rsidRPr="000F5393">
        <w:rPr>
          <w:i/>
          <w:lang w:val="fr-FR"/>
        </w:rPr>
        <w:t>L</w:t>
      </w:r>
      <w:r w:rsidRPr="000F5393">
        <w:rPr>
          <w:i/>
        </w:rPr>
        <w:t xml:space="preserve">. 2131-1 και </w:t>
      </w:r>
      <w:r w:rsidRPr="000F5393">
        <w:rPr>
          <w:i/>
          <w:lang w:val="fr-FR"/>
        </w:rPr>
        <w:t>L</w:t>
      </w:r>
      <w:r w:rsidRPr="000F5393">
        <w:rPr>
          <w:i/>
        </w:rPr>
        <w:t xml:space="preserve">. 2131-4 [προγεννητική διάγνωση, προεμφυτευτική διάγνωση]. </w:t>
      </w:r>
    </w:p>
    <w:p w14:paraId="374D2784" w14:textId="77777777" w:rsidR="00801C2A" w:rsidRPr="000F5393" w:rsidRDefault="00801C2A" w:rsidP="00801C2A">
      <w:pPr>
        <w:rPr>
          <w:i/>
        </w:rPr>
      </w:pPr>
      <w:r w:rsidRPr="000F5393">
        <w:rPr>
          <w:i/>
        </w:rPr>
        <w:t>11. Πιστοποίηση εξειδικευμένου ιατρικού προσωπικού [</w:t>
      </w:r>
      <w:r w:rsidR="008A7BDD">
        <w:rPr>
          <w:i/>
        </w:rPr>
        <w:t>του άρθρου</w:t>
      </w:r>
      <w:r w:rsidRPr="000F5393">
        <w:rPr>
          <w:i/>
        </w:rPr>
        <w:t xml:space="preserve">] </w:t>
      </w:r>
      <w:r w:rsidRPr="000F5393">
        <w:rPr>
          <w:i/>
          <w:lang w:val="fr-FR"/>
        </w:rPr>
        <w:t>L</w:t>
      </w:r>
      <w:r w:rsidRPr="000F5393">
        <w:rPr>
          <w:i/>
        </w:rPr>
        <w:t>. 2131-4-2</w:t>
      </w:r>
      <w:r w:rsidR="008A7BDD">
        <w:rPr>
          <w:i/>
        </w:rPr>
        <w:t xml:space="preserve"> </w:t>
      </w:r>
      <w:r w:rsidRPr="000F5393">
        <w:rPr>
          <w:i/>
        </w:rPr>
        <w:t xml:space="preserve">[προγεννητική διάγνωση, προεμφυτευτική διάγνωση]. </w:t>
      </w:r>
    </w:p>
    <w:p w14:paraId="25F1CB5F" w14:textId="77777777" w:rsidR="00801C2A" w:rsidRPr="000F5393" w:rsidRDefault="00801C2A" w:rsidP="00801C2A">
      <w:pPr>
        <w:rPr>
          <w:i/>
        </w:rPr>
      </w:pPr>
      <w:r w:rsidRPr="000F5393">
        <w:rPr>
          <w:i/>
        </w:rPr>
        <w:t xml:space="preserve">12. Γνωμοδότηση προς διοικητικές Αρχές σχετικά με δραστηριότητες που εμπίπτουν στη δικαιοδοσία του. </w:t>
      </w:r>
    </w:p>
    <w:p w14:paraId="4813BBE0" w14:textId="77777777" w:rsidR="00801C2A" w:rsidRPr="000F5393" w:rsidRDefault="00801C2A" w:rsidP="00801C2A">
      <w:pPr>
        <w:rPr>
          <w:i/>
        </w:rPr>
      </w:pPr>
      <w:r w:rsidRPr="000F5393">
        <w:rPr>
          <w:i/>
        </w:rPr>
        <w:t>13. Διαρκής ενημέρωση του Κοινοβουλίου και της Κυβέρνησης σχετικά με την ανάπτυξη της γνώσης και των τεχνικών στους τομείς που εμπίπτουν στη δικαιοδοσία του. Μπορεί να του ζητηθεί από Ενώσεις ή ιατρικούς ή άλλους επιστημονικούς συλλόγους ή από τις Κοινοβουλευτικές Επιτροπές Κοινωνικών Υποθέσεων των δύο κοινοβουλευτικών σωμάτων</w:t>
      </w:r>
      <w:r w:rsidR="008A7BDD" w:rsidRPr="008A7BDD">
        <w:rPr>
          <w:i/>
        </w:rPr>
        <w:t xml:space="preserve"> </w:t>
      </w:r>
      <w:r w:rsidR="008A7BDD" w:rsidRPr="000F5393">
        <w:rPr>
          <w:i/>
        </w:rPr>
        <w:t>να γνωμοδοτήσει</w:t>
      </w:r>
      <w:r w:rsidRPr="000F5393">
        <w:rPr>
          <w:i/>
        </w:rPr>
        <w:t xml:space="preserve">. </w:t>
      </w:r>
      <w:r w:rsidRPr="000F5393">
        <w:rPr>
          <w:rStyle w:val="hps"/>
          <w:i/>
        </w:rPr>
        <w:t>Ο Διευθύνων Σύμβουλος</w:t>
      </w:r>
      <w:r w:rsidRPr="000F5393">
        <w:rPr>
          <w:i/>
        </w:rPr>
        <w:t xml:space="preserve"> </w:t>
      </w:r>
      <w:r w:rsidRPr="000F5393">
        <w:rPr>
          <w:rStyle w:val="hps"/>
          <w:i/>
        </w:rPr>
        <w:t>και ο Πρόεδρος</w:t>
      </w:r>
      <w:r w:rsidRPr="000F5393">
        <w:rPr>
          <w:i/>
        </w:rPr>
        <w:t xml:space="preserve"> </w:t>
      </w:r>
      <w:r w:rsidRPr="000F5393">
        <w:rPr>
          <w:rStyle w:val="hps"/>
          <w:i/>
        </w:rPr>
        <w:t>του</w:t>
      </w:r>
      <w:r w:rsidRPr="000F5393">
        <w:rPr>
          <w:i/>
        </w:rPr>
        <w:t xml:space="preserve"> </w:t>
      </w:r>
      <w:r w:rsidRPr="000F5393">
        <w:rPr>
          <w:rStyle w:val="hps"/>
          <w:i/>
        </w:rPr>
        <w:t>Συμβουλίου Προσανατολισμού του</w:t>
      </w:r>
      <w:r w:rsidRPr="000F5393">
        <w:rPr>
          <w:i/>
        </w:rPr>
        <w:t xml:space="preserve"> </w:t>
      </w:r>
      <w:r w:rsidRPr="000F5393">
        <w:rPr>
          <w:rStyle w:val="hps"/>
          <w:i/>
        </w:rPr>
        <w:t>Οργανισμού</w:t>
      </w:r>
      <w:r w:rsidRPr="000F5393">
        <w:rPr>
          <w:i/>
        </w:rPr>
        <w:t xml:space="preserve"> </w:t>
      </w:r>
      <w:r w:rsidRPr="000F5393">
        <w:rPr>
          <w:rStyle w:val="hps"/>
          <w:i/>
        </w:rPr>
        <w:t>Βιοϊατρικής</w:t>
      </w:r>
      <w:r w:rsidRPr="000F5393">
        <w:rPr>
          <w:i/>
        </w:rPr>
        <w:t xml:space="preserve"> </w:t>
      </w:r>
      <w:r w:rsidRPr="000F5393">
        <w:rPr>
          <w:rStyle w:val="hps"/>
          <w:i/>
        </w:rPr>
        <w:t>μπορεί</w:t>
      </w:r>
      <w:r w:rsidRPr="000F5393">
        <w:rPr>
          <w:i/>
        </w:rPr>
        <w:t xml:space="preserve"> </w:t>
      </w:r>
      <w:r w:rsidRPr="000F5393">
        <w:rPr>
          <w:rStyle w:val="hps"/>
          <w:i/>
        </w:rPr>
        <w:t>να ζητήσει ακρόαση</w:t>
      </w:r>
      <w:r w:rsidRPr="000F5393">
        <w:rPr>
          <w:i/>
        </w:rPr>
        <w:t xml:space="preserve"> </w:t>
      </w:r>
      <w:r w:rsidRPr="000F5393">
        <w:rPr>
          <w:rStyle w:val="hps"/>
          <w:i/>
        </w:rPr>
        <w:t>από το Κοινοβουλευτικό</w:t>
      </w:r>
      <w:r w:rsidRPr="000F5393">
        <w:rPr>
          <w:i/>
        </w:rPr>
        <w:t xml:space="preserve"> </w:t>
      </w:r>
      <w:r w:rsidRPr="000F5393">
        <w:rPr>
          <w:rStyle w:val="hps"/>
          <w:i/>
        </w:rPr>
        <w:t>Γραφείο</w:t>
      </w:r>
      <w:r w:rsidRPr="000F5393">
        <w:rPr>
          <w:i/>
        </w:rPr>
        <w:t xml:space="preserve"> </w:t>
      </w:r>
      <w:r w:rsidRPr="000F5393">
        <w:rPr>
          <w:rStyle w:val="hps"/>
          <w:i/>
        </w:rPr>
        <w:t>Αξιολόγησης</w:t>
      </w:r>
      <w:r w:rsidRPr="000F5393">
        <w:rPr>
          <w:i/>
        </w:rPr>
        <w:t xml:space="preserve"> </w:t>
      </w:r>
      <w:r w:rsidRPr="000F5393">
        <w:rPr>
          <w:rStyle w:val="hps"/>
          <w:i/>
        </w:rPr>
        <w:t>Επιστημονικών και Τεχνολογικών</w:t>
      </w:r>
      <w:r w:rsidRPr="000F5393">
        <w:rPr>
          <w:i/>
        </w:rPr>
        <w:t xml:space="preserve"> Επιλογών </w:t>
      </w:r>
      <w:r w:rsidRPr="000F5393">
        <w:rPr>
          <w:rStyle w:val="hps"/>
          <w:i/>
        </w:rPr>
        <w:t>αν η</w:t>
      </w:r>
      <w:r w:rsidRPr="000F5393">
        <w:rPr>
          <w:i/>
        </w:rPr>
        <w:t xml:space="preserve"> </w:t>
      </w:r>
      <w:r w:rsidRPr="000F5393">
        <w:rPr>
          <w:rStyle w:val="hps"/>
          <w:i/>
        </w:rPr>
        <w:t>ανάπτυξη της γνώσης και</w:t>
      </w:r>
      <w:r w:rsidR="006616C9">
        <w:rPr>
          <w:i/>
        </w:rPr>
        <w:t xml:space="preserve"> των </w:t>
      </w:r>
      <w:r w:rsidRPr="000F5393">
        <w:rPr>
          <w:rStyle w:val="hps"/>
          <w:i/>
        </w:rPr>
        <w:t>τεχνικών</w:t>
      </w:r>
      <w:r w:rsidRPr="000F5393">
        <w:rPr>
          <w:i/>
        </w:rPr>
        <w:t xml:space="preserve"> </w:t>
      </w:r>
      <w:r w:rsidRPr="000F5393">
        <w:rPr>
          <w:rStyle w:val="hps"/>
          <w:i/>
        </w:rPr>
        <w:t>σε δραστηριότητες</w:t>
      </w:r>
      <w:r w:rsidRPr="000F5393">
        <w:rPr>
          <w:i/>
        </w:rPr>
        <w:t xml:space="preserve"> </w:t>
      </w:r>
      <w:r w:rsidRPr="000F5393">
        <w:rPr>
          <w:rStyle w:val="hps"/>
          <w:i/>
        </w:rPr>
        <w:t>που εμπίπτουν στη δικαιοδοσία</w:t>
      </w:r>
      <w:r w:rsidRPr="000F5393">
        <w:rPr>
          <w:i/>
        </w:rPr>
        <w:t xml:space="preserve"> </w:t>
      </w:r>
      <w:r w:rsidRPr="000F5393">
        <w:rPr>
          <w:rStyle w:val="hps"/>
          <w:i/>
        </w:rPr>
        <w:t>του είναι πιθανό να δημιουργήσει</w:t>
      </w:r>
      <w:r w:rsidRPr="000F5393">
        <w:rPr>
          <w:i/>
        </w:rPr>
        <w:t xml:space="preserve"> </w:t>
      </w:r>
      <w:r w:rsidRPr="000F5393">
        <w:rPr>
          <w:rStyle w:val="hps"/>
          <w:i/>
        </w:rPr>
        <w:t>νέα</w:t>
      </w:r>
      <w:r w:rsidRPr="000F5393">
        <w:rPr>
          <w:i/>
        </w:rPr>
        <w:t xml:space="preserve"> </w:t>
      </w:r>
      <w:r w:rsidRPr="000F5393">
        <w:rPr>
          <w:rStyle w:val="hps"/>
          <w:i/>
        </w:rPr>
        <w:t>προβλήματα δεοντολογίας</w:t>
      </w:r>
      <w:r w:rsidR="00215CA5" w:rsidRPr="00215CA5">
        <w:rPr>
          <w:rStyle w:val="hps"/>
        </w:rPr>
        <w:t>»</w:t>
      </w:r>
      <w:r w:rsidRPr="00215CA5">
        <w:t>.</w:t>
      </w:r>
    </w:p>
    <w:p w14:paraId="381B5B57" w14:textId="77777777" w:rsidR="00215CA5" w:rsidRDefault="00801C2A" w:rsidP="00801C2A">
      <w:pPr>
        <w:rPr>
          <w:i/>
        </w:rPr>
      </w:pPr>
      <w:r w:rsidRPr="00215CA5">
        <w:t xml:space="preserve">Πιο συγκεκριμένα, σύμφωνα με τις διατάξεις του </w:t>
      </w:r>
      <w:r w:rsidRPr="00215CA5">
        <w:rPr>
          <w:b/>
        </w:rPr>
        <w:t xml:space="preserve">άρθρου </w:t>
      </w:r>
      <w:r w:rsidRPr="00215CA5">
        <w:rPr>
          <w:b/>
          <w:lang w:val="en-US"/>
        </w:rPr>
        <w:t>L</w:t>
      </w:r>
      <w:r w:rsidRPr="00215CA5">
        <w:rPr>
          <w:b/>
        </w:rPr>
        <w:t>.</w:t>
      </w:r>
      <w:r w:rsidR="00527A13" w:rsidRPr="00215CA5">
        <w:rPr>
          <w:b/>
        </w:rPr>
        <w:t xml:space="preserve"> </w:t>
      </w:r>
      <w:r w:rsidRPr="00215CA5">
        <w:rPr>
          <w:b/>
        </w:rPr>
        <w:t>1418-1-1</w:t>
      </w:r>
      <w:r w:rsidR="00D742F6">
        <w:rPr>
          <w:b/>
        </w:rPr>
        <w:t xml:space="preserve"> ΚΔΥ</w:t>
      </w:r>
      <w:r w:rsidRPr="00215CA5">
        <w:t xml:space="preserve">, </w:t>
      </w:r>
      <w:r w:rsidR="00215CA5">
        <w:t>«</w:t>
      </w:r>
      <w:r w:rsidRPr="000F5393">
        <w:rPr>
          <w:i/>
        </w:rPr>
        <w:t>ο Οργανισμός Βιοϊατρικής εκπονεί ετήσια έκθεση πεπραγμένων, την οποία και δημοσιεύει και απευθύνει στο Κοινοβούλιο,</w:t>
      </w:r>
      <w:r w:rsidR="00527A13">
        <w:rPr>
          <w:i/>
        </w:rPr>
        <w:t xml:space="preserve"> και</w:t>
      </w:r>
      <w:r w:rsidRPr="000F5393">
        <w:rPr>
          <w:i/>
        </w:rPr>
        <w:t xml:space="preserve"> μέσω αυτού στο </w:t>
      </w:r>
      <w:r w:rsidRPr="000F5393">
        <w:rPr>
          <w:rStyle w:val="hps"/>
          <w:i/>
        </w:rPr>
        <w:t>Κοινοβουλευτικό</w:t>
      </w:r>
      <w:r w:rsidRPr="000F5393">
        <w:rPr>
          <w:i/>
        </w:rPr>
        <w:t xml:space="preserve"> </w:t>
      </w:r>
      <w:r w:rsidRPr="000F5393">
        <w:rPr>
          <w:rStyle w:val="hps"/>
          <w:i/>
        </w:rPr>
        <w:t>Γραφείο</w:t>
      </w:r>
      <w:r w:rsidRPr="000F5393">
        <w:rPr>
          <w:i/>
        </w:rPr>
        <w:t xml:space="preserve"> </w:t>
      </w:r>
      <w:r w:rsidRPr="000F5393">
        <w:rPr>
          <w:rStyle w:val="hps"/>
          <w:i/>
        </w:rPr>
        <w:t>Αξιολόγησης</w:t>
      </w:r>
      <w:r w:rsidRPr="000F5393">
        <w:rPr>
          <w:i/>
        </w:rPr>
        <w:t xml:space="preserve"> </w:t>
      </w:r>
      <w:r w:rsidRPr="000F5393">
        <w:rPr>
          <w:rStyle w:val="hps"/>
          <w:i/>
        </w:rPr>
        <w:t>Επιστημονικών και Τεχνολογικών</w:t>
      </w:r>
      <w:r w:rsidR="00527A13">
        <w:rPr>
          <w:i/>
        </w:rPr>
        <w:t xml:space="preserve"> Επιλογών, την Κυβέρνηση και </w:t>
      </w:r>
      <w:r w:rsidRPr="000F5393">
        <w:rPr>
          <w:i/>
        </w:rPr>
        <w:t>την Εθνική Συμβουλευτική Επιτροπή Ηθικής για τις επιστήμες της ζωής και την υγεία (</w:t>
      </w:r>
      <w:r w:rsidRPr="000F5393">
        <w:rPr>
          <w:i/>
          <w:lang w:val="fr-FR"/>
        </w:rPr>
        <w:t>Comit</w:t>
      </w:r>
      <w:r w:rsidRPr="000F5393">
        <w:rPr>
          <w:i/>
        </w:rPr>
        <w:t xml:space="preserve">é </w:t>
      </w:r>
      <w:r w:rsidRPr="000F5393">
        <w:rPr>
          <w:i/>
          <w:lang w:val="fr-FR"/>
        </w:rPr>
        <w:t>consultatif</w:t>
      </w:r>
      <w:r w:rsidRPr="000F5393">
        <w:rPr>
          <w:i/>
        </w:rPr>
        <w:t xml:space="preserve"> </w:t>
      </w:r>
      <w:r w:rsidRPr="000F5393">
        <w:rPr>
          <w:i/>
          <w:lang w:val="fr-FR"/>
        </w:rPr>
        <w:t>national</w:t>
      </w:r>
      <w:r w:rsidRPr="000F5393">
        <w:rPr>
          <w:i/>
        </w:rPr>
        <w:t xml:space="preserve"> </w:t>
      </w:r>
      <w:r w:rsidRPr="000F5393">
        <w:rPr>
          <w:i/>
          <w:lang w:val="fr-FR"/>
        </w:rPr>
        <w:t>d</w:t>
      </w:r>
      <w:r w:rsidRPr="000F5393">
        <w:rPr>
          <w:i/>
        </w:rPr>
        <w:t>’é</w:t>
      </w:r>
      <w:r w:rsidRPr="000F5393">
        <w:rPr>
          <w:i/>
          <w:lang w:val="fr-FR"/>
        </w:rPr>
        <w:t>thique</w:t>
      </w:r>
      <w:r w:rsidRPr="000F5393">
        <w:rPr>
          <w:i/>
        </w:rPr>
        <w:t xml:space="preserve"> </w:t>
      </w:r>
      <w:r w:rsidRPr="000F5393">
        <w:rPr>
          <w:i/>
          <w:lang w:val="fr-FR"/>
        </w:rPr>
        <w:t>pour</w:t>
      </w:r>
      <w:r w:rsidRPr="000F5393">
        <w:rPr>
          <w:i/>
        </w:rPr>
        <w:t xml:space="preserve"> </w:t>
      </w:r>
      <w:r w:rsidRPr="000F5393">
        <w:rPr>
          <w:i/>
          <w:lang w:val="fr-FR"/>
        </w:rPr>
        <w:t>les</w:t>
      </w:r>
      <w:r w:rsidRPr="000F5393">
        <w:rPr>
          <w:i/>
        </w:rPr>
        <w:t xml:space="preserve"> </w:t>
      </w:r>
      <w:r w:rsidRPr="000F5393">
        <w:rPr>
          <w:i/>
          <w:lang w:val="fr-FR"/>
        </w:rPr>
        <w:t>sciences</w:t>
      </w:r>
      <w:r w:rsidRPr="000F5393">
        <w:rPr>
          <w:i/>
        </w:rPr>
        <w:t xml:space="preserve"> </w:t>
      </w:r>
      <w:r w:rsidRPr="000F5393">
        <w:rPr>
          <w:i/>
          <w:lang w:val="fr-FR"/>
        </w:rPr>
        <w:t>de</w:t>
      </w:r>
      <w:r w:rsidRPr="000F5393">
        <w:rPr>
          <w:i/>
        </w:rPr>
        <w:t xml:space="preserve"> </w:t>
      </w:r>
      <w:r w:rsidRPr="000F5393">
        <w:rPr>
          <w:i/>
          <w:lang w:val="fr-FR"/>
        </w:rPr>
        <w:t>la</w:t>
      </w:r>
      <w:r w:rsidRPr="000F5393">
        <w:rPr>
          <w:i/>
        </w:rPr>
        <w:t xml:space="preserve"> </w:t>
      </w:r>
      <w:r w:rsidRPr="000F5393">
        <w:rPr>
          <w:i/>
          <w:lang w:val="fr-FR"/>
        </w:rPr>
        <w:t>vie</w:t>
      </w:r>
      <w:r w:rsidRPr="000F5393">
        <w:rPr>
          <w:i/>
        </w:rPr>
        <w:t xml:space="preserve"> </w:t>
      </w:r>
      <w:r w:rsidRPr="000F5393">
        <w:rPr>
          <w:i/>
          <w:lang w:val="fr-FR"/>
        </w:rPr>
        <w:t>et</w:t>
      </w:r>
      <w:r w:rsidRPr="000F5393">
        <w:rPr>
          <w:i/>
        </w:rPr>
        <w:t xml:space="preserve"> </w:t>
      </w:r>
      <w:r w:rsidRPr="000F5393">
        <w:rPr>
          <w:i/>
          <w:lang w:val="fr-FR"/>
        </w:rPr>
        <w:t>de</w:t>
      </w:r>
      <w:r w:rsidRPr="000F5393">
        <w:rPr>
          <w:i/>
        </w:rPr>
        <w:t xml:space="preserve"> </w:t>
      </w:r>
      <w:r w:rsidRPr="000F5393">
        <w:rPr>
          <w:i/>
          <w:lang w:val="fr-FR"/>
        </w:rPr>
        <w:t>la</w:t>
      </w:r>
      <w:r w:rsidRPr="000F5393">
        <w:rPr>
          <w:i/>
        </w:rPr>
        <w:t xml:space="preserve"> </w:t>
      </w:r>
      <w:r w:rsidRPr="000F5393">
        <w:rPr>
          <w:i/>
          <w:lang w:val="fr-FR"/>
        </w:rPr>
        <w:t>sant</w:t>
      </w:r>
      <w:r w:rsidRPr="000F5393">
        <w:rPr>
          <w:i/>
        </w:rPr>
        <w:t xml:space="preserve">é, </w:t>
      </w:r>
      <w:r w:rsidRPr="000F5393">
        <w:rPr>
          <w:i/>
          <w:lang w:val="en-US"/>
        </w:rPr>
        <w:t>CCNE</w:t>
      </w:r>
      <w:r w:rsidRPr="000F5393">
        <w:rPr>
          <w:i/>
        </w:rPr>
        <w:t xml:space="preserve">). Η εν λόγω Έκθεση παρουσιάζει τις κύριες εξελίξεις των γνώσεων και των τεχνικών σχετικά με τις δραστηριότητες που εμπίπτουν στη δικαιοδοσία του. </w:t>
      </w:r>
    </w:p>
    <w:p w14:paraId="0C8BDFB7" w14:textId="77777777" w:rsidR="00801C2A" w:rsidRPr="000F5393" w:rsidRDefault="00801C2A" w:rsidP="00801C2A">
      <w:pPr>
        <w:rPr>
          <w:i/>
        </w:rPr>
      </w:pPr>
      <w:r w:rsidRPr="000F5393">
        <w:rPr>
          <w:i/>
        </w:rPr>
        <w:t xml:space="preserve">Περιλαμβάνει επίσης: </w:t>
      </w:r>
    </w:p>
    <w:p w14:paraId="6D12316A" w14:textId="77777777" w:rsidR="00801C2A" w:rsidRPr="000F5393" w:rsidRDefault="00801C2A" w:rsidP="00801C2A">
      <w:pPr>
        <w:rPr>
          <w:i/>
        </w:rPr>
      </w:pPr>
      <w:r w:rsidRPr="000F5393">
        <w:rPr>
          <w:i/>
        </w:rPr>
        <w:t xml:space="preserve">1. Ανάλυση αδειών και πιστοποιήσεων βάσει της προαναφερθείσας νομοθεσίας, καθώς και των γνωμοδοτήσεων του Συμβουλίου Προσανατολισμού. </w:t>
      </w:r>
    </w:p>
    <w:p w14:paraId="6DFEA9B7" w14:textId="77777777" w:rsidR="00801C2A" w:rsidRPr="000F5393" w:rsidRDefault="00801C2A" w:rsidP="00801C2A">
      <w:pPr>
        <w:rPr>
          <w:i/>
        </w:rPr>
      </w:pPr>
      <w:r w:rsidRPr="000F5393">
        <w:rPr>
          <w:i/>
        </w:rPr>
        <w:t xml:space="preserve">2. Αξιολόγηση της κατάστασης της έρευνας σε έμβρυα και εμβρυϊκά βλαστικά κύτταρα. </w:t>
      </w:r>
    </w:p>
    <w:p w14:paraId="5DC1B535" w14:textId="77777777" w:rsidR="00801C2A" w:rsidRPr="000F5393" w:rsidRDefault="00215CA5" w:rsidP="00801C2A">
      <w:pPr>
        <w:rPr>
          <w:i/>
        </w:rPr>
      </w:pPr>
      <w:r>
        <w:rPr>
          <w:i/>
        </w:rPr>
        <w:t>3. Αποτίμηση της</w:t>
      </w:r>
      <w:r w:rsidR="00801C2A" w:rsidRPr="000F5393">
        <w:rPr>
          <w:i/>
        </w:rPr>
        <w:t xml:space="preserve"> εφαρμογή</w:t>
      </w:r>
      <w:r>
        <w:rPr>
          <w:i/>
        </w:rPr>
        <w:t>ς της</w:t>
      </w:r>
      <w:r w:rsidR="00801C2A" w:rsidRPr="000F5393">
        <w:rPr>
          <w:i/>
        </w:rPr>
        <w:t xml:space="preserve"> προγεννητικής διάγνωσης και</w:t>
      </w:r>
      <w:r>
        <w:rPr>
          <w:i/>
        </w:rPr>
        <w:t xml:space="preserve"> της</w:t>
      </w:r>
      <w:r w:rsidR="00801C2A" w:rsidRPr="000F5393">
        <w:rPr>
          <w:i/>
        </w:rPr>
        <w:t xml:space="preserve"> προεμφυτευτικής διάγνωσης. </w:t>
      </w:r>
    </w:p>
    <w:p w14:paraId="6B51A976" w14:textId="77777777" w:rsidR="00801C2A" w:rsidRPr="000F5393" w:rsidRDefault="00801C2A" w:rsidP="00801C2A">
      <w:pPr>
        <w:rPr>
          <w:i/>
        </w:rPr>
      </w:pPr>
      <w:r w:rsidRPr="000F5393">
        <w:rPr>
          <w:i/>
        </w:rPr>
        <w:t xml:space="preserve">4. Αποτίμηση της κατάστασης ενδεχόμενης εμπορίας οργάνων ή γαμετών και πρόταση μέτρων </w:t>
      </w:r>
      <w:r w:rsidR="00884C67">
        <w:rPr>
          <w:i/>
        </w:rPr>
        <w:t xml:space="preserve">καταπολέμησης </w:t>
      </w:r>
      <w:r w:rsidRPr="000F5393">
        <w:rPr>
          <w:i/>
        </w:rPr>
        <w:t xml:space="preserve">της εμπορίας αυτής. </w:t>
      </w:r>
    </w:p>
    <w:p w14:paraId="36DF13B2" w14:textId="77777777" w:rsidR="00801C2A" w:rsidRDefault="00801C2A" w:rsidP="00801C2A">
      <w:r w:rsidRPr="000F5393">
        <w:rPr>
          <w:i/>
        </w:rPr>
        <w:lastRenderedPageBreak/>
        <w:t>Με την επιφύλαξη της εφαρμογής του δ</w:t>
      </w:r>
      <w:r w:rsidR="00035AB3">
        <w:rPr>
          <w:i/>
        </w:rPr>
        <w:t>ευτέρου</w:t>
      </w:r>
      <w:r w:rsidRPr="000F5393">
        <w:rPr>
          <w:i/>
        </w:rPr>
        <w:t xml:space="preserve"> και τρίτου εδαφίου του άρθρου 8 του Συντάγματος, η Έκθεση αυτή συζητείται ενώπιον και των δύο κοινοβουλευτικών σωμάτων στο πλαίσιο του ελέγχου της κυβερνητικής δράσης και της αξιολόγησης των δημόσιων πολιτικών</w:t>
      </w:r>
      <w:r w:rsidR="000F5393" w:rsidRPr="000F5393">
        <w:t>»</w:t>
      </w:r>
      <w:r w:rsidRPr="000F5393">
        <w:t xml:space="preserve">. </w:t>
      </w:r>
    </w:p>
    <w:p w14:paraId="27036902" w14:textId="77777777" w:rsidR="00801C2A" w:rsidRDefault="00801C2A" w:rsidP="00801C2A">
      <w:pPr>
        <w:ind w:firstLine="0"/>
        <w:rPr>
          <w:b/>
        </w:rPr>
      </w:pPr>
      <w:r>
        <w:rPr>
          <w:b/>
        </w:rPr>
        <w:t>Οργάνωση – Σύνθεση:</w:t>
      </w:r>
    </w:p>
    <w:p w14:paraId="48E0474B" w14:textId="77777777" w:rsidR="00801C2A" w:rsidRDefault="00801C2A" w:rsidP="00801C2A">
      <w:pPr>
        <w:ind w:firstLine="0"/>
        <w:rPr>
          <w:b/>
        </w:rPr>
      </w:pPr>
      <w:r>
        <w:rPr>
          <w:b/>
        </w:rPr>
        <w:t xml:space="preserve">Διοικητικό Συμβούλιο: </w:t>
      </w:r>
    </w:p>
    <w:p w14:paraId="5F1BF2B8" w14:textId="77777777" w:rsidR="00801C2A" w:rsidRDefault="00801C2A" w:rsidP="00801C2A">
      <w:r>
        <w:t xml:space="preserve">Δυνάμει των διατάξεων του άρθρου </w:t>
      </w:r>
      <w:r>
        <w:rPr>
          <w:lang w:val="en-US"/>
        </w:rPr>
        <w:t>L</w:t>
      </w:r>
      <w:r>
        <w:t>.</w:t>
      </w:r>
      <w:r w:rsidR="00884C67">
        <w:t xml:space="preserve"> </w:t>
      </w:r>
      <w:r>
        <w:t>1418-3</w:t>
      </w:r>
      <w:r w:rsidR="00193148">
        <w:t xml:space="preserve"> ΚΔΥ</w:t>
      </w:r>
      <w:r>
        <w:t xml:space="preserve">, ο Οργανισμός Βιοϊατρικής διοικείται από ένα Διοικητικό Συμβούλιο και διευθύνεται από ένα Γενικό Διευθυντή. Το Διοικητικό Συμβούλιο του Οργανισμού απαρτίζεται, εκτός από τον Πρόεδρο, κατά το ήμισυ από </w:t>
      </w:r>
      <w:r w:rsidR="00193148">
        <w:t>εκπ</w:t>
      </w:r>
      <w:r>
        <w:t xml:space="preserve">ροσώπους του Κράτους, </w:t>
      </w:r>
      <w:bookmarkStart w:id="22" w:name="article-l-1418-2"/>
      <w:bookmarkStart w:id="23" w:name="article-l-1418-3"/>
      <w:bookmarkEnd w:id="22"/>
      <w:bookmarkEnd w:id="23"/>
      <w:r>
        <w:t>το</w:t>
      </w:r>
      <w:r w:rsidR="00193148">
        <w:t>υ Εθνικού</w:t>
      </w:r>
      <w:r>
        <w:t xml:space="preserve"> Ταμείο</w:t>
      </w:r>
      <w:r w:rsidR="00193148">
        <w:t>υ</w:t>
      </w:r>
      <w:r>
        <w:t xml:space="preserve"> Ασφάλισης των Μισθωτών, εθνικών δημόσιων ιδρυμάτων υγείας και δημόσιων ιδρυμάτων έρευνας σε τομείς που εμπίπτουν στη δικαιοδοσία του και, κατά το έτερο ήμισυ, από διακεκριμένες προσωπικότητες εγνωσμένου κύρους στους τομείς των αρμοδιοτήτων του Οργανισμού, καθώς επίσης και από εκπροσώπους του προσωπικού. </w:t>
      </w:r>
    </w:p>
    <w:p w14:paraId="4E3B5AF4" w14:textId="77777777" w:rsidR="00801C2A" w:rsidRDefault="00801C2A" w:rsidP="00801C2A">
      <w:r>
        <w:t xml:space="preserve">Ο </w:t>
      </w:r>
      <w:r w:rsidR="009E06D2">
        <w:t>Γενικός Διευθυντής</w:t>
      </w:r>
      <w:r>
        <w:t xml:space="preserve"> εκδίδει</w:t>
      </w:r>
      <w:r w:rsidR="00193148">
        <w:t>, όπως είδαμε πιο πάνω,</w:t>
      </w:r>
      <w:r>
        <w:t xml:space="preserve"> γνωμοδοτήσεις και συστάσεις σχετικά με ζητήματα που εμπίπτουν στη δικαιοδοσία του Οργανισμού. </w:t>
      </w:r>
    </w:p>
    <w:p w14:paraId="561D21E0" w14:textId="77777777" w:rsidR="00801C2A" w:rsidRDefault="00801C2A" w:rsidP="00801C2A">
      <w:pPr>
        <w:ind w:firstLine="0"/>
        <w:rPr>
          <w:b/>
        </w:rPr>
      </w:pPr>
      <w:r>
        <w:rPr>
          <w:b/>
        </w:rPr>
        <w:t>Συμβούλιο Προσανατολισμού:</w:t>
      </w:r>
    </w:p>
    <w:p w14:paraId="36A9630B" w14:textId="77777777" w:rsidR="00801C2A" w:rsidRDefault="00801C2A" w:rsidP="00801C2A">
      <w:r>
        <w:t xml:space="preserve">Δυνάμει των διατάξεων του </w:t>
      </w:r>
      <w:r>
        <w:rPr>
          <w:b/>
        </w:rPr>
        <w:t xml:space="preserve">άρθρου </w:t>
      </w:r>
      <w:r>
        <w:rPr>
          <w:b/>
          <w:lang w:val="en-US"/>
        </w:rPr>
        <w:t>L</w:t>
      </w:r>
      <w:r>
        <w:rPr>
          <w:b/>
        </w:rPr>
        <w:t>.</w:t>
      </w:r>
      <w:r w:rsidR="00755B18">
        <w:rPr>
          <w:b/>
        </w:rPr>
        <w:t xml:space="preserve"> </w:t>
      </w:r>
      <w:r>
        <w:rPr>
          <w:b/>
        </w:rPr>
        <w:t>1418-4</w:t>
      </w:r>
      <w:r w:rsidR="00755B18">
        <w:rPr>
          <w:b/>
        </w:rPr>
        <w:t xml:space="preserve"> ΚΔΥ</w:t>
      </w:r>
      <w:r>
        <w:rPr>
          <w:b/>
        </w:rPr>
        <w:t>,</w:t>
      </w:r>
      <w:r>
        <w:t xml:space="preserve"> ο Οργανισμός Βιοϊατρικής αποτελείται από ένα Συμβούλιο Προσανατολισμού που μεριμνά για τη διασφάλιση της ποιότητας τη</w:t>
      </w:r>
      <w:r w:rsidR="00755B18">
        <w:t>ς ιατρικής και επιστημονικής του</w:t>
      </w:r>
      <w:r>
        <w:t xml:space="preserve"> εξειδίκευσης, λαμβάνοντας υπόψη δεοντολογικά και ηθικά ζητήματα που μπορεί να προκύψουν. Το Συμβούλιο Προσανατολισμού συμβουλεύει υποχρεωτικά το Γενικό Διευθυντή για τα αιτήματα αδειοδότησης [</w:t>
      </w:r>
      <w:r w:rsidR="00755B18">
        <w:rPr>
          <w:lang w:val="fr-FR"/>
        </w:rPr>
        <w:t>β</w:t>
      </w:r>
      <w:r>
        <w:t xml:space="preserve">, 10° άρθρου </w:t>
      </w:r>
      <w:r>
        <w:rPr>
          <w:lang w:val="fr-FR"/>
        </w:rPr>
        <w:t>L</w:t>
      </w:r>
      <w:r>
        <w:t>. 1418-1] και για ζητήματα που αφορούν στην ιατρική και επιστημονική έρευνα και εμπίπτουν στο πεδίο δικαιοδοσίας του Οργανισμού. Καθορίζει επίσης τα κριτήρια εκπαίδευσης και εμπειρίας που</w:t>
      </w:r>
      <w:r w:rsidR="00A71906">
        <w:t xml:space="preserve"> απαιτείται να συντρέχουν για την πιστοποίηση</w:t>
      </w:r>
      <w:r>
        <w:t xml:space="preserve"> του εξειδικευμένου ιατρικού προσωπικού [11° άρθρου </w:t>
      </w:r>
      <w:r>
        <w:rPr>
          <w:lang w:val="fr-FR"/>
        </w:rPr>
        <w:t>L</w:t>
      </w:r>
      <w:r>
        <w:t xml:space="preserve">. 1418-1]. </w:t>
      </w:r>
      <w:r w:rsidR="00A71906">
        <w:t xml:space="preserve"> </w:t>
      </w:r>
    </w:p>
    <w:p w14:paraId="1B498094" w14:textId="77777777" w:rsidR="00801C2A" w:rsidRDefault="00801C2A" w:rsidP="00801C2A">
      <w:r>
        <w:t xml:space="preserve">Εκτός από τον Πρόεδρό του, </w:t>
      </w:r>
      <w:r w:rsidR="000F5393">
        <w:t>τρεις</w:t>
      </w:r>
      <w:r>
        <w:t xml:space="preserve"> βουλευτές και τρεις γερουσιαστές, το Συμβούλιο Προσανατολισμού </w:t>
      </w:r>
      <w:r w:rsidR="00A71906">
        <w:t xml:space="preserve">του Οργανισμού Βιοϊατρικής </w:t>
      </w:r>
      <w:r>
        <w:t>απαρτίζεται από:</w:t>
      </w:r>
    </w:p>
    <w:p w14:paraId="6DD67099" w14:textId="77777777" w:rsidR="00801C2A" w:rsidRDefault="00801C2A" w:rsidP="00801C2A">
      <w:r>
        <w:t>1. Εκπροσώπους του Κοινοβουλίου, του Συμβουλίου της Επικρατείας (</w:t>
      </w:r>
      <w:r>
        <w:rPr>
          <w:i/>
          <w:lang w:val="fr-FR"/>
        </w:rPr>
        <w:t>Conseil</w:t>
      </w:r>
      <w:r w:rsidRPr="00801C2A">
        <w:rPr>
          <w:i/>
        </w:rPr>
        <w:t xml:space="preserve"> </w:t>
      </w:r>
      <w:r>
        <w:rPr>
          <w:i/>
          <w:lang w:val="fr-FR"/>
        </w:rPr>
        <w:t>d</w:t>
      </w:r>
      <w:r>
        <w:rPr>
          <w:i/>
        </w:rPr>
        <w:t>'</w:t>
      </w:r>
      <w:r>
        <w:rPr>
          <w:i/>
          <w:lang w:val="fr-FR"/>
        </w:rPr>
        <w:t>Etat</w:t>
      </w:r>
      <w:r>
        <w:t>), του Ανώτατου Ακυρωτικού Δικαστηρίου (</w:t>
      </w:r>
      <w:r>
        <w:rPr>
          <w:i/>
          <w:lang w:val="fr-FR"/>
        </w:rPr>
        <w:t>Cour</w:t>
      </w:r>
      <w:r w:rsidRPr="00801C2A">
        <w:rPr>
          <w:i/>
        </w:rPr>
        <w:t xml:space="preserve"> </w:t>
      </w:r>
      <w:r>
        <w:rPr>
          <w:i/>
          <w:lang w:val="fr-FR"/>
        </w:rPr>
        <w:t>de</w:t>
      </w:r>
      <w:r w:rsidRPr="00801C2A">
        <w:rPr>
          <w:i/>
        </w:rPr>
        <w:t xml:space="preserve"> </w:t>
      </w:r>
      <w:r w:rsidR="00B82D9F">
        <w:rPr>
          <w:i/>
          <w:lang w:val="fr-FR"/>
        </w:rPr>
        <w:t>C</w:t>
      </w:r>
      <w:r>
        <w:rPr>
          <w:i/>
          <w:lang w:val="fr-FR"/>
        </w:rPr>
        <w:t>assation</w:t>
      </w:r>
      <w:r>
        <w:t>), της Εθνικής Συμβουλευτικής Επιτροπής Ηθικής για τις επιστήμες της ζωής και την υγεία (</w:t>
      </w:r>
      <w:r>
        <w:rPr>
          <w:i/>
          <w:lang w:val="fr-FR"/>
        </w:rPr>
        <w:t>Comit</w:t>
      </w:r>
      <w:r>
        <w:rPr>
          <w:i/>
        </w:rPr>
        <w:t xml:space="preserve">é </w:t>
      </w:r>
      <w:r>
        <w:rPr>
          <w:i/>
          <w:lang w:val="fr-FR"/>
        </w:rPr>
        <w:t>consultatif</w:t>
      </w:r>
      <w:r w:rsidRPr="00801C2A">
        <w:rPr>
          <w:i/>
        </w:rPr>
        <w:t xml:space="preserve"> </w:t>
      </w:r>
      <w:r>
        <w:rPr>
          <w:i/>
          <w:lang w:val="fr-FR"/>
        </w:rPr>
        <w:t>national</w:t>
      </w:r>
      <w:r w:rsidRPr="00801C2A">
        <w:rPr>
          <w:i/>
        </w:rPr>
        <w:t xml:space="preserve"> </w:t>
      </w:r>
      <w:r>
        <w:rPr>
          <w:i/>
          <w:lang w:val="fr-FR"/>
        </w:rPr>
        <w:t>d</w:t>
      </w:r>
      <w:r>
        <w:rPr>
          <w:i/>
        </w:rPr>
        <w:t>’é</w:t>
      </w:r>
      <w:r>
        <w:rPr>
          <w:i/>
          <w:lang w:val="fr-FR"/>
        </w:rPr>
        <w:t>thique</w:t>
      </w:r>
      <w:r w:rsidRPr="00801C2A">
        <w:rPr>
          <w:i/>
        </w:rPr>
        <w:t xml:space="preserve"> </w:t>
      </w:r>
      <w:r>
        <w:rPr>
          <w:i/>
          <w:lang w:val="fr-FR"/>
        </w:rPr>
        <w:t>pour</w:t>
      </w:r>
      <w:r w:rsidRPr="00801C2A">
        <w:rPr>
          <w:i/>
        </w:rPr>
        <w:t xml:space="preserve"> </w:t>
      </w:r>
      <w:r>
        <w:rPr>
          <w:i/>
          <w:lang w:val="fr-FR"/>
        </w:rPr>
        <w:t>les</w:t>
      </w:r>
      <w:r w:rsidRPr="00801C2A">
        <w:rPr>
          <w:i/>
        </w:rPr>
        <w:t xml:space="preserve"> </w:t>
      </w:r>
      <w:r>
        <w:rPr>
          <w:i/>
          <w:lang w:val="fr-FR"/>
        </w:rPr>
        <w:t>sciences</w:t>
      </w:r>
      <w:r w:rsidRPr="00801C2A">
        <w:rPr>
          <w:i/>
        </w:rPr>
        <w:t xml:space="preserve"> </w:t>
      </w:r>
      <w:r>
        <w:rPr>
          <w:i/>
          <w:lang w:val="fr-FR"/>
        </w:rPr>
        <w:t>de</w:t>
      </w:r>
      <w:r w:rsidRPr="00801C2A">
        <w:rPr>
          <w:i/>
        </w:rPr>
        <w:t xml:space="preserve"> </w:t>
      </w:r>
      <w:r>
        <w:rPr>
          <w:i/>
          <w:lang w:val="fr-FR"/>
        </w:rPr>
        <w:t>la</w:t>
      </w:r>
      <w:r w:rsidRPr="00801C2A">
        <w:rPr>
          <w:i/>
        </w:rPr>
        <w:t xml:space="preserve"> </w:t>
      </w:r>
      <w:r>
        <w:rPr>
          <w:i/>
          <w:lang w:val="fr-FR"/>
        </w:rPr>
        <w:t>vie</w:t>
      </w:r>
      <w:r w:rsidRPr="00801C2A">
        <w:rPr>
          <w:i/>
        </w:rPr>
        <w:t xml:space="preserve"> </w:t>
      </w:r>
      <w:r>
        <w:rPr>
          <w:i/>
          <w:lang w:val="fr-FR"/>
        </w:rPr>
        <w:t>et</w:t>
      </w:r>
      <w:r w:rsidRPr="00801C2A">
        <w:rPr>
          <w:i/>
        </w:rPr>
        <w:t xml:space="preserve"> </w:t>
      </w:r>
      <w:r>
        <w:rPr>
          <w:i/>
          <w:lang w:val="fr-FR"/>
        </w:rPr>
        <w:t>de</w:t>
      </w:r>
      <w:r w:rsidRPr="00801C2A">
        <w:rPr>
          <w:i/>
        </w:rPr>
        <w:t xml:space="preserve"> </w:t>
      </w:r>
      <w:r>
        <w:rPr>
          <w:i/>
          <w:lang w:val="fr-FR"/>
        </w:rPr>
        <w:t>la</w:t>
      </w:r>
      <w:r w:rsidRPr="00801C2A">
        <w:rPr>
          <w:i/>
        </w:rPr>
        <w:t xml:space="preserve"> </w:t>
      </w:r>
      <w:r>
        <w:rPr>
          <w:i/>
          <w:lang w:val="fr-FR"/>
        </w:rPr>
        <w:t>sant</w:t>
      </w:r>
      <w:r>
        <w:rPr>
          <w:i/>
        </w:rPr>
        <w:t xml:space="preserve">é, </w:t>
      </w:r>
      <w:r>
        <w:rPr>
          <w:i/>
          <w:lang w:val="en-US"/>
        </w:rPr>
        <w:t>CCNE</w:t>
      </w:r>
      <w:r>
        <w:t>), της Εθνικής Συμβουλευτικής Επιτροπής για τα Δικαιώματα του Ανθρώπου (</w:t>
      </w:r>
      <w:r>
        <w:rPr>
          <w:i/>
          <w:lang w:val="fr-FR"/>
        </w:rPr>
        <w:t>Commission</w:t>
      </w:r>
      <w:r w:rsidRPr="00801C2A">
        <w:rPr>
          <w:i/>
        </w:rPr>
        <w:t xml:space="preserve"> </w:t>
      </w:r>
      <w:r>
        <w:rPr>
          <w:i/>
          <w:lang w:val="fr-FR"/>
        </w:rPr>
        <w:t>nationale</w:t>
      </w:r>
      <w:r w:rsidRPr="00801C2A">
        <w:rPr>
          <w:i/>
        </w:rPr>
        <w:t xml:space="preserve"> </w:t>
      </w:r>
      <w:r>
        <w:rPr>
          <w:i/>
          <w:lang w:val="fr-FR"/>
        </w:rPr>
        <w:t>consultative</w:t>
      </w:r>
      <w:r w:rsidRPr="00801C2A">
        <w:rPr>
          <w:i/>
        </w:rPr>
        <w:t xml:space="preserve"> </w:t>
      </w:r>
      <w:r>
        <w:rPr>
          <w:i/>
          <w:lang w:val="fr-FR"/>
        </w:rPr>
        <w:t>des</w:t>
      </w:r>
      <w:r w:rsidRPr="00801C2A">
        <w:rPr>
          <w:i/>
        </w:rPr>
        <w:t xml:space="preserve"> </w:t>
      </w:r>
      <w:r>
        <w:rPr>
          <w:i/>
          <w:lang w:val="fr-FR"/>
        </w:rPr>
        <w:t>droits</w:t>
      </w:r>
      <w:r w:rsidRPr="00801C2A">
        <w:rPr>
          <w:i/>
        </w:rPr>
        <w:t xml:space="preserve"> </w:t>
      </w:r>
      <w:r>
        <w:rPr>
          <w:i/>
          <w:lang w:val="fr-FR"/>
        </w:rPr>
        <w:t>de</w:t>
      </w:r>
      <w:r w:rsidRPr="00801C2A">
        <w:rPr>
          <w:i/>
        </w:rPr>
        <w:t xml:space="preserve"> </w:t>
      </w:r>
      <w:r>
        <w:rPr>
          <w:i/>
          <w:lang w:val="fr-FR"/>
        </w:rPr>
        <w:t>l</w:t>
      </w:r>
      <w:r>
        <w:rPr>
          <w:i/>
        </w:rPr>
        <w:t>'</w:t>
      </w:r>
      <w:r>
        <w:rPr>
          <w:i/>
          <w:lang w:val="fr-FR"/>
        </w:rPr>
        <w:t>homme</w:t>
      </w:r>
      <w:r>
        <w:t xml:space="preserve">). </w:t>
      </w:r>
    </w:p>
    <w:p w14:paraId="56AA9EAF" w14:textId="77777777" w:rsidR="00801C2A" w:rsidRDefault="00801C2A" w:rsidP="00801C2A">
      <w:r>
        <w:t xml:space="preserve">2. Επιστημονικούς εμπειρογνώμονες ειδικευμένους στους τομείς δραστηριότητας του Οργανισμού. </w:t>
      </w:r>
    </w:p>
    <w:p w14:paraId="6A967836" w14:textId="77777777" w:rsidR="00801C2A" w:rsidRDefault="00801C2A" w:rsidP="00801C2A">
      <w:r>
        <w:lastRenderedPageBreak/>
        <w:t xml:space="preserve">3. Διακεκριμένα πρόσωπα με εμπειρία στους τομείς δραστηριότητας του Οργανισμού και πρόσωπα που έχουν </w:t>
      </w:r>
      <w:r w:rsidR="0083348B">
        <w:t>διακριθεί στο πεδίο των ανθρωπίν</w:t>
      </w:r>
      <w:r>
        <w:t xml:space="preserve">ων και κοινωνικών επιστημών. </w:t>
      </w:r>
    </w:p>
    <w:p w14:paraId="298EAB40" w14:textId="77777777" w:rsidR="00801C2A" w:rsidRDefault="00801C2A" w:rsidP="00801C2A">
      <w:r>
        <w:t xml:space="preserve">4. </w:t>
      </w:r>
      <w:bookmarkStart w:id="24" w:name="article-l-1418-4"/>
      <w:bookmarkEnd w:id="24"/>
      <w:r>
        <w:t>Εκπροσώπους ενώσεων ασθενών και χρηστών του συστήματος υγείας, ενώσεων προσώπων με αναπηρίες, οικογενειακών ενώσεων και ενώσεων που δραστηριοποιούνται στο</w:t>
      </w:r>
      <w:r w:rsidR="00DA47DD">
        <w:t>ν</w:t>
      </w:r>
      <w:r>
        <w:t xml:space="preserve"> τομέα της προστασίας των ατομικών δικαιωμάτων. </w:t>
      </w:r>
      <w:bookmarkStart w:id="25" w:name="article-l-1418-7"/>
      <w:bookmarkStart w:id="26" w:name="article-l-1418-8"/>
      <w:bookmarkEnd w:id="25"/>
      <w:bookmarkEnd w:id="26"/>
    </w:p>
    <w:p w14:paraId="614C84D9" w14:textId="77777777" w:rsidR="00801C2A" w:rsidRDefault="00801C2A" w:rsidP="00801C2A">
      <w:pPr>
        <w:ind w:firstLine="0"/>
        <w:rPr>
          <w:b/>
        </w:rPr>
      </w:pPr>
      <w:r>
        <w:rPr>
          <w:b/>
        </w:rPr>
        <w:t>Μηχανισμός Παρακολούθησης για την ιατρικά υποβοηθούμενη αναπαραγωγή, Οργανισμός Βιοϊατρικής:</w:t>
      </w:r>
    </w:p>
    <w:p w14:paraId="4F91676D" w14:textId="77777777" w:rsidR="00801C2A" w:rsidRDefault="00801C2A" w:rsidP="00801C2A">
      <w:pPr>
        <w:rPr>
          <w:rFonts w:eastAsia="Calibri"/>
          <w:lang w:eastAsia="en-US"/>
        </w:rPr>
      </w:pPr>
      <w:r>
        <w:rPr>
          <w:rStyle w:val="hps"/>
        </w:rPr>
        <w:t>Σύμφωνα με την ευρωπαϊκή</w:t>
      </w:r>
      <w:r>
        <w:t xml:space="preserve"> </w:t>
      </w:r>
      <w:r>
        <w:rPr>
          <w:rStyle w:val="hps"/>
        </w:rPr>
        <w:t>νομοθεσία (Οδηγίες</w:t>
      </w:r>
      <w:r>
        <w:t>, της 31</w:t>
      </w:r>
      <w:r>
        <w:rPr>
          <w:vertAlign w:val="superscript"/>
        </w:rPr>
        <w:t>ης</w:t>
      </w:r>
      <w:r>
        <w:t xml:space="preserve"> Μαρτίου </w:t>
      </w:r>
      <w:r>
        <w:rPr>
          <w:rStyle w:val="hps"/>
        </w:rPr>
        <w:t>2004 και της 24</w:t>
      </w:r>
      <w:r>
        <w:rPr>
          <w:rStyle w:val="hps"/>
          <w:vertAlign w:val="superscript"/>
        </w:rPr>
        <w:t>ης</w:t>
      </w:r>
      <w:r>
        <w:rPr>
          <w:rStyle w:val="hps"/>
        </w:rPr>
        <w:t xml:space="preserve"> Οκτωβρίου 2006)</w:t>
      </w:r>
      <w:r>
        <w:t xml:space="preserve">, </w:t>
      </w:r>
      <w:r>
        <w:rPr>
          <w:rStyle w:val="hps"/>
        </w:rPr>
        <w:t>το διάταγμα αριθ.</w:t>
      </w:r>
      <w:r>
        <w:t xml:space="preserve"> </w:t>
      </w:r>
      <w:r>
        <w:rPr>
          <w:rStyle w:val="hps"/>
        </w:rPr>
        <w:t>2008-588</w:t>
      </w:r>
      <w:r>
        <w:t xml:space="preserve"> </w:t>
      </w:r>
      <w:r>
        <w:rPr>
          <w:rStyle w:val="hps"/>
        </w:rPr>
        <w:t>της 19</w:t>
      </w:r>
      <w:r>
        <w:rPr>
          <w:rStyle w:val="hps"/>
          <w:vertAlign w:val="superscript"/>
        </w:rPr>
        <w:t>ης</w:t>
      </w:r>
      <w:r>
        <w:rPr>
          <w:rStyle w:val="hps"/>
        </w:rPr>
        <w:t xml:space="preserve"> Ιουνίου 2008</w:t>
      </w:r>
      <w:r>
        <w:t xml:space="preserve"> </w:t>
      </w:r>
      <w:r>
        <w:rPr>
          <w:rStyle w:val="hps"/>
        </w:rPr>
        <w:t>καθορίζει</w:t>
      </w:r>
      <w:r>
        <w:t xml:space="preserve"> </w:t>
      </w:r>
      <w:r>
        <w:rPr>
          <w:rStyle w:val="hps"/>
        </w:rPr>
        <w:t xml:space="preserve">τις προϋποθέσεις λειτουργίας του Μηχανισμού </w:t>
      </w:r>
      <w:r w:rsidR="00DA47DD">
        <w:rPr>
          <w:rStyle w:val="hps"/>
        </w:rPr>
        <w:t>Π</w:t>
      </w:r>
      <w:r>
        <w:rPr>
          <w:rStyle w:val="hps"/>
        </w:rPr>
        <w:t>αρακολούθησης (</w:t>
      </w:r>
      <w:r>
        <w:rPr>
          <w:i/>
          <w:lang w:val="fr-FR"/>
        </w:rPr>
        <w:t>dispositif</w:t>
      </w:r>
      <w:r w:rsidRPr="00801C2A">
        <w:rPr>
          <w:i/>
        </w:rPr>
        <w:t xml:space="preserve"> </w:t>
      </w:r>
      <w:r>
        <w:rPr>
          <w:i/>
          <w:lang w:val="fr-FR"/>
        </w:rPr>
        <w:t>de</w:t>
      </w:r>
      <w:r w:rsidRPr="00801C2A">
        <w:rPr>
          <w:i/>
        </w:rPr>
        <w:t xml:space="preserve"> </w:t>
      </w:r>
      <w:r>
        <w:rPr>
          <w:i/>
          <w:lang w:val="fr-FR"/>
        </w:rPr>
        <w:t>vigilance</w:t>
      </w:r>
      <w:r>
        <w:rPr>
          <w:rStyle w:val="hps"/>
        </w:rPr>
        <w:t>)</w:t>
      </w:r>
      <w:r>
        <w:t xml:space="preserve"> </w:t>
      </w:r>
      <w:r>
        <w:rPr>
          <w:rStyle w:val="hps"/>
        </w:rPr>
        <w:t>για την Ιατρικά</w:t>
      </w:r>
      <w:r>
        <w:t xml:space="preserve"> </w:t>
      </w:r>
      <w:r>
        <w:rPr>
          <w:rStyle w:val="hps"/>
        </w:rPr>
        <w:t>Υποβοηθούμενη Αναπαραγωγή</w:t>
      </w:r>
      <w:r>
        <w:t>. Η θέση σε εφαρμογή και λειτουργία του εν λόγω μηχανισμού έχει ανατεθεί στον Οργανισμό Βιοϊατρικής, ο οποίος συλλέγει τις πληροφορίες που αποστέλλονται από τους τοπικούς ανταποκριτές του μηχανισμού που έχουν οριστεί από τα ιατρικά κέντρα και τις μονάδες ιατρικά υποβοηθούμενης αναπαραγωγής. Ο Μηχανισμός παρακολούθησης για την ιατρικά υποβοηθούμενη αναπαραγωγή</w:t>
      </w:r>
      <w:r>
        <w:rPr>
          <w:rFonts w:eastAsia="Calibri"/>
        </w:rPr>
        <w:t xml:space="preserve"> εκτός από ενημερωτικά δελτία εκδίδει ετήσια έκθεση</w:t>
      </w:r>
      <w:r w:rsidR="000C5423">
        <w:rPr>
          <w:rStyle w:val="FootnoteReference"/>
          <w:rFonts w:eastAsia="Calibri"/>
        </w:rPr>
        <w:footnoteReference w:id="80"/>
      </w:r>
      <w:r>
        <w:rPr>
          <w:rFonts w:eastAsia="Calibri"/>
        </w:rPr>
        <w:t>, καθώς επίσης και συστάσεις αναφορικά με προβλήματα που μπορεί να προκύψουν κατά την εφαρμογή της ιατρικά υποβοηθούμενης αναπαραγωγής, όπως π.χ. οι συστάσεις σχετικά με το σύνδρομο Turner και την εγκυμοσύνη</w:t>
      </w:r>
      <w:r>
        <w:rPr>
          <w:rStyle w:val="FootnoteReference"/>
          <w:rFonts w:eastAsia="Calibri"/>
          <w:lang w:eastAsia="en-US"/>
        </w:rPr>
        <w:footnoteReference w:id="81"/>
      </w:r>
      <w:r>
        <w:rPr>
          <w:rFonts w:eastAsia="Calibri"/>
          <w:lang w:eastAsia="en-US"/>
        </w:rPr>
        <w:t xml:space="preserve">. </w:t>
      </w:r>
    </w:p>
    <w:p w14:paraId="18399E56" w14:textId="77777777" w:rsidR="00801C2A" w:rsidRDefault="00801C2A" w:rsidP="00801C2A">
      <w:pPr>
        <w:ind w:firstLine="0"/>
        <w:rPr>
          <w:rFonts w:eastAsia="Calibri"/>
          <w:b/>
          <w:lang w:eastAsia="en-US"/>
        </w:rPr>
      </w:pPr>
      <w:r>
        <w:rPr>
          <w:rFonts w:eastAsia="Calibri"/>
          <w:b/>
          <w:lang w:eastAsia="en-US"/>
        </w:rPr>
        <w:t>Ο Οργανισμός Βιοϊατρικής επικουρείται από:</w:t>
      </w:r>
    </w:p>
    <w:p w14:paraId="757C05A2" w14:textId="77777777" w:rsidR="00801C2A" w:rsidRPr="00954D48" w:rsidRDefault="00801C2A" w:rsidP="00954D48">
      <w:pPr>
        <w:numPr>
          <w:ilvl w:val="0"/>
          <w:numId w:val="28"/>
        </w:numPr>
        <w:tabs>
          <w:tab w:val="left" w:pos="567"/>
        </w:tabs>
        <w:ind w:left="0" w:firstLine="0"/>
        <w:rPr>
          <w:rFonts w:eastAsia="Calibri"/>
          <w:b/>
          <w:lang w:eastAsia="en-US"/>
        </w:rPr>
      </w:pPr>
      <w:r>
        <w:rPr>
          <w:rFonts w:eastAsia="Calibri"/>
          <w:lang w:eastAsia="en-US"/>
        </w:rPr>
        <w:t xml:space="preserve">τους </w:t>
      </w:r>
      <w:r w:rsidRPr="00954D48">
        <w:rPr>
          <w:rFonts w:eastAsia="Calibri"/>
          <w:b/>
          <w:lang w:eastAsia="en-US"/>
        </w:rPr>
        <w:t>Περιφερειακούς Οργανισμούς Υγείας (</w:t>
      </w:r>
      <w:r w:rsidRPr="00954D48">
        <w:rPr>
          <w:b/>
          <w:i/>
          <w:lang w:val="fr-FR"/>
        </w:rPr>
        <w:t>Agences</w:t>
      </w:r>
      <w:r w:rsidRPr="00954D48">
        <w:rPr>
          <w:b/>
          <w:i/>
        </w:rPr>
        <w:t xml:space="preserve"> </w:t>
      </w:r>
      <w:r w:rsidRPr="00954D48">
        <w:rPr>
          <w:b/>
          <w:i/>
          <w:lang w:val="fr-FR"/>
        </w:rPr>
        <w:t>r</w:t>
      </w:r>
      <w:r w:rsidRPr="00954D48">
        <w:rPr>
          <w:b/>
          <w:i/>
        </w:rPr>
        <w:t>é</w:t>
      </w:r>
      <w:r w:rsidRPr="00954D48">
        <w:rPr>
          <w:b/>
          <w:i/>
          <w:lang w:val="fr-FR"/>
        </w:rPr>
        <w:t>gionales</w:t>
      </w:r>
      <w:r w:rsidRPr="00954D48">
        <w:rPr>
          <w:b/>
          <w:i/>
        </w:rPr>
        <w:t xml:space="preserve"> </w:t>
      </w:r>
      <w:r w:rsidRPr="00954D48">
        <w:rPr>
          <w:b/>
          <w:i/>
          <w:lang w:val="fr-FR"/>
        </w:rPr>
        <w:t>de</w:t>
      </w:r>
      <w:r w:rsidRPr="00954D48">
        <w:rPr>
          <w:b/>
          <w:i/>
        </w:rPr>
        <w:t xml:space="preserve"> </w:t>
      </w:r>
      <w:r w:rsidRPr="00954D48">
        <w:rPr>
          <w:b/>
          <w:i/>
          <w:lang w:val="fr-FR"/>
        </w:rPr>
        <w:t>sant</w:t>
      </w:r>
      <w:r w:rsidRPr="00954D48">
        <w:rPr>
          <w:b/>
          <w:i/>
        </w:rPr>
        <w:t xml:space="preserve">é - </w:t>
      </w:r>
      <w:r w:rsidRPr="00954D48">
        <w:rPr>
          <w:b/>
          <w:i/>
          <w:lang w:val="fr-FR"/>
        </w:rPr>
        <w:t>ARS</w:t>
      </w:r>
      <w:r w:rsidRPr="00954D48">
        <w:rPr>
          <w:b/>
        </w:rPr>
        <w:t>)</w:t>
      </w:r>
      <w:r w:rsidR="00954D48">
        <w:rPr>
          <w:b/>
        </w:rPr>
        <w:t>:</w:t>
      </w:r>
    </w:p>
    <w:p w14:paraId="31F10121" w14:textId="77777777" w:rsidR="008161C3" w:rsidRDefault="00801C2A" w:rsidP="00801C2A">
      <w:pPr>
        <w:rPr>
          <w:rFonts w:eastAsia="Calibri"/>
          <w:lang w:eastAsia="en-US"/>
        </w:rPr>
      </w:pPr>
      <w:r>
        <w:t>Από τη θέσπιση του νόμου της 21</w:t>
      </w:r>
      <w:r>
        <w:rPr>
          <w:vertAlign w:val="superscript"/>
        </w:rPr>
        <w:t xml:space="preserve">ης </w:t>
      </w:r>
      <w:r>
        <w:t xml:space="preserve">Ιουλίου 2009 σχετικά με τη μεταρρύθμιση του νοσοκομείου και σχετικά με τους ασθενείς, την </w:t>
      </w:r>
      <w:r w:rsidR="00954D48">
        <w:t xml:space="preserve">υγεία και την επικράτεια, ο οποίος με </w:t>
      </w:r>
      <w:r>
        <w:t xml:space="preserve">το άρθρο 118 δημιουργεί τους </w:t>
      </w:r>
      <w:r>
        <w:rPr>
          <w:rFonts w:eastAsia="Calibri"/>
          <w:lang w:eastAsia="en-US"/>
        </w:rPr>
        <w:t>Περιφερειακούς Οργανισμούς Υγείας, ο Οργανισμός Βιοϊατρικής έχει ένα νέο συνε</w:t>
      </w:r>
      <w:r w:rsidR="00954D48">
        <w:rPr>
          <w:rFonts w:eastAsia="Calibri"/>
          <w:lang w:eastAsia="en-US"/>
        </w:rPr>
        <w:t xml:space="preserve">ργάτη στη δύσκολη αποστολή του. </w:t>
      </w:r>
      <w:r>
        <w:rPr>
          <w:rFonts w:eastAsia="Calibri"/>
          <w:lang w:eastAsia="en-US"/>
        </w:rPr>
        <w:t xml:space="preserve">Οι Περιφερειακοί Οργανισμοί Υγείας έχουν ως πρωταρχική αποστολή τους την εφαρμογή της πολιτικής υγείας σε περιφερειακό επίπεδο. Ουσιαστικά είναι υπεύθυνοι για την υγειονομική ασφάλεια σε περιφερειακό επίπεδο, τις προληπτικές δράσεις υγείας σε κάθε περιφέρεια, την οργάνωση της προσφοράς της περίθαλψης σε συνάρτηση με τις ανάγκες του πληθυσμού, συμπεριλαμβανομένων και των δομών υποδοχής ηλικιωμένων ατόμων ή ατόμων με αναπηρία. Ενδεικτικά αναφέρεται </w:t>
      </w:r>
      <w:r>
        <w:rPr>
          <w:rFonts w:eastAsia="Calibri"/>
          <w:lang w:eastAsia="en-US"/>
        </w:rPr>
        <w:lastRenderedPageBreak/>
        <w:t>ότι τον υγειονομικό έλεγχο των Κέντρων ιατρικά υποβοηθούμενης αναπαραγωγής τον διενεργούν οι Περιφερειακοί Οργανισμοί Υγείας</w:t>
      </w:r>
      <w:r w:rsidR="00B21CB4">
        <w:rPr>
          <w:rStyle w:val="FootnoteReference"/>
          <w:rFonts w:eastAsia="Calibri"/>
          <w:lang w:eastAsia="en-US"/>
        </w:rPr>
        <w:footnoteReference w:id="82"/>
      </w:r>
      <w:r>
        <w:rPr>
          <w:rFonts w:eastAsia="Calibri"/>
          <w:lang w:eastAsia="en-US"/>
        </w:rPr>
        <w:t xml:space="preserve">. </w:t>
      </w:r>
    </w:p>
    <w:p w14:paraId="05C50A69" w14:textId="77777777" w:rsidR="00801C2A" w:rsidRDefault="008161C3" w:rsidP="00801C2A">
      <w:pPr>
        <w:rPr>
          <w:rFonts w:eastAsia="Calibri"/>
          <w:lang w:eastAsia="en-US"/>
        </w:rPr>
      </w:pPr>
      <w:r>
        <w:t>Επιπρόσθετα,</w:t>
      </w:r>
      <w:r w:rsidR="00801C2A">
        <w:t xml:space="preserve"> τα κέντρα είναι υποχρεωμένα να ανταποκρίνονται στις απαιτήσεις όχι μόνο του Περιφερειακού Οργανισμού Υγείας (</w:t>
      </w:r>
      <w:r w:rsidR="00801C2A">
        <w:rPr>
          <w:lang w:val="fr-FR"/>
        </w:rPr>
        <w:t>ARS</w:t>
      </w:r>
      <w:r w:rsidR="00801C2A">
        <w:t xml:space="preserve">), αλλά και της </w:t>
      </w:r>
      <w:r w:rsidR="00801C2A">
        <w:rPr>
          <w:b/>
        </w:rPr>
        <w:t>Γαλλικής επιτροπής Πιστοποίησης (</w:t>
      </w:r>
      <w:r w:rsidR="00801C2A">
        <w:rPr>
          <w:b/>
          <w:lang w:val="fr-FR"/>
        </w:rPr>
        <w:t>COFRAC</w:t>
      </w:r>
      <w:r w:rsidR="00801C2A">
        <w:rPr>
          <w:b/>
        </w:rPr>
        <w:t>)</w:t>
      </w:r>
      <w:r w:rsidR="00801C2A">
        <w:t xml:space="preserve">, που πιστοποιεί τα εργαστήρια βιολογικών αναλύσεων, σύμφωνα με τον κανόνα ISO 15189. </w:t>
      </w:r>
    </w:p>
    <w:p w14:paraId="732D1331" w14:textId="77777777" w:rsidR="00801C2A" w:rsidRDefault="00801C2A" w:rsidP="00E5410F">
      <w:pPr>
        <w:pStyle w:val="NormalWeb"/>
        <w:numPr>
          <w:ilvl w:val="0"/>
          <w:numId w:val="12"/>
        </w:numPr>
        <w:tabs>
          <w:tab w:val="left" w:pos="285"/>
        </w:tabs>
        <w:ind w:left="0" w:firstLine="0"/>
        <w:rPr>
          <w:rFonts w:eastAsia="Calibri"/>
          <w:b w:val="0"/>
          <w:lang w:val="fr-FR" w:eastAsia="en-US"/>
        </w:rPr>
      </w:pPr>
      <w:r>
        <w:rPr>
          <w:rFonts w:eastAsia="Calibri"/>
          <w:b w:val="0"/>
          <w:lang w:eastAsia="en-US"/>
        </w:rPr>
        <w:t>το</w:t>
      </w:r>
      <w:r>
        <w:rPr>
          <w:rFonts w:eastAsia="Calibri"/>
          <w:b w:val="0"/>
          <w:lang w:val="fr-FR" w:eastAsia="en-US"/>
        </w:rPr>
        <w:t xml:space="preserve"> </w:t>
      </w:r>
      <w:r w:rsidRPr="008161C3">
        <w:rPr>
          <w:rFonts w:eastAsia="Calibri"/>
          <w:lang w:eastAsia="en-US"/>
        </w:rPr>
        <w:t>Εθνικό</w:t>
      </w:r>
      <w:r w:rsidRPr="008161C3">
        <w:rPr>
          <w:rFonts w:eastAsia="Calibri"/>
          <w:lang w:val="fr-FR" w:eastAsia="en-US"/>
        </w:rPr>
        <w:t xml:space="preserve"> </w:t>
      </w:r>
      <w:r w:rsidRPr="008161C3">
        <w:rPr>
          <w:rFonts w:eastAsia="Calibri"/>
          <w:lang w:eastAsia="en-US"/>
        </w:rPr>
        <w:t>Ινστιτούτο</w:t>
      </w:r>
      <w:r w:rsidRPr="008161C3">
        <w:rPr>
          <w:rFonts w:eastAsia="Calibri"/>
          <w:lang w:val="fr-FR" w:eastAsia="en-US"/>
        </w:rPr>
        <w:t xml:space="preserve"> </w:t>
      </w:r>
      <w:r w:rsidRPr="008161C3">
        <w:rPr>
          <w:rFonts w:eastAsia="Calibri"/>
          <w:lang w:eastAsia="en-US"/>
        </w:rPr>
        <w:t>Καρκίνου</w:t>
      </w:r>
      <w:r w:rsidRPr="008161C3">
        <w:rPr>
          <w:rFonts w:eastAsia="Calibri"/>
          <w:lang w:val="fr-FR" w:eastAsia="en-US"/>
        </w:rPr>
        <w:t xml:space="preserve"> (</w:t>
      </w:r>
      <w:r w:rsidRPr="008161C3">
        <w:rPr>
          <w:i/>
          <w:lang w:val="fr-FR"/>
        </w:rPr>
        <w:t>Institut national du cancer – INCA</w:t>
      </w:r>
      <w:r w:rsidRPr="008161C3">
        <w:rPr>
          <w:lang w:val="fr-FR"/>
        </w:rPr>
        <w:t>)</w:t>
      </w:r>
    </w:p>
    <w:p w14:paraId="23462FB8" w14:textId="77777777" w:rsidR="00801C2A" w:rsidRPr="000B37A9" w:rsidRDefault="00801C2A" w:rsidP="00E5410F">
      <w:pPr>
        <w:pStyle w:val="NormalWeb"/>
        <w:numPr>
          <w:ilvl w:val="0"/>
          <w:numId w:val="12"/>
        </w:numPr>
        <w:tabs>
          <w:tab w:val="left" w:pos="285"/>
        </w:tabs>
        <w:ind w:left="0" w:firstLine="0"/>
        <w:rPr>
          <w:rFonts w:eastAsia="Calibri"/>
          <w:lang w:val="fr-FR" w:eastAsia="en-US"/>
        </w:rPr>
      </w:pPr>
      <w:r>
        <w:rPr>
          <w:rFonts w:eastAsia="Calibri"/>
          <w:b w:val="0"/>
          <w:lang w:eastAsia="en-US"/>
        </w:rPr>
        <w:t>τον</w:t>
      </w:r>
      <w:r>
        <w:rPr>
          <w:rFonts w:eastAsia="Calibri"/>
          <w:b w:val="0"/>
          <w:lang w:val="fr-FR" w:eastAsia="en-US"/>
        </w:rPr>
        <w:t xml:space="preserve"> </w:t>
      </w:r>
      <w:r w:rsidRPr="000B37A9">
        <w:rPr>
          <w:rFonts w:eastAsia="Calibri"/>
          <w:lang w:eastAsia="en-US"/>
        </w:rPr>
        <w:t>Εθνικό</w:t>
      </w:r>
      <w:r w:rsidRPr="000B37A9">
        <w:rPr>
          <w:rFonts w:eastAsia="Calibri"/>
          <w:lang w:val="fr-FR" w:eastAsia="en-US"/>
        </w:rPr>
        <w:t xml:space="preserve"> </w:t>
      </w:r>
      <w:r w:rsidRPr="000B37A9">
        <w:rPr>
          <w:rFonts w:eastAsia="Calibri"/>
          <w:lang w:eastAsia="en-US"/>
        </w:rPr>
        <w:t>Οργανισμό</w:t>
      </w:r>
      <w:r w:rsidRPr="000B37A9">
        <w:rPr>
          <w:rFonts w:eastAsia="Calibri"/>
          <w:lang w:val="fr-FR" w:eastAsia="en-US"/>
        </w:rPr>
        <w:t xml:space="preserve"> </w:t>
      </w:r>
      <w:r w:rsidRPr="000B37A9">
        <w:rPr>
          <w:rFonts w:eastAsia="Calibri"/>
          <w:lang w:eastAsia="en-US"/>
        </w:rPr>
        <w:t>Ασφάλειας</w:t>
      </w:r>
      <w:r w:rsidRPr="000B37A9">
        <w:rPr>
          <w:rFonts w:eastAsia="Calibri"/>
          <w:lang w:val="fr-FR" w:eastAsia="en-US"/>
        </w:rPr>
        <w:t xml:space="preserve"> </w:t>
      </w:r>
      <w:r w:rsidRPr="000B37A9">
        <w:rPr>
          <w:rFonts w:eastAsia="Calibri"/>
          <w:lang w:eastAsia="en-US"/>
        </w:rPr>
        <w:t>Φαρμάκου</w:t>
      </w:r>
      <w:r w:rsidRPr="000B37A9">
        <w:rPr>
          <w:rFonts w:eastAsia="Calibri"/>
          <w:lang w:val="fr-FR" w:eastAsia="en-US"/>
        </w:rPr>
        <w:t xml:space="preserve"> </w:t>
      </w:r>
      <w:r w:rsidRPr="000B37A9">
        <w:rPr>
          <w:rFonts w:eastAsia="Calibri"/>
          <w:lang w:eastAsia="en-US"/>
        </w:rPr>
        <w:t>και</w:t>
      </w:r>
      <w:r w:rsidRPr="000B37A9">
        <w:rPr>
          <w:rFonts w:eastAsia="Calibri"/>
          <w:lang w:val="fr-FR" w:eastAsia="en-US"/>
        </w:rPr>
        <w:t xml:space="preserve"> </w:t>
      </w:r>
      <w:r w:rsidRPr="000B37A9">
        <w:rPr>
          <w:rFonts w:eastAsia="Calibri"/>
          <w:lang w:eastAsia="en-US"/>
        </w:rPr>
        <w:t>Προϊόντων</w:t>
      </w:r>
      <w:r w:rsidRPr="000B37A9">
        <w:rPr>
          <w:rFonts w:eastAsia="Calibri"/>
          <w:lang w:val="fr-FR" w:eastAsia="en-US"/>
        </w:rPr>
        <w:t xml:space="preserve"> </w:t>
      </w:r>
      <w:r w:rsidRPr="000B37A9">
        <w:rPr>
          <w:rFonts w:eastAsia="Calibri"/>
          <w:lang w:eastAsia="en-US"/>
        </w:rPr>
        <w:t>Υγείας</w:t>
      </w:r>
      <w:r w:rsidRPr="000B37A9">
        <w:rPr>
          <w:rFonts w:eastAsia="Calibri"/>
          <w:lang w:val="fr-FR" w:eastAsia="en-US"/>
        </w:rPr>
        <w:t xml:space="preserve"> (</w:t>
      </w:r>
      <w:r w:rsidRPr="000B37A9">
        <w:rPr>
          <w:i/>
          <w:lang w:val="fr-FR"/>
        </w:rPr>
        <w:t>Agence nationale de sécurité du médicament et des produits de santé – ANSM</w:t>
      </w:r>
      <w:r w:rsidRPr="000B37A9">
        <w:rPr>
          <w:lang w:val="fr-FR"/>
        </w:rPr>
        <w:t>)</w:t>
      </w:r>
    </w:p>
    <w:p w14:paraId="56A1757E" w14:textId="77777777" w:rsidR="00801C2A" w:rsidRPr="000B37A9" w:rsidRDefault="00801C2A" w:rsidP="00E5410F">
      <w:pPr>
        <w:pStyle w:val="NormalWeb"/>
        <w:numPr>
          <w:ilvl w:val="0"/>
          <w:numId w:val="12"/>
        </w:numPr>
        <w:tabs>
          <w:tab w:val="left" w:pos="285"/>
        </w:tabs>
        <w:ind w:left="0" w:firstLine="0"/>
        <w:rPr>
          <w:rFonts w:eastAsia="Calibri"/>
          <w:lang w:val="fr-FR" w:eastAsia="en-US"/>
        </w:rPr>
      </w:pPr>
      <w:r>
        <w:rPr>
          <w:b w:val="0"/>
        </w:rPr>
        <w:t>το</w:t>
      </w:r>
      <w:r>
        <w:rPr>
          <w:b w:val="0"/>
          <w:lang w:val="fr-FR"/>
        </w:rPr>
        <w:t xml:space="preserve"> </w:t>
      </w:r>
      <w:r w:rsidRPr="000B37A9">
        <w:t>Εθνικό</w:t>
      </w:r>
      <w:r w:rsidRPr="000B37A9">
        <w:rPr>
          <w:lang w:val="fr-FR"/>
        </w:rPr>
        <w:t xml:space="preserve"> </w:t>
      </w:r>
      <w:r w:rsidRPr="000B37A9">
        <w:t>Ινστιτούτο</w:t>
      </w:r>
      <w:r w:rsidRPr="000B37A9">
        <w:rPr>
          <w:lang w:val="fr-FR"/>
        </w:rPr>
        <w:t xml:space="preserve"> </w:t>
      </w:r>
      <w:r w:rsidRPr="000B37A9">
        <w:t>Υγειονομικής</w:t>
      </w:r>
      <w:r w:rsidRPr="000B37A9">
        <w:rPr>
          <w:lang w:val="fr-FR"/>
        </w:rPr>
        <w:t xml:space="preserve"> </w:t>
      </w:r>
      <w:r w:rsidRPr="000B37A9">
        <w:t>Παρακολούθησης</w:t>
      </w:r>
      <w:r w:rsidRPr="000B37A9">
        <w:rPr>
          <w:lang w:val="fr-FR"/>
        </w:rPr>
        <w:t xml:space="preserve"> (</w:t>
      </w:r>
      <w:r w:rsidRPr="000B37A9">
        <w:rPr>
          <w:i/>
          <w:lang w:val="fr-FR"/>
        </w:rPr>
        <w:t>Institut national de veille sanitaire - INVS</w:t>
      </w:r>
      <w:r w:rsidRPr="000B37A9">
        <w:rPr>
          <w:lang w:val="fr-FR"/>
        </w:rPr>
        <w:t>) </w:t>
      </w:r>
    </w:p>
    <w:p w14:paraId="0B253FD7" w14:textId="77777777" w:rsidR="00801C2A" w:rsidRPr="000B37A9" w:rsidRDefault="00801C2A" w:rsidP="00E5410F">
      <w:pPr>
        <w:pStyle w:val="NormalWeb"/>
        <w:numPr>
          <w:ilvl w:val="0"/>
          <w:numId w:val="12"/>
        </w:numPr>
        <w:tabs>
          <w:tab w:val="left" w:pos="285"/>
        </w:tabs>
        <w:ind w:left="0" w:firstLine="0"/>
        <w:rPr>
          <w:rFonts w:eastAsia="Calibri"/>
          <w:lang w:val="fr-FR" w:eastAsia="en-US"/>
        </w:rPr>
      </w:pPr>
      <w:r>
        <w:rPr>
          <w:b w:val="0"/>
        </w:rPr>
        <w:t>την</w:t>
      </w:r>
      <w:r>
        <w:rPr>
          <w:b w:val="0"/>
          <w:lang w:val="fr-FR"/>
        </w:rPr>
        <w:t xml:space="preserve"> </w:t>
      </w:r>
      <w:r w:rsidRPr="000B37A9">
        <w:t>Ύπατη</w:t>
      </w:r>
      <w:r w:rsidRPr="000B37A9">
        <w:rPr>
          <w:lang w:val="fr-FR"/>
        </w:rPr>
        <w:t xml:space="preserve"> </w:t>
      </w:r>
      <w:r w:rsidRPr="000B37A9">
        <w:t>Αρχή</w:t>
      </w:r>
      <w:r w:rsidRPr="000B37A9">
        <w:rPr>
          <w:lang w:val="fr-FR"/>
        </w:rPr>
        <w:t xml:space="preserve"> </w:t>
      </w:r>
      <w:r w:rsidRPr="000B37A9">
        <w:t>Υγείας</w:t>
      </w:r>
      <w:r w:rsidRPr="000B37A9">
        <w:rPr>
          <w:lang w:val="fr-FR"/>
        </w:rPr>
        <w:t xml:space="preserve"> (</w:t>
      </w:r>
      <w:r w:rsidRPr="000B37A9">
        <w:rPr>
          <w:i/>
          <w:lang w:val="fr-FR"/>
        </w:rPr>
        <w:t>Haute autorité de santé – HAS</w:t>
      </w:r>
      <w:r w:rsidRPr="000B37A9">
        <w:rPr>
          <w:lang w:val="fr-FR"/>
        </w:rPr>
        <w:t>)</w:t>
      </w:r>
    </w:p>
    <w:p w14:paraId="2F0EBF26" w14:textId="77777777" w:rsidR="00801C2A" w:rsidRDefault="00801C2A" w:rsidP="00E5410F">
      <w:pPr>
        <w:pStyle w:val="NormalWeb"/>
        <w:numPr>
          <w:ilvl w:val="0"/>
          <w:numId w:val="12"/>
        </w:numPr>
        <w:tabs>
          <w:tab w:val="left" w:pos="285"/>
        </w:tabs>
        <w:ind w:left="0" w:firstLine="0"/>
        <w:rPr>
          <w:rFonts w:eastAsia="Calibri"/>
          <w:b w:val="0"/>
          <w:lang w:val="fr-FR" w:eastAsia="en-US"/>
        </w:rPr>
      </w:pPr>
      <w:r>
        <w:rPr>
          <w:b w:val="0"/>
        </w:rPr>
        <w:t>το</w:t>
      </w:r>
      <w:r>
        <w:rPr>
          <w:b w:val="0"/>
          <w:lang w:val="fr-FR"/>
        </w:rPr>
        <w:t xml:space="preserve"> </w:t>
      </w:r>
      <w:r w:rsidRPr="000B37A9">
        <w:t>Γαλλικό</w:t>
      </w:r>
      <w:r w:rsidRPr="000B37A9">
        <w:rPr>
          <w:lang w:val="fr-FR"/>
        </w:rPr>
        <w:t xml:space="preserve"> </w:t>
      </w:r>
      <w:r w:rsidRPr="000B37A9">
        <w:t>Ίδρυμα</w:t>
      </w:r>
      <w:r w:rsidRPr="000B37A9">
        <w:rPr>
          <w:lang w:val="fr-FR"/>
        </w:rPr>
        <w:t xml:space="preserve"> </w:t>
      </w:r>
      <w:r w:rsidRPr="000B37A9">
        <w:t>Αίματος</w:t>
      </w:r>
      <w:r w:rsidRPr="000B37A9">
        <w:rPr>
          <w:lang w:val="fr-FR"/>
        </w:rPr>
        <w:t xml:space="preserve"> (</w:t>
      </w:r>
      <w:r w:rsidRPr="000B37A9">
        <w:rPr>
          <w:i/>
          <w:lang w:val="fr-FR"/>
        </w:rPr>
        <w:t>Établissement français du Sang – EFS</w:t>
      </w:r>
      <w:r w:rsidRPr="000B37A9">
        <w:rPr>
          <w:lang w:val="fr-FR"/>
        </w:rPr>
        <w:t>)</w:t>
      </w:r>
    </w:p>
    <w:p w14:paraId="63C7D671" w14:textId="77777777" w:rsidR="00801C2A" w:rsidRPr="000B37A9" w:rsidRDefault="00801C2A" w:rsidP="00E5410F">
      <w:pPr>
        <w:pStyle w:val="NormalWeb"/>
        <w:numPr>
          <w:ilvl w:val="0"/>
          <w:numId w:val="12"/>
        </w:numPr>
        <w:tabs>
          <w:tab w:val="left" w:pos="285"/>
        </w:tabs>
        <w:ind w:left="0" w:firstLine="0"/>
        <w:rPr>
          <w:rFonts w:eastAsia="Calibri"/>
          <w:lang w:val="fr-FR" w:eastAsia="en-US"/>
        </w:rPr>
      </w:pPr>
      <w:r>
        <w:rPr>
          <w:b w:val="0"/>
        </w:rPr>
        <w:t>την</w:t>
      </w:r>
      <w:r>
        <w:rPr>
          <w:b w:val="0"/>
          <w:lang w:val="fr-FR"/>
        </w:rPr>
        <w:t xml:space="preserve"> </w:t>
      </w:r>
      <w:r w:rsidRPr="000B37A9">
        <w:t>Πύλη</w:t>
      </w:r>
      <w:r w:rsidRPr="000B37A9">
        <w:rPr>
          <w:lang w:val="fr-FR"/>
        </w:rPr>
        <w:t xml:space="preserve"> </w:t>
      </w:r>
      <w:r w:rsidRPr="000B37A9">
        <w:t>Υγειονομικών</w:t>
      </w:r>
      <w:r w:rsidRPr="000B37A9">
        <w:rPr>
          <w:lang w:val="fr-FR"/>
        </w:rPr>
        <w:t xml:space="preserve"> </w:t>
      </w:r>
      <w:r w:rsidRPr="000B37A9">
        <w:t>Οργανισμών</w:t>
      </w:r>
      <w:r w:rsidRPr="000B37A9">
        <w:rPr>
          <w:lang w:val="fr-FR"/>
        </w:rPr>
        <w:t xml:space="preserve"> (</w:t>
      </w:r>
      <w:r w:rsidRPr="000B37A9">
        <w:rPr>
          <w:i/>
          <w:lang w:val="fr-FR"/>
        </w:rPr>
        <w:t>Le portail des agences sanitaires</w:t>
      </w:r>
      <w:r w:rsidRPr="000B37A9">
        <w:rPr>
          <w:lang w:val="fr-FR"/>
        </w:rPr>
        <w:t>)</w:t>
      </w:r>
    </w:p>
    <w:p w14:paraId="047A8B64" w14:textId="77777777" w:rsidR="00801C2A" w:rsidRDefault="00801C2A" w:rsidP="00801C2A">
      <w:pPr>
        <w:ind w:firstLine="0"/>
        <w:rPr>
          <w:b/>
        </w:rPr>
      </w:pPr>
      <w:r>
        <w:rPr>
          <w:b/>
        </w:rPr>
        <w:t>Ο Οργανισμός Βιοϊατρικής σε αριθμούς:</w:t>
      </w:r>
    </w:p>
    <w:p w14:paraId="6C4222BD" w14:textId="77777777" w:rsidR="00493B0C" w:rsidRDefault="00801C2A" w:rsidP="00801C2A">
      <w:r>
        <w:t>Τα μέσα τα οποία έχει στη διάθεσή του ο Οργανισμός</w:t>
      </w:r>
      <w:r w:rsidR="00A2434E">
        <w:t xml:space="preserve"> Βιοϊατρικής</w:t>
      </w:r>
      <w:r>
        <w:t xml:space="preserve"> προκειμένου να φέρει σε πέρας τις </w:t>
      </w:r>
      <w:r w:rsidR="00A2434E">
        <w:t>πολύ σημαντικές</w:t>
      </w:r>
      <w:r>
        <w:t xml:space="preserve"> αποστολές που του έχει αναθέσει ο νομοθέτης σε διαφορετικά πεδία </w:t>
      </w:r>
      <w:r w:rsidR="002B0FA3">
        <w:t>δραστηριοτήτων οριοθετούνται στη</w:t>
      </w:r>
      <w:r>
        <w:t xml:space="preserve"> Σύμβαση Επίδοσης (</w:t>
      </w:r>
      <w:r>
        <w:rPr>
          <w:i/>
        </w:rPr>
        <w:t>contrat de performance</w:t>
      </w:r>
      <w:r>
        <w:t>)</w:t>
      </w:r>
      <w:r>
        <w:rPr>
          <w:rStyle w:val="FootnoteReference"/>
        </w:rPr>
        <w:footnoteReference w:id="83"/>
      </w:r>
      <w:r w:rsidR="002B0FA3">
        <w:t>, την οποία</w:t>
      </w:r>
      <w:r w:rsidR="00A2434E">
        <w:t xml:space="preserve"> </w:t>
      </w:r>
      <w:r w:rsidR="002B0FA3">
        <w:t xml:space="preserve"> και </w:t>
      </w:r>
      <w:r w:rsidR="00A2434E">
        <w:t xml:space="preserve">υπογράφει με αντισυμβαλλόμενο το Κράτος. Η ισχύουσα Σύμβαση αφορά στα </w:t>
      </w:r>
      <w:r>
        <w:t xml:space="preserve">έτη 2012-2015. Από την υπογραφή της εν λόγω σύμβασης, ο Οργανισμός λαμβάνει τα ετησίως αναγκαία μέσα για την εκπλήρωση των καθηκόντων του. </w:t>
      </w:r>
    </w:p>
    <w:p w14:paraId="49C2CA4B" w14:textId="3668E89B" w:rsidR="00493B0C" w:rsidRDefault="00493B0C" w:rsidP="00D75C4D">
      <w:r>
        <w:t xml:space="preserve">Όπως παρατηρείται, μάλιστα, </w:t>
      </w:r>
      <w:r w:rsidR="00801C2A">
        <w:t xml:space="preserve">στον πίνακα που ακολουθεί, </w:t>
      </w:r>
      <w:r>
        <w:t>η</w:t>
      </w:r>
      <w:r w:rsidR="00801C2A">
        <w:t xml:space="preserve"> ανάγκη μείωσης </w:t>
      </w:r>
      <w:r>
        <w:t xml:space="preserve">του δημοσιονομικού ελλείμματος είχε άμεση και εμφανή επίπτωση στην κατανομή </w:t>
      </w:r>
      <w:r w:rsidR="00801C2A">
        <w:t>των πόρων αυτών ήδη από το 2011</w:t>
      </w:r>
      <w:r w:rsidR="00C83FDC">
        <w:t xml:space="preserve"> (Πίνακας 1</w:t>
      </w:r>
      <w:r>
        <w:t>)</w:t>
      </w:r>
      <w:r w:rsidR="00801C2A">
        <w:t xml:space="preserve">. </w:t>
      </w:r>
    </w:p>
    <w:p w14:paraId="50D784D9" w14:textId="77777777" w:rsidR="00493B0C" w:rsidRPr="00493B0C" w:rsidRDefault="00493B0C" w:rsidP="00D75C4D">
      <w:pPr>
        <w:spacing w:before="240" w:after="240"/>
        <w:ind w:firstLine="0"/>
        <w:rPr>
          <w:b/>
        </w:rPr>
      </w:pPr>
      <w:r w:rsidRPr="00493B0C">
        <w:rPr>
          <w:b/>
        </w:rPr>
        <w:t>Πί</w:t>
      </w:r>
      <w:r w:rsidR="00C83FDC">
        <w:rPr>
          <w:b/>
        </w:rPr>
        <w:t>νακας 1</w:t>
      </w:r>
      <w:r w:rsidRPr="00493B0C">
        <w:rPr>
          <w:b/>
        </w:rPr>
        <w:t>. Τα έξοδα και τα έσοδα του Οργανισμού Βιοϊατρικής για το χρονικό διάστημα από 2007 έως και 2012</w:t>
      </w:r>
    </w:p>
    <w:tbl>
      <w:tblPr>
        <w:tblW w:w="9464" w:type="dxa"/>
        <w:tblBorders>
          <w:top w:val="single" w:sz="18" w:space="0" w:color="FFFFFF"/>
          <w:insideH w:val="single" w:sz="18" w:space="0" w:color="FFFFFF"/>
          <w:insideV w:val="single" w:sz="18" w:space="0" w:color="FFFFFF"/>
        </w:tblBorders>
        <w:tblLayout w:type="fixed"/>
        <w:tblLook w:val="04A0" w:firstRow="1" w:lastRow="0" w:firstColumn="1" w:lastColumn="0" w:noHBand="0" w:noVBand="1"/>
      </w:tblPr>
      <w:tblGrid>
        <w:gridCol w:w="2552"/>
        <w:gridCol w:w="1134"/>
        <w:gridCol w:w="1134"/>
        <w:gridCol w:w="1134"/>
        <w:gridCol w:w="1134"/>
        <w:gridCol w:w="1134"/>
        <w:gridCol w:w="1242"/>
      </w:tblGrid>
      <w:tr w:rsidR="00801C2A" w14:paraId="5823EF55" w14:textId="77777777" w:rsidTr="00C51E94">
        <w:tc>
          <w:tcPr>
            <w:tcW w:w="2552" w:type="dxa"/>
            <w:tcBorders>
              <w:bottom w:val="single" w:sz="18" w:space="0" w:color="FFFFFF"/>
            </w:tcBorders>
            <w:shd w:val="pct15" w:color="000000" w:fill="FFFFFF"/>
          </w:tcPr>
          <w:p w14:paraId="77105E5B" w14:textId="77777777" w:rsidR="00801C2A" w:rsidRPr="007C2909" w:rsidRDefault="00801C2A">
            <w:pPr>
              <w:spacing w:before="60" w:after="60" w:line="240" w:lineRule="auto"/>
              <w:ind w:firstLine="0"/>
              <w:jc w:val="center"/>
              <w:rPr>
                <w:sz w:val="22"/>
                <w:szCs w:val="22"/>
              </w:rPr>
            </w:pPr>
          </w:p>
        </w:tc>
        <w:tc>
          <w:tcPr>
            <w:tcW w:w="1134" w:type="dxa"/>
            <w:tcBorders>
              <w:bottom w:val="single" w:sz="18" w:space="0" w:color="FFFFFF"/>
            </w:tcBorders>
            <w:shd w:val="pct15" w:color="000000" w:fill="FFFFFF"/>
            <w:hideMark/>
          </w:tcPr>
          <w:p w14:paraId="4A00CDFB" w14:textId="77777777" w:rsidR="00801C2A" w:rsidRPr="007C2909" w:rsidRDefault="00801C2A">
            <w:pPr>
              <w:spacing w:before="60" w:after="60" w:line="240" w:lineRule="auto"/>
              <w:ind w:firstLine="0"/>
              <w:jc w:val="center"/>
              <w:rPr>
                <w:b/>
                <w:sz w:val="22"/>
                <w:szCs w:val="22"/>
              </w:rPr>
            </w:pPr>
            <w:r w:rsidRPr="007C2909">
              <w:rPr>
                <w:b/>
                <w:sz w:val="22"/>
                <w:szCs w:val="22"/>
              </w:rPr>
              <w:t>2007</w:t>
            </w:r>
          </w:p>
        </w:tc>
        <w:tc>
          <w:tcPr>
            <w:tcW w:w="1134" w:type="dxa"/>
            <w:tcBorders>
              <w:bottom w:val="single" w:sz="18" w:space="0" w:color="FFFFFF"/>
            </w:tcBorders>
            <w:shd w:val="pct15" w:color="000000" w:fill="FFFFFF"/>
            <w:hideMark/>
          </w:tcPr>
          <w:p w14:paraId="1BEAF904" w14:textId="77777777" w:rsidR="00801C2A" w:rsidRPr="007C2909" w:rsidRDefault="00801C2A">
            <w:pPr>
              <w:spacing w:before="60" w:after="60" w:line="240" w:lineRule="auto"/>
              <w:ind w:firstLine="0"/>
              <w:jc w:val="center"/>
              <w:rPr>
                <w:b/>
                <w:sz w:val="22"/>
                <w:szCs w:val="22"/>
              </w:rPr>
            </w:pPr>
            <w:r w:rsidRPr="007C2909">
              <w:rPr>
                <w:b/>
                <w:sz w:val="22"/>
                <w:szCs w:val="22"/>
              </w:rPr>
              <w:t>2008</w:t>
            </w:r>
          </w:p>
        </w:tc>
        <w:tc>
          <w:tcPr>
            <w:tcW w:w="1134" w:type="dxa"/>
            <w:tcBorders>
              <w:bottom w:val="single" w:sz="18" w:space="0" w:color="FFFFFF"/>
            </w:tcBorders>
            <w:shd w:val="pct15" w:color="000000" w:fill="FFFFFF"/>
            <w:hideMark/>
          </w:tcPr>
          <w:p w14:paraId="205FD856" w14:textId="77777777" w:rsidR="00801C2A" w:rsidRPr="007C2909" w:rsidRDefault="00801C2A">
            <w:pPr>
              <w:spacing w:before="60" w:after="60" w:line="240" w:lineRule="auto"/>
              <w:ind w:firstLine="0"/>
              <w:jc w:val="center"/>
              <w:rPr>
                <w:b/>
                <w:sz w:val="22"/>
                <w:szCs w:val="22"/>
              </w:rPr>
            </w:pPr>
            <w:r w:rsidRPr="007C2909">
              <w:rPr>
                <w:b/>
                <w:sz w:val="22"/>
                <w:szCs w:val="22"/>
              </w:rPr>
              <w:t>2009</w:t>
            </w:r>
          </w:p>
        </w:tc>
        <w:tc>
          <w:tcPr>
            <w:tcW w:w="1134" w:type="dxa"/>
            <w:tcBorders>
              <w:bottom w:val="single" w:sz="18" w:space="0" w:color="FFFFFF"/>
            </w:tcBorders>
            <w:shd w:val="pct15" w:color="000000" w:fill="FFFFFF"/>
            <w:hideMark/>
          </w:tcPr>
          <w:p w14:paraId="17FB1278" w14:textId="77777777" w:rsidR="00801C2A" w:rsidRPr="007C2909" w:rsidRDefault="00801C2A">
            <w:pPr>
              <w:spacing w:before="60" w:after="60" w:line="240" w:lineRule="auto"/>
              <w:ind w:firstLine="0"/>
              <w:jc w:val="center"/>
              <w:rPr>
                <w:b/>
                <w:sz w:val="22"/>
                <w:szCs w:val="22"/>
              </w:rPr>
            </w:pPr>
            <w:r w:rsidRPr="007C2909">
              <w:rPr>
                <w:b/>
                <w:sz w:val="22"/>
                <w:szCs w:val="22"/>
              </w:rPr>
              <w:t>2010</w:t>
            </w:r>
          </w:p>
        </w:tc>
        <w:tc>
          <w:tcPr>
            <w:tcW w:w="1134" w:type="dxa"/>
            <w:tcBorders>
              <w:bottom w:val="single" w:sz="18" w:space="0" w:color="FFFFFF"/>
            </w:tcBorders>
            <w:shd w:val="pct15" w:color="000000" w:fill="FFFFFF"/>
            <w:hideMark/>
          </w:tcPr>
          <w:p w14:paraId="1600340D" w14:textId="77777777" w:rsidR="00801C2A" w:rsidRPr="007C2909" w:rsidRDefault="00801C2A">
            <w:pPr>
              <w:spacing w:before="60" w:after="60" w:line="240" w:lineRule="auto"/>
              <w:ind w:firstLine="0"/>
              <w:jc w:val="center"/>
              <w:rPr>
                <w:b/>
                <w:sz w:val="22"/>
                <w:szCs w:val="22"/>
              </w:rPr>
            </w:pPr>
            <w:r w:rsidRPr="007C2909">
              <w:rPr>
                <w:b/>
                <w:sz w:val="22"/>
                <w:szCs w:val="22"/>
              </w:rPr>
              <w:t>2011</w:t>
            </w:r>
          </w:p>
        </w:tc>
        <w:tc>
          <w:tcPr>
            <w:tcW w:w="1242" w:type="dxa"/>
            <w:tcBorders>
              <w:bottom w:val="single" w:sz="18" w:space="0" w:color="FFFFFF"/>
            </w:tcBorders>
            <w:shd w:val="pct15" w:color="000000" w:fill="FFFFFF"/>
            <w:hideMark/>
          </w:tcPr>
          <w:p w14:paraId="20D9A1E1" w14:textId="77777777" w:rsidR="00801C2A" w:rsidRPr="007C2909" w:rsidRDefault="00801C2A">
            <w:pPr>
              <w:spacing w:before="60" w:after="60" w:line="240" w:lineRule="auto"/>
              <w:ind w:firstLine="0"/>
              <w:jc w:val="center"/>
              <w:rPr>
                <w:b/>
                <w:sz w:val="22"/>
                <w:szCs w:val="22"/>
              </w:rPr>
            </w:pPr>
            <w:r w:rsidRPr="007C2909">
              <w:rPr>
                <w:b/>
                <w:sz w:val="22"/>
                <w:szCs w:val="22"/>
              </w:rPr>
              <w:t>2012</w:t>
            </w:r>
          </w:p>
        </w:tc>
      </w:tr>
      <w:tr w:rsidR="00801C2A" w14:paraId="17267DD0" w14:textId="77777777" w:rsidTr="00C51E94">
        <w:tc>
          <w:tcPr>
            <w:tcW w:w="2552" w:type="dxa"/>
            <w:tcBorders>
              <w:bottom w:val="single" w:sz="18" w:space="0" w:color="FFFFFF"/>
            </w:tcBorders>
            <w:shd w:val="pct5" w:color="000000" w:fill="FFFFFF"/>
            <w:hideMark/>
          </w:tcPr>
          <w:p w14:paraId="75A16B5D" w14:textId="77777777" w:rsidR="00801C2A" w:rsidRPr="007C2909" w:rsidRDefault="00801C2A">
            <w:pPr>
              <w:spacing w:before="60" w:after="60" w:line="240" w:lineRule="auto"/>
              <w:ind w:firstLine="0"/>
              <w:rPr>
                <w:b/>
                <w:smallCaps/>
                <w:sz w:val="22"/>
                <w:szCs w:val="22"/>
              </w:rPr>
            </w:pPr>
            <w:r w:rsidRPr="007C2909">
              <w:rPr>
                <w:b/>
                <w:smallCaps/>
                <w:sz w:val="22"/>
                <w:szCs w:val="22"/>
              </w:rPr>
              <w:t>Έσοδα</w:t>
            </w:r>
          </w:p>
        </w:tc>
        <w:tc>
          <w:tcPr>
            <w:tcW w:w="1134" w:type="dxa"/>
            <w:tcBorders>
              <w:bottom w:val="single" w:sz="18" w:space="0" w:color="FFFFFF"/>
            </w:tcBorders>
            <w:shd w:val="pct5" w:color="000000" w:fill="FFFFFF"/>
          </w:tcPr>
          <w:p w14:paraId="4CA0C6AC" w14:textId="77777777" w:rsidR="00801C2A" w:rsidRPr="007C2909" w:rsidRDefault="00801C2A">
            <w:pPr>
              <w:spacing w:before="60" w:after="60" w:line="240" w:lineRule="auto"/>
              <w:ind w:firstLine="0"/>
              <w:jc w:val="center"/>
              <w:rPr>
                <w:sz w:val="22"/>
                <w:szCs w:val="22"/>
              </w:rPr>
            </w:pPr>
          </w:p>
        </w:tc>
        <w:tc>
          <w:tcPr>
            <w:tcW w:w="1134" w:type="dxa"/>
            <w:tcBorders>
              <w:bottom w:val="single" w:sz="18" w:space="0" w:color="FFFFFF"/>
            </w:tcBorders>
            <w:shd w:val="pct5" w:color="000000" w:fill="FFFFFF"/>
          </w:tcPr>
          <w:p w14:paraId="4EF27FF0" w14:textId="77777777" w:rsidR="00801C2A" w:rsidRPr="007C2909" w:rsidRDefault="00801C2A">
            <w:pPr>
              <w:spacing w:before="60" w:after="60" w:line="240" w:lineRule="auto"/>
              <w:ind w:firstLine="0"/>
              <w:jc w:val="center"/>
              <w:rPr>
                <w:sz w:val="22"/>
                <w:szCs w:val="22"/>
              </w:rPr>
            </w:pPr>
          </w:p>
        </w:tc>
        <w:tc>
          <w:tcPr>
            <w:tcW w:w="1134" w:type="dxa"/>
            <w:tcBorders>
              <w:bottom w:val="single" w:sz="18" w:space="0" w:color="FFFFFF"/>
            </w:tcBorders>
            <w:shd w:val="pct5" w:color="000000" w:fill="FFFFFF"/>
          </w:tcPr>
          <w:p w14:paraId="4822F0A8" w14:textId="77777777" w:rsidR="00801C2A" w:rsidRPr="007C2909" w:rsidRDefault="00801C2A">
            <w:pPr>
              <w:spacing w:before="60" w:after="60" w:line="240" w:lineRule="auto"/>
              <w:ind w:firstLine="0"/>
              <w:jc w:val="center"/>
              <w:rPr>
                <w:sz w:val="22"/>
                <w:szCs w:val="22"/>
              </w:rPr>
            </w:pPr>
          </w:p>
        </w:tc>
        <w:tc>
          <w:tcPr>
            <w:tcW w:w="1134" w:type="dxa"/>
            <w:tcBorders>
              <w:bottom w:val="single" w:sz="18" w:space="0" w:color="FFFFFF"/>
            </w:tcBorders>
            <w:shd w:val="pct5" w:color="000000" w:fill="FFFFFF"/>
          </w:tcPr>
          <w:p w14:paraId="7F772808" w14:textId="77777777" w:rsidR="00801C2A" w:rsidRPr="007C2909" w:rsidRDefault="00801C2A">
            <w:pPr>
              <w:spacing w:before="60" w:after="60" w:line="240" w:lineRule="auto"/>
              <w:ind w:firstLine="0"/>
              <w:jc w:val="center"/>
              <w:rPr>
                <w:sz w:val="22"/>
                <w:szCs w:val="22"/>
              </w:rPr>
            </w:pPr>
          </w:p>
        </w:tc>
        <w:tc>
          <w:tcPr>
            <w:tcW w:w="1134" w:type="dxa"/>
            <w:tcBorders>
              <w:bottom w:val="single" w:sz="18" w:space="0" w:color="FFFFFF"/>
            </w:tcBorders>
            <w:shd w:val="pct5" w:color="000000" w:fill="FFFFFF"/>
          </w:tcPr>
          <w:p w14:paraId="1947B44B" w14:textId="77777777" w:rsidR="00801C2A" w:rsidRPr="007C2909" w:rsidRDefault="00801C2A">
            <w:pPr>
              <w:spacing w:before="60" w:after="60" w:line="240" w:lineRule="auto"/>
              <w:ind w:firstLine="0"/>
              <w:jc w:val="center"/>
              <w:rPr>
                <w:sz w:val="22"/>
                <w:szCs w:val="22"/>
              </w:rPr>
            </w:pPr>
          </w:p>
        </w:tc>
        <w:tc>
          <w:tcPr>
            <w:tcW w:w="1242" w:type="dxa"/>
            <w:tcBorders>
              <w:bottom w:val="single" w:sz="18" w:space="0" w:color="FFFFFF"/>
            </w:tcBorders>
            <w:shd w:val="pct5" w:color="000000" w:fill="FFFFFF"/>
          </w:tcPr>
          <w:p w14:paraId="6EDC5E9C" w14:textId="77777777" w:rsidR="00801C2A" w:rsidRPr="007C2909" w:rsidRDefault="00801C2A">
            <w:pPr>
              <w:spacing w:before="60" w:after="60" w:line="240" w:lineRule="auto"/>
              <w:ind w:firstLine="0"/>
              <w:jc w:val="center"/>
              <w:rPr>
                <w:sz w:val="22"/>
                <w:szCs w:val="22"/>
              </w:rPr>
            </w:pPr>
          </w:p>
        </w:tc>
      </w:tr>
      <w:tr w:rsidR="00801C2A" w14:paraId="152F135A" w14:textId="77777777" w:rsidTr="00C51E94">
        <w:tc>
          <w:tcPr>
            <w:tcW w:w="2552" w:type="dxa"/>
            <w:tcBorders>
              <w:top w:val="single" w:sz="18" w:space="0" w:color="FFFFFF"/>
              <w:bottom w:val="single" w:sz="18" w:space="0" w:color="FFFFFF"/>
            </w:tcBorders>
            <w:shd w:val="pct5" w:color="000000" w:fill="FFFFFF"/>
            <w:hideMark/>
          </w:tcPr>
          <w:p w14:paraId="3AB540D9" w14:textId="77777777" w:rsidR="00801C2A" w:rsidRPr="007C2909" w:rsidRDefault="00801C2A">
            <w:pPr>
              <w:spacing w:before="60" w:after="60" w:line="240" w:lineRule="auto"/>
              <w:ind w:firstLine="0"/>
              <w:jc w:val="left"/>
              <w:rPr>
                <w:b/>
                <w:sz w:val="22"/>
                <w:szCs w:val="22"/>
              </w:rPr>
            </w:pPr>
            <w:r w:rsidRPr="007C2909">
              <w:rPr>
                <w:b/>
                <w:sz w:val="22"/>
                <w:szCs w:val="22"/>
              </w:rPr>
              <w:t>Λειτουργία</w:t>
            </w:r>
          </w:p>
        </w:tc>
        <w:tc>
          <w:tcPr>
            <w:tcW w:w="1134" w:type="dxa"/>
            <w:tcBorders>
              <w:top w:val="single" w:sz="18" w:space="0" w:color="FFFFFF"/>
              <w:bottom w:val="single" w:sz="18" w:space="0" w:color="FFFFFF"/>
            </w:tcBorders>
            <w:shd w:val="pct5" w:color="000000" w:fill="FFFFFF"/>
            <w:hideMark/>
          </w:tcPr>
          <w:p w14:paraId="568585B8" w14:textId="77777777" w:rsidR="00801C2A" w:rsidRPr="007C2909" w:rsidRDefault="00801C2A">
            <w:pPr>
              <w:spacing w:before="60" w:after="60" w:line="240" w:lineRule="auto"/>
              <w:ind w:firstLine="0"/>
              <w:jc w:val="center"/>
              <w:rPr>
                <w:sz w:val="22"/>
                <w:szCs w:val="22"/>
              </w:rPr>
            </w:pPr>
            <w:r w:rsidRPr="007C2909">
              <w:rPr>
                <w:sz w:val="22"/>
                <w:szCs w:val="22"/>
              </w:rPr>
              <w:t>53.5</w:t>
            </w:r>
          </w:p>
        </w:tc>
        <w:tc>
          <w:tcPr>
            <w:tcW w:w="1134" w:type="dxa"/>
            <w:tcBorders>
              <w:top w:val="single" w:sz="18" w:space="0" w:color="FFFFFF"/>
            </w:tcBorders>
            <w:shd w:val="pct5" w:color="000000" w:fill="FFFFFF"/>
            <w:hideMark/>
          </w:tcPr>
          <w:p w14:paraId="5B67C938" w14:textId="77777777" w:rsidR="00801C2A" w:rsidRPr="007C2909" w:rsidRDefault="00801C2A">
            <w:pPr>
              <w:spacing w:before="60" w:after="60" w:line="240" w:lineRule="auto"/>
              <w:ind w:firstLine="0"/>
              <w:jc w:val="center"/>
              <w:rPr>
                <w:sz w:val="22"/>
                <w:szCs w:val="22"/>
              </w:rPr>
            </w:pPr>
            <w:r w:rsidRPr="007C2909">
              <w:rPr>
                <w:sz w:val="22"/>
                <w:szCs w:val="22"/>
              </w:rPr>
              <w:t>57.3</w:t>
            </w:r>
          </w:p>
        </w:tc>
        <w:tc>
          <w:tcPr>
            <w:tcW w:w="1134" w:type="dxa"/>
            <w:tcBorders>
              <w:top w:val="single" w:sz="18" w:space="0" w:color="FFFFFF"/>
            </w:tcBorders>
            <w:shd w:val="pct5" w:color="000000" w:fill="FFFFFF"/>
            <w:hideMark/>
          </w:tcPr>
          <w:p w14:paraId="379F6055" w14:textId="77777777" w:rsidR="00801C2A" w:rsidRPr="007C2909" w:rsidRDefault="00801C2A">
            <w:pPr>
              <w:spacing w:before="60" w:after="60" w:line="240" w:lineRule="auto"/>
              <w:ind w:firstLine="0"/>
              <w:jc w:val="center"/>
              <w:rPr>
                <w:sz w:val="22"/>
                <w:szCs w:val="22"/>
              </w:rPr>
            </w:pPr>
            <w:r w:rsidRPr="007C2909">
              <w:rPr>
                <w:sz w:val="22"/>
                <w:szCs w:val="22"/>
              </w:rPr>
              <w:t>61.0</w:t>
            </w:r>
          </w:p>
        </w:tc>
        <w:tc>
          <w:tcPr>
            <w:tcW w:w="1134" w:type="dxa"/>
            <w:tcBorders>
              <w:top w:val="single" w:sz="18" w:space="0" w:color="FFFFFF"/>
            </w:tcBorders>
            <w:shd w:val="pct5" w:color="000000" w:fill="FFFFFF"/>
            <w:hideMark/>
          </w:tcPr>
          <w:p w14:paraId="783F616F" w14:textId="77777777" w:rsidR="00801C2A" w:rsidRPr="007C2909" w:rsidRDefault="00801C2A">
            <w:pPr>
              <w:spacing w:before="60" w:after="60" w:line="240" w:lineRule="auto"/>
              <w:ind w:firstLine="0"/>
              <w:jc w:val="center"/>
              <w:rPr>
                <w:sz w:val="22"/>
                <w:szCs w:val="22"/>
              </w:rPr>
            </w:pPr>
            <w:r w:rsidRPr="007C2909">
              <w:rPr>
                <w:sz w:val="22"/>
                <w:szCs w:val="22"/>
              </w:rPr>
              <w:t>70.3</w:t>
            </w:r>
          </w:p>
        </w:tc>
        <w:tc>
          <w:tcPr>
            <w:tcW w:w="1134" w:type="dxa"/>
            <w:tcBorders>
              <w:top w:val="single" w:sz="18" w:space="0" w:color="FFFFFF"/>
            </w:tcBorders>
            <w:shd w:val="pct5" w:color="000000" w:fill="FFFFFF"/>
            <w:hideMark/>
          </w:tcPr>
          <w:p w14:paraId="3289E73F" w14:textId="77777777" w:rsidR="00801C2A" w:rsidRPr="007C2909" w:rsidRDefault="00801C2A">
            <w:pPr>
              <w:spacing w:before="60" w:after="60" w:line="240" w:lineRule="auto"/>
              <w:ind w:firstLine="0"/>
              <w:jc w:val="center"/>
              <w:rPr>
                <w:sz w:val="22"/>
                <w:szCs w:val="22"/>
              </w:rPr>
            </w:pPr>
            <w:r w:rsidRPr="007C2909">
              <w:rPr>
                <w:sz w:val="22"/>
                <w:szCs w:val="22"/>
              </w:rPr>
              <w:t>77.7</w:t>
            </w:r>
          </w:p>
        </w:tc>
        <w:tc>
          <w:tcPr>
            <w:tcW w:w="1242" w:type="dxa"/>
            <w:tcBorders>
              <w:top w:val="single" w:sz="18" w:space="0" w:color="FFFFFF"/>
            </w:tcBorders>
            <w:shd w:val="pct5" w:color="000000" w:fill="FFFFFF"/>
            <w:hideMark/>
          </w:tcPr>
          <w:p w14:paraId="6F79228B" w14:textId="77777777" w:rsidR="00801C2A" w:rsidRPr="007C2909" w:rsidRDefault="00801C2A">
            <w:pPr>
              <w:spacing w:before="60" w:after="60" w:line="240" w:lineRule="auto"/>
              <w:ind w:firstLine="0"/>
              <w:jc w:val="center"/>
              <w:rPr>
                <w:sz w:val="22"/>
                <w:szCs w:val="22"/>
              </w:rPr>
            </w:pPr>
            <w:r w:rsidRPr="007C2909">
              <w:rPr>
                <w:sz w:val="22"/>
                <w:szCs w:val="22"/>
              </w:rPr>
              <w:t>82.6</w:t>
            </w:r>
          </w:p>
        </w:tc>
      </w:tr>
      <w:tr w:rsidR="00801C2A" w14:paraId="53ED4390" w14:textId="77777777" w:rsidTr="00C51E94">
        <w:tc>
          <w:tcPr>
            <w:tcW w:w="2552" w:type="dxa"/>
            <w:tcBorders>
              <w:top w:val="single" w:sz="18" w:space="0" w:color="FFFFFF"/>
            </w:tcBorders>
            <w:shd w:val="pct20" w:color="000000" w:fill="FFFFFF"/>
            <w:hideMark/>
          </w:tcPr>
          <w:p w14:paraId="4A062A0D" w14:textId="77777777" w:rsidR="00801C2A" w:rsidRPr="007C2909" w:rsidRDefault="00801C2A">
            <w:pPr>
              <w:spacing w:before="60" w:after="60" w:line="240" w:lineRule="auto"/>
              <w:ind w:firstLine="0"/>
              <w:jc w:val="left"/>
              <w:rPr>
                <w:sz w:val="22"/>
                <w:szCs w:val="22"/>
              </w:rPr>
            </w:pPr>
            <w:r w:rsidRPr="007C2909">
              <w:rPr>
                <w:sz w:val="22"/>
                <w:szCs w:val="22"/>
              </w:rPr>
              <w:t xml:space="preserve">Δαπάνες και προσωπικό </w:t>
            </w:r>
            <w:r w:rsidRPr="007C2909">
              <w:rPr>
                <w:sz w:val="22"/>
                <w:szCs w:val="22"/>
              </w:rPr>
              <w:lastRenderedPageBreak/>
              <w:t>και συναφή έξοδα</w:t>
            </w:r>
          </w:p>
        </w:tc>
        <w:tc>
          <w:tcPr>
            <w:tcW w:w="1134" w:type="dxa"/>
            <w:tcBorders>
              <w:top w:val="single" w:sz="18" w:space="0" w:color="FFFFFF"/>
            </w:tcBorders>
            <w:shd w:val="pct20" w:color="000000" w:fill="FFFFFF"/>
          </w:tcPr>
          <w:p w14:paraId="69882410" w14:textId="77777777" w:rsidR="00801C2A" w:rsidRPr="007C2909" w:rsidRDefault="00801C2A">
            <w:pPr>
              <w:spacing w:before="60" w:after="60" w:line="240" w:lineRule="auto"/>
              <w:ind w:firstLine="0"/>
              <w:jc w:val="center"/>
              <w:rPr>
                <w:sz w:val="22"/>
                <w:szCs w:val="22"/>
              </w:rPr>
            </w:pPr>
          </w:p>
          <w:p w14:paraId="26DC76DF" w14:textId="77777777" w:rsidR="00801C2A" w:rsidRPr="007C2909" w:rsidRDefault="00801C2A">
            <w:pPr>
              <w:spacing w:before="60" w:after="60" w:line="240" w:lineRule="auto"/>
              <w:ind w:firstLine="0"/>
              <w:jc w:val="center"/>
              <w:rPr>
                <w:sz w:val="22"/>
                <w:szCs w:val="22"/>
              </w:rPr>
            </w:pPr>
            <w:r w:rsidRPr="007C2909">
              <w:rPr>
                <w:sz w:val="22"/>
                <w:szCs w:val="22"/>
              </w:rPr>
              <w:lastRenderedPageBreak/>
              <w:t>17.1</w:t>
            </w:r>
          </w:p>
        </w:tc>
        <w:tc>
          <w:tcPr>
            <w:tcW w:w="1134" w:type="dxa"/>
            <w:shd w:val="pct20" w:color="000000" w:fill="FFFFFF"/>
          </w:tcPr>
          <w:p w14:paraId="72C9028E" w14:textId="77777777" w:rsidR="00801C2A" w:rsidRPr="007C2909" w:rsidRDefault="00801C2A">
            <w:pPr>
              <w:spacing w:before="60" w:after="60" w:line="240" w:lineRule="auto"/>
              <w:ind w:firstLine="0"/>
              <w:jc w:val="center"/>
              <w:rPr>
                <w:sz w:val="22"/>
                <w:szCs w:val="22"/>
              </w:rPr>
            </w:pPr>
          </w:p>
          <w:p w14:paraId="2473EE9C" w14:textId="77777777" w:rsidR="00801C2A" w:rsidRPr="007C2909" w:rsidRDefault="00801C2A">
            <w:pPr>
              <w:spacing w:before="60" w:after="60" w:line="240" w:lineRule="auto"/>
              <w:ind w:firstLine="0"/>
              <w:jc w:val="center"/>
              <w:rPr>
                <w:sz w:val="22"/>
                <w:szCs w:val="22"/>
              </w:rPr>
            </w:pPr>
            <w:r w:rsidRPr="007C2909">
              <w:rPr>
                <w:sz w:val="22"/>
                <w:szCs w:val="22"/>
              </w:rPr>
              <w:lastRenderedPageBreak/>
              <w:t>18.4</w:t>
            </w:r>
          </w:p>
        </w:tc>
        <w:tc>
          <w:tcPr>
            <w:tcW w:w="1134" w:type="dxa"/>
            <w:shd w:val="pct20" w:color="000000" w:fill="FFFFFF"/>
          </w:tcPr>
          <w:p w14:paraId="0E95953E" w14:textId="77777777" w:rsidR="00801C2A" w:rsidRPr="007C2909" w:rsidRDefault="00801C2A">
            <w:pPr>
              <w:spacing w:before="60" w:after="60" w:line="240" w:lineRule="auto"/>
              <w:ind w:firstLine="0"/>
              <w:jc w:val="center"/>
              <w:rPr>
                <w:sz w:val="22"/>
                <w:szCs w:val="22"/>
              </w:rPr>
            </w:pPr>
          </w:p>
          <w:p w14:paraId="1B8B1257" w14:textId="77777777" w:rsidR="00801C2A" w:rsidRPr="007C2909" w:rsidRDefault="00801C2A">
            <w:pPr>
              <w:spacing w:before="60" w:after="60" w:line="240" w:lineRule="auto"/>
              <w:ind w:firstLine="0"/>
              <w:jc w:val="center"/>
              <w:rPr>
                <w:sz w:val="22"/>
                <w:szCs w:val="22"/>
              </w:rPr>
            </w:pPr>
            <w:r w:rsidRPr="007C2909">
              <w:rPr>
                <w:sz w:val="22"/>
                <w:szCs w:val="22"/>
              </w:rPr>
              <w:lastRenderedPageBreak/>
              <w:t>19.3</w:t>
            </w:r>
          </w:p>
        </w:tc>
        <w:tc>
          <w:tcPr>
            <w:tcW w:w="1134" w:type="dxa"/>
            <w:shd w:val="pct20" w:color="000000" w:fill="FFFFFF"/>
          </w:tcPr>
          <w:p w14:paraId="414B4A87" w14:textId="77777777" w:rsidR="00801C2A" w:rsidRPr="007C2909" w:rsidRDefault="00801C2A">
            <w:pPr>
              <w:spacing w:before="60" w:after="60" w:line="240" w:lineRule="auto"/>
              <w:ind w:firstLine="0"/>
              <w:jc w:val="center"/>
              <w:rPr>
                <w:sz w:val="22"/>
                <w:szCs w:val="22"/>
              </w:rPr>
            </w:pPr>
          </w:p>
          <w:p w14:paraId="0076FC5B" w14:textId="77777777" w:rsidR="00801C2A" w:rsidRPr="007C2909" w:rsidRDefault="00801C2A">
            <w:pPr>
              <w:spacing w:before="60" w:after="60" w:line="240" w:lineRule="auto"/>
              <w:ind w:firstLine="0"/>
              <w:jc w:val="center"/>
              <w:rPr>
                <w:sz w:val="22"/>
                <w:szCs w:val="22"/>
              </w:rPr>
            </w:pPr>
            <w:r w:rsidRPr="007C2909">
              <w:rPr>
                <w:sz w:val="22"/>
                <w:szCs w:val="22"/>
              </w:rPr>
              <w:lastRenderedPageBreak/>
              <w:t>20.6</w:t>
            </w:r>
          </w:p>
        </w:tc>
        <w:tc>
          <w:tcPr>
            <w:tcW w:w="1134" w:type="dxa"/>
            <w:shd w:val="pct20" w:color="000000" w:fill="FFFFFF"/>
          </w:tcPr>
          <w:p w14:paraId="6FBBE454" w14:textId="77777777" w:rsidR="00801C2A" w:rsidRPr="007C2909" w:rsidRDefault="00801C2A">
            <w:pPr>
              <w:spacing w:before="60" w:after="60" w:line="240" w:lineRule="auto"/>
              <w:ind w:firstLine="0"/>
              <w:jc w:val="center"/>
              <w:rPr>
                <w:sz w:val="22"/>
                <w:szCs w:val="22"/>
              </w:rPr>
            </w:pPr>
          </w:p>
          <w:p w14:paraId="16337057" w14:textId="77777777" w:rsidR="00801C2A" w:rsidRPr="007C2909" w:rsidRDefault="00801C2A">
            <w:pPr>
              <w:spacing w:before="60" w:after="60" w:line="240" w:lineRule="auto"/>
              <w:ind w:firstLine="0"/>
              <w:jc w:val="center"/>
              <w:rPr>
                <w:sz w:val="22"/>
                <w:szCs w:val="22"/>
              </w:rPr>
            </w:pPr>
            <w:r w:rsidRPr="007C2909">
              <w:rPr>
                <w:sz w:val="22"/>
                <w:szCs w:val="22"/>
              </w:rPr>
              <w:lastRenderedPageBreak/>
              <w:t>21.1</w:t>
            </w:r>
          </w:p>
        </w:tc>
        <w:tc>
          <w:tcPr>
            <w:tcW w:w="1242" w:type="dxa"/>
            <w:shd w:val="pct20" w:color="000000" w:fill="FFFFFF"/>
          </w:tcPr>
          <w:p w14:paraId="4E69885B" w14:textId="77777777" w:rsidR="00801C2A" w:rsidRPr="007C2909" w:rsidRDefault="00801C2A">
            <w:pPr>
              <w:spacing w:before="60" w:after="60" w:line="240" w:lineRule="auto"/>
              <w:ind w:firstLine="0"/>
              <w:jc w:val="center"/>
              <w:rPr>
                <w:sz w:val="22"/>
                <w:szCs w:val="22"/>
              </w:rPr>
            </w:pPr>
          </w:p>
          <w:p w14:paraId="41A0E13A" w14:textId="77777777" w:rsidR="00801C2A" w:rsidRPr="007C2909" w:rsidRDefault="00801C2A">
            <w:pPr>
              <w:spacing w:before="60" w:after="60" w:line="240" w:lineRule="auto"/>
              <w:ind w:firstLine="0"/>
              <w:jc w:val="center"/>
              <w:rPr>
                <w:sz w:val="22"/>
                <w:szCs w:val="22"/>
              </w:rPr>
            </w:pPr>
            <w:r w:rsidRPr="007C2909">
              <w:rPr>
                <w:sz w:val="22"/>
                <w:szCs w:val="22"/>
              </w:rPr>
              <w:lastRenderedPageBreak/>
              <w:t>21.1</w:t>
            </w:r>
          </w:p>
        </w:tc>
      </w:tr>
      <w:tr w:rsidR="00801C2A" w14:paraId="368C5543" w14:textId="77777777" w:rsidTr="00493B0C">
        <w:tc>
          <w:tcPr>
            <w:tcW w:w="2552" w:type="dxa"/>
            <w:shd w:val="pct5" w:color="000000" w:fill="FFFFFF"/>
            <w:hideMark/>
          </w:tcPr>
          <w:p w14:paraId="5045CED1" w14:textId="77777777" w:rsidR="00801C2A" w:rsidRPr="007C2909" w:rsidRDefault="00801C2A">
            <w:pPr>
              <w:spacing w:before="60" w:after="60" w:line="240" w:lineRule="auto"/>
              <w:ind w:firstLine="0"/>
              <w:jc w:val="left"/>
              <w:rPr>
                <w:sz w:val="22"/>
                <w:szCs w:val="22"/>
              </w:rPr>
            </w:pPr>
            <w:r w:rsidRPr="007C2909">
              <w:rPr>
                <w:sz w:val="22"/>
                <w:szCs w:val="22"/>
              </w:rPr>
              <w:lastRenderedPageBreak/>
              <w:t>Άλλες δαπάνες λειτουργίας</w:t>
            </w:r>
          </w:p>
        </w:tc>
        <w:tc>
          <w:tcPr>
            <w:tcW w:w="1134" w:type="dxa"/>
            <w:shd w:val="pct5" w:color="000000" w:fill="FFFFFF"/>
          </w:tcPr>
          <w:p w14:paraId="211C0A29" w14:textId="77777777" w:rsidR="00801C2A" w:rsidRPr="007C2909" w:rsidRDefault="00801C2A">
            <w:pPr>
              <w:spacing w:before="0" w:after="60" w:line="240" w:lineRule="auto"/>
              <w:ind w:firstLine="0"/>
              <w:jc w:val="center"/>
              <w:rPr>
                <w:sz w:val="22"/>
                <w:szCs w:val="22"/>
              </w:rPr>
            </w:pPr>
          </w:p>
          <w:p w14:paraId="4BBE7F64" w14:textId="77777777" w:rsidR="00801C2A" w:rsidRPr="007C2909" w:rsidRDefault="00801C2A">
            <w:pPr>
              <w:spacing w:before="0" w:after="60" w:line="240" w:lineRule="auto"/>
              <w:ind w:firstLine="0"/>
              <w:jc w:val="center"/>
              <w:rPr>
                <w:sz w:val="22"/>
                <w:szCs w:val="22"/>
              </w:rPr>
            </w:pPr>
            <w:r w:rsidRPr="007C2909">
              <w:rPr>
                <w:sz w:val="22"/>
                <w:szCs w:val="22"/>
              </w:rPr>
              <w:t>36.4</w:t>
            </w:r>
          </w:p>
        </w:tc>
        <w:tc>
          <w:tcPr>
            <w:tcW w:w="1134" w:type="dxa"/>
            <w:shd w:val="pct5" w:color="000000" w:fill="FFFFFF"/>
          </w:tcPr>
          <w:p w14:paraId="6629F784" w14:textId="77777777" w:rsidR="00801C2A" w:rsidRPr="007C2909" w:rsidRDefault="00801C2A">
            <w:pPr>
              <w:spacing w:before="0" w:after="60" w:line="240" w:lineRule="auto"/>
              <w:ind w:firstLine="0"/>
              <w:jc w:val="center"/>
              <w:rPr>
                <w:sz w:val="22"/>
                <w:szCs w:val="22"/>
              </w:rPr>
            </w:pPr>
          </w:p>
          <w:p w14:paraId="73097B23" w14:textId="77777777" w:rsidR="00801C2A" w:rsidRPr="007C2909" w:rsidRDefault="00801C2A">
            <w:pPr>
              <w:spacing w:before="0" w:after="60" w:line="240" w:lineRule="auto"/>
              <w:ind w:firstLine="0"/>
              <w:jc w:val="center"/>
              <w:rPr>
                <w:sz w:val="22"/>
                <w:szCs w:val="22"/>
              </w:rPr>
            </w:pPr>
            <w:r w:rsidRPr="007C2909">
              <w:rPr>
                <w:sz w:val="22"/>
                <w:szCs w:val="22"/>
              </w:rPr>
              <w:t>38.9</w:t>
            </w:r>
          </w:p>
        </w:tc>
        <w:tc>
          <w:tcPr>
            <w:tcW w:w="1134" w:type="dxa"/>
            <w:shd w:val="pct5" w:color="000000" w:fill="FFFFFF"/>
          </w:tcPr>
          <w:p w14:paraId="4DC5D50A" w14:textId="77777777" w:rsidR="00801C2A" w:rsidRPr="007C2909" w:rsidRDefault="00801C2A">
            <w:pPr>
              <w:spacing w:before="0" w:after="60" w:line="240" w:lineRule="auto"/>
              <w:ind w:firstLine="0"/>
              <w:jc w:val="center"/>
              <w:rPr>
                <w:sz w:val="22"/>
                <w:szCs w:val="22"/>
              </w:rPr>
            </w:pPr>
          </w:p>
          <w:p w14:paraId="398ACD0E" w14:textId="77777777" w:rsidR="00801C2A" w:rsidRPr="007C2909" w:rsidRDefault="00801C2A">
            <w:pPr>
              <w:spacing w:before="0" w:after="60" w:line="240" w:lineRule="auto"/>
              <w:ind w:firstLine="0"/>
              <w:jc w:val="center"/>
              <w:rPr>
                <w:sz w:val="22"/>
                <w:szCs w:val="22"/>
              </w:rPr>
            </w:pPr>
            <w:r w:rsidRPr="007C2909">
              <w:rPr>
                <w:sz w:val="22"/>
                <w:szCs w:val="22"/>
              </w:rPr>
              <w:t>41.7</w:t>
            </w:r>
          </w:p>
        </w:tc>
        <w:tc>
          <w:tcPr>
            <w:tcW w:w="1134" w:type="dxa"/>
            <w:shd w:val="pct5" w:color="000000" w:fill="FFFFFF"/>
          </w:tcPr>
          <w:p w14:paraId="1CE9658F" w14:textId="77777777" w:rsidR="00801C2A" w:rsidRPr="007C2909" w:rsidRDefault="00801C2A">
            <w:pPr>
              <w:spacing w:before="0" w:after="60" w:line="240" w:lineRule="auto"/>
              <w:ind w:firstLine="0"/>
              <w:jc w:val="center"/>
              <w:rPr>
                <w:sz w:val="22"/>
                <w:szCs w:val="22"/>
              </w:rPr>
            </w:pPr>
          </w:p>
          <w:p w14:paraId="40E9DFC3" w14:textId="77777777" w:rsidR="00801C2A" w:rsidRPr="007C2909" w:rsidRDefault="00801C2A">
            <w:pPr>
              <w:spacing w:before="0" w:after="60" w:line="240" w:lineRule="auto"/>
              <w:ind w:firstLine="0"/>
              <w:jc w:val="center"/>
              <w:rPr>
                <w:sz w:val="22"/>
                <w:szCs w:val="22"/>
              </w:rPr>
            </w:pPr>
            <w:r w:rsidRPr="007C2909">
              <w:rPr>
                <w:sz w:val="22"/>
                <w:szCs w:val="22"/>
              </w:rPr>
              <w:t>49.7</w:t>
            </w:r>
          </w:p>
        </w:tc>
        <w:tc>
          <w:tcPr>
            <w:tcW w:w="1134" w:type="dxa"/>
            <w:shd w:val="pct5" w:color="000000" w:fill="FFFFFF"/>
          </w:tcPr>
          <w:p w14:paraId="673A1A3F" w14:textId="77777777" w:rsidR="00801C2A" w:rsidRPr="007C2909" w:rsidRDefault="00801C2A">
            <w:pPr>
              <w:spacing w:before="0" w:after="60" w:line="240" w:lineRule="auto"/>
              <w:ind w:firstLine="0"/>
              <w:jc w:val="center"/>
              <w:rPr>
                <w:sz w:val="22"/>
                <w:szCs w:val="22"/>
              </w:rPr>
            </w:pPr>
          </w:p>
          <w:p w14:paraId="3B0DDDFF" w14:textId="77777777" w:rsidR="00801C2A" w:rsidRPr="007C2909" w:rsidRDefault="00801C2A">
            <w:pPr>
              <w:spacing w:before="0" w:after="60" w:line="240" w:lineRule="auto"/>
              <w:ind w:firstLine="0"/>
              <w:jc w:val="center"/>
              <w:rPr>
                <w:sz w:val="22"/>
                <w:szCs w:val="22"/>
              </w:rPr>
            </w:pPr>
            <w:r w:rsidRPr="007C2909">
              <w:rPr>
                <w:sz w:val="22"/>
                <w:szCs w:val="22"/>
              </w:rPr>
              <w:t>56.7</w:t>
            </w:r>
          </w:p>
        </w:tc>
        <w:tc>
          <w:tcPr>
            <w:tcW w:w="1242" w:type="dxa"/>
            <w:shd w:val="pct5" w:color="000000" w:fill="FFFFFF"/>
          </w:tcPr>
          <w:p w14:paraId="1E0A43D3" w14:textId="77777777" w:rsidR="00801C2A" w:rsidRPr="007C2909" w:rsidRDefault="00801C2A">
            <w:pPr>
              <w:spacing w:before="0" w:after="60" w:line="240" w:lineRule="auto"/>
              <w:ind w:firstLine="0"/>
              <w:jc w:val="center"/>
              <w:rPr>
                <w:sz w:val="22"/>
                <w:szCs w:val="22"/>
              </w:rPr>
            </w:pPr>
          </w:p>
          <w:p w14:paraId="0AD8B45F" w14:textId="77777777" w:rsidR="00801C2A" w:rsidRPr="007C2909" w:rsidRDefault="00801C2A">
            <w:pPr>
              <w:spacing w:before="0" w:after="60" w:line="240" w:lineRule="auto"/>
              <w:ind w:firstLine="0"/>
              <w:jc w:val="center"/>
              <w:rPr>
                <w:sz w:val="22"/>
                <w:szCs w:val="22"/>
              </w:rPr>
            </w:pPr>
            <w:r w:rsidRPr="007C2909">
              <w:rPr>
                <w:sz w:val="22"/>
                <w:szCs w:val="22"/>
              </w:rPr>
              <w:t>61.5</w:t>
            </w:r>
          </w:p>
        </w:tc>
      </w:tr>
      <w:tr w:rsidR="00801C2A" w14:paraId="1749512E" w14:textId="77777777" w:rsidTr="00493B0C">
        <w:tc>
          <w:tcPr>
            <w:tcW w:w="2552" w:type="dxa"/>
            <w:shd w:val="pct20" w:color="000000" w:fill="FFFFFF"/>
            <w:hideMark/>
          </w:tcPr>
          <w:p w14:paraId="40AFC062" w14:textId="77777777" w:rsidR="00801C2A" w:rsidRPr="007C2909" w:rsidRDefault="00801C2A">
            <w:pPr>
              <w:spacing w:before="60" w:after="60" w:line="240" w:lineRule="auto"/>
              <w:ind w:firstLine="0"/>
              <w:jc w:val="left"/>
              <w:rPr>
                <w:b/>
                <w:sz w:val="22"/>
                <w:szCs w:val="22"/>
              </w:rPr>
            </w:pPr>
            <w:r w:rsidRPr="007C2909">
              <w:rPr>
                <w:b/>
                <w:sz w:val="22"/>
                <w:szCs w:val="22"/>
              </w:rPr>
              <w:t>Επενδύσεις</w:t>
            </w:r>
          </w:p>
        </w:tc>
        <w:tc>
          <w:tcPr>
            <w:tcW w:w="1134" w:type="dxa"/>
            <w:shd w:val="pct20" w:color="000000" w:fill="FFFFFF"/>
            <w:hideMark/>
          </w:tcPr>
          <w:p w14:paraId="31744FA9" w14:textId="77777777" w:rsidR="00801C2A" w:rsidRPr="007C2909" w:rsidRDefault="00801C2A">
            <w:pPr>
              <w:spacing w:before="60" w:after="60" w:line="240" w:lineRule="auto"/>
              <w:ind w:firstLine="0"/>
              <w:jc w:val="center"/>
              <w:rPr>
                <w:sz w:val="22"/>
                <w:szCs w:val="22"/>
              </w:rPr>
            </w:pPr>
            <w:r w:rsidRPr="007C2909">
              <w:rPr>
                <w:sz w:val="22"/>
                <w:szCs w:val="22"/>
              </w:rPr>
              <w:t>1.3</w:t>
            </w:r>
          </w:p>
        </w:tc>
        <w:tc>
          <w:tcPr>
            <w:tcW w:w="1134" w:type="dxa"/>
            <w:shd w:val="pct20" w:color="000000" w:fill="FFFFFF"/>
            <w:hideMark/>
          </w:tcPr>
          <w:p w14:paraId="5620DAFD" w14:textId="77777777" w:rsidR="00801C2A" w:rsidRPr="007C2909" w:rsidRDefault="00801C2A">
            <w:pPr>
              <w:spacing w:before="60" w:after="60" w:line="240" w:lineRule="auto"/>
              <w:ind w:firstLine="0"/>
              <w:jc w:val="center"/>
              <w:rPr>
                <w:sz w:val="22"/>
                <w:szCs w:val="22"/>
              </w:rPr>
            </w:pPr>
            <w:r w:rsidRPr="007C2909">
              <w:rPr>
                <w:sz w:val="22"/>
                <w:szCs w:val="22"/>
              </w:rPr>
              <w:t>1.4</w:t>
            </w:r>
          </w:p>
        </w:tc>
        <w:tc>
          <w:tcPr>
            <w:tcW w:w="1134" w:type="dxa"/>
            <w:shd w:val="pct20" w:color="000000" w:fill="FFFFFF"/>
            <w:hideMark/>
          </w:tcPr>
          <w:p w14:paraId="457DF886" w14:textId="77777777" w:rsidR="00801C2A" w:rsidRPr="007C2909" w:rsidRDefault="00801C2A">
            <w:pPr>
              <w:spacing w:before="60" w:after="60" w:line="240" w:lineRule="auto"/>
              <w:ind w:firstLine="0"/>
              <w:jc w:val="center"/>
              <w:rPr>
                <w:sz w:val="22"/>
                <w:szCs w:val="22"/>
              </w:rPr>
            </w:pPr>
            <w:r w:rsidRPr="007C2909">
              <w:rPr>
                <w:sz w:val="22"/>
                <w:szCs w:val="22"/>
              </w:rPr>
              <w:t>1.7</w:t>
            </w:r>
          </w:p>
        </w:tc>
        <w:tc>
          <w:tcPr>
            <w:tcW w:w="1134" w:type="dxa"/>
            <w:shd w:val="pct20" w:color="000000" w:fill="FFFFFF"/>
            <w:hideMark/>
          </w:tcPr>
          <w:p w14:paraId="0CB3F3A4" w14:textId="77777777" w:rsidR="00801C2A" w:rsidRPr="007C2909" w:rsidRDefault="00801C2A">
            <w:pPr>
              <w:spacing w:before="60" w:after="60" w:line="240" w:lineRule="auto"/>
              <w:ind w:firstLine="0"/>
              <w:jc w:val="center"/>
              <w:rPr>
                <w:sz w:val="22"/>
                <w:szCs w:val="22"/>
              </w:rPr>
            </w:pPr>
            <w:r w:rsidRPr="007C2909">
              <w:rPr>
                <w:sz w:val="22"/>
                <w:szCs w:val="22"/>
              </w:rPr>
              <w:t>1.8</w:t>
            </w:r>
          </w:p>
        </w:tc>
        <w:tc>
          <w:tcPr>
            <w:tcW w:w="1134" w:type="dxa"/>
            <w:shd w:val="pct20" w:color="000000" w:fill="FFFFFF"/>
            <w:hideMark/>
          </w:tcPr>
          <w:p w14:paraId="6E968E93" w14:textId="77777777" w:rsidR="00801C2A" w:rsidRPr="007C2909" w:rsidRDefault="00801C2A">
            <w:pPr>
              <w:spacing w:before="60" w:after="60" w:line="240" w:lineRule="auto"/>
              <w:ind w:firstLine="0"/>
              <w:jc w:val="center"/>
              <w:rPr>
                <w:sz w:val="22"/>
                <w:szCs w:val="22"/>
              </w:rPr>
            </w:pPr>
            <w:r w:rsidRPr="007C2909">
              <w:rPr>
                <w:sz w:val="22"/>
                <w:szCs w:val="22"/>
              </w:rPr>
              <w:t>1.8</w:t>
            </w:r>
          </w:p>
        </w:tc>
        <w:tc>
          <w:tcPr>
            <w:tcW w:w="1242" w:type="dxa"/>
            <w:shd w:val="pct20" w:color="000000" w:fill="FFFFFF"/>
            <w:hideMark/>
          </w:tcPr>
          <w:p w14:paraId="20E89FDB" w14:textId="77777777" w:rsidR="00801C2A" w:rsidRPr="007C2909" w:rsidRDefault="00801C2A">
            <w:pPr>
              <w:spacing w:before="60" w:after="60" w:line="240" w:lineRule="auto"/>
              <w:ind w:firstLine="0"/>
              <w:jc w:val="center"/>
              <w:rPr>
                <w:sz w:val="22"/>
                <w:szCs w:val="22"/>
              </w:rPr>
            </w:pPr>
            <w:r w:rsidRPr="007C2909">
              <w:rPr>
                <w:sz w:val="22"/>
                <w:szCs w:val="22"/>
              </w:rPr>
              <w:t>2.2</w:t>
            </w:r>
          </w:p>
        </w:tc>
      </w:tr>
      <w:tr w:rsidR="00801C2A" w14:paraId="6EB57053" w14:textId="77777777" w:rsidTr="00493B0C">
        <w:tc>
          <w:tcPr>
            <w:tcW w:w="2552" w:type="dxa"/>
            <w:shd w:val="pct5" w:color="000000" w:fill="FFFFFF"/>
            <w:hideMark/>
          </w:tcPr>
          <w:p w14:paraId="72BC0329" w14:textId="77777777" w:rsidR="00801C2A" w:rsidRPr="007C2909" w:rsidRDefault="00801C2A">
            <w:pPr>
              <w:spacing w:before="60" w:after="60" w:line="240" w:lineRule="auto"/>
              <w:ind w:firstLine="0"/>
              <w:jc w:val="left"/>
              <w:rPr>
                <w:b/>
                <w:sz w:val="22"/>
                <w:szCs w:val="22"/>
              </w:rPr>
            </w:pPr>
            <w:r w:rsidRPr="007C2909">
              <w:rPr>
                <w:b/>
                <w:sz w:val="22"/>
                <w:szCs w:val="22"/>
              </w:rPr>
              <w:t xml:space="preserve">Σύνολο δαπανών </w:t>
            </w:r>
          </w:p>
        </w:tc>
        <w:tc>
          <w:tcPr>
            <w:tcW w:w="1134" w:type="dxa"/>
            <w:shd w:val="pct5" w:color="000000" w:fill="FFFFFF"/>
            <w:hideMark/>
          </w:tcPr>
          <w:p w14:paraId="31D2379A" w14:textId="77777777" w:rsidR="00801C2A" w:rsidRPr="007C2909" w:rsidRDefault="00801C2A">
            <w:pPr>
              <w:spacing w:before="60" w:after="60" w:line="240" w:lineRule="auto"/>
              <w:ind w:firstLine="0"/>
              <w:jc w:val="center"/>
              <w:rPr>
                <w:b/>
                <w:spacing w:val="-10"/>
                <w:sz w:val="22"/>
                <w:szCs w:val="22"/>
              </w:rPr>
            </w:pPr>
            <w:r w:rsidRPr="007C2909">
              <w:rPr>
                <w:b/>
                <w:spacing w:val="-10"/>
                <w:sz w:val="22"/>
                <w:szCs w:val="22"/>
              </w:rPr>
              <w:t xml:space="preserve">54.8 εκ. </w:t>
            </w:r>
            <w:r w:rsidRPr="007C2909">
              <w:rPr>
                <w:rStyle w:val="st"/>
                <w:rFonts w:eastAsia="Calibri"/>
                <w:b/>
                <w:spacing w:val="-10"/>
                <w:sz w:val="22"/>
                <w:szCs w:val="22"/>
              </w:rPr>
              <w:t>€</w:t>
            </w:r>
          </w:p>
        </w:tc>
        <w:tc>
          <w:tcPr>
            <w:tcW w:w="1134" w:type="dxa"/>
            <w:shd w:val="pct5" w:color="000000" w:fill="FFFFFF"/>
            <w:hideMark/>
          </w:tcPr>
          <w:p w14:paraId="68ABE496" w14:textId="77777777" w:rsidR="00801C2A" w:rsidRPr="007C2909" w:rsidRDefault="00801C2A">
            <w:pPr>
              <w:spacing w:before="60" w:after="60" w:line="240" w:lineRule="auto"/>
              <w:ind w:firstLine="0"/>
              <w:jc w:val="center"/>
              <w:rPr>
                <w:b/>
                <w:spacing w:val="-10"/>
                <w:sz w:val="22"/>
                <w:szCs w:val="22"/>
              </w:rPr>
            </w:pPr>
            <w:r w:rsidRPr="007C2909">
              <w:rPr>
                <w:b/>
                <w:spacing w:val="-10"/>
                <w:sz w:val="22"/>
                <w:szCs w:val="22"/>
              </w:rPr>
              <w:t>58.7</w:t>
            </w:r>
            <w:r w:rsidRPr="007C2909">
              <w:rPr>
                <w:rFonts w:eastAsia="Calibri"/>
                <w:b/>
                <w:spacing w:val="-10"/>
                <w:sz w:val="22"/>
                <w:szCs w:val="22"/>
              </w:rPr>
              <w:t xml:space="preserve">εκ. </w:t>
            </w:r>
            <w:r w:rsidRPr="007C2909">
              <w:rPr>
                <w:rStyle w:val="st"/>
                <w:rFonts w:eastAsia="Calibri"/>
                <w:b/>
                <w:spacing w:val="-10"/>
                <w:sz w:val="22"/>
                <w:szCs w:val="22"/>
              </w:rPr>
              <w:t>€</w:t>
            </w:r>
          </w:p>
        </w:tc>
        <w:tc>
          <w:tcPr>
            <w:tcW w:w="1134" w:type="dxa"/>
            <w:shd w:val="pct5" w:color="000000" w:fill="FFFFFF"/>
            <w:hideMark/>
          </w:tcPr>
          <w:p w14:paraId="256D3FF0" w14:textId="77777777" w:rsidR="00801C2A" w:rsidRPr="007C2909" w:rsidRDefault="00801C2A">
            <w:pPr>
              <w:spacing w:before="60" w:after="60" w:line="240" w:lineRule="auto"/>
              <w:ind w:firstLine="0"/>
              <w:jc w:val="center"/>
              <w:rPr>
                <w:b/>
                <w:spacing w:val="-10"/>
                <w:sz w:val="22"/>
                <w:szCs w:val="22"/>
              </w:rPr>
            </w:pPr>
            <w:r w:rsidRPr="007C2909">
              <w:rPr>
                <w:b/>
                <w:spacing w:val="-10"/>
                <w:sz w:val="22"/>
                <w:szCs w:val="22"/>
              </w:rPr>
              <w:t>62.7</w:t>
            </w:r>
            <w:r w:rsidRPr="007C2909">
              <w:rPr>
                <w:rFonts w:eastAsia="Calibri"/>
                <w:b/>
                <w:spacing w:val="-10"/>
                <w:sz w:val="22"/>
                <w:szCs w:val="22"/>
              </w:rPr>
              <w:t xml:space="preserve">εκ. </w:t>
            </w:r>
            <w:r w:rsidRPr="007C2909">
              <w:rPr>
                <w:rStyle w:val="st"/>
                <w:rFonts w:eastAsia="Calibri"/>
                <w:b/>
                <w:spacing w:val="-10"/>
                <w:sz w:val="22"/>
                <w:szCs w:val="22"/>
              </w:rPr>
              <w:t>€</w:t>
            </w:r>
          </w:p>
        </w:tc>
        <w:tc>
          <w:tcPr>
            <w:tcW w:w="1134" w:type="dxa"/>
            <w:shd w:val="pct5" w:color="000000" w:fill="FFFFFF"/>
            <w:hideMark/>
          </w:tcPr>
          <w:p w14:paraId="6B3A8DD0" w14:textId="77777777" w:rsidR="00801C2A" w:rsidRPr="007C2909" w:rsidRDefault="00801C2A">
            <w:pPr>
              <w:spacing w:before="60" w:after="60" w:line="240" w:lineRule="auto"/>
              <w:ind w:firstLine="0"/>
              <w:jc w:val="center"/>
              <w:rPr>
                <w:b/>
                <w:spacing w:val="-10"/>
                <w:sz w:val="22"/>
                <w:szCs w:val="22"/>
              </w:rPr>
            </w:pPr>
            <w:r w:rsidRPr="007C2909">
              <w:rPr>
                <w:b/>
                <w:spacing w:val="-10"/>
                <w:sz w:val="22"/>
                <w:szCs w:val="22"/>
              </w:rPr>
              <w:t>72.1</w:t>
            </w:r>
            <w:r w:rsidRPr="007C2909">
              <w:rPr>
                <w:rFonts w:eastAsia="Calibri"/>
                <w:b/>
                <w:spacing w:val="-10"/>
                <w:sz w:val="22"/>
                <w:szCs w:val="22"/>
              </w:rPr>
              <w:t xml:space="preserve">εκ. </w:t>
            </w:r>
            <w:r w:rsidRPr="007C2909">
              <w:rPr>
                <w:rStyle w:val="st"/>
                <w:rFonts w:eastAsia="Calibri"/>
                <w:b/>
                <w:spacing w:val="-10"/>
                <w:sz w:val="22"/>
                <w:szCs w:val="22"/>
              </w:rPr>
              <w:t>€</w:t>
            </w:r>
          </w:p>
        </w:tc>
        <w:tc>
          <w:tcPr>
            <w:tcW w:w="1134" w:type="dxa"/>
            <w:shd w:val="pct5" w:color="000000" w:fill="FFFFFF"/>
            <w:hideMark/>
          </w:tcPr>
          <w:p w14:paraId="405F442C" w14:textId="77777777" w:rsidR="00801C2A" w:rsidRPr="007C2909" w:rsidRDefault="00801C2A">
            <w:pPr>
              <w:spacing w:before="60" w:after="60" w:line="240" w:lineRule="auto"/>
              <w:ind w:firstLine="0"/>
              <w:jc w:val="center"/>
              <w:rPr>
                <w:b/>
                <w:spacing w:val="-10"/>
                <w:sz w:val="22"/>
                <w:szCs w:val="22"/>
              </w:rPr>
            </w:pPr>
            <w:r w:rsidRPr="007C2909">
              <w:rPr>
                <w:b/>
                <w:spacing w:val="-10"/>
                <w:sz w:val="22"/>
                <w:szCs w:val="22"/>
              </w:rPr>
              <w:t xml:space="preserve">79.6 </w:t>
            </w:r>
            <w:r w:rsidRPr="007C2909">
              <w:rPr>
                <w:rFonts w:eastAsia="Calibri"/>
                <w:b/>
                <w:spacing w:val="-10"/>
                <w:sz w:val="22"/>
                <w:szCs w:val="22"/>
              </w:rPr>
              <w:t xml:space="preserve">εκ. </w:t>
            </w:r>
            <w:r w:rsidRPr="007C2909">
              <w:rPr>
                <w:rStyle w:val="st"/>
                <w:rFonts w:eastAsia="Calibri"/>
                <w:b/>
                <w:spacing w:val="-10"/>
                <w:sz w:val="22"/>
                <w:szCs w:val="22"/>
              </w:rPr>
              <w:t>€</w:t>
            </w:r>
          </w:p>
        </w:tc>
        <w:tc>
          <w:tcPr>
            <w:tcW w:w="1242" w:type="dxa"/>
            <w:shd w:val="pct5" w:color="000000" w:fill="FFFFFF"/>
            <w:hideMark/>
          </w:tcPr>
          <w:p w14:paraId="21C71D22" w14:textId="77777777" w:rsidR="00801C2A" w:rsidRPr="007C2909" w:rsidRDefault="00801C2A">
            <w:pPr>
              <w:spacing w:before="60" w:after="60" w:line="240" w:lineRule="auto"/>
              <w:ind w:firstLine="0"/>
              <w:jc w:val="center"/>
              <w:rPr>
                <w:b/>
                <w:spacing w:val="-10"/>
                <w:sz w:val="22"/>
                <w:szCs w:val="22"/>
              </w:rPr>
            </w:pPr>
            <w:r w:rsidRPr="007C2909">
              <w:rPr>
                <w:b/>
                <w:spacing w:val="-10"/>
                <w:sz w:val="22"/>
                <w:szCs w:val="22"/>
              </w:rPr>
              <w:t xml:space="preserve">84.8 </w:t>
            </w:r>
            <w:r w:rsidRPr="007C2909">
              <w:rPr>
                <w:rFonts w:eastAsia="Calibri"/>
                <w:b/>
                <w:spacing w:val="-10"/>
                <w:sz w:val="22"/>
                <w:szCs w:val="22"/>
              </w:rPr>
              <w:t xml:space="preserve">εκ. </w:t>
            </w:r>
            <w:r w:rsidRPr="007C2909">
              <w:rPr>
                <w:rStyle w:val="st"/>
                <w:rFonts w:eastAsia="Calibri"/>
                <w:b/>
                <w:spacing w:val="-10"/>
                <w:sz w:val="22"/>
                <w:szCs w:val="22"/>
              </w:rPr>
              <w:t>€</w:t>
            </w:r>
          </w:p>
        </w:tc>
      </w:tr>
      <w:tr w:rsidR="00801C2A" w14:paraId="1F9E2DB6" w14:textId="77777777" w:rsidTr="00493B0C">
        <w:tc>
          <w:tcPr>
            <w:tcW w:w="2552" w:type="dxa"/>
            <w:shd w:val="pct20" w:color="000000" w:fill="FFFFFF"/>
            <w:hideMark/>
          </w:tcPr>
          <w:p w14:paraId="41A30B3A" w14:textId="77777777" w:rsidR="00801C2A" w:rsidRPr="007C2909" w:rsidRDefault="00801C2A">
            <w:pPr>
              <w:spacing w:before="60" w:after="60" w:line="240" w:lineRule="auto"/>
              <w:ind w:firstLine="0"/>
              <w:jc w:val="left"/>
              <w:rPr>
                <w:b/>
                <w:smallCaps/>
                <w:sz w:val="22"/>
                <w:szCs w:val="22"/>
              </w:rPr>
            </w:pPr>
            <w:r w:rsidRPr="007C2909">
              <w:rPr>
                <w:b/>
                <w:smallCaps/>
                <w:sz w:val="22"/>
                <w:szCs w:val="22"/>
              </w:rPr>
              <w:t xml:space="preserve">Έσοδα </w:t>
            </w:r>
          </w:p>
        </w:tc>
        <w:tc>
          <w:tcPr>
            <w:tcW w:w="1134" w:type="dxa"/>
            <w:shd w:val="pct20" w:color="000000" w:fill="FFFFFF"/>
          </w:tcPr>
          <w:p w14:paraId="26F27947" w14:textId="77777777" w:rsidR="00801C2A" w:rsidRPr="007C2909" w:rsidRDefault="00801C2A">
            <w:pPr>
              <w:spacing w:before="60" w:after="60" w:line="240" w:lineRule="auto"/>
              <w:ind w:firstLine="0"/>
              <w:jc w:val="center"/>
              <w:rPr>
                <w:sz w:val="22"/>
                <w:szCs w:val="22"/>
              </w:rPr>
            </w:pPr>
          </w:p>
        </w:tc>
        <w:tc>
          <w:tcPr>
            <w:tcW w:w="1134" w:type="dxa"/>
            <w:shd w:val="pct20" w:color="000000" w:fill="FFFFFF"/>
          </w:tcPr>
          <w:p w14:paraId="3F235E07" w14:textId="77777777" w:rsidR="00801C2A" w:rsidRPr="007C2909" w:rsidRDefault="00801C2A">
            <w:pPr>
              <w:spacing w:before="60" w:after="60" w:line="240" w:lineRule="auto"/>
              <w:ind w:firstLine="0"/>
              <w:jc w:val="center"/>
              <w:rPr>
                <w:sz w:val="22"/>
                <w:szCs w:val="22"/>
              </w:rPr>
            </w:pPr>
          </w:p>
        </w:tc>
        <w:tc>
          <w:tcPr>
            <w:tcW w:w="1134" w:type="dxa"/>
            <w:shd w:val="pct20" w:color="000000" w:fill="FFFFFF"/>
          </w:tcPr>
          <w:p w14:paraId="4ADB0616" w14:textId="77777777" w:rsidR="00801C2A" w:rsidRPr="007C2909" w:rsidRDefault="00801C2A">
            <w:pPr>
              <w:spacing w:before="60" w:after="60" w:line="240" w:lineRule="auto"/>
              <w:ind w:firstLine="0"/>
              <w:jc w:val="center"/>
              <w:rPr>
                <w:sz w:val="22"/>
                <w:szCs w:val="22"/>
              </w:rPr>
            </w:pPr>
          </w:p>
        </w:tc>
        <w:tc>
          <w:tcPr>
            <w:tcW w:w="1134" w:type="dxa"/>
            <w:shd w:val="pct20" w:color="000000" w:fill="FFFFFF"/>
          </w:tcPr>
          <w:p w14:paraId="4F856823" w14:textId="77777777" w:rsidR="00801C2A" w:rsidRPr="007C2909" w:rsidRDefault="00801C2A">
            <w:pPr>
              <w:spacing w:before="60" w:after="60" w:line="240" w:lineRule="auto"/>
              <w:ind w:firstLine="0"/>
              <w:jc w:val="center"/>
              <w:rPr>
                <w:sz w:val="22"/>
                <w:szCs w:val="22"/>
              </w:rPr>
            </w:pPr>
          </w:p>
        </w:tc>
        <w:tc>
          <w:tcPr>
            <w:tcW w:w="1134" w:type="dxa"/>
            <w:shd w:val="pct20" w:color="000000" w:fill="FFFFFF"/>
          </w:tcPr>
          <w:p w14:paraId="4BF8E101" w14:textId="77777777" w:rsidR="00801C2A" w:rsidRPr="007C2909" w:rsidRDefault="00801C2A">
            <w:pPr>
              <w:spacing w:before="60" w:after="60" w:line="240" w:lineRule="auto"/>
              <w:ind w:firstLine="0"/>
              <w:jc w:val="center"/>
              <w:rPr>
                <w:sz w:val="22"/>
                <w:szCs w:val="22"/>
              </w:rPr>
            </w:pPr>
          </w:p>
        </w:tc>
        <w:tc>
          <w:tcPr>
            <w:tcW w:w="1242" w:type="dxa"/>
            <w:shd w:val="pct20" w:color="000000" w:fill="FFFFFF"/>
          </w:tcPr>
          <w:p w14:paraId="25DCB87C" w14:textId="77777777" w:rsidR="00801C2A" w:rsidRPr="007C2909" w:rsidRDefault="00801C2A">
            <w:pPr>
              <w:spacing w:before="60" w:after="60" w:line="240" w:lineRule="auto"/>
              <w:ind w:firstLine="0"/>
              <w:jc w:val="center"/>
              <w:rPr>
                <w:sz w:val="22"/>
                <w:szCs w:val="22"/>
              </w:rPr>
            </w:pPr>
          </w:p>
        </w:tc>
      </w:tr>
      <w:tr w:rsidR="00801C2A" w14:paraId="07D4BD6B" w14:textId="77777777" w:rsidTr="00493B0C">
        <w:tc>
          <w:tcPr>
            <w:tcW w:w="2552" w:type="dxa"/>
            <w:shd w:val="pct5" w:color="000000" w:fill="FFFFFF"/>
            <w:hideMark/>
          </w:tcPr>
          <w:p w14:paraId="124C6F98" w14:textId="77777777" w:rsidR="00801C2A" w:rsidRPr="007C2909" w:rsidRDefault="00801C2A">
            <w:pPr>
              <w:spacing w:before="60" w:after="60" w:line="240" w:lineRule="auto"/>
              <w:ind w:firstLine="0"/>
              <w:jc w:val="left"/>
              <w:rPr>
                <w:sz w:val="22"/>
                <w:szCs w:val="22"/>
              </w:rPr>
            </w:pPr>
            <w:r w:rsidRPr="007C2909">
              <w:rPr>
                <w:sz w:val="22"/>
                <w:szCs w:val="22"/>
              </w:rPr>
              <w:t xml:space="preserve">Χορηγία από το Κράτος </w:t>
            </w:r>
          </w:p>
        </w:tc>
        <w:tc>
          <w:tcPr>
            <w:tcW w:w="1134" w:type="dxa"/>
            <w:shd w:val="pct5" w:color="000000" w:fill="FFFFFF"/>
            <w:hideMark/>
          </w:tcPr>
          <w:p w14:paraId="1961D0D8" w14:textId="77777777" w:rsidR="00801C2A" w:rsidRPr="007C2909" w:rsidRDefault="00801C2A">
            <w:pPr>
              <w:spacing w:before="60" w:after="60" w:line="240" w:lineRule="auto"/>
              <w:ind w:firstLine="0"/>
              <w:jc w:val="center"/>
              <w:rPr>
                <w:sz w:val="22"/>
                <w:szCs w:val="22"/>
              </w:rPr>
            </w:pPr>
            <w:r w:rsidRPr="007C2909">
              <w:rPr>
                <w:rFonts w:eastAsia="Calibri"/>
                <w:sz w:val="22"/>
                <w:szCs w:val="22"/>
              </w:rPr>
              <w:t>10.7</w:t>
            </w:r>
          </w:p>
        </w:tc>
        <w:tc>
          <w:tcPr>
            <w:tcW w:w="1134" w:type="dxa"/>
            <w:shd w:val="pct5" w:color="000000" w:fill="FFFFFF"/>
            <w:hideMark/>
          </w:tcPr>
          <w:p w14:paraId="5895B1E7" w14:textId="77777777" w:rsidR="00801C2A" w:rsidRPr="007C2909" w:rsidRDefault="00801C2A">
            <w:pPr>
              <w:spacing w:before="60" w:after="60" w:line="240" w:lineRule="auto"/>
              <w:ind w:firstLine="0"/>
              <w:jc w:val="center"/>
              <w:rPr>
                <w:sz w:val="22"/>
                <w:szCs w:val="22"/>
              </w:rPr>
            </w:pPr>
            <w:r w:rsidRPr="007C2909">
              <w:rPr>
                <w:sz w:val="22"/>
                <w:szCs w:val="22"/>
              </w:rPr>
              <w:t>11.3</w:t>
            </w:r>
          </w:p>
        </w:tc>
        <w:tc>
          <w:tcPr>
            <w:tcW w:w="1134" w:type="dxa"/>
            <w:shd w:val="pct5" w:color="000000" w:fill="FFFFFF"/>
            <w:hideMark/>
          </w:tcPr>
          <w:p w14:paraId="01D6D70B" w14:textId="77777777" w:rsidR="00801C2A" w:rsidRPr="007C2909" w:rsidRDefault="00801C2A">
            <w:pPr>
              <w:spacing w:before="60" w:after="60" w:line="240" w:lineRule="auto"/>
              <w:ind w:firstLine="0"/>
              <w:jc w:val="center"/>
              <w:rPr>
                <w:sz w:val="22"/>
                <w:szCs w:val="22"/>
              </w:rPr>
            </w:pPr>
            <w:r w:rsidRPr="007C2909">
              <w:rPr>
                <w:sz w:val="22"/>
                <w:szCs w:val="22"/>
              </w:rPr>
              <w:t>12.1</w:t>
            </w:r>
          </w:p>
        </w:tc>
        <w:tc>
          <w:tcPr>
            <w:tcW w:w="1134" w:type="dxa"/>
            <w:shd w:val="pct5" w:color="000000" w:fill="FFFFFF"/>
            <w:hideMark/>
          </w:tcPr>
          <w:p w14:paraId="2A047898" w14:textId="77777777" w:rsidR="00801C2A" w:rsidRPr="007C2909" w:rsidRDefault="00801C2A">
            <w:pPr>
              <w:spacing w:before="60" w:after="60" w:line="240" w:lineRule="auto"/>
              <w:ind w:firstLine="0"/>
              <w:jc w:val="center"/>
              <w:rPr>
                <w:sz w:val="22"/>
                <w:szCs w:val="22"/>
              </w:rPr>
            </w:pPr>
            <w:r w:rsidRPr="007C2909">
              <w:rPr>
                <w:sz w:val="22"/>
                <w:szCs w:val="22"/>
              </w:rPr>
              <w:t>13.1</w:t>
            </w:r>
          </w:p>
        </w:tc>
        <w:tc>
          <w:tcPr>
            <w:tcW w:w="1134" w:type="dxa"/>
            <w:shd w:val="pct5" w:color="000000" w:fill="FFFFFF"/>
            <w:hideMark/>
          </w:tcPr>
          <w:p w14:paraId="08933086" w14:textId="77777777" w:rsidR="00801C2A" w:rsidRPr="007C2909" w:rsidRDefault="00801C2A">
            <w:pPr>
              <w:spacing w:before="60" w:after="60" w:line="240" w:lineRule="auto"/>
              <w:ind w:firstLine="0"/>
              <w:jc w:val="center"/>
              <w:rPr>
                <w:sz w:val="22"/>
                <w:szCs w:val="22"/>
              </w:rPr>
            </w:pPr>
            <w:r w:rsidRPr="007C2909">
              <w:rPr>
                <w:sz w:val="22"/>
                <w:szCs w:val="22"/>
              </w:rPr>
              <w:t>12.5</w:t>
            </w:r>
          </w:p>
        </w:tc>
        <w:tc>
          <w:tcPr>
            <w:tcW w:w="1242" w:type="dxa"/>
            <w:shd w:val="pct5" w:color="000000" w:fill="FFFFFF"/>
            <w:hideMark/>
          </w:tcPr>
          <w:p w14:paraId="11B92BDF" w14:textId="77777777" w:rsidR="00801C2A" w:rsidRPr="007C2909" w:rsidRDefault="00801C2A">
            <w:pPr>
              <w:spacing w:before="60" w:after="60" w:line="240" w:lineRule="auto"/>
              <w:ind w:firstLine="0"/>
              <w:jc w:val="center"/>
              <w:rPr>
                <w:sz w:val="22"/>
                <w:szCs w:val="22"/>
              </w:rPr>
            </w:pPr>
            <w:r w:rsidRPr="007C2909">
              <w:rPr>
                <w:sz w:val="22"/>
                <w:szCs w:val="22"/>
              </w:rPr>
              <w:t>11.6</w:t>
            </w:r>
          </w:p>
        </w:tc>
      </w:tr>
      <w:tr w:rsidR="00801C2A" w14:paraId="69305ABB" w14:textId="77777777" w:rsidTr="00493B0C">
        <w:tc>
          <w:tcPr>
            <w:tcW w:w="2552" w:type="dxa"/>
            <w:shd w:val="pct20" w:color="000000" w:fill="FFFFFF"/>
            <w:hideMark/>
          </w:tcPr>
          <w:p w14:paraId="07735637" w14:textId="77777777" w:rsidR="00801C2A" w:rsidRPr="007C2909" w:rsidRDefault="00801C2A">
            <w:pPr>
              <w:spacing w:before="60" w:after="60" w:line="240" w:lineRule="auto"/>
              <w:ind w:firstLine="0"/>
              <w:jc w:val="left"/>
              <w:rPr>
                <w:sz w:val="22"/>
                <w:szCs w:val="22"/>
              </w:rPr>
            </w:pPr>
            <w:r w:rsidRPr="007C2909">
              <w:rPr>
                <w:sz w:val="22"/>
                <w:szCs w:val="22"/>
              </w:rPr>
              <w:t>Χορηγία από τ</w:t>
            </w:r>
            <w:r w:rsidRPr="007C2909">
              <w:rPr>
                <w:sz w:val="22"/>
                <w:szCs w:val="22"/>
                <w:lang w:val="fr-FR"/>
              </w:rPr>
              <w:t>o</w:t>
            </w:r>
            <w:r w:rsidRPr="007C2909">
              <w:rPr>
                <w:sz w:val="22"/>
                <w:szCs w:val="22"/>
              </w:rPr>
              <w:t xml:space="preserve"> Εθνικό Ταμείο Ασφάλισης Υγείας (</w:t>
            </w:r>
            <w:r w:rsidRPr="007C2909">
              <w:rPr>
                <w:rStyle w:val="Emphasis"/>
                <w:rFonts w:eastAsia="Calibri"/>
                <w:sz w:val="22"/>
                <w:szCs w:val="22"/>
                <w:lang w:val="fr-FR"/>
              </w:rPr>
              <w:t>Caisse nationale</w:t>
            </w:r>
            <w:r w:rsidRPr="007C2909">
              <w:rPr>
                <w:rStyle w:val="st"/>
                <w:rFonts w:eastAsia="Calibri"/>
                <w:sz w:val="22"/>
                <w:szCs w:val="22"/>
                <w:lang w:val="fr-FR"/>
              </w:rPr>
              <w:t xml:space="preserve"> </w:t>
            </w:r>
            <w:r w:rsidRPr="007C2909">
              <w:rPr>
                <w:rStyle w:val="st"/>
                <w:rFonts w:eastAsia="Calibri"/>
                <w:i/>
                <w:sz w:val="22"/>
                <w:szCs w:val="22"/>
                <w:lang w:val="fr-FR"/>
              </w:rPr>
              <w:t>de l</w:t>
            </w:r>
            <w:r w:rsidRPr="007C2909">
              <w:rPr>
                <w:rStyle w:val="st"/>
                <w:rFonts w:eastAsia="Calibri"/>
                <w:i/>
                <w:sz w:val="22"/>
                <w:szCs w:val="22"/>
              </w:rPr>
              <w:t>'</w:t>
            </w:r>
            <w:r w:rsidRPr="007C2909">
              <w:rPr>
                <w:rStyle w:val="st"/>
                <w:rFonts w:eastAsia="Calibri"/>
                <w:i/>
                <w:sz w:val="22"/>
                <w:szCs w:val="22"/>
                <w:lang w:val="fr-FR"/>
              </w:rPr>
              <w:t>assurance maladie</w:t>
            </w:r>
            <w:r w:rsidRPr="007C2909">
              <w:rPr>
                <w:sz w:val="22"/>
                <w:szCs w:val="22"/>
              </w:rPr>
              <w:t xml:space="preserve"> - </w:t>
            </w:r>
            <w:r w:rsidRPr="007C2909">
              <w:rPr>
                <w:i/>
                <w:sz w:val="22"/>
                <w:szCs w:val="22"/>
                <w:lang w:val="fr-FR"/>
              </w:rPr>
              <w:t>CNAM</w:t>
            </w:r>
            <w:r w:rsidRPr="007C2909">
              <w:rPr>
                <w:i/>
                <w:sz w:val="22"/>
                <w:szCs w:val="22"/>
              </w:rPr>
              <w:t>)</w:t>
            </w:r>
          </w:p>
        </w:tc>
        <w:tc>
          <w:tcPr>
            <w:tcW w:w="1134" w:type="dxa"/>
            <w:shd w:val="pct20" w:color="000000" w:fill="FFFFFF"/>
          </w:tcPr>
          <w:p w14:paraId="6EBF3320" w14:textId="77777777" w:rsidR="00801C2A" w:rsidRPr="007C2909" w:rsidRDefault="00801C2A">
            <w:pPr>
              <w:spacing w:before="60" w:after="60" w:line="240" w:lineRule="auto"/>
              <w:ind w:firstLine="0"/>
              <w:jc w:val="center"/>
              <w:rPr>
                <w:rFonts w:eastAsia="Calibri"/>
                <w:sz w:val="22"/>
                <w:szCs w:val="22"/>
              </w:rPr>
            </w:pPr>
          </w:p>
          <w:p w14:paraId="381946D7" w14:textId="77777777" w:rsidR="00801C2A" w:rsidRPr="007C2909" w:rsidRDefault="00801C2A">
            <w:pPr>
              <w:spacing w:before="60" w:after="60" w:line="240" w:lineRule="auto"/>
              <w:ind w:firstLine="0"/>
              <w:jc w:val="center"/>
              <w:rPr>
                <w:rFonts w:eastAsia="Calibri"/>
                <w:sz w:val="22"/>
                <w:szCs w:val="22"/>
              </w:rPr>
            </w:pPr>
          </w:p>
          <w:p w14:paraId="3CBF7574" w14:textId="77777777" w:rsidR="00801C2A" w:rsidRPr="007C2909" w:rsidRDefault="00801C2A">
            <w:pPr>
              <w:spacing w:before="60" w:after="60" w:line="240" w:lineRule="auto"/>
              <w:ind w:firstLine="0"/>
              <w:jc w:val="center"/>
              <w:rPr>
                <w:rFonts w:eastAsia="Calibri"/>
                <w:sz w:val="22"/>
                <w:szCs w:val="22"/>
              </w:rPr>
            </w:pPr>
          </w:p>
          <w:p w14:paraId="1809CAB2" w14:textId="77777777" w:rsidR="00801C2A" w:rsidRPr="007C2909" w:rsidRDefault="00801C2A">
            <w:pPr>
              <w:spacing w:before="60" w:after="60" w:line="240" w:lineRule="auto"/>
              <w:ind w:firstLine="0"/>
              <w:jc w:val="center"/>
              <w:rPr>
                <w:sz w:val="22"/>
                <w:szCs w:val="22"/>
              </w:rPr>
            </w:pPr>
            <w:r w:rsidRPr="007C2909">
              <w:rPr>
                <w:rFonts w:eastAsia="Calibri"/>
                <w:sz w:val="22"/>
                <w:szCs w:val="22"/>
              </w:rPr>
              <w:t>20.1</w:t>
            </w:r>
          </w:p>
        </w:tc>
        <w:tc>
          <w:tcPr>
            <w:tcW w:w="1134" w:type="dxa"/>
            <w:shd w:val="pct20" w:color="000000" w:fill="FFFFFF"/>
          </w:tcPr>
          <w:p w14:paraId="4AB1C330" w14:textId="77777777" w:rsidR="00801C2A" w:rsidRPr="007C2909" w:rsidRDefault="00801C2A">
            <w:pPr>
              <w:spacing w:before="60" w:after="60" w:line="240" w:lineRule="auto"/>
              <w:ind w:firstLine="0"/>
              <w:jc w:val="center"/>
              <w:rPr>
                <w:sz w:val="22"/>
                <w:szCs w:val="22"/>
              </w:rPr>
            </w:pPr>
          </w:p>
          <w:p w14:paraId="2099EEF1" w14:textId="77777777" w:rsidR="00801C2A" w:rsidRPr="007C2909" w:rsidRDefault="00801C2A">
            <w:pPr>
              <w:spacing w:before="60" w:after="60" w:line="240" w:lineRule="auto"/>
              <w:ind w:firstLine="0"/>
              <w:jc w:val="center"/>
              <w:rPr>
                <w:sz w:val="22"/>
                <w:szCs w:val="22"/>
              </w:rPr>
            </w:pPr>
          </w:p>
          <w:p w14:paraId="4C70599C" w14:textId="77777777" w:rsidR="00801C2A" w:rsidRPr="007C2909" w:rsidRDefault="00801C2A">
            <w:pPr>
              <w:spacing w:before="60" w:after="60" w:line="240" w:lineRule="auto"/>
              <w:ind w:firstLine="0"/>
              <w:jc w:val="center"/>
              <w:rPr>
                <w:sz w:val="22"/>
                <w:szCs w:val="22"/>
              </w:rPr>
            </w:pPr>
          </w:p>
          <w:p w14:paraId="0D2A8925" w14:textId="77777777" w:rsidR="00801C2A" w:rsidRPr="007C2909" w:rsidRDefault="00801C2A">
            <w:pPr>
              <w:spacing w:before="60" w:after="60" w:line="240" w:lineRule="auto"/>
              <w:ind w:firstLine="0"/>
              <w:jc w:val="center"/>
              <w:rPr>
                <w:sz w:val="22"/>
                <w:szCs w:val="22"/>
              </w:rPr>
            </w:pPr>
            <w:r w:rsidRPr="007C2909">
              <w:rPr>
                <w:sz w:val="22"/>
                <w:szCs w:val="22"/>
              </w:rPr>
              <w:t>22.5</w:t>
            </w:r>
          </w:p>
        </w:tc>
        <w:tc>
          <w:tcPr>
            <w:tcW w:w="1134" w:type="dxa"/>
            <w:shd w:val="pct20" w:color="000000" w:fill="FFFFFF"/>
          </w:tcPr>
          <w:p w14:paraId="33DC1141" w14:textId="77777777" w:rsidR="00801C2A" w:rsidRPr="007C2909" w:rsidRDefault="00801C2A">
            <w:pPr>
              <w:spacing w:before="60" w:after="60" w:line="240" w:lineRule="auto"/>
              <w:ind w:firstLine="0"/>
              <w:jc w:val="center"/>
              <w:rPr>
                <w:sz w:val="22"/>
                <w:szCs w:val="22"/>
              </w:rPr>
            </w:pPr>
          </w:p>
          <w:p w14:paraId="1C8EC907" w14:textId="77777777" w:rsidR="00801C2A" w:rsidRPr="007C2909" w:rsidRDefault="00801C2A">
            <w:pPr>
              <w:spacing w:before="60" w:after="60" w:line="240" w:lineRule="auto"/>
              <w:ind w:firstLine="0"/>
              <w:jc w:val="center"/>
              <w:rPr>
                <w:sz w:val="22"/>
                <w:szCs w:val="22"/>
              </w:rPr>
            </w:pPr>
          </w:p>
          <w:p w14:paraId="2CC2BFED" w14:textId="77777777" w:rsidR="00801C2A" w:rsidRPr="007C2909" w:rsidRDefault="00801C2A">
            <w:pPr>
              <w:spacing w:before="60" w:after="60" w:line="240" w:lineRule="auto"/>
              <w:ind w:firstLine="0"/>
              <w:jc w:val="center"/>
              <w:rPr>
                <w:sz w:val="22"/>
                <w:szCs w:val="22"/>
              </w:rPr>
            </w:pPr>
          </w:p>
          <w:p w14:paraId="4649AB48" w14:textId="77777777" w:rsidR="00801C2A" w:rsidRPr="007C2909" w:rsidRDefault="00801C2A">
            <w:pPr>
              <w:spacing w:before="60" w:after="60" w:line="240" w:lineRule="auto"/>
              <w:ind w:firstLine="0"/>
              <w:jc w:val="center"/>
              <w:rPr>
                <w:sz w:val="22"/>
                <w:szCs w:val="22"/>
              </w:rPr>
            </w:pPr>
            <w:r w:rsidRPr="007C2909">
              <w:rPr>
                <w:sz w:val="22"/>
                <w:szCs w:val="22"/>
              </w:rPr>
              <w:t>25.2</w:t>
            </w:r>
          </w:p>
        </w:tc>
        <w:tc>
          <w:tcPr>
            <w:tcW w:w="1134" w:type="dxa"/>
            <w:shd w:val="pct20" w:color="000000" w:fill="FFFFFF"/>
          </w:tcPr>
          <w:p w14:paraId="133CCE3D" w14:textId="77777777" w:rsidR="00801C2A" w:rsidRPr="007C2909" w:rsidRDefault="00801C2A">
            <w:pPr>
              <w:spacing w:before="60" w:after="60" w:line="240" w:lineRule="auto"/>
              <w:ind w:firstLine="0"/>
              <w:jc w:val="center"/>
              <w:rPr>
                <w:sz w:val="22"/>
                <w:szCs w:val="22"/>
              </w:rPr>
            </w:pPr>
          </w:p>
          <w:p w14:paraId="1EC0AEE9" w14:textId="77777777" w:rsidR="00801C2A" w:rsidRPr="007C2909" w:rsidRDefault="00801C2A">
            <w:pPr>
              <w:spacing w:before="60" w:after="60" w:line="240" w:lineRule="auto"/>
              <w:ind w:firstLine="0"/>
              <w:jc w:val="center"/>
              <w:rPr>
                <w:sz w:val="22"/>
                <w:szCs w:val="22"/>
              </w:rPr>
            </w:pPr>
          </w:p>
          <w:p w14:paraId="6102F5B0" w14:textId="77777777" w:rsidR="00801C2A" w:rsidRPr="007C2909" w:rsidRDefault="00801C2A">
            <w:pPr>
              <w:spacing w:before="60" w:after="60" w:line="240" w:lineRule="auto"/>
              <w:ind w:firstLine="0"/>
              <w:jc w:val="center"/>
              <w:rPr>
                <w:sz w:val="22"/>
                <w:szCs w:val="22"/>
              </w:rPr>
            </w:pPr>
          </w:p>
          <w:p w14:paraId="499840FF" w14:textId="77777777" w:rsidR="00801C2A" w:rsidRPr="007C2909" w:rsidRDefault="00801C2A">
            <w:pPr>
              <w:spacing w:before="60" w:after="60" w:line="240" w:lineRule="auto"/>
              <w:ind w:firstLine="0"/>
              <w:jc w:val="center"/>
              <w:rPr>
                <w:sz w:val="22"/>
                <w:szCs w:val="22"/>
              </w:rPr>
            </w:pPr>
            <w:r w:rsidRPr="007C2909">
              <w:rPr>
                <w:sz w:val="22"/>
                <w:szCs w:val="22"/>
              </w:rPr>
              <w:t>27.2</w:t>
            </w:r>
          </w:p>
        </w:tc>
        <w:tc>
          <w:tcPr>
            <w:tcW w:w="1134" w:type="dxa"/>
            <w:shd w:val="pct20" w:color="000000" w:fill="FFFFFF"/>
          </w:tcPr>
          <w:p w14:paraId="71024B3A" w14:textId="77777777" w:rsidR="00801C2A" w:rsidRPr="007C2909" w:rsidRDefault="00801C2A">
            <w:pPr>
              <w:spacing w:before="60" w:after="60" w:line="240" w:lineRule="auto"/>
              <w:ind w:firstLine="0"/>
              <w:jc w:val="center"/>
              <w:rPr>
                <w:sz w:val="22"/>
                <w:szCs w:val="22"/>
              </w:rPr>
            </w:pPr>
          </w:p>
          <w:p w14:paraId="000CF30D" w14:textId="77777777" w:rsidR="00801C2A" w:rsidRPr="007C2909" w:rsidRDefault="00801C2A">
            <w:pPr>
              <w:spacing w:before="60" w:after="60" w:line="240" w:lineRule="auto"/>
              <w:ind w:firstLine="0"/>
              <w:jc w:val="center"/>
              <w:rPr>
                <w:sz w:val="22"/>
                <w:szCs w:val="22"/>
              </w:rPr>
            </w:pPr>
          </w:p>
          <w:p w14:paraId="0BD4DA52" w14:textId="77777777" w:rsidR="00801C2A" w:rsidRPr="007C2909" w:rsidRDefault="00801C2A">
            <w:pPr>
              <w:spacing w:before="60" w:after="60" w:line="240" w:lineRule="auto"/>
              <w:ind w:firstLine="0"/>
              <w:jc w:val="center"/>
              <w:rPr>
                <w:sz w:val="22"/>
                <w:szCs w:val="22"/>
              </w:rPr>
            </w:pPr>
          </w:p>
          <w:p w14:paraId="7FC82FCA" w14:textId="77777777" w:rsidR="00801C2A" w:rsidRPr="007C2909" w:rsidRDefault="00801C2A">
            <w:pPr>
              <w:spacing w:before="60" w:after="60" w:line="240" w:lineRule="auto"/>
              <w:ind w:firstLine="0"/>
              <w:jc w:val="center"/>
              <w:rPr>
                <w:sz w:val="22"/>
                <w:szCs w:val="22"/>
              </w:rPr>
            </w:pPr>
            <w:r w:rsidRPr="007C2909">
              <w:rPr>
                <w:sz w:val="22"/>
                <w:szCs w:val="22"/>
              </w:rPr>
              <w:t>26</w:t>
            </w:r>
          </w:p>
        </w:tc>
        <w:tc>
          <w:tcPr>
            <w:tcW w:w="1242" w:type="dxa"/>
            <w:shd w:val="pct20" w:color="000000" w:fill="FFFFFF"/>
          </w:tcPr>
          <w:p w14:paraId="3DDE4220" w14:textId="77777777" w:rsidR="00801C2A" w:rsidRPr="007C2909" w:rsidRDefault="00801C2A">
            <w:pPr>
              <w:spacing w:before="60" w:after="60" w:line="240" w:lineRule="auto"/>
              <w:ind w:firstLine="0"/>
              <w:jc w:val="center"/>
              <w:rPr>
                <w:sz w:val="22"/>
                <w:szCs w:val="22"/>
              </w:rPr>
            </w:pPr>
          </w:p>
          <w:p w14:paraId="129BA310" w14:textId="77777777" w:rsidR="00801C2A" w:rsidRPr="007C2909" w:rsidRDefault="00801C2A">
            <w:pPr>
              <w:spacing w:before="60" w:after="60" w:line="240" w:lineRule="auto"/>
              <w:ind w:firstLine="0"/>
              <w:jc w:val="center"/>
              <w:rPr>
                <w:sz w:val="22"/>
                <w:szCs w:val="22"/>
              </w:rPr>
            </w:pPr>
          </w:p>
          <w:p w14:paraId="77CB63B1" w14:textId="77777777" w:rsidR="00801C2A" w:rsidRPr="007C2909" w:rsidRDefault="00801C2A">
            <w:pPr>
              <w:spacing w:before="60" w:after="60" w:line="240" w:lineRule="auto"/>
              <w:ind w:firstLine="0"/>
              <w:jc w:val="center"/>
              <w:rPr>
                <w:sz w:val="22"/>
                <w:szCs w:val="22"/>
              </w:rPr>
            </w:pPr>
          </w:p>
          <w:p w14:paraId="50BC770F" w14:textId="77777777" w:rsidR="00801C2A" w:rsidRPr="007C2909" w:rsidRDefault="00801C2A">
            <w:pPr>
              <w:spacing w:before="60" w:after="60" w:line="240" w:lineRule="auto"/>
              <w:ind w:firstLine="0"/>
              <w:jc w:val="center"/>
              <w:rPr>
                <w:sz w:val="22"/>
                <w:szCs w:val="22"/>
              </w:rPr>
            </w:pPr>
            <w:r w:rsidRPr="007C2909">
              <w:rPr>
                <w:sz w:val="22"/>
                <w:szCs w:val="22"/>
              </w:rPr>
              <w:t>25.6</w:t>
            </w:r>
          </w:p>
        </w:tc>
      </w:tr>
      <w:tr w:rsidR="00801C2A" w14:paraId="1E8483DB" w14:textId="77777777" w:rsidTr="00493B0C">
        <w:tc>
          <w:tcPr>
            <w:tcW w:w="2552" w:type="dxa"/>
            <w:shd w:val="pct5" w:color="000000" w:fill="FFFFFF"/>
            <w:hideMark/>
          </w:tcPr>
          <w:p w14:paraId="7F15A16E" w14:textId="0A42AFAE" w:rsidR="00801C2A" w:rsidRPr="007C2909" w:rsidRDefault="00E26ECE" w:rsidP="00E26ECE">
            <w:pPr>
              <w:spacing w:before="60" w:after="60" w:line="240" w:lineRule="auto"/>
              <w:ind w:firstLine="0"/>
              <w:jc w:val="left"/>
              <w:rPr>
                <w:sz w:val="22"/>
                <w:szCs w:val="22"/>
              </w:rPr>
            </w:pPr>
            <w:r>
              <w:rPr>
                <w:sz w:val="22"/>
                <w:szCs w:val="22"/>
              </w:rPr>
              <w:t xml:space="preserve">Χορηγία από το </w:t>
            </w:r>
            <w:r w:rsidRPr="00E26ECE">
              <w:rPr>
                <w:i/>
                <w:sz w:val="22"/>
                <w:szCs w:val="22"/>
              </w:rPr>
              <w:t>Π</w:t>
            </w:r>
            <w:r w:rsidR="00C24DDC" w:rsidRPr="00E26ECE">
              <w:rPr>
                <w:i/>
                <w:sz w:val="22"/>
                <w:szCs w:val="22"/>
              </w:rPr>
              <w:t>ρόγραμμα</w:t>
            </w:r>
            <w:r w:rsidRPr="00E26ECE">
              <w:rPr>
                <w:i/>
                <w:sz w:val="22"/>
                <w:szCs w:val="22"/>
              </w:rPr>
              <w:t xml:space="preserve"> Καρκίνος</w:t>
            </w:r>
          </w:p>
        </w:tc>
        <w:tc>
          <w:tcPr>
            <w:tcW w:w="1134" w:type="dxa"/>
            <w:shd w:val="pct5" w:color="000000" w:fill="FFFFFF"/>
          </w:tcPr>
          <w:p w14:paraId="7BDEEF92" w14:textId="77777777" w:rsidR="00801C2A" w:rsidRPr="007C2909" w:rsidRDefault="00801C2A">
            <w:pPr>
              <w:spacing w:after="60" w:line="240" w:lineRule="auto"/>
              <w:ind w:firstLine="0"/>
              <w:jc w:val="center"/>
              <w:rPr>
                <w:sz w:val="22"/>
                <w:szCs w:val="22"/>
              </w:rPr>
            </w:pPr>
          </w:p>
        </w:tc>
        <w:tc>
          <w:tcPr>
            <w:tcW w:w="1134" w:type="dxa"/>
            <w:shd w:val="pct5" w:color="000000" w:fill="FFFFFF"/>
          </w:tcPr>
          <w:p w14:paraId="3299A28F" w14:textId="77777777" w:rsidR="00801C2A" w:rsidRPr="007C2909" w:rsidRDefault="00801C2A">
            <w:pPr>
              <w:spacing w:after="60" w:line="240" w:lineRule="auto"/>
              <w:ind w:firstLine="0"/>
              <w:jc w:val="center"/>
              <w:rPr>
                <w:sz w:val="22"/>
                <w:szCs w:val="22"/>
              </w:rPr>
            </w:pPr>
          </w:p>
        </w:tc>
        <w:tc>
          <w:tcPr>
            <w:tcW w:w="1134" w:type="dxa"/>
            <w:shd w:val="pct5" w:color="000000" w:fill="FFFFFF"/>
          </w:tcPr>
          <w:p w14:paraId="4AFE1ECA" w14:textId="77777777" w:rsidR="00801C2A" w:rsidRPr="007C2909" w:rsidRDefault="00801C2A">
            <w:pPr>
              <w:spacing w:after="60" w:line="240" w:lineRule="auto"/>
              <w:ind w:firstLine="0"/>
              <w:jc w:val="center"/>
              <w:rPr>
                <w:sz w:val="22"/>
                <w:szCs w:val="22"/>
              </w:rPr>
            </w:pPr>
          </w:p>
        </w:tc>
        <w:tc>
          <w:tcPr>
            <w:tcW w:w="1134" w:type="dxa"/>
            <w:shd w:val="pct5" w:color="000000" w:fill="FFFFFF"/>
            <w:hideMark/>
          </w:tcPr>
          <w:p w14:paraId="11F0193B" w14:textId="77777777" w:rsidR="00801C2A" w:rsidRPr="007C2909" w:rsidRDefault="00801C2A">
            <w:pPr>
              <w:spacing w:after="60" w:line="240" w:lineRule="auto"/>
              <w:ind w:firstLine="0"/>
              <w:jc w:val="center"/>
              <w:rPr>
                <w:sz w:val="22"/>
                <w:szCs w:val="22"/>
              </w:rPr>
            </w:pPr>
            <w:r w:rsidRPr="007C2909">
              <w:rPr>
                <w:sz w:val="22"/>
                <w:szCs w:val="22"/>
              </w:rPr>
              <w:t>2.2</w:t>
            </w:r>
          </w:p>
        </w:tc>
        <w:tc>
          <w:tcPr>
            <w:tcW w:w="1134" w:type="dxa"/>
            <w:shd w:val="pct5" w:color="000000" w:fill="FFFFFF"/>
            <w:hideMark/>
          </w:tcPr>
          <w:p w14:paraId="4304AAD9" w14:textId="77777777" w:rsidR="00801C2A" w:rsidRPr="007C2909" w:rsidRDefault="00801C2A">
            <w:pPr>
              <w:spacing w:after="60" w:line="240" w:lineRule="auto"/>
              <w:ind w:firstLine="0"/>
              <w:jc w:val="center"/>
              <w:rPr>
                <w:sz w:val="22"/>
                <w:szCs w:val="22"/>
              </w:rPr>
            </w:pPr>
            <w:r w:rsidRPr="007C2909">
              <w:rPr>
                <w:sz w:val="22"/>
                <w:szCs w:val="22"/>
              </w:rPr>
              <w:t>7.5</w:t>
            </w:r>
          </w:p>
        </w:tc>
        <w:tc>
          <w:tcPr>
            <w:tcW w:w="1242" w:type="dxa"/>
            <w:shd w:val="pct5" w:color="000000" w:fill="FFFFFF"/>
            <w:hideMark/>
          </w:tcPr>
          <w:p w14:paraId="251B2C70" w14:textId="77777777" w:rsidR="00801C2A" w:rsidRPr="007C2909" w:rsidRDefault="00801C2A">
            <w:pPr>
              <w:spacing w:after="60" w:line="240" w:lineRule="auto"/>
              <w:ind w:firstLine="0"/>
              <w:jc w:val="center"/>
              <w:rPr>
                <w:sz w:val="22"/>
                <w:szCs w:val="22"/>
              </w:rPr>
            </w:pPr>
            <w:r w:rsidRPr="007C2909">
              <w:rPr>
                <w:sz w:val="22"/>
                <w:szCs w:val="22"/>
              </w:rPr>
              <w:t>13.1</w:t>
            </w:r>
          </w:p>
        </w:tc>
      </w:tr>
      <w:tr w:rsidR="00801C2A" w14:paraId="0B868966" w14:textId="77777777" w:rsidTr="00493B0C">
        <w:tc>
          <w:tcPr>
            <w:tcW w:w="2552" w:type="dxa"/>
            <w:shd w:val="pct20" w:color="000000" w:fill="FFFFFF"/>
            <w:hideMark/>
          </w:tcPr>
          <w:p w14:paraId="5CC320C1" w14:textId="77777777" w:rsidR="00801C2A" w:rsidRPr="007C2909" w:rsidRDefault="00801C2A">
            <w:pPr>
              <w:spacing w:before="60" w:after="60" w:line="240" w:lineRule="auto"/>
              <w:ind w:firstLine="0"/>
              <w:jc w:val="left"/>
              <w:rPr>
                <w:sz w:val="22"/>
                <w:szCs w:val="22"/>
              </w:rPr>
            </w:pPr>
            <w:r w:rsidRPr="007C2909">
              <w:rPr>
                <w:sz w:val="22"/>
                <w:szCs w:val="22"/>
              </w:rPr>
              <w:t>Άλλες χορηγίες</w:t>
            </w:r>
          </w:p>
        </w:tc>
        <w:tc>
          <w:tcPr>
            <w:tcW w:w="1134" w:type="dxa"/>
            <w:shd w:val="pct20" w:color="000000" w:fill="FFFFFF"/>
            <w:hideMark/>
          </w:tcPr>
          <w:p w14:paraId="44CC6ECB" w14:textId="77777777" w:rsidR="00801C2A" w:rsidRPr="007C2909" w:rsidRDefault="00801C2A">
            <w:pPr>
              <w:spacing w:before="60" w:after="60" w:line="240" w:lineRule="auto"/>
              <w:ind w:firstLine="0"/>
              <w:jc w:val="center"/>
              <w:rPr>
                <w:sz w:val="22"/>
                <w:szCs w:val="22"/>
              </w:rPr>
            </w:pPr>
            <w:r w:rsidRPr="007C2909">
              <w:rPr>
                <w:rFonts w:eastAsia="Calibri"/>
                <w:sz w:val="22"/>
                <w:szCs w:val="22"/>
              </w:rPr>
              <w:t>0.2</w:t>
            </w:r>
          </w:p>
        </w:tc>
        <w:tc>
          <w:tcPr>
            <w:tcW w:w="1134" w:type="dxa"/>
            <w:shd w:val="pct20" w:color="000000" w:fill="FFFFFF"/>
            <w:hideMark/>
          </w:tcPr>
          <w:p w14:paraId="71C3440D" w14:textId="77777777" w:rsidR="00801C2A" w:rsidRPr="007C2909" w:rsidRDefault="00801C2A">
            <w:pPr>
              <w:spacing w:before="60" w:after="60" w:line="240" w:lineRule="auto"/>
              <w:ind w:firstLine="0"/>
              <w:jc w:val="center"/>
              <w:rPr>
                <w:sz w:val="22"/>
                <w:szCs w:val="22"/>
              </w:rPr>
            </w:pPr>
            <w:r w:rsidRPr="007C2909">
              <w:rPr>
                <w:sz w:val="22"/>
                <w:szCs w:val="22"/>
              </w:rPr>
              <w:t>0.6</w:t>
            </w:r>
          </w:p>
        </w:tc>
        <w:tc>
          <w:tcPr>
            <w:tcW w:w="1134" w:type="dxa"/>
            <w:shd w:val="pct20" w:color="000000" w:fill="FFFFFF"/>
            <w:hideMark/>
          </w:tcPr>
          <w:p w14:paraId="6B168C8C" w14:textId="77777777" w:rsidR="00801C2A" w:rsidRPr="007C2909" w:rsidRDefault="00801C2A">
            <w:pPr>
              <w:spacing w:before="60" w:after="60" w:line="240" w:lineRule="auto"/>
              <w:ind w:firstLine="0"/>
              <w:jc w:val="center"/>
              <w:rPr>
                <w:sz w:val="22"/>
                <w:szCs w:val="22"/>
              </w:rPr>
            </w:pPr>
            <w:r w:rsidRPr="007C2909">
              <w:rPr>
                <w:sz w:val="22"/>
                <w:szCs w:val="22"/>
              </w:rPr>
              <w:t>0.2</w:t>
            </w:r>
          </w:p>
        </w:tc>
        <w:tc>
          <w:tcPr>
            <w:tcW w:w="1134" w:type="dxa"/>
            <w:shd w:val="pct20" w:color="000000" w:fill="FFFFFF"/>
            <w:hideMark/>
          </w:tcPr>
          <w:p w14:paraId="5B1AD15E" w14:textId="77777777" w:rsidR="00801C2A" w:rsidRPr="007C2909" w:rsidRDefault="00801C2A">
            <w:pPr>
              <w:spacing w:before="60" w:after="60" w:line="240" w:lineRule="auto"/>
              <w:ind w:firstLine="0"/>
              <w:jc w:val="center"/>
              <w:rPr>
                <w:sz w:val="22"/>
                <w:szCs w:val="22"/>
              </w:rPr>
            </w:pPr>
            <w:r w:rsidRPr="007C2909">
              <w:rPr>
                <w:sz w:val="22"/>
                <w:szCs w:val="22"/>
              </w:rPr>
              <w:t>0.1</w:t>
            </w:r>
          </w:p>
        </w:tc>
        <w:tc>
          <w:tcPr>
            <w:tcW w:w="1134" w:type="dxa"/>
            <w:shd w:val="pct20" w:color="000000" w:fill="FFFFFF"/>
            <w:hideMark/>
          </w:tcPr>
          <w:p w14:paraId="2EDEDC64" w14:textId="77777777" w:rsidR="00801C2A" w:rsidRPr="007C2909" w:rsidRDefault="00801C2A">
            <w:pPr>
              <w:spacing w:before="60" w:after="60" w:line="240" w:lineRule="auto"/>
              <w:ind w:firstLine="0"/>
              <w:jc w:val="center"/>
              <w:rPr>
                <w:sz w:val="22"/>
                <w:szCs w:val="22"/>
              </w:rPr>
            </w:pPr>
            <w:r w:rsidRPr="007C2909">
              <w:rPr>
                <w:sz w:val="22"/>
                <w:szCs w:val="22"/>
              </w:rPr>
              <w:t>0.8</w:t>
            </w:r>
          </w:p>
        </w:tc>
        <w:tc>
          <w:tcPr>
            <w:tcW w:w="1242" w:type="dxa"/>
            <w:shd w:val="pct20" w:color="000000" w:fill="FFFFFF"/>
            <w:hideMark/>
          </w:tcPr>
          <w:p w14:paraId="36B9A89E" w14:textId="77777777" w:rsidR="00801C2A" w:rsidRPr="007C2909" w:rsidRDefault="00801C2A">
            <w:pPr>
              <w:spacing w:before="60" w:after="60" w:line="240" w:lineRule="auto"/>
              <w:ind w:firstLine="0"/>
              <w:jc w:val="center"/>
              <w:rPr>
                <w:sz w:val="22"/>
                <w:szCs w:val="22"/>
              </w:rPr>
            </w:pPr>
            <w:r w:rsidRPr="007C2909">
              <w:rPr>
                <w:sz w:val="22"/>
                <w:szCs w:val="22"/>
              </w:rPr>
              <w:t>0.2</w:t>
            </w:r>
          </w:p>
        </w:tc>
      </w:tr>
      <w:tr w:rsidR="00801C2A" w14:paraId="690A7040" w14:textId="77777777" w:rsidTr="00493B0C">
        <w:tc>
          <w:tcPr>
            <w:tcW w:w="2552" w:type="dxa"/>
            <w:shd w:val="pct5" w:color="000000" w:fill="FFFFFF"/>
            <w:hideMark/>
          </w:tcPr>
          <w:p w14:paraId="4351B2EB" w14:textId="77777777" w:rsidR="00801C2A" w:rsidRPr="007C2909" w:rsidRDefault="00801C2A">
            <w:pPr>
              <w:spacing w:before="60" w:after="60" w:line="240" w:lineRule="auto"/>
              <w:ind w:firstLine="0"/>
              <w:jc w:val="left"/>
              <w:rPr>
                <w:sz w:val="22"/>
                <w:szCs w:val="22"/>
              </w:rPr>
            </w:pPr>
            <w:r w:rsidRPr="007C2909">
              <w:rPr>
                <w:rStyle w:val="st"/>
                <w:sz w:val="22"/>
                <w:szCs w:val="22"/>
              </w:rPr>
              <w:t xml:space="preserve">Πόροι διαμεσολάβησης του μητρώου </w:t>
            </w:r>
            <w:r w:rsidRPr="007C2909">
              <w:rPr>
                <w:rStyle w:val="st"/>
                <w:sz w:val="22"/>
                <w:szCs w:val="22"/>
                <w:lang w:val="en-US"/>
              </w:rPr>
              <w:t>FGM</w:t>
            </w:r>
            <w:r w:rsidRPr="007C2909">
              <w:rPr>
                <w:rStyle w:val="st"/>
                <w:sz w:val="22"/>
                <w:szCs w:val="22"/>
              </w:rPr>
              <w:t xml:space="preserve"> (</w:t>
            </w:r>
            <w:r w:rsidRPr="007C2909">
              <w:rPr>
                <w:rStyle w:val="st"/>
                <w:rFonts w:eastAsia="Calibri"/>
                <w:i/>
                <w:sz w:val="22"/>
                <w:szCs w:val="22"/>
              </w:rPr>
              <w:t>France greffe de moelle</w:t>
            </w:r>
            <w:r w:rsidRPr="007C2909">
              <w:rPr>
                <w:rStyle w:val="st"/>
                <w:i/>
                <w:sz w:val="22"/>
                <w:szCs w:val="22"/>
              </w:rPr>
              <w:t>, Γαλλία Μεταμόσχευση Μυελού</w:t>
            </w:r>
            <w:r w:rsidRPr="007C2909">
              <w:rPr>
                <w:rStyle w:val="st"/>
                <w:sz w:val="22"/>
                <w:szCs w:val="22"/>
              </w:rPr>
              <w:t>)</w:t>
            </w:r>
          </w:p>
        </w:tc>
        <w:tc>
          <w:tcPr>
            <w:tcW w:w="1134" w:type="dxa"/>
            <w:shd w:val="pct5" w:color="000000" w:fill="FFFFFF"/>
          </w:tcPr>
          <w:p w14:paraId="3049C94C" w14:textId="77777777" w:rsidR="00801C2A" w:rsidRPr="007C2909" w:rsidRDefault="00801C2A">
            <w:pPr>
              <w:spacing w:before="60" w:after="60" w:line="240" w:lineRule="auto"/>
              <w:ind w:firstLine="0"/>
              <w:jc w:val="center"/>
              <w:rPr>
                <w:sz w:val="22"/>
                <w:szCs w:val="22"/>
              </w:rPr>
            </w:pPr>
          </w:p>
          <w:p w14:paraId="19BC3FFA" w14:textId="77777777" w:rsidR="00801C2A" w:rsidRPr="007C2909" w:rsidRDefault="00801C2A">
            <w:pPr>
              <w:spacing w:before="60" w:after="60" w:line="240" w:lineRule="auto"/>
              <w:ind w:firstLine="0"/>
              <w:jc w:val="center"/>
              <w:rPr>
                <w:sz w:val="22"/>
                <w:szCs w:val="22"/>
              </w:rPr>
            </w:pPr>
          </w:p>
          <w:p w14:paraId="65EF2BB7" w14:textId="77777777" w:rsidR="00801C2A" w:rsidRPr="007C2909" w:rsidRDefault="00801C2A">
            <w:pPr>
              <w:spacing w:before="60" w:after="60" w:line="240" w:lineRule="auto"/>
              <w:ind w:firstLine="0"/>
              <w:jc w:val="center"/>
              <w:rPr>
                <w:sz w:val="22"/>
                <w:szCs w:val="22"/>
              </w:rPr>
            </w:pPr>
          </w:p>
          <w:p w14:paraId="236CF9C7" w14:textId="77777777" w:rsidR="00801C2A" w:rsidRPr="007C2909" w:rsidRDefault="00801C2A">
            <w:pPr>
              <w:spacing w:before="60" w:after="60" w:line="240" w:lineRule="auto"/>
              <w:ind w:firstLine="0"/>
              <w:jc w:val="center"/>
              <w:rPr>
                <w:sz w:val="22"/>
                <w:szCs w:val="22"/>
              </w:rPr>
            </w:pPr>
            <w:r w:rsidRPr="007C2909">
              <w:rPr>
                <w:sz w:val="22"/>
                <w:szCs w:val="22"/>
              </w:rPr>
              <w:t>21.6</w:t>
            </w:r>
          </w:p>
        </w:tc>
        <w:tc>
          <w:tcPr>
            <w:tcW w:w="1134" w:type="dxa"/>
            <w:shd w:val="pct5" w:color="000000" w:fill="FFFFFF"/>
          </w:tcPr>
          <w:p w14:paraId="26B70928" w14:textId="77777777" w:rsidR="00801C2A" w:rsidRPr="007C2909" w:rsidRDefault="00801C2A">
            <w:pPr>
              <w:spacing w:before="60" w:after="60" w:line="240" w:lineRule="auto"/>
              <w:ind w:firstLine="0"/>
              <w:jc w:val="center"/>
              <w:rPr>
                <w:sz w:val="22"/>
                <w:szCs w:val="22"/>
              </w:rPr>
            </w:pPr>
          </w:p>
          <w:p w14:paraId="56E71068" w14:textId="77777777" w:rsidR="00801C2A" w:rsidRPr="007C2909" w:rsidRDefault="00801C2A">
            <w:pPr>
              <w:spacing w:before="60" w:after="60" w:line="240" w:lineRule="auto"/>
              <w:ind w:firstLine="0"/>
              <w:jc w:val="center"/>
              <w:rPr>
                <w:sz w:val="22"/>
                <w:szCs w:val="22"/>
              </w:rPr>
            </w:pPr>
          </w:p>
          <w:p w14:paraId="796D4D8E" w14:textId="77777777" w:rsidR="00801C2A" w:rsidRPr="007C2909" w:rsidRDefault="00801C2A">
            <w:pPr>
              <w:spacing w:before="60" w:after="60" w:line="240" w:lineRule="auto"/>
              <w:ind w:firstLine="0"/>
              <w:jc w:val="center"/>
              <w:rPr>
                <w:sz w:val="22"/>
                <w:szCs w:val="22"/>
              </w:rPr>
            </w:pPr>
          </w:p>
          <w:p w14:paraId="71453060" w14:textId="77777777" w:rsidR="00801C2A" w:rsidRPr="007C2909" w:rsidRDefault="00801C2A">
            <w:pPr>
              <w:spacing w:before="60" w:after="60" w:line="240" w:lineRule="auto"/>
              <w:ind w:firstLine="0"/>
              <w:jc w:val="center"/>
              <w:rPr>
                <w:sz w:val="22"/>
                <w:szCs w:val="22"/>
              </w:rPr>
            </w:pPr>
            <w:r w:rsidRPr="007C2909">
              <w:rPr>
                <w:sz w:val="22"/>
                <w:szCs w:val="22"/>
              </w:rPr>
              <w:t>22.7</w:t>
            </w:r>
          </w:p>
        </w:tc>
        <w:tc>
          <w:tcPr>
            <w:tcW w:w="1134" w:type="dxa"/>
            <w:shd w:val="pct5" w:color="000000" w:fill="FFFFFF"/>
          </w:tcPr>
          <w:p w14:paraId="065DD362" w14:textId="77777777" w:rsidR="00801C2A" w:rsidRPr="007C2909" w:rsidRDefault="00801C2A">
            <w:pPr>
              <w:spacing w:before="60" w:after="60" w:line="240" w:lineRule="auto"/>
              <w:ind w:firstLine="0"/>
              <w:jc w:val="center"/>
              <w:rPr>
                <w:sz w:val="22"/>
                <w:szCs w:val="22"/>
              </w:rPr>
            </w:pPr>
          </w:p>
          <w:p w14:paraId="5882F77E" w14:textId="77777777" w:rsidR="00801C2A" w:rsidRPr="007C2909" w:rsidRDefault="00801C2A">
            <w:pPr>
              <w:spacing w:before="60" w:after="60" w:line="240" w:lineRule="auto"/>
              <w:ind w:firstLine="0"/>
              <w:jc w:val="center"/>
              <w:rPr>
                <w:sz w:val="22"/>
                <w:szCs w:val="22"/>
              </w:rPr>
            </w:pPr>
          </w:p>
          <w:p w14:paraId="335D9303" w14:textId="77777777" w:rsidR="00801C2A" w:rsidRPr="007C2909" w:rsidRDefault="00801C2A">
            <w:pPr>
              <w:spacing w:before="60" w:after="60" w:line="240" w:lineRule="auto"/>
              <w:ind w:firstLine="0"/>
              <w:jc w:val="center"/>
              <w:rPr>
                <w:sz w:val="22"/>
                <w:szCs w:val="22"/>
              </w:rPr>
            </w:pPr>
          </w:p>
          <w:p w14:paraId="27DDA5B2" w14:textId="77777777" w:rsidR="00801C2A" w:rsidRPr="007C2909" w:rsidRDefault="00801C2A">
            <w:pPr>
              <w:spacing w:before="60" w:after="60" w:line="240" w:lineRule="auto"/>
              <w:ind w:firstLine="0"/>
              <w:jc w:val="center"/>
              <w:rPr>
                <w:sz w:val="22"/>
                <w:szCs w:val="22"/>
              </w:rPr>
            </w:pPr>
            <w:r w:rsidRPr="007C2909">
              <w:rPr>
                <w:sz w:val="22"/>
                <w:szCs w:val="22"/>
              </w:rPr>
              <w:t>23.1</w:t>
            </w:r>
          </w:p>
        </w:tc>
        <w:tc>
          <w:tcPr>
            <w:tcW w:w="1134" w:type="dxa"/>
            <w:shd w:val="pct5" w:color="000000" w:fill="FFFFFF"/>
          </w:tcPr>
          <w:p w14:paraId="7D2A5BB4" w14:textId="77777777" w:rsidR="00801C2A" w:rsidRPr="007C2909" w:rsidRDefault="00801C2A">
            <w:pPr>
              <w:spacing w:before="60" w:after="60" w:line="240" w:lineRule="auto"/>
              <w:ind w:firstLine="0"/>
              <w:jc w:val="center"/>
              <w:rPr>
                <w:sz w:val="22"/>
                <w:szCs w:val="22"/>
              </w:rPr>
            </w:pPr>
          </w:p>
          <w:p w14:paraId="5D0CF183" w14:textId="77777777" w:rsidR="00801C2A" w:rsidRPr="007C2909" w:rsidRDefault="00801C2A">
            <w:pPr>
              <w:spacing w:before="60" w:after="60" w:line="240" w:lineRule="auto"/>
              <w:ind w:firstLine="0"/>
              <w:jc w:val="center"/>
              <w:rPr>
                <w:sz w:val="22"/>
                <w:szCs w:val="22"/>
              </w:rPr>
            </w:pPr>
          </w:p>
          <w:p w14:paraId="549A28CC" w14:textId="77777777" w:rsidR="00801C2A" w:rsidRPr="007C2909" w:rsidRDefault="00801C2A">
            <w:pPr>
              <w:spacing w:before="60" w:after="60" w:line="240" w:lineRule="auto"/>
              <w:ind w:firstLine="0"/>
              <w:jc w:val="center"/>
              <w:rPr>
                <w:sz w:val="22"/>
                <w:szCs w:val="22"/>
              </w:rPr>
            </w:pPr>
          </w:p>
          <w:p w14:paraId="391BFDC4" w14:textId="77777777" w:rsidR="00801C2A" w:rsidRPr="007C2909" w:rsidRDefault="00801C2A">
            <w:pPr>
              <w:spacing w:before="60" w:after="60" w:line="240" w:lineRule="auto"/>
              <w:ind w:firstLine="0"/>
              <w:jc w:val="center"/>
              <w:rPr>
                <w:sz w:val="22"/>
                <w:szCs w:val="22"/>
              </w:rPr>
            </w:pPr>
            <w:r w:rsidRPr="007C2909">
              <w:rPr>
                <w:sz w:val="22"/>
                <w:szCs w:val="22"/>
              </w:rPr>
              <w:t>25.5</w:t>
            </w:r>
          </w:p>
        </w:tc>
        <w:tc>
          <w:tcPr>
            <w:tcW w:w="1134" w:type="dxa"/>
            <w:shd w:val="pct5" w:color="000000" w:fill="FFFFFF"/>
          </w:tcPr>
          <w:p w14:paraId="01E31203" w14:textId="77777777" w:rsidR="00801C2A" w:rsidRPr="007C2909" w:rsidRDefault="00801C2A">
            <w:pPr>
              <w:spacing w:before="60" w:after="60" w:line="240" w:lineRule="auto"/>
              <w:ind w:firstLine="0"/>
              <w:jc w:val="center"/>
              <w:rPr>
                <w:sz w:val="22"/>
                <w:szCs w:val="22"/>
              </w:rPr>
            </w:pPr>
          </w:p>
          <w:p w14:paraId="7F36AD57" w14:textId="77777777" w:rsidR="00801C2A" w:rsidRPr="007C2909" w:rsidRDefault="00801C2A">
            <w:pPr>
              <w:spacing w:before="60" w:after="60" w:line="240" w:lineRule="auto"/>
              <w:ind w:firstLine="0"/>
              <w:jc w:val="center"/>
              <w:rPr>
                <w:sz w:val="22"/>
                <w:szCs w:val="22"/>
              </w:rPr>
            </w:pPr>
          </w:p>
          <w:p w14:paraId="6FA4E1E9" w14:textId="77777777" w:rsidR="00801C2A" w:rsidRPr="007C2909" w:rsidRDefault="00801C2A">
            <w:pPr>
              <w:spacing w:before="60" w:after="60" w:line="240" w:lineRule="auto"/>
              <w:ind w:firstLine="0"/>
              <w:jc w:val="center"/>
              <w:rPr>
                <w:sz w:val="22"/>
                <w:szCs w:val="22"/>
              </w:rPr>
            </w:pPr>
          </w:p>
          <w:p w14:paraId="237B896E" w14:textId="77777777" w:rsidR="00801C2A" w:rsidRPr="007C2909" w:rsidRDefault="00801C2A">
            <w:pPr>
              <w:spacing w:before="60" w:after="60" w:line="240" w:lineRule="auto"/>
              <w:ind w:firstLine="0"/>
              <w:jc w:val="center"/>
              <w:rPr>
                <w:sz w:val="22"/>
                <w:szCs w:val="22"/>
              </w:rPr>
            </w:pPr>
            <w:r w:rsidRPr="007C2909">
              <w:rPr>
                <w:sz w:val="22"/>
                <w:szCs w:val="22"/>
              </w:rPr>
              <w:t>28.8</w:t>
            </w:r>
          </w:p>
        </w:tc>
        <w:tc>
          <w:tcPr>
            <w:tcW w:w="1242" w:type="dxa"/>
            <w:shd w:val="pct5" w:color="000000" w:fill="FFFFFF"/>
          </w:tcPr>
          <w:p w14:paraId="5553F616" w14:textId="77777777" w:rsidR="00801C2A" w:rsidRPr="007C2909" w:rsidRDefault="00801C2A">
            <w:pPr>
              <w:spacing w:before="60" w:after="60" w:line="240" w:lineRule="auto"/>
              <w:ind w:firstLine="0"/>
              <w:jc w:val="center"/>
              <w:rPr>
                <w:sz w:val="22"/>
                <w:szCs w:val="22"/>
              </w:rPr>
            </w:pPr>
          </w:p>
          <w:p w14:paraId="11147B84" w14:textId="77777777" w:rsidR="00801C2A" w:rsidRPr="007C2909" w:rsidRDefault="00801C2A">
            <w:pPr>
              <w:spacing w:before="60" w:after="60" w:line="240" w:lineRule="auto"/>
              <w:ind w:firstLine="0"/>
              <w:jc w:val="center"/>
              <w:rPr>
                <w:sz w:val="22"/>
                <w:szCs w:val="22"/>
              </w:rPr>
            </w:pPr>
          </w:p>
          <w:p w14:paraId="59D34268" w14:textId="77777777" w:rsidR="00801C2A" w:rsidRPr="007C2909" w:rsidRDefault="00801C2A">
            <w:pPr>
              <w:spacing w:before="60" w:after="60" w:line="240" w:lineRule="auto"/>
              <w:ind w:firstLine="0"/>
              <w:jc w:val="center"/>
              <w:rPr>
                <w:sz w:val="22"/>
                <w:szCs w:val="22"/>
              </w:rPr>
            </w:pPr>
          </w:p>
          <w:p w14:paraId="18A76640" w14:textId="77777777" w:rsidR="00801C2A" w:rsidRPr="007C2909" w:rsidRDefault="00801C2A">
            <w:pPr>
              <w:spacing w:before="60" w:after="60" w:line="240" w:lineRule="auto"/>
              <w:ind w:firstLine="0"/>
              <w:jc w:val="center"/>
              <w:rPr>
                <w:sz w:val="22"/>
                <w:szCs w:val="22"/>
              </w:rPr>
            </w:pPr>
            <w:r w:rsidRPr="007C2909">
              <w:rPr>
                <w:sz w:val="22"/>
                <w:szCs w:val="22"/>
              </w:rPr>
              <w:t>29</w:t>
            </w:r>
          </w:p>
        </w:tc>
      </w:tr>
      <w:tr w:rsidR="00801C2A" w14:paraId="79055DEA" w14:textId="77777777" w:rsidTr="00493B0C">
        <w:tc>
          <w:tcPr>
            <w:tcW w:w="2552" w:type="dxa"/>
            <w:shd w:val="pct20" w:color="000000" w:fill="FFFFFF"/>
            <w:hideMark/>
          </w:tcPr>
          <w:p w14:paraId="508140A2" w14:textId="77777777" w:rsidR="00801C2A" w:rsidRPr="007C2909" w:rsidRDefault="00801C2A">
            <w:pPr>
              <w:spacing w:before="60" w:after="60" w:line="240" w:lineRule="auto"/>
              <w:ind w:firstLine="0"/>
              <w:jc w:val="left"/>
              <w:rPr>
                <w:sz w:val="22"/>
                <w:szCs w:val="22"/>
              </w:rPr>
            </w:pPr>
            <w:r w:rsidRPr="007C2909">
              <w:rPr>
                <w:sz w:val="22"/>
                <w:szCs w:val="22"/>
              </w:rPr>
              <w:t xml:space="preserve">Άλλοι ίδιοι πόροι </w:t>
            </w:r>
          </w:p>
        </w:tc>
        <w:tc>
          <w:tcPr>
            <w:tcW w:w="1134" w:type="dxa"/>
            <w:shd w:val="pct20" w:color="000000" w:fill="FFFFFF"/>
            <w:hideMark/>
          </w:tcPr>
          <w:p w14:paraId="09996A96" w14:textId="77777777" w:rsidR="00801C2A" w:rsidRPr="007C2909" w:rsidRDefault="00801C2A">
            <w:pPr>
              <w:spacing w:before="60" w:after="60" w:line="240" w:lineRule="auto"/>
              <w:ind w:firstLine="0"/>
              <w:jc w:val="center"/>
              <w:rPr>
                <w:sz w:val="22"/>
                <w:szCs w:val="22"/>
              </w:rPr>
            </w:pPr>
            <w:r w:rsidRPr="007C2909">
              <w:rPr>
                <w:sz w:val="22"/>
                <w:szCs w:val="22"/>
              </w:rPr>
              <w:t>0.9</w:t>
            </w:r>
          </w:p>
        </w:tc>
        <w:tc>
          <w:tcPr>
            <w:tcW w:w="1134" w:type="dxa"/>
            <w:shd w:val="pct20" w:color="000000" w:fill="FFFFFF"/>
            <w:hideMark/>
          </w:tcPr>
          <w:p w14:paraId="5D9AA6E6" w14:textId="77777777" w:rsidR="00801C2A" w:rsidRPr="007C2909" w:rsidRDefault="00801C2A">
            <w:pPr>
              <w:spacing w:before="60" w:after="60" w:line="240" w:lineRule="auto"/>
              <w:ind w:firstLine="0"/>
              <w:jc w:val="center"/>
              <w:rPr>
                <w:sz w:val="22"/>
                <w:szCs w:val="22"/>
              </w:rPr>
            </w:pPr>
            <w:r w:rsidRPr="007C2909">
              <w:rPr>
                <w:sz w:val="22"/>
                <w:szCs w:val="22"/>
              </w:rPr>
              <w:t>1.0</w:t>
            </w:r>
          </w:p>
        </w:tc>
        <w:tc>
          <w:tcPr>
            <w:tcW w:w="1134" w:type="dxa"/>
            <w:shd w:val="pct20" w:color="000000" w:fill="FFFFFF"/>
            <w:hideMark/>
          </w:tcPr>
          <w:p w14:paraId="1101BE6B" w14:textId="77777777" w:rsidR="00801C2A" w:rsidRPr="007C2909" w:rsidRDefault="00801C2A">
            <w:pPr>
              <w:spacing w:before="60" w:after="60" w:line="240" w:lineRule="auto"/>
              <w:ind w:firstLine="0"/>
              <w:jc w:val="center"/>
              <w:rPr>
                <w:sz w:val="22"/>
                <w:szCs w:val="22"/>
              </w:rPr>
            </w:pPr>
            <w:r w:rsidRPr="007C2909">
              <w:rPr>
                <w:sz w:val="22"/>
                <w:szCs w:val="22"/>
              </w:rPr>
              <w:t>3.1</w:t>
            </w:r>
          </w:p>
        </w:tc>
        <w:tc>
          <w:tcPr>
            <w:tcW w:w="1134" w:type="dxa"/>
            <w:shd w:val="pct20" w:color="000000" w:fill="FFFFFF"/>
            <w:hideMark/>
          </w:tcPr>
          <w:p w14:paraId="0AF2C1D3" w14:textId="77777777" w:rsidR="00801C2A" w:rsidRPr="007C2909" w:rsidRDefault="00801C2A">
            <w:pPr>
              <w:spacing w:before="60" w:after="60" w:line="240" w:lineRule="auto"/>
              <w:ind w:firstLine="0"/>
              <w:jc w:val="center"/>
              <w:rPr>
                <w:sz w:val="22"/>
                <w:szCs w:val="22"/>
              </w:rPr>
            </w:pPr>
            <w:r w:rsidRPr="007C2909">
              <w:rPr>
                <w:sz w:val="22"/>
                <w:szCs w:val="22"/>
              </w:rPr>
              <w:t>0.6</w:t>
            </w:r>
          </w:p>
        </w:tc>
        <w:tc>
          <w:tcPr>
            <w:tcW w:w="1134" w:type="dxa"/>
            <w:shd w:val="pct20" w:color="000000" w:fill="FFFFFF"/>
            <w:hideMark/>
          </w:tcPr>
          <w:p w14:paraId="1E0282E9" w14:textId="77777777" w:rsidR="00801C2A" w:rsidRPr="007C2909" w:rsidRDefault="00801C2A">
            <w:pPr>
              <w:spacing w:before="60" w:after="60" w:line="240" w:lineRule="auto"/>
              <w:ind w:firstLine="0"/>
              <w:jc w:val="center"/>
              <w:rPr>
                <w:sz w:val="22"/>
                <w:szCs w:val="22"/>
              </w:rPr>
            </w:pPr>
            <w:r w:rsidRPr="007C2909">
              <w:rPr>
                <w:sz w:val="22"/>
                <w:szCs w:val="22"/>
              </w:rPr>
              <w:t>3.3</w:t>
            </w:r>
          </w:p>
        </w:tc>
        <w:tc>
          <w:tcPr>
            <w:tcW w:w="1242" w:type="dxa"/>
            <w:shd w:val="pct20" w:color="000000" w:fill="FFFFFF"/>
            <w:hideMark/>
          </w:tcPr>
          <w:p w14:paraId="6164F484" w14:textId="77777777" w:rsidR="00801C2A" w:rsidRPr="007C2909" w:rsidRDefault="00801C2A">
            <w:pPr>
              <w:spacing w:before="60" w:after="60" w:line="240" w:lineRule="auto"/>
              <w:ind w:firstLine="0"/>
              <w:jc w:val="center"/>
              <w:rPr>
                <w:sz w:val="22"/>
                <w:szCs w:val="22"/>
              </w:rPr>
            </w:pPr>
            <w:r w:rsidRPr="007C2909">
              <w:rPr>
                <w:sz w:val="22"/>
                <w:szCs w:val="22"/>
              </w:rPr>
              <w:t>1.6</w:t>
            </w:r>
          </w:p>
        </w:tc>
      </w:tr>
      <w:tr w:rsidR="00801C2A" w14:paraId="3893C60D" w14:textId="77777777" w:rsidTr="00493B0C">
        <w:tc>
          <w:tcPr>
            <w:tcW w:w="2552" w:type="dxa"/>
            <w:shd w:val="pct5" w:color="000000" w:fill="FFFFFF"/>
            <w:hideMark/>
          </w:tcPr>
          <w:p w14:paraId="5DF0E4C6" w14:textId="77777777" w:rsidR="00801C2A" w:rsidRPr="007C2909" w:rsidRDefault="00801C2A">
            <w:pPr>
              <w:spacing w:line="240" w:lineRule="auto"/>
              <w:ind w:firstLine="0"/>
              <w:jc w:val="left"/>
              <w:rPr>
                <w:b/>
                <w:spacing w:val="-10"/>
                <w:sz w:val="22"/>
                <w:szCs w:val="22"/>
              </w:rPr>
            </w:pPr>
            <w:r w:rsidRPr="007C2909">
              <w:rPr>
                <w:b/>
                <w:spacing w:val="-10"/>
                <w:sz w:val="22"/>
                <w:szCs w:val="22"/>
              </w:rPr>
              <w:t xml:space="preserve">Σύνολο εσόδων </w:t>
            </w:r>
          </w:p>
        </w:tc>
        <w:tc>
          <w:tcPr>
            <w:tcW w:w="1134" w:type="dxa"/>
            <w:shd w:val="pct5" w:color="000000" w:fill="FFFFFF"/>
            <w:hideMark/>
          </w:tcPr>
          <w:p w14:paraId="7D85690D" w14:textId="77777777" w:rsidR="00801C2A" w:rsidRPr="007C2909" w:rsidRDefault="00801C2A">
            <w:pPr>
              <w:spacing w:line="240" w:lineRule="auto"/>
              <w:ind w:firstLine="0"/>
              <w:jc w:val="center"/>
              <w:rPr>
                <w:b/>
                <w:spacing w:val="-10"/>
                <w:sz w:val="22"/>
                <w:szCs w:val="22"/>
              </w:rPr>
            </w:pPr>
            <w:r w:rsidRPr="007C2909">
              <w:rPr>
                <w:b/>
                <w:spacing w:val="-10"/>
                <w:sz w:val="22"/>
                <w:szCs w:val="22"/>
              </w:rPr>
              <w:t xml:space="preserve">53.5 </w:t>
            </w:r>
            <w:r w:rsidRPr="007C2909">
              <w:rPr>
                <w:rFonts w:eastAsia="Calibri"/>
                <w:b/>
                <w:spacing w:val="-10"/>
                <w:sz w:val="22"/>
                <w:szCs w:val="22"/>
              </w:rPr>
              <w:t xml:space="preserve">εκ. </w:t>
            </w:r>
            <w:r w:rsidRPr="007C2909">
              <w:rPr>
                <w:rStyle w:val="st"/>
                <w:rFonts w:eastAsia="Calibri"/>
                <w:b/>
                <w:spacing w:val="-10"/>
                <w:sz w:val="22"/>
                <w:szCs w:val="22"/>
              </w:rPr>
              <w:t>€</w:t>
            </w:r>
          </w:p>
        </w:tc>
        <w:tc>
          <w:tcPr>
            <w:tcW w:w="1134" w:type="dxa"/>
            <w:shd w:val="pct5" w:color="000000" w:fill="FFFFFF"/>
            <w:hideMark/>
          </w:tcPr>
          <w:p w14:paraId="021C11DC" w14:textId="77777777" w:rsidR="00801C2A" w:rsidRPr="007C2909" w:rsidRDefault="00801C2A">
            <w:pPr>
              <w:spacing w:line="240" w:lineRule="auto"/>
              <w:ind w:firstLine="0"/>
              <w:jc w:val="center"/>
              <w:rPr>
                <w:b/>
                <w:spacing w:val="-10"/>
                <w:sz w:val="22"/>
                <w:szCs w:val="22"/>
              </w:rPr>
            </w:pPr>
            <w:r w:rsidRPr="007C2909">
              <w:rPr>
                <w:b/>
                <w:spacing w:val="-10"/>
                <w:sz w:val="22"/>
                <w:szCs w:val="22"/>
              </w:rPr>
              <w:t>58</w:t>
            </w:r>
            <w:r w:rsidRPr="007C2909">
              <w:rPr>
                <w:rFonts w:eastAsia="Calibri"/>
                <w:b/>
                <w:spacing w:val="-10"/>
                <w:sz w:val="22"/>
                <w:szCs w:val="22"/>
              </w:rPr>
              <w:t>.</w:t>
            </w:r>
            <w:r w:rsidRPr="007C2909">
              <w:rPr>
                <w:b/>
                <w:spacing w:val="-10"/>
                <w:sz w:val="22"/>
                <w:szCs w:val="22"/>
              </w:rPr>
              <w:t>1</w:t>
            </w:r>
            <w:r w:rsidRPr="007C2909">
              <w:rPr>
                <w:rFonts w:eastAsia="Calibri"/>
                <w:b/>
                <w:spacing w:val="-10"/>
                <w:sz w:val="22"/>
                <w:szCs w:val="22"/>
              </w:rPr>
              <w:t xml:space="preserve"> εκ. </w:t>
            </w:r>
            <w:r w:rsidRPr="007C2909">
              <w:rPr>
                <w:rStyle w:val="st"/>
                <w:rFonts w:eastAsia="Calibri"/>
                <w:b/>
                <w:spacing w:val="-10"/>
                <w:sz w:val="22"/>
                <w:szCs w:val="22"/>
              </w:rPr>
              <w:t>€</w:t>
            </w:r>
          </w:p>
        </w:tc>
        <w:tc>
          <w:tcPr>
            <w:tcW w:w="1134" w:type="dxa"/>
            <w:shd w:val="pct5" w:color="000000" w:fill="FFFFFF"/>
            <w:hideMark/>
          </w:tcPr>
          <w:p w14:paraId="09E5DB66" w14:textId="77777777" w:rsidR="00801C2A" w:rsidRPr="007C2909" w:rsidRDefault="00801C2A">
            <w:pPr>
              <w:spacing w:line="240" w:lineRule="auto"/>
              <w:ind w:firstLine="0"/>
              <w:jc w:val="center"/>
              <w:rPr>
                <w:b/>
                <w:spacing w:val="-10"/>
                <w:sz w:val="22"/>
                <w:szCs w:val="22"/>
              </w:rPr>
            </w:pPr>
            <w:r w:rsidRPr="007C2909">
              <w:rPr>
                <w:b/>
                <w:spacing w:val="-10"/>
                <w:sz w:val="22"/>
                <w:szCs w:val="22"/>
              </w:rPr>
              <w:t>6</w:t>
            </w:r>
            <w:r w:rsidRPr="007C2909">
              <w:rPr>
                <w:rFonts w:eastAsia="Calibri"/>
                <w:b/>
                <w:spacing w:val="-10"/>
                <w:sz w:val="22"/>
                <w:szCs w:val="22"/>
              </w:rPr>
              <w:t>3.</w:t>
            </w:r>
            <w:r w:rsidRPr="007C2909">
              <w:rPr>
                <w:b/>
                <w:spacing w:val="-10"/>
                <w:sz w:val="22"/>
                <w:szCs w:val="22"/>
              </w:rPr>
              <w:t>7</w:t>
            </w:r>
            <w:r w:rsidRPr="007C2909">
              <w:rPr>
                <w:rFonts w:eastAsia="Calibri"/>
                <w:b/>
                <w:spacing w:val="-10"/>
                <w:sz w:val="22"/>
                <w:szCs w:val="22"/>
              </w:rPr>
              <w:t xml:space="preserve"> εκ. </w:t>
            </w:r>
            <w:r w:rsidRPr="007C2909">
              <w:rPr>
                <w:rStyle w:val="st"/>
                <w:rFonts w:eastAsia="Calibri"/>
                <w:b/>
                <w:spacing w:val="-10"/>
                <w:sz w:val="22"/>
                <w:szCs w:val="22"/>
              </w:rPr>
              <w:t>€</w:t>
            </w:r>
          </w:p>
        </w:tc>
        <w:tc>
          <w:tcPr>
            <w:tcW w:w="1134" w:type="dxa"/>
            <w:shd w:val="pct5" w:color="000000" w:fill="FFFFFF"/>
            <w:hideMark/>
          </w:tcPr>
          <w:p w14:paraId="521E8D8E" w14:textId="77777777" w:rsidR="00801C2A" w:rsidRPr="007C2909" w:rsidRDefault="00801C2A">
            <w:pPr>
              <w:spacing w:line="240" w:lineRule="auto"/>
              <w:ind w:firstLine="0"/>
              <w:jc w:val="center"/>
              <w:rPr>
                <w:b/>
                <w:spacing w:val="-10"/>
                <w:sz w:val="22"/>
                <w:szCs w:val="22"/>
              </w:rPr>
            </w:pPr>
            <w:r w:rsidRPr="007C2909">
              <w:rPr>
                <w:b/>
                <w:spacing w:val="-10"/>
                <w:sz w:val="22"/>
                <w:szCs w:val="22"/>
              </w:rPr>
              <w:t>68</w:t>
            </w:r>
            <w:r w:rsidRPr="007C2909">
              <w:rPr>
                <w:rFonts w:eastAsia="Calibri"/>
                <w:b/>
                <w:spacing w:val="-10"/>
                <w:sz w:val="22"/>
                <w:szCs w:val="22"/>
              </w:rPr>
              <w:t>.</w:t>
            </w:r>
            <w:r w:rsidRPr="007C2909">
              <w:rPr>
                <w:b/>
                <w:spacing w:val="-10"/>
                <w:sz w:val="22"/>
                <w:szCs w:val="22"/>
              </w:rPr>
              <w:t>7</w:t>
            </w:r>
            <w:r w:rsidRPr="007C2909">
              <w:rPr>
                <w:rFonts w:eastAsia="Calibri"/>
                <w:b/>
                <w:spacing w:val="-10"/>
                <w:sz w:val="22"/>
                <w:szCs w:val="22"/>
              </w:rPr>
              <w:t xml:space="preserve"> εκ. </w:t>
            </w:r>
            <w:r w:rsidRPr="007C2909">
              <w:rPr>
                <w:rStyle w:val="st"/>
                <w:rFonts w:eastAsia="Calibri"/>
                <w:b/>
                <w:spacing w:val="-10"/>
                <w:sz w:val="22"/>
                <w:szCs w:val="22"/>
              </w:rPr>
              <w:t>€</w:t>
            </w:r>
          </w:p>
        </w:tc>
        <w:tc>
          <w:tcPr>
            <w:tcW w:w="1134" w:type="dxa"/>
            <w:shd w:val="pct5" w:color="000000" w:fill="FFFFFF"/>
            <w:hideMark/>
          </w:tcPr>
          <w:p w14:paraId="79296594" w14:textId="77777777" w:rsidR="00801C2A" w:rsidRPr="007C2909" w:rsidRDefault="00801C2A">
            <w:pPr>
              <w:spacing w:line="240" w:lineRule="auto"/>
              <w:ind w:firstLine="0"/>
              <w:jc w:val="center"/>
              <w:rPr>
                <w:b/>
                <w:spacing w:val="-10"/>
                <w:sz w:val="22"/>
                <w:szCs w:val="22"/>
              </w:rPr>
            </w:pPr>
            <w:r w:rsidRPr="007C2909">
              <w:rPr>
                <w:b/>
                <w:spacing w:val="-10"/>
                <w:sz w:val="22"/>
                <w:szCs w:val="22"/>
              </w:rPr>
              <w:t>78</w:t>
            </w:r>
            <w:r w:rsidRPr="007C2909">
              <w:rPr>
                <w:rFonts w:eastAsia="Calibri"/>
                <w:b/>
                <w:spacing w:val="-10"/>
                <w:sz w:val="22"/>
                <w:szCs w:val="22"/>
              </w:rPr>
              <w:t>.</w:t>
            </w:r>
            <w:r w:rsidRPr="007C2909">
              <w:rPr>
                <w:b/>
                <w:spacing w:val="-10"/>
                <w:sz w:val="22"/>
                <w:szCs w:val="22"/>
              </w:rPr>
              <w:t>9</w:t>
            </w:r>
            <w:r w:rsidRPr="007C2909">
              <w:rPr>
                <w:rFonts w:eastAsia="Calibri"/>
                <w:b/>
                <w:spacing w:val="-10"/>
                <w:sz w:val="22"/>
                <w:szCs w:val="22"/>
              </w:rPr>
              <w:t xml:space="preserve"> εκ. </w:t>
            </w:r>
            <w:r w:rsidRPr="007C2909">
              <w:rPr>
                <w:rStyle w:val="st"/>
                <w:rFonts w:eastAsia="Calibri"/>
                <w:b/>
                <w:spacing w:val="-10"/>
                <w:sz w:val="22"/>
                <w:szCs w:val="22"/>
              </w:rPr>
              <w:t>€</w:t>
            </w:r>
          </w:p>
        </w:tc>
        <w:tc>
          <w:tcPr>
            <w:tcW w:w="1242" w:type="dxa"/>
            <w:shd w:val="pct5" w:color="000000" w:fill="FFFFFF"/>
            <w:hideMark/>
          </w:tcPr>
          <w:p w14:paraId="442AC9FD" w14:textId="77777777" w:rsidR="00801C2A" w:rsidRPr="007C2909" w:rsidRDefault="00801C2A">
            <w:pPr>
              <w:spacing w:line="240" w:lineRule="auto"/>
              <w:ind w:firstLine="0"/>
              <w:jc w:val="center"/>
              <w:rPr>
                <w:b/>
                <w:spacing w:val="-10"/>
                <w:sz w:val="22"/>
                <w:szCs w:val="22"/>
              </w:rPr>
            </w:pPr>
            <w:r w:rsidRPr="007C2909">
              <w:rPr>
                <w:b/>
                <w:spacing w:val="-10"/>
                <w:sz w:val="22"/>
                <w:szCs w:val="22"/>
              </w:rPr>
              <w:t>81</w:t>
            </w:r>
            <w:r w:rsidRPr="007C2909">
              <w:rPr>
                <w:rFonts w:eastAsia="Calibri"/>
                <w:b/>
                <w:spacing w:val="-10"/>
                <w:sz w:val="22"/>
                <w:szCs w:val="22"/>
              </w:rPr>
              <w:t>.</w:t>
            </w:r>
            <w:r w:rsidRPr="007C2909">
              <w:rPr>
                <w:b/>
                <w:spacing w:val="-10"/>
                <w:sz w:val="22"/>
                <w:szCs w:val="22"/>
              </w:rPr>
              <w:t>1</w:t>
            </w:r>
            <w:r w:rsidRPr="007C2909">
              <w:rPr>
                <w:rFonts w:eastAsia="Calibri"/>
                <w:b/>
                <w:spacing w:val="-10"/>
                <w:sz w:val="22"/>
                <w:szCs w:val="22"/>
              </w:rPr>
              <w:t xml:space="preserve"> εκ. </w:t>
            </w:r>
            <w:r w:rsidRPr="007C2909">
              <w:rPr>
                <w:rStyle w:val="st"/>
                <w:rFonts w:eastAsia="Calibri"/>
                <w:b/>
                <w:spacing w:val="-10"/>
                <w:sz w:val="22"/>
                <w:szCs w:val="22"/>
              </w:rPr>
              <w:t>€</w:t>
            </w:r>
          </w:p>
        </w:tc>
      </w:tr>
    </w:tbl>
    <w:p w14:paraId="1821C415" w14:textId="77777777" w:rsidR="00801C2A" w:rsidRPr="00C24DDC" w:rsidRDefault="00801C2A" w:rsidP="00D75C4D">
      <w:pPr>
        <w:spacing w:before="240"/>
        <w:ind w:firstLine="0"/>
      </w:pPr>
      <w:r w:rsidRPr="00C24DDC">
        <w:rPr>
          <w:b/>
        </w:rPr>
        <w:t>Ο Οργανισμός Βιοϊατρικής περιλαμβάνει 300 περίπου συνεργάτες</w:t>
      </w:r>
      <w:r w:rsidRPr="00C24DDC">
        <w:t>:</w:t>
      </w:r>
    </w:p>
    <w:p w14:paraId="626C078F" w14:textId="77777777" w:rsidR="00801C2A" w:rsidRDefault="00801C2A" w:rsidP="00E5410F">
      <w:pPr>
        <w:numPr>
          <w:ilvl w:val="0"/>
          <w:numId w:val="13"/>
        </w:numPr>
        <w:tabs>
          <w:tab w:val="left" w:pos="284"/>
        </w:tabs>
        <w:spacing w:line="276" w:lineRule="auto"/>
        <w:ind w:left="0" w:firstLine="0"/>
      </w:pPr>
      <w:r>
        <w:t xml:space="preserve">εκ των οποίων γύρω στο 75% είναι γυναίκες και 25% άνδρες, </w:t>
      </w:r>
    </w:p>
    <w:p w14:paraId="656AE00C" w14:textId="77777777" w:rsidR="00801C2A" w:rsidRDefault="00801C2A" w:rsidP="00E5410F">
      <w:pPr>
        <w:numPr>
          <w:ilvl w:val="0"/>
          <w:numId w:val="13"/>
        </w:numPr>
        <w:tabs>
          <w:tab w:val="left" w:pos="284"/>
        </w:tabs>
        <w:spacing w:line="276" w:lineRule="auto"/>
        <w:ind w:left="0" w:firstLine="0"/>
      </w:pPr>
      <w:r>
        <w:t xml:space="preserve">οι οποίοι μένουν για περισσότερο από 6 χρόνια κατά μέσο όρο στον Οργανισμό, </w:t>
      </w:r>
    </w:p>
    <w:p w14:paraId="50222A2A" w14:textId="77777777" w:rsidR="00801C2A" w:rsidRDefault="00801C2A" w:rsidP="00E5410F">
      <w:pPr>
        <w:numPr>
          <w:ilvl w:val="0"/>
          <w:numId w:val="13"/>
        </w:numPr>
        <w:tabs>
          <w:tab w:val="left" w:pos="284"/>
        </w:tabs>
        <w:spacing w:line="276" w:lineRule="auto"/>
        <w:ind w:left="0" w:firstLine="0"/>
      </w:pPr>
      <w:r>
        <w:t xml:space="preserve">των οποίων ο μέσος όρος ηλικίας είναι περίπου 45,5 έτη </w:t>
      </w:r>
    </w:p>
    <w:p w14:paraId="42329D6F" w14:textId="48440325" w:rsidR="00A86072" w:rsidRPr="00D75C4D" w:rsidRDefault="00801C2A" w:rsidP="00801C2A">
      <w:pPr>
        <w:numPr>
          <w:ilvl w:val="0"/>
          <w:numId w:val="13"/>
        </w:numPr>
        <w:tabs>
          <w:tab w:val="left" w:pos="284"/>
        </w:tabs>
        <w:spacing w:line="276" w:lineRule="auto"/>
        <w:ind w:left="0" w:firstLine="0"/>
      </w:pPr>
      <w:r>
        <w:t>και οι οποίοι πραγματοποιούν συνολικά γύρω στις 835 ημέρες εκπαίδευσης ανά έτος</w:t>
      </w:r>
      <w:r>
        <w:rPr>
          <w:rStyle w:val="FootnoteReference"/>
        </w:rPr>
        <w:footnoteReference w:id="84"/>
      </w:r>
      <w:r>
        <w:t xml:space="preserve">. </w:t>
      </w:r>
    </w:p>
    <w:p w14:paraId="2ACE93ED" w14:textId="77777777" w:rsidR="00801C2A" w:rsidRDefault="00801C2A" w:rsidP="00801C2A">
      <w:pPr>
        <w:ind w:firstLine="0"/>
        <w:rPr>
          <w:b/>
        </w:rPr>
      </w:pPr>
      <w:r>
        <w:rPr>
          <w:b/>
        </w:rPr>
        <w:t>Η δραστηριότητα του Οργανισμού Βιοϊατρικής σε διεθνές επίπεδο:</w:t>
      </w:r>
    </w:p>
    <w:p w14:paraId="520DB474" w14:textId="77777777" w:rsidR="009B016A" w:rsidRDefault="00801C2A" w:rsidP="002B0FA3">
      <w:r>
        <w:t xml:space="preserve">Υπό την αιγίδα του Υπουργείου Υγείας, ο Οργανισμός Βιοϊατρικής μετέχει στην εκπόνηση κοινοτικών κανόνων και διεθνών συμφώνων. </w:t>
      </w:r>
    </w:p>
    <w:p w14:paraId="72D0994F" w14:textId="77777777" w:rsidR="00A86072" w:rsidRDefault="00801C2A" w:rsidP="002B0FA3">
      <w:r>
        <w:t xml:space="preserve">Εκπροσωπεί τη Γαλλία σε διεθνείς οργανισμούς και </w:t>
      </w:r>
      <w:r>
        <w:rPr>
          <w:i/>
          <w:lang w:val="en-US"/>
        </w:rPr>
        <w:t>fora</w:t>
      </w:r>
      <w:r>
        <w:t xml:space="preserve"> και παρεμβαίνει στο πλαίσιο της διεθνούς συνεργασίας με σ</w:t>
      </w:r>
      <w:r w:rsidR="002B0FA3">
        <w:t>τόχο την ανάπτυξη στο εξωτερικ</w:t>
      </w:r>
      <w:r w:rsidR="000F5393">
        <w:t>ό</w:t>
      </w:r>
      <w:r>
        <w:t xml:space="preserve"> των δραστηριοτήτων που άπτονται του πεδίου των αρμοδιοτήτων του. </w:t>
      </w:r>
    </w:p>
    <w:p w14:paraId="47965D5E" w14:textId="77777777" w:rsidR="00A86072" w:rsidRDefault="00801C2A" w:rsidP="002B0FA3">
      <w:r>
        <w:lastRenderedPageBreak/>
        <w:t xml:space="preserve">Παράλληλα, συνεργάζεται με ομόλογες Αρχές και Οργανισμούς του εξωτερικού, συμμετέχει σε ομάδες εργασίας και συμβάλλει στην εκπόνηση καλών πρακτικών. </w:t>
      </w:r>
    </w:p>
    <w:p w14:paraId="6E88A7C0" w14:textId="77777777" w:rsidR="00A837E2" w:rsidRDefault="00801C2A" w:rsidP="002B0FA3">
      <w:r>
        <w:t>Σε επιστημονικό επίπεδο, τέλος, εκπροσωπείται σε σημαντικό αριθμό συνεδρίων και μεριμ</w:t>
      </w:r>
      <w:r w:rsidR="00A86072">
        <w:t>νά για τη δημοσίευση μελετών του</w:t>
      </w:r>
      <w:r>
        <w:t xml:space="preserve"> σε έγκριτα διεθνή επιστημονικά περιοδικά</w:t>
      </w:r>
      <w:r>
        <w:rPr>
          <w:rStyle w:val="FootnoteReference"/>
        </w:rPr>
        <w:footnoteReference w:id="85"/>
      </w:r>
      <w:r>
        <w:t xml:space="preserve">. </w:t>
      </w:r>
    </w:p>
    <w:p w14:paraId="0B987155" w14:textId="77777777" w:rsidR="002B0FA3" w:rsidRDefault="002B0FA3" w:rsidP="003739B8">
      <w:pPr>
        <w:pStyle w:val="Heading1"/>
      </w:pPr>
      <w:bookmarkStart w:id="27" w:name="_Toc394082543"/>
      <w:bookmarkStart w:id="28" w:name="_Toc275535588"/>
      <w:bookmarkStart w:id="29" w:name="_Toc276574371"/>
      <w:r w:rsidRPr="004933B9">
        <w:lastRenderedPageBreak/>
        <w:t xml:space="preserve">ΙΙ. Η </w:t>
      </w:r>
      <w:r w:rsidR="00766332">
        <w:t xml:space="preserve">ΙΑΤΡΙΚΑ </w:t>
      </w:r>
      <w:r w:rsidRPr="004933B9">
        <w:t>ΥΠΟΒΟΗΘΟΥΜΕΝΗ ΑΝΑΠΑΡΑΓΩΓΗ ΣΕ ΖΕΥΓΑΡΙΑ</w:t>
      </w:r>
      <w:bookmarkEnd w:id="27"/>
      <w:bookmarkEnd w:id="28"/>
      <w:bookmarkEnd w:id="29"/>
    </w:p>
    <w:p w14:paraId="724071AA" w14:textId="77777777" w:rsidR="00260B91" w:rsidRPr="00260B91" w:rsidRDefault="002336CF" w:rsidP="007F1B6B">
      <w:r>
        <w:t xml:space="preserve">Ο </w:t>
      </w:r>
      <w:r w:rsidRPr="00674292">
        <w:rPr>
          <w:i/>
        </w:rPr>
        <w:t xml:space="preserve">Νόμος περί Βιοηθικής </w:t>
      </w:r>
      <w:r>
        <w:t>του 1994 όριζε ότι «</w:t>
      </w:r>
      <w:r w:rsidRPr="00A807AE">
        <w:rPr>
          <w:i/>
        </w:rPr>
        <w:t xml:space="preserve">η ιατρικά υποβοηθούμενη αναπαραγωγή στοχεύει στην ικανοποίηση του </w:t>
      </w:r>
      <w:r w:rsidR="0047468B">
        <w:rPr>
          <w:i/>
        </w:rPr>
        <w:t>οικογενειακού</w:t>
      </w:r>
      <w:r w:rsidR="00A807AE" w:rsidRPr="00A807AE">
        <w:rPr>
          <w:i/>
        </w:rPr>
        <w:t xml:space="preserve"> αιτήματος (</w:t>
      </w:r>
      <w:r w:rsidR="00A807AE" w:rsidRPr="00A807AE">
        <w:rPr>
          <w:i/>
          <w:lang w:val="en-US"/>
        </w:rPr>
        <w:t>demande parentale</w:t>
      </w:r>
      <w:r w:rsidR="00A807AE" w:rsidRPr="00A807AE">
        <w:rPr>
          <w:i/>
        </w:rPr>
        <w:t>) ενός ζευγαριού</w:t>
      </w:r>
      <w:r w:rsidR="00A807AE">
        <w:t xml:space="preserve">» (προηγ. άρθρο </w:t>
      </w:r>
      <w:r w:rsidR="00A807AE">
        <w:rPr>
          <w:lang w:val="en-US"/>
        </w:rPr>
        <w:t xml:space="preserve">L. </w:t>
      </w:r>
      <w:r w:rsidR="00A807AE">
        <w:t>152-2</w:t>
      </w:r>
      <w:r w:rsidR="00A807AE">
        <w:rPr>
          <w:lang w:val="en-US"/>
        </w:rPr>
        <w:t xml:space="preserve">, </w:t>
      </w:r>
      <w:r w:rsidR="00A807AE">
        <w:t xml:space="preserve">παρ. 1, </w:t>
      </w:r>
      <w:r w:rsidR="005A1087">
        <w:t>ΚΔΥ</w:t>
      </w:r>
      <w:r w:rsidR="00A807AE">
        <w:t xml:space="preserve">). Η διατύπωση διατηρήθηκε από το νομοθέτη του 2004 για να καταργηθεί τον Ιούλιο του 2011. Το άρθρο </w:t>
      </w:r>
      <w:r w:rsidR="00A807AE">
        <w:rPr>
          <w:lang w:val="en-US"/>
        </w:rPr>
        <w:t xml:space="preserve">L. 2142-2 </w:t>
      </w:r>
      <w:r w:rsidR="002E099D">
        <w:t xml:space="preserve">ΚΔΥ </w:t>
      </w:r>
      <w:r w:rsidR="00A807AE">
        <w:t xml:space="preserve">(που αντικατέστησε το άρθρο </w:t>
      </w:r>
      <w:r w:rsidR="00A807AE">
        <w:rPr>
          <w:lang w:val="en-US"/>
        </w:rPr>
        <w:t xml:space="preserve">L. </w:t>
      </w:r>
      <w:r w:rsidR="00A807AE">
        <w:t>152-2</w:t>
      </w:r>
      <w:r w:rsidR="002D328B">
        <w:t xml:space="preserve"> και είναι σήμερα σε ισχύ</w:t>
      </w:r>
      <w:r w:rsidR="00A807AE">
        <w:t xml:space="preserve">) εξαρτά ουσιαστικά την </w:t>
      </w:r>
      <w:r w:rsidR="004044E6">
        <w:t>πρόσβαση</w:t>
      </w:r>
      <w:r w:rsidR="00A807AE">
        <w:t xml:space="preserve"> στην </w:t>
      </w:r>
      <w:r w:rsidR="004044E6">
        <w:t>υποβοηθούμενη αναπαραγωγή από τρεις ευρύτερες</w:t>
      </w:r>
      <w:r w:rsidR="00A807AE">
        <w:t xml:space="preserve"> προϋποθέσεις: το </w:t>
      </w:r>
      <w:r w:rsidR="004044E6">
        <w:t xml:space="preserve">υποψήφιο υποβοηθούμενο ζευγάρι πρέπει να μπορεί να </w:t>
      </w:r>
      <w:r w:rsidR="004044E6" w:rsidRPr="007F1B6B">
        <w:t>αποδείξει την ύπαρξη ιατρικού λόγου για την ανάγκη προσφυγής σε μεθόδους ιατρικής υποβοήθησης στην αναπαραγωγή (Α), να συγκεντρώνει στο πρόσωπό του μια σειρά ιδιαίτερων χαρακτηριστικών (όπως, π.χ. ηλικία ή υγεία) και να επιθυμεί να τεκνοποιήσει (Β). Παράλληλα</w:t>
      </w:r>
      <w:r w:rsidR="00ED0B9C">
        <w:t xml:space="preserve"> </w:t>
      </w:r>
      <w:r w:rsidR="004044E6" w:rsidRPr="007F1B6B">
        <w:t xml:space="preserve">με τις προϋποθέσεις προσφυγής στην υποβοηθούμενη αναπαραγωγή, ο νομοθέτης φροντίζει να προσδιορίσει με ακρίβεια </w:t>
      </w:r>
      <w:r w:rsidR="007F1B6B" w:rsidRPr="007F1B6B">
        <w:t xml:space="preserve">τόσο </w:t>
      </w:r>
      <w:r w:rsidR="004044E6" w:rsidRPr="007F1B6B">
        <w:t>τις τεχνικές μέσω των οποίων αυτή διενεργείται</w:t>
      </w:r>
      <w:r w:rsidR="007F1B6B" w:rsidRPr="007F1B6B">
        <w:t xml:space="preserve"> (Γ),</w:t>
      </w:r>
      <w:r w:rsidR="007F1B6B">
        <w:t xml:space="preserve"> όσο και κάθε άλλο </w:t>
      </w:r>
      <w:r w:rsidR="007F1B6B" w:rsidRPr="007F1B6B">
        <w:t xml:space="preserve">ζήτημα σχετιζόμενο </w:t>
      </w:r>
      <w:r w:rsidR="000F3CE4" w:rsidRPr="007F1B6B">
        <w:t xml:space="preserve">με το γεννητικό υλικό (Δ) </w:t>
      </w:r>
      <w:r w:rsidR="007F1B6B">
        <w:t xml:space="preserve">ή </w:t>
      </w:r>
      <w:r w:rsidR="002D328B">
        <w:t>τους γενετικούς χειρισμούς</w:t>
      </w:r>
      <w:r w:rsidR="000F3CE4" w:rsidRPr="007F1B6B">
        <w:t xml:space="preserve"> </w:t>
      </w:r>
      <w:r w:rsidR="007F1B6B" w:rsidRPr="007F1B6B">
        <w:t xml:space="preserve">στα πλαίσια της ιατρικά υποβοηθούμενης αναπαραγωγής </w:t>
      </w:r>
      <w:r w:rsidR="000F3CE4" w:rsidRPr="007F1B6B">
        <w:t>(Ε).</w:t>
      </w:r>
      <w:r w:rsidR="000F3CE4">
        <w:t xml:space="preserve"> </w:t>
      </w:r>
    </w:p>
    <w:p w14:paraId="2D5571E8" w14:textId="77777777" w:rsidR="002B0FA3" w:rsidRDefault="002B0FA3" w:rsidP="002B0FA3">
      <w:pPr>
        <w:pStyle w:val="Heading2"/>
      </w:pPr>
      <w:bookmarkStart w:id="30" w:name="_Ref394000644"/>
      <w:bookmarkStart w:id="31" w:name="_Toc394082544"/>
      <w:bookmarkStart w:id="32" w:name="_Toc275535589"/>
      <w:bookmarkStart w:id="33" w:name="_Toc276574372"/>
      <w:r w:rsidRPr="004933B9">
        <w:t xml:space="preserve">Α. </w:t>
      </w:r>
      <w:bookmarkEnd w:id="30"/>
      <w:bookmarkEnd w:id="31"/>
      <w:bookmarkEnd w:id="32"/>
      <w:r w:rsidR="00C63AD3">
        <w:t>Όροι πρόσβασης στην Ιατρικά Υποβοηθούμενη Αναπαραγωγή</w:t>
      </w:r>
      <w:bookmarkEnd w:id="33"/>
      <w:r w:rsidR="00C63AD3">
        <w:t xml:space="preserve"> </w:t>
      </w:r>
    </w:p>
    <w:p w14:paraId="41FFA188" w14:textId="485B7377" w:rsidR="004F2F3D" w:rsidRDefault="00A67743" w:rsidP="00441545">
      <w:r>
        <w:t>Αναφορικά με τις αρχές που διέπουν την ιατρικά υποβοηθούμενη</w:t>
      </w:r>
      <w:r w:rsidR="006420C3">
        <w:t xml:space="preserve"> αναπαραγωγή στη Γαλλία και, ειδικότερα, </w:t>
      </w:r>
      <w:r>
        <w:t>τους όρους πρόσβασης σε αυτήν, τόσο οι προγενέστεροι Νόμοι περί Βιοηθικής, όσο και ο πιο πρόσφατος της 7</w:t>
      </w:r>
      <w:r w:rsidRPr="00A67743">
        <w:rPr>
          <w:vertAlign w:val="superscript"/>
        </w:rPr>
        <w:t>ης</w:t>
      </w:r>
      <w:r>
        <w:t xml:space="preserve"> Ιουλίου 2011 επιβεβαιώνουν </w:t>
      </w:r>
      <w:r w:rsidR="006420C3">
        <w:t xml:space="preserve">περίτρανα την προσήλωση του γάλλου νομοθέτη στην αρχή σύμφωνα με την οποία </w:t>
      </w:r>
      <w:r w:rsidR="006420C3" w:rsidRPr="006420C3">
        <w:rPr>
          <w:b/>
        </w:rPr>
        <w:t>η ιατρικά υποβοηθούμενη αναπαραγωγή αποτελεί ιατρική λύση σε ένα ιατρικό πρόβλημα</w:t>
      </w:r>
      <w:r w:rsidR="003D60AB">
        <w:rPr>
          <w:rStyle w:val="FootnoteReference"/>
          <w:b/>
        </w:rPr>
        <w:footnoteReference w:id="86"/>
      </w:r>
      <w:r w:rsidR="006420C3">
        <w:t xml:space="preserve">. </w:t>
      </w:r>
    </w:p>
    <w:p w14:paraId="06E4A67E" w14:textId="77777777" w:rsidR="008A04A8" w:rsidRDefault="0098476B" w:rsidP="00CA3B58">
      <w:r>
        <w:t>Υπάρχει βεβαίως μια</w:t>
      </w:r>
      <w:r w:rsidR="00CE192B">
        <w:t xml:space="preserve"> συζήτηση σχετικά με τη διεύρυνση των όρων πρόσβασης στην ιατρικά υποβοηθούμενη αναπαραγωγή, ώστε να περιλαμβάνει και την πραγματική αδυναμία απόκτησης τέκνων (όπως, λ.χ., όταν ένα από τα δύο πρόσωπα που συνθέτουν το ζευγάρι εκτίει ποινή φυλάκισης), ενόψει μάλιστα της </w:t>
      </w:r>
      <w:r w:rsidR="00CE192B" w:rsidRPr="006C12D2">
        <w:t xml:space="preserve">αναθεώρησης του </w:t>
      </w:r>
      <w:r w:rsidR="00CE192B" w:rsidRPr="00CE192B">
        <w:rPr>
          <w:rFonts w:eastAsia="Calibri"/>
          <w:lang w:eastAsia="en-US"/>
        </w:rPr>
        <w:t xml:space="preserve">Οδηγού καλών κλινικών και βιολογικών πρακτικών </w:t>
      </w:r>
      <w:r w:rsidR="0004076A">
        <w:rPr>
          <w:rFonts w:eastAsia="Calibri"/>
          <w:lang w:eastAsia="en-US"/>
        </w:rPr>
        <w:t>στην ιατρικά υποβοηθούμενη αναπαραγωγή</w:t>
      </w:r>
      <w:r w:rsidR="00CE192B">
        <w:rPr>
          <w:rFonts w:eastAsia="Calibri"/>
          <w:lang w:eastAsia="en-US"/>
        </w:rPr>
        <w:t xml:space="preserve">. </w:t>
      </w:r>
      <w:r w:rsidR="00664842">
        <w:t xml:space="preserve">Όπως αναφέρει, ωστόσο, </w:t>
      </w:r>
      <w:r w:rsidR="00CE192B">
        <w:t xml:space="preserve">ο Καθηγητής Jean-Francois Guerin, ο οποίος </w:t>
      </w:r>
      <w:r w:rsidR="00664842">
        <w:t xml:space="preserve">μάλιστα </w:t>
      </w:r>
      <w:r w:rsidR="00CE192B">
        <w:t>συμμετέχει στη σχετική ομάδα εργασίας</w:t>
      </w:r>
      <w:r w:rsidR="00CA3B58">
        <w:t xml:space="preserve"> αναθεώρησης του Οδηγού</w:t>
      </w:r>
      <w:r w:rsidR="00CE192B">
        <w:t xml:space="preserve">, στην υποθετική περίπτωση που κάτι τέτοιο </w:t>
      </w:r>
      <w:r w:rsidR="00CA3B58">
        <w:t>ενσωματωνόταν σ</w:t>
      </w:r>
      <w:r w:rsidR="00CE192B">
        <w:t>τη γαλλική νομοθεσία, οι παράμετροι που θα έπρεπε να ληφθούν υπόψη είναι πολλοί και σημαντικοί</w:t>
      </w:r>
      <w:r w:rsidR="00CE192B">
        <w:rPr>
          <w:rStyle w:val="FootnoteReference"/>
        </w:rPr>
        <w:footnoteReference w:id="87"/>
      </w:r>
      <w:r w:rsidR="00CE192B">
        <w:t>.</w:t>
      </w:r>
      <w:r w:rsidR="00CE192B" w:rsidRPr="006C12D2">
        <w:t xml:space="preserve"> </w:t>
      </w:r>
      <w:r w:rsidR="008A04A8">
        <w:t>Σχετικά με το ζήτημα αυτό, μάλιστα, η Καθηγήτρια Κοινωνιολογίας και Διευθύντρια έρευνας (</w:t>
      </w:r>
      <w:r w:rsidR="008A04A8">
        <w:rPr>
          <w:i/>
        </w:rPr>
        <w:t>Directrice de recherche</w:t>
      </w:r>
      <w:r w:rsidR="008A04A8">
        <w:t>) στο CNRS, Simone Bateman, υποστηρίζει</w:t>
      </w:r>
      <w:r w:rsidR="008A04A8" w:rsidRPr="008A04A8">
        <w:t xml:space="preserve"> </w:t>
      </w:r>
      <w:r w:rsidR="008A04A8">
        <w:t>ότι «δ</w:t>
      </w:r>
      <w:r w:rsidR="008A04A8" w:rsidRPr="00FD040C">
        <w:t>εν</w:t>
      </w:r>
      <w:r w:rsidR="008A04A8" w:rsidRPr="00FD040C">
        <w:rPr>
          <w:lang w:val="fr-FR"/>
        </w:rPr>
        <w:t xml:space="preserve"> </w:t>
      </w:r>
      <w:r w:rsidR="008A04A8" w:rsidRPr="00FD040C">
        <w:t>πρέπει</w:t>
      </w:r>
      <w:r w:rsidR="008A04A8" w:rsidRPr="00FD040C">
        <w:rPr>
          <w:lang w:val="fr-FR"/>
        </w:rPr>
        <w:t xml:space="preserve"> </w:t>
      </w:r>
      <w:r w:rsidR="008A04A8" w:rsidRPr="00FD040C">
        <w:t>η</w:t>
      </w:r>
      <w:r w:rsidR="008A04A8" w:rsidRPr="00FD040C">
        <w:rPr>
          <w:lang w:val="fr-FR"/>
        </w:rPr>
        <w:t xml:space="preserve"> </w:t>
      </w:r>
      <w:r w:rsidR="008A04A8" w:rsidRPr="00FD040C">
        <w:t>κοινωνία</w:t>
      </w:r>
      <w:r w:rsidR="008A04A8" w:rsidRPr="00FD040C">
        <w:rPr>
          <w:lang w:val="fr-FR"/>
        </w:rPr>
        <w:t xml:space="preserve"> </w:t>
      </w:r>
      <w:r w:rsidR="008A04A8" w:rsidRPr="00FD040C">
        <w:t>να</w:t>
      </w:r>
      <w:r w:rsidR="008A04A8" w:rsidRPr="00FD040C">
        <w:rPr>
          <w:lang w:val="fr-FR"/>
        </w:rPr>
        <w:t xml:space="preserve"> </w:t>
      </w:r>
      <w:r w:rsidR="008A04A8" w:rsidRPr="00FD040C">
        <w:t>καταφεύγει</w:t>
      </w:r>
      <w:r w:rsidR="008A04A8" w:rsidRPr="00FD040C">
        <w:rPr>
          <w:lang w:val="fr-FR"/>
        </w:rPr>
        <w:t xml:space="preserve"> </w:t>
      </w:r>
      <w:r w:rsidR="008A04A8" w:rsidRPr="00FD040C">
        <w:t>στην</w:t>
      </w:r>
      <w:r w:rsidR="008A04A8" w:rsidRPr="00FD040C">
        <w:rPr>
          <w:lang w:val="fr-FR"/>
        </w:rPr>
        <w:t xml:space="preserve"> </w:t>
      </w:r>
      <w:r w:rsidR="008A04A8" w:rsidRPr="00FD040C">
        <w:t>ιατρική</w:t>
      </w:r>
      <w:r w:rsidR="008A04A8" w:rsidRPr="00FD040C">
        <w:rPr>
          <w:lang w:val="fr-FR"/>
        </w:rPr>
        <w:t xml:space="preserve"> </w:t>
      </w:r>
      <w:r w:rsidR="008A04A8" w:rsidRPr="00FD040C">
        <w:t>για</w:t>
      </w:r>
      <w:r w:rsidR="008A04A8" w:rsidRPr="00FD040C">
        <w:rPr>
          <w:lang w:val="fr-FR"/>
        </w:rPr>
        <w:t xml:space="preserve"> </w:t>
      </w:r>
      <w:r w:rsidR="008A04A8" w:rsidRPr="00FD040C">
        <w:t>το</w:t>
      </w:r>
      <w:r w:rsidR="008A04A8" w:rsidRPr="00FD040C">
        <w:rPr>
          <w:lang w:val="fr-FR"/>
        </w:rPr>
        <w:t xml:space="preserve"> </w:t>
      </w:r>
      <w:r w:rsidR="008A04A8" w:rsidRPr="00FD040C">
        <w:t>παραμικρό</w:t>
      </w:r>
      <w:r w:rsidR="008A04A8">
        <w:rPr>
          <w:lang w:val="fr-FR"/>
        </w:rPr>
        <w:t xml:space="preserve"> […]</w:t>
      </w:r>
      <w:r w:rsidR="00085689">
        <w:rPr>
          <w:lang w:val="fr-FR"/>
        </w:rPr>
        <w:t>.</w:t>
      </w:r>
      <w:r w:rsidR="008A04A8" w:rsidRPr="00FD040C">
        <w:rPr>
          <w:lang w:val="fr-FR"/>
        </w:rPr>
        <w:t xml:space="preserve"> </w:t>
      </w:r>
      <w:r w:rsidR="008A04A8">
        <w:rPr>
          <w:lang w:val="fr-FR"/>
        </w:rPr>
        <w:t xml:space="preserve">Είναι σημαντικό να </w:t>
      </w:r>
      <w:r w:rsidR="008A04A8" w:rsidRPr="00FD040C">
        <w:t>τίθενται όρια</w:t>
      </w:r>
      <w:r w:rsidR="008A04A8">
        <w:t xml:space="preserve"> στην πρόσβαση στην ιατρικά </w:t>
      </w:r>
      <w:r w:rsidR="008A04A8">
        <w:lastRenderedPageBreak/>
        <w:t>υποβοηθούμενη αναπαραγωγή, η οποία δε μπορεί να διατίθετα</w:t>
      </w:r>
      <w:r w:rsidR="001E7937">
        <w:t xml:space="preserve">ι σε κάθε ζευγάρι». Και, ασφαλώς, </w:t>
      </w:r>
      <w:r w:rsidR="008A04A8">
        <w:t>η Simone Bateman δεν αναφέρεται μόνο στο οικονομικό κόστος, το οποίο θα ήταν αβάσταχτο</w:t>
      </w:r>
      <w:r w:rsidR="001E7937">
        <w:t xml:space="preserve"> σε περίπτωση ασφαλιστικής κάλυψης κάθε προσπάθειας τεχνητής γονιμοποίησης</w:t>
      </w:r>
      <w:r w:rsidR="008A04A8">
        <w:t xml:space="preserve">, αλλά κυρίως στον κίνδυνο γενίκευσης της ιατρικά υποβοηθούμενης αναπαραγωγής. Γι' αυτό, το ερώτημα που πρέπει να τεθεί, </w:t>
      </w:r>
      <w:r w:rsidR="008A04A8" w:rsidRPr="00FD040C">
        <w:t>λοιπόν</w:t>
      </w:r>
      <w:r w:rsidR="008A04A8">
        <w:t xml:space="preserve">, είναι </w:t>
      </w:r>
      <w:r w:rsidR="00085689">
        <w:t>«</w:t>
      </w:r>
      <w:r w:rsidR="008A04A8" w:rsidRPr="00FD040C">
        <w:t>προς ποιον τύ</w:t>
      </w:r>
      <w:r w:rsidR="008A04A8">
        <w:t xml:space="preserve">πο αναπαραγωγής </w:t>
      </w:r>
      <w:r w:rsidR="00085689">
        <w:t>οδεύουμε».</w:t>
      </w:r>
      <w:r w:rsidR="008A04A8">
        <w:t xml:space="preserve"> Το άνοιγμα της υποβοηθούμενης αναπαραγωγής </w:t>
      </w:r>
      <w:r w:rsidR="008A04A8" w:rsidRPr="00FD040C">
        <w:t>σε όλους</w:t>
      </w:r>
      <w:r w:rsidR="001E7937">
        <w:t>, χωρίς ιατρικά κριτήρια</w:t>
      </w:r>
      <w:r w:rsidR="00085689">
        <w:t xml:space="preserve"> και ενδείξεις</w:t>
      </w:r>
      <w:r w:rsidR="001E7937">
        <w:t>, θα είχε</w:t>
      </w:r>
      <w:r w:rsidR="008A04A8">
        <w:t xml:space="preserve"> απρόβλεπτες συνέπειες</w:t>
      </w:r>
      <w:r w:rsidR="008A04A8">
        <w:rPr>
          <w:rStyle w:val="FootnoteReference"/>
          <w:rFonts w:cs="TimesNewRomanPSMT"/>
        </w:rPr>
        <w:footnoteReference w:id="88"/>
      </w:r>
      <w:r w:rsidR="008A04A8">
        <w:t>.</w:t>
      </w:r>
    </w:p>
    <w:p w14:paraId="0CD3D936" w14:textId="77777777" w:rsidR="00065D96" w:rsidRPr="006C12D2" w:rsidRDefault="00441545" w:rsidP="00540F54">
      <w:r>
        <w:t xml:space="preserve">Για </w:t>
      </w:r>
      <w:r w:rsidR="0097309C">
        <w:t>τους ανωτέρω λόγους,</w:t>
      </w:r>
      <w:r>
        <w:t xml:space="preserve"> οι όροι πρόσβασης στην υποβοηθούμενη αναπαραγωγή</w:t>
      </w:r>
      <w:r w:rsidR="0097309C">
        <w:t xml:space="preserve">, </w:t>
      </w:r>
      <w:r w:rsidR="007A2F47">
        <w:t>σύμφωνα με το γάλλο νομοθέτη,</w:t>
      </w:r>
      <w:r>
        <w:t xml:space="preserve"> είναι καθαρά ιατρικής φύσης: αδυναμία απόκτησης τέκνων με φυσικό τρόπο (α), αποφυγή μετάδοσης σοβαρής ασθένειας στο τέκνο που θα γεννηθεί (β) και αποφυγή μετάδοσης σοβαρής ασθένειας στο έτερο υποβοηθούμενο πρόσωπο (γ). Ειδικότερα, όπως θα δούμε αναλυτικά πιο κάτω, δυνάμει</w:t>
      </w:r>
      <w:r w:rsidRPr="008344A8">
        <w:t xml:space="preserve"> </w:t>
      </w:r>
      <w:r>
        <w:t>των</w:t>
      </w:r>
      <w:r w:rsidRPr="008344A8">
        <w:t xml:space="preserve"> </w:t>
      </w:r>
      <w:r w:rsidRPr="00C73E24">
        <w:t>διατάξεων</w:t>
      </w:r>
      <w:r w:rsidRPr="008344A8">
        <w:t xml:space="preserve"> </w:t>
      </w:r>
      <w:r>
        <w:t>του</w:t>
      </w:r>
      <w:r w:rsidRPr="008344A8">
        <w:t xml:space="preserve"> </w:t>
      </w:r>
      <w:r>
        <w:t>άρθρου</w:t>
      </w:r>
      <w:r w:rsidRPr="008344A8">
        <w:t xml:space="preserve"> </w:t>
      </w:r>
      <w:r>
        <w:rPr>
          <w:lang w:val="fr-FR"/>
        </w:rPr>
        <w:t>L</w:t>
      </w:r>
      <w:r w:rsidRPr="008344A8">
        <w:t>. 2141-2</w:t>
      </w:r>
      <w:r>
        <w:t xml:space="preserve">, παρ. 1, </w:t>
      </w:r>
      <w:r w:rsidR="002E099D">
        <w:t xml:space="preserve">ΚΔΥ </w:t>
      </w:r>
      <w:r>
        <w:t>«</w:t>
      </w:r>
      <w:r w:rsidRPr="00C73E24">
        <w:rPr>
          <w:i/>
        </w:rPr>
        <w:t xml:space="preserve">σκοπός </w:t>
      </w:r>
      <w:r>
        <w:rPr>
          <w:i/>
        </w:rPr>
        <w:t>της ιατρικά υποβοηθούμενης αναπαραγωγής</w:t>
      </w:r>
      <w:r w:rsidRPr="00C73E24">
        <w:rPr>
          <w:i/>
        </w:rPr>
        <w:t xml:space="preserve"> είναι να θεραπευθεί η υπογονιμότητα ενός ζευγαριού</w:t>
      </w:r>
      <w:r w:rsidRPr="00C73E24">
        <w:rPr>
          <w:b/>
          <w:i/>
        </w:rPr>
        <w:t xml:space="preserve"> </w:t>
      </w:r>
      <w:r w:rsidRPr="00C73E24">
        <w:rPr>
          <w:b/>
          <w:i/>
          <w:u w:val="single"/>
        </w:rPr>
        <w:t>ή</w:t>
      </w:r>
      <w:r w:rsidRPr="00C73E24">
        <w:rPr>
          <w:i/>
        </w:rPr>
        <w:t xml:space="preserve"> να αποφευχθεί η μετάδοση στο τέκνο </w:t>
      </w:r>
      <w:r w:rsidRPr="00C73E24">
        <w:rPr>
          <w:b/>
          <w:i/>
          <w:u w:val="single"/>
        </w:rPr>
        <w:t>ή</w:t>
      </w:r>
      <w:r w:rsidRPr="00C73E24">
        <w:rPr>
          <w:i/>
        </w:rPr>
        <w:t xml:space="preserve"> σε ένα από τα δύο υποβοηθούμενα πρόσωπα του ζευγαριού ασθένειας ενός ορισμένου βαθμού σοβαρότητας. Η παθολογική φύση της υπογονιμότητας πρέπει να διαγνωσθεί ιατρικά</w:t>
      </w:r>
      <w:r w:rsidR="007A2F47">
        <w:t>».</w:t>
      </w:r>
      <w:r w:rsidR="004E1166">
        <w:t xml:space="preserve"> Σε</w:t>
      </w:r>
      <w:r w:rsidR="00065D96">
        <w:t xml:space="preserve"> αυτές </w:t>
      </w:r>
      <w:r w:rsidR="004E1166">
        <w:t xml:space="preserve">τις </w:t>
      </w:r>
      <w:r w:rsidR="00065D96">
        <w:t>ρητά προβλεπόμε</w:t>
      </w:r>
      <w:r w:rsidR="0079055A">
        <w:t>νες από το νομοθέτη περιπτώσεις</w:t>
      </w:r>
      <w:r w:rsidR="00065D96">
        <w:t xml:space="preserve"> προστίθεται και μία τέταρτη, η </w:t>
      </w:r>
      <w:r w:rsidR="00540F54">
        <w:t>διπλή</w:t>
      </w:r>
      <w:r w:rsidR="00065D96">
        <w:t xml:space="preserve"> προεμφυτευτική διά</w:t>
      </w:r>
      <w:r w:rsidR="00540F54">
        <w:t>γνωση</w:t>
      </w:r>
      <w:r w:rsidR="00065D96">
        <w:t xml:space="preserve"> ή αλλιώς «μ</w:t>
      </w:r>
      <w:r w:rsidR="00065D96" w:rsidRPr="00062153">
        <w:t>ωρό φάρμακο</w:t>
      </w:r>
      <w:r w:rsidR="00065D96">
        <w:t>» (</w:t>
      </w:r>
      <w:r w:rsidR="00065D96" w:rsidRPr="00062153">
        <w:rPr>
          <w:i/>
          <w:lang w:val="en-US"/>
        </w:rPr>
        <w:t>b</w:t>
      </w:r>
      <w:r w:rsidR="00065D96" w:rsidRPr="00062153">
        <w:rPr>
          <w:i/>
          <w:lang w:val="fr-FR"/>
        </w:rPr>
        <w:t>é</w:t>
      </w:r>
      <w:r w:rsidR="00065D96" w:rsidRPr="00062153">
        <w:rPr>
          <w:i/>
          <w:lang w:val="en-US"/>
        </w:rPr>
        <w:t>bé médicament</w:t>
      </w:r>
      <w:r w:rsidR="00065D96">
        <w:t xml:space="preserve">) </w:t>
      </w:r>
      <w:r w:rsidR="00065D96" w:rsidRPr="00062153">
        <w:t xml:space="preserve">ή </w:t>
      </w:r>
      <w:r w:rsidR="00065D96">
        <w:t>«</w:t>
      </w:r>
      <w:r w:rsidR="00065D96" w:rsidRPr="00062153">
        <w:t>μωρό της διπλής ελπίδας</w:t>
      </w:r>
      <w:r w:rsidR="00065D96">
        <w:t>» (</w:t>
      </w:r>
      <w:r w:rsidR="00065D96" w:rsidRPr="00062153">
        <w:rPr>
          <w:i/>
        </w:rPr>
        <w:t>bébé du douple espoir</w:t>
      </w:r>
      <w:r w:rsidR="00065D96">
        <w:t xml:space="preserve">) (δ).  </w:t>
      </w:r>
      <w:r w:rsidR="004E1166">
        <w:t>Σε κάθε περίπτωση, ακόμη κι αν συντρέχουν οι ανωτέρω όροι,</w:t>
      </w:r>
      <w:r w:rsidR="0079055A">
        <w:t xml:space="preserve"> είναι αναγκαίο να επισημανθεί υπό μορφήν υπενθύμισης ότι</w:t>
      </w:r>
      <w:r w:rsidR="004E1166">
        <w:t xml:space="preserve"> πρόσβαση </w:t>
      </w:r>
      <w:r w:rsidR="0079055A">
        <w:t xml:space="preserve">στην ιατρικά υποβοηθούμενη αναπαραγωγή </w:t>
      </w:r>
      <w:r w:rsidR="004E1166">
        <w:t>έχουν μόνο τα εν ζωή ζευγάρια διαφορετικού φύλου (ε).</w:t>
      </w:r>
    </w:p>
    <w:p w14:paraId="3640B141" w14:textId="77777777" w:rsidR="002B0FA3" w:rsidRDefault="00C4415A" w:rsidP="002B0FA3">
      <w:pPr>
        <w:pStyle w:val="Heading3"/>
      </w:pPr>
      <w:bookmarkStart w:id="34" w:name="_Toc394082545"/>
      <w:bookmarkStart w:id="35" w:name="_Toc275535590"/>
      <w:bookmarkStart w:id="36" w:name="_Toc276574373"/>
      <w:r>
        <w:t>α</w:t>
      </w:r>
      <w:r w:rsidR="002B0FA3" w:rsidRPr="004933B9">
        <w:t xml:space="preserve">. </w:t>
      </w:r>
      <w:bookmarkEnd w:id="34"/>
      <w:r w:rsidR="003A7105">
        <w:t>Αδυναμία απόκτησης τέκνων με φυσικό τρόπο</w:t>
      </w:r>
      <w:bookmarkEnd w:id="35"/>
      <w:bookmarkEnd w:id="36"/>
    </w:p>
    <w:p w14:paraId="6200B6C8" w14:textId="0114A7BE" w:rsidR="008C4183" w:rsidRPr="008C4183" w:rsidRDefault="0050779D" w:rsidP="008C4183">
      <w:r>
        <w:t>Για την καλύτερη κατανόηση του πρώτου όρου πρόσβασης στην ιατρικά υποβοηθούμενη αναπαραγωγή, είναι σημαντικό να επιμείνουμε στον αποκλειστικά «ιατρικό» χαρακτήρα που έχει προσδώσει ο γάλλος νομοθέτης στην υποβοήθηση στην αναπαραγωγή. Έτσι, ίσως καταλάβουμε καλύτερα το σκοπό που αυτή η επιλογή εξυπηρετεί (</w:t>
      </w:r>
      <w:r w:rsidR="008C4183">
        <w:t>§1</w:t>
      </w:r>
      <w:r>
        <w:t>). Ακολούθως, θα γίνει αναφορά στον τρόπο πιστοποίησης της συνδρομής του πρώτου αυτού όρου της «παθολογικής υπογονιμότητας» (§2), για να κλείσουμε την παρούσα ενότητα με τις συ</w:t>
      </w:r>
      <w:r w:rsidR="008C4183">
        <w:t xml:space="preserve">νέπειες μη συμμόρφωσης με τις νομοθετικές προσταγές </w:t>
      </w:r>
      <w:r>
        <w:t xml:space="preserve">(§3). </w:t>
      </w:r>
    </w:p>
    <w:p w14:paraId="6ADCCCC6" w14:textId="77777777" w:rsidR="00B17226" w:rsidRDefault="00253FCB" w:rsidP="00B17226">
      <w:pPr>
        <w:pStyle w:val="Heading4"/>
      </w:pPr>
      <w:bookmarkStart w:id="37" w:name="_Toc276574374"/>
      <w:r>
        <w:t xml:space="preserve">§1. </w:t>
      </w:r>
      <w:r w:rsidR="00B17226">
        <w:t>Μια ιατρική απάντηση σε ένα ιατρικό πρόβλημα</w:t>
      </w:r>
      <w:bookmarkEnd w:id="37"/>
      <w:r w:rsidR="00B17226">
        <w:t xml:space="preserve"> </w:t>
      </w:r>
    </w:p>
    <w:p w14:paraId="33A8B0AE" w14:textId="77777777" w:rsidR="00BB577E" w:rsidRDefault="0025589B" w:rsidP="00BB577E">
      <w:r>
        <w:t xml:space="preserve">Ο πρώτος όρος τον οποίο θέτει ο γάλλος νομοθέτης για την πρόσβαση σε μεθόδους ιατρικά υποβοηθούμενης αναπαραγωγής είναι η ιατρική αδυναμία απόκτησης τέκνων με φυσικό τρόπο. Ειδικότερα, στο άρθρο </w:t>
      </w:r>
      <w:r>
        <w:rPr>
          <w:lang w:val="fr-FR"/>
        </w:rPr>
        <w:t>L</w:t>
      </w:r>
      <w:r w:rsidRPr="008344A8">
        <w:t>. 2141-2</w:t>
      </w:r>
      <w:r>
        <w:t xml:space="preserve">, παρ. 1, </w:t>
      </w:r>
      <w:r w:rsidR="002E099D">
        <w:t xml:space="preserve">ΚΔΥ </w:t>
      </w:r>
      <w:r>
        <w:t>προβλέπεται ότι «</w:t>
      </w:r>
      <w:r w:rsidR="006B077C" w:rsidRPr="0025589B">
        <w:rPr>
          <w:i/>
        </w:rPr>
        <w:t xml:space="preserve">σκοπός της </w:t>
      </w:r>
      <w:r w:rsidR="006B077C" w:rsidRPr="0025589B">
        <w:rPr>
          <w:i/>
        </w:rPr>
        <w:lastRenderedPageBreak/>
        <w:t>ιατρ</w:t>
      </w:r>
      <w:r w:rsidR="001E4596">
        <w:rPr>
          <w:i/>
        </w:rPr>
        <w:t>ικά υποβοηθούμενης αναπαραγωγής</w:t>
      </w:r>
      <w:r w:rsidR="006B077C" w:rsidRPr="0025589B">
        <w:rPr>
          <w:i/>
        </w:rPr>
        <w:t xml:space="preserve"> είναι να θεραπευθεί η υπογονιμότητα ενός ζευγαριού […]</w:t>
      </w:r>
      <w:r w:rsidR="006B077C">
        <w:t>».</w:t>
      </w:r>
      <w:r>
        <w:t xml:space="preserve"> Η διάταξη αυτή, ως προς την ουσία της, δε</w:t>
      </w:r>
      <w:r w:rsidR="004F2F3D">
        <w:t>ν αποτελεί</w:t>
      </w:r>
      <w:r w:rsidR="001E4596">
        <w:t xml:space="preserve"> καινοτομία, καθώς</w:t>
      </w:r>
      <w:r>
        <w:t xml:space="preserve"> </w:t>
      </w:r>
      <w:r w:rsidR="004F2F3D">
        <w:t>η υπογονιμότητα του υποψηφίου υποβοηθούμενου</w:t>
      </w:r>
      <w:r w:rsidR="001E4596">
        <w:t xml:space="preserve"> ζευγαριού αποτελούσε, ήδη από το 1994, </w:t>
      </w:r>
      <w:r>
        <w:t xml:space="preserve">βασικό όρο πρόσβασης στην υποβοηθούμενη αναπαραγωγή. </w:t>
      </w:r>
      <w:r w:rsidR="004F2F3D">
        <w:t>Αυτό που αλλάζει, ωστόσο, σε σχέση με την προγενέστερη της αναθεώρησης του 2011 διατύπωσης της επίμαχης διάταξης, συνίσταται στην εξαφάνιση του όρου «</w:t>
      </w:r>
      <w:r w:rsidR="0047468B">
        <w:t>οικογενειακού αιτήματος</w:t>
      </w:r>
      <w:r w:rsidR="004F2F3D">
        <w:t>» (</w:t>
      </w:r>
      <w:r w:rsidR="004F2F3D" w:rsidRPr="004F2F3D">
        <w:rPr>
          <w:i/>
          <w:lang w:val="en-US"/>
        </w:rPr>
        <w:t>demande parentale</w:t>
      </w:r>
      <w:r w:rsidR="004F2F3D">
        <w:t xml:space="preserve">). </w:t>
      </w:r>
    </w:p>
    <w:p w14:paraId="698EDAA6" w14:textId="6E3C4859" w:rsidR="005A20AE" w:rsidRDefault="001E4596" w:rsidP="003D4BB4">
      <w:r>
        <w:t xml:space="preserve">Πιο συγκεκριμένα, ήδη με </w:t>
      </w:r>
      <w:r w:rsidR="004F2F3D">
        <w:t>το</w:t>
      </w:r>
      <w:r>
        <w:t>ν πρώτο</w:t>
      </w:r>
      <w:r w:rsidR="004F2F3D">
        <w:t xml:space="preserve"> </w:t>
      </w:r>
      <w:r>
        <w:t xml:space="preserve">Νόμο περί Βιοηθικής του </w:t>
      </w:r>
      <w:r w:rsidR="004F2F3D">
        <w:t xml:space="preserve">1994, </w:t>
      </w:r>
      <w:r w:rsidR="0025589B">
        <w:t xml:space="preserve">το άρθρο </w:t>
      </w:r>
      <w:r w:rsidR="0025589B">
        <w:rPr>
          <w:lang w:val="en-US"/>
        </w:rPr>
        <w:t xml:space="preserve">L. </w:t>
      </w:r>
      <w:r w:rsidR="008C4183">
        <w:t>152-2, παρ. 1</w:t>
      </w:r>
      <w:r w:rsidR="0025589B">
        <w:t xml:space="preserve"> </w:t>
      </w:r>
      <w:r w:rsidR="004F2F3D">
        <w:t xml:space="preserve">(μετέπειτα άρθρο </w:t>
      </w:r>
      <w:r w:rsidR="004F2F3D">
        <w:rPr>
          <w:lang w:val="fr-FR"/>
        </w:rPr>
        <w:t>L</w:t>
      </w:r>
      <w:r w:rsidR="004F2F3D" w:rsidRPr="008344A8">
        <w:t>. 2141-2</w:t>
      </w:r>
      <w:r w:rsidR="008C4183">
        <w:t xml:space="preserve">, παρ. 1), </w:t>
      </w:r>
      <w:r w:rsidR="002E099D">
        <w:t xml:space="preserve">ΚΔΥ </w:t>
      </w:r>
      <w:r w:rsidR="0025589B">
        <w:t xml:space="preserve">όριζε ότι </w:t>
      </w:r>
      <w:r w:rsidR="004F2F3D">
        <w:t>«</w:t>
      </w:r>
      <w:r w:rsidR="004F2F3D" w:rsidRPr="004F2F3D">
        <w:rPr>
          <w:i/>
        </w:rPr>
        <w:t xml:space="preserve">η ιατρικά υποβοηθούμενη αναπαραγωγή σκοπό της έχει να ανταποκρίνεται στο </w:t>
      </w:r>
      <w:r w:rsidR="009652F0">
        <w:rPr>
          <w:i/>
        </w:rPr>
        <w:t>οικογενειακό</w:t>
      </w:r>
      <w:r w:rsidR="004F2F3D" w:rsidRPr="004F2F3D">
        <w:rPr>
          <w:i/>
        </w:rPr>
        <w:t xml:space="preserve"> αίτημα ενός ζευγαριού</w:t>
      </w:r>
      <w:r w:rsidR="004F2F3D">
        <w:t>». Αυτό, όπως είναι λογικό, καθιστούσε το «</w:t>
      </w:r>
      <w:r w:rsidR="009652F0">
        <w:t>οικογενειακό αίτημα</w:t>
      </w:r>
      <w:r w:rsidR="004F2F3D">
        <w:t>» στοιχείο-κλειδί της πρόσβασης στην ιατρικά υποβοηθούμενη αναπαραγωγή</w:t>
      </w:r>
      <w:r w:rsidR="0011745B">
        <w:t>, με τις υπόλοιπες παραμέτρους (αδυναμία απόκτησης τέκνων ή αποφυγή μετάδοσης ασθενείας κ.λπ.) να αποτελούν επεξηγηματικές ενδείξεις, ο κατάλογος των οποίων θα μπορούσε ενδεχομένως να διευρυνθεί προοδευτικά. Καταργώντας λοιπόν την αναφορά στον όρο «</w:t>
      </w:r>
      <w:r w:rsidR="009652F0">
        <w:t>οικογενειακό</w:t>
      </w:r>
      <w:r w:rsidR="0011745B">
        <w:t xml:space="preserve"> αίτημα» και καθιστώντας την παθολογική υπογονιμότητα στοιχείο του ορισμού της ιατρικά υποβοηθούμενης αναπαραγωγής, </w:t>
      </w:r>
      <w:r w:rsidR="008A0B77">
        <w:t>ο νομοθέτης της 7</w:t>
      </w:r>
      <w:r w:rsidR="008A0B77" w:rsidRPr="0011745B">
        <w:rPr>
          <w:vertAlign w:val="superscript"/>
        </w:rPr>
        <w:t>ης</w:t>
      </w:r>
      <w:r w:rsidR="008A0B77">
        <w:t xml:space="preserve"> Ιουλίου 2011</w:t>
      </w:r>
      <w:r w:rsidR="007C075E">
        <w:t xml:space="preserve"> </w:t>
      </w:r>
      <w:r w:rsidR="0011745B">
        <w:t>αποδυνάμωσε την ανάγκη ικανοποίησης της επιθυμίας του ζευγαριού, ενισχύοντας ταυτόχρονα την ιατρική διάσταση της υποβοηθούμενης αναπαραγωγής. Η πρό</w:t>
      </w:r>
      <w:r w:rsidR="00C4415A">
        <w:t xml:space="preserve">θεσή του αυτή δηλώνεται ρητά </w:t>
      </w:r>
      <w:r w:rsidR="0011745B">
        <w:t xml:space="preserve">στην αιτιολογική έκθεση του </w:t>
      </w:r>
      <w:r w:rsidR="007C075E">
        <w:t>Σχεδίου Νόμου που μετέπειτα έγινε</w:t>
      </w:r>
      <w:r w:rsidR="004538A6">
        <w:t xml:space="preserve"> </w:t>
      </w:r>
      <w:r w:rsidR="00C4415A">
        <w:t>Νόμο</w:t>
      </w:r>
      <w:r w:rsidR="007C075E">
        <w:t>ς</w:t>
      </w:r>
      <w:r w:rsidR="00C4415A">
        <w:t xml:space="preserve"> της 7</w:t>
      </w:r>
      <w:r w:rsidR="00C4415A" w:rsidRPr="0011745B">
        <w:rPr>
          <w:vertAlign w:val="superscript"/>
        </w:rPr>
        <w:t>ης</w:t>
      </w:r>
      <w:r w:rsidR="00C4415A">
        <w:t xml:space="preserve"> Ιουλίου 2011</w:t>
      </w:r>
      <w:r w:rsidR="0011745B">
        <w:rPr>
          <w:rStyle w:val="FootnoteReference"/>
        </w:rPr>
        <w:footnoteReference w:id="89"/>
      </w:r>
      <w:r w:rsidR="00274B93">
        <w:t>, ενώ η εν λόγω διατύπωση είχε προταθεί από τις Γενικές Τάξεις της Βιοηθικής</w:t>
      </w:r>
      <w:r w:rsidR="00274B93">
        <w:rPr>
          <w:rStyle w:val="FootnoteReference"/>
        </w:rPr>
        <w:footnoteReference w:id="90"/>
      </w:r>
      <w:r w:rsidR="00274B93">
        <w:t xml:space="preserve">. </w:t>
      </w:r>
      <w:r w:rsidR="00F249DE">
        <w:t>Η επιβεβαίωση, με άλλα λόγια, της ιατρικής διάστασης της «παθολογικής υπογονιμότητας» αποσκοπούσε στην αποφυγή της σταδιακής διεύρυνσης του επιτρεπτού της πρόσβασης στην ιατρικά υποβοηθούμενη αναπαραγωγή και σε περιπτώσεις «κοινωνικής υπογονιμότητας» (όπως είναι, για</w:t>
      </w:r>
      <w:r w:rsidR="004D78B1">
        <w:t xml:space="preserve"> παράδειγμα, τα ζευγάρια του ιδί</w:t>
      </w:r>
      <w:r w:rsidR="00F249DE">
        <w:t>ου φύλου ή οι μοναχικές μητέρες)</w:t>
      </w:r>
      <w:r w:rsidR="0028050A">
        <w:rPr>
          <w:rStyle w:val="FootnoteReference"/>
        </w:rPr>
        <w:footnoteReference w:id="91"/>
      </w:r>
      <w:r w:rsidR="00F249DE">
        <w:t xml:space="preserve">. </w:t>
      </w:r>
      <w:r w:rsidR="00BB577E">
        <w:t>H</w:t>
      </w:r>
      <w:r w:rsidR="00BB577E" w:rsidRPr="004933B9">
        <w:t xml:space="preserve"> πραγματική αδυναμία,</w:t>
      </w:r>
      <w:r w:rsidR="00BB577E">
        <w:t xml:space="preserve"> συνεπώς,</w:t>
      </w:r>
      <w:r w:rsidR="00BB577E" w:rsidRPr="004933B9">
        <w:t xml:space="preserve"> όπως λ.χ. όταν ο σύζυγος ή σύντροφος είναι στη φυλακή και δεν επιτρέπονται άδειες ή συνεύρεση εντός φυλακής</w:t>
      </w:r>
      <w:r w:rsidR="008B36C1">
        <w:t>, δε</w:t>
      </w:r>
      <w:r w:rsidR="00C4415A">
        <w:t xml:space="preserve"> συνιστούν λόγο πρόσβασης σε μεθόδους ιατρικά υποβοηθούμενης αναπαραγωγής</w:t>
      </w:r>
      <w:r w:rsidR="00BB577E">
        <w:t xml:space="preserve">. </w:t>
      </w:r>
      <w:r w:rsidR="00F249DE">
        <w:t xml:space="preserve">Η </w:t>
      </w:r>
      <w:r w:rsidR="00A257EF">
        <w:t>προσθήκη στην επίμαχη διάταξη της</w:t>
      </w:r>
      <w:r w:rsidR="00F249DE">
        <w:t xml:space="preserve"> φράση</w:t>
      </w:r>
      <w:r w:rsidR="00A257EF">
        <w:t>ς</w:t>
      </w:r>
      <w:r w:rsidR="00F249DE">
        <w:t xml:space="preserve"> «</w:t>
      </w:r>
      <w:r w:rsidR="00F249DE" w:rsidRPr="00A257EF">
        <w:rPr>
          <w:i/>
        </w:rPr>
        <w:t xml:space="preserve">η </w:t>
      </w:r>
      <w:r w:rsidR="00F249DE" w:rsidRPr="00C73E24">
        <w:rPr>
          <w:i/>
        </w:rPr>
        <w:t>παθολογική φύση της υπογονιμότητας πρέπει να διαγνωσθεί ιατρικά</w:t>
      </w:r>
      <w:r w:rsidR="00F249DE">
        <w:t xml:space="preserve">» εξυπηρετεί </w:t>
      </w:r>
      <w:r w:rsidR="00A257EF">
        <w:t xml:space="preserve">και ενισχύει </w:t>
      </w:r>
      <w:r w:rsidR="00BB577E">
        <w:t>αυτό</w:t>
      </w:r>
      <w:r w:rsidR="008B36C1">
        <w:t>ν ακριβώς το</w:t>
      </w:r>
      <w:r w:rsidR="00BB577E">
        <w:t xml:space="preserve"> σκοπό. </w:t>
      </w:r>
    </w:p>
    <w:p w14:paraId="28671189" w14:textId="77777777" w:rsidR="00651360" w:rsidRDefault="005A20AE" w:rsidP="000F7E87">
      <w:r>
        <w:t>Αξίζει βέβαια να σημειωθεί σ</w:t>
      </w:r>
      <w:r w:rsidR="000C6C29">
        <w:t>χετικά ότι το ζήτημα της ιατρικής</w:t>
      </w:r>
      <w:r>
        <w:t xml:space="preserve"> υποβο</w:t>
      </w:r>
      <w:r w:rsidR="000C6C29">
        <w:t>ήθησης στην αναπαραγωγή</w:t>
      </w:r>
      <w:r>
        <w:t xml:space="preserve"> στα σωφρονιστικά</w:t>
      </w:r>
      <w:r w:rsidR="000C6C29">
        <w:t xml:space="preserve"> καταστήματα έχει απασχολήσει στο παρελθόν </w:t>
      </w:r>
      <w:r>
        <w:t>την Εθνική Ακαδημία Ιατρικής, η οποία με την από 23 Οκτωβρίου 2012 Έκθεσή της τοποθετήθηκ</w:t>
      </w:r>
      <w:r w:rsidR="000C6C29">
        <w:t xml:space="preserve">ε υπέρ </w:t>
      </w:r>
      <w:r w:rsidR="00161B68">
        <w:t>της</w:t>
      </w:r>
      <w:r w:rsidR="000C6C29">
        <w:t xml:space="preserve"> προοπτικής</w:t>
      </w:r>
      <w:r w:rsidR="00161B68">
        <w:t xml:space="preserve"> αυτής υπό συγκεκριμένες προϋποθέσεις. Πιο συγκεκριμένα, </w:t>
      </w:r>
      <w:r w:rsidR="000C6C29">
        <w:t xml:space="preserve">η Εθνική </w:t>
      </w:r>
      <w:r w:rsidR="000C6C29">
        <w:lastRenderedPageBreak/>
        <w:t>Ακαδημία Ιατρικής αναγν</w:t>
      </w:r>
      <w:r w:rsidR="00161B68">
        <w:t>ώρισε</w:t>
      </w:r>
      <w:r w:rsidR="000C6C29">
        <w:t xml:space="preserve"> ότι, </w:t>
      </w:r>
      <w:r w:rsidR="00161B68">
        <w:t>«</w:t>
      </w:r>
      <w:r w:rsidR="000C6C29">
        <w:t xml:space="preserve">σύμφωνα με την </w:t>
      </w:r>
      <w:r w:rsidR="00292862">
        <w:t xml:space="preserve">αρχή της ισοτιμίας μεταξύ των ιατρικών υπηρεσιών υγείας που παρέχονται εντός και εκτός των σωφρονιστικών καταστημάτων, κάθε αίτημα ιατρικά υποβοηθούμενης αναπαραγωγής </w:t>
      </w:r>
      <w:r w:rsidR="00161B68">
        <w:t>γίνεται</w:t>
      </w:r>
      <w:r w:rsidR="00292862">
        <w:t xml:space="preserve"> </w:t>
      </w:r>
      <w:r w:rsidR="00292862" w:rsidRPr="00292862">
        <w:rPr>
          <w:i/>
          <w:lang w:val="en-US"/>
        </w:rPr>
        <w:t>a priori</w:t>
      </w:r>
      <w:r w:rsidR="00292862">
        <w:rPr>
          <w:lang w:val="en-US"/>
        </w:rPr>
        <w:t xml:space="preserve"> </w:t>
      </w:r>
      <w:r w:rsidR="00161B68">
        <w:t xml:space="preserve">δεκτό, </w:t>
      </w:r>
      <w:r w:rsidR="00292862">
        <w:t xml:space="preserve">υπό τον όρο ότι πληροί το σύνολο των προϋποθέσεων που τάσσει ο ισχύων Νόμος περί Βιοηθικής, ιδίως εφόσον </w:t>
      </w:r>
      <w:r w:rsidR="004538A6">
        <w:t>η</w:t>
      </w:r>
      <w:r w:rsidR="00292862">
        <w:t xml:space="preserve"> υπογονιμότητα</w:t>
      </w:r>
      <w:r w:rsidR="004538A6">
        <w:t xml:space="preserve"> διαγιγνώσκεται ιατρικά </w:t>
      </w:r>
      <w:r w:rsidR="00292862">
        <w:t xml:space="preserve">και εντάσσεται σε μια κοινότητα οικογενειακής ζωής. Αποκλείεται ωστόσο η αποδοχή αιτήματος ιατρικά υποβοηθούμενης αναπαραγωγής </w:t>
      </w:r>
      <w:r w:rsidR="004538A6">
        <w:t>λόγω αποκλειστικά και</w:t>
      </w:r>
      <w:r w:rsidR="00161B68">
        <w:t xml:space="preserve"> μόνο το</w:t>
      </w:r>
      <w:r w:rsidR="004538A6">
        <w:t>υ</w:t>
      </w:r>
      <w:r w:rsidR="00161B68">
        <w:t xml:space="preserve"> γεγονό</w:t>
      </w:r>
      <w:r w:rsidR="004538A6">
        <w:t>το</w:t>
      </w:r>
      <w:r w:rsidR="00161B68">
        <w:t>ς ότι η κράτηση εμποδίζει την αναπαραγωγή</w:t>
      </w:r>
      <w:r w:rsidR="00560F64">
        <w:t xml:space="preserve"> με φυσικό τρόπο</w:t>
      </w:r>
      <w:r w:rsidR="00161B68">
        <w:t>»</w:t>
      </w:r>
      <w:r w:rsidR="00161B68">
        <w:rPr>
          <w:rStyle w:val="FootnoteReference"/>
        </w:rPr>
        <w:footnoteReference w:id="92"/>
      </w:r>
      <w:r w:rsidR="00161B68">
        <w:t xml:space="preserve">. </w:t>
      </w:r>
      <w:r w:rsidR="003A79B7">
        <w:t xml:space="preserve">Το αντίθετο, εξάλλου, </w:t>
      </w:r>
      <w:r w:rsidR="00792B9F">
        <w:t>όπως επισημάνθηκε στη σχετική</w:t>
      </w:r>
      <w:r w:rsidR="003A79B7">
        <w:t xml:space="preserve"> Έκθεσ</w:t>
      </w:r>
      <w:r w:rsidR="00792B9F">
        <w:t>η</w:t>
      </w:r>
      <w:r w:rsidR="003A79B7">
        <w:t>, θα επέτεινε τ</w:t>
      </w:r>
      <w:r w:rsidR="000D7A79">
        <w:t>ο αίσθημα απόρριψης των κρατουμέ</w:t>
      </w:r>
      <w:r w:rsidR="003A79B7">
        <w:t>νων από την κοινωνία</w:t>
      </w:r>
      <w:r w:rsidR="003A79B7">
        <w:rPr>
          <w:rStyle w:val="FootnoteReference"/>
        </w:rPr>
        <w:footnoteReference w:id="93"/>
      </w:r>
      <w:r w:rsidR="003A79B7">
        <w:t xml:space="preserve">. </w:t>
      </w:r>
      <w:r w:rsidR="00792B9F">
        <w:t>Για να αντιμετωπιστεί, δε, η «κοινωνική υπογονιμότητα»</w:t>
      </w:r>
      <w:r w:rsidR="00792B9F">
        <w:rPr>
          <w:rStyle w:val="FootnoteReference"/>
        </w:rPr>
        <w:footnoteReference w:id="94"/>
      </w:r>
      <w:r w:rsidR="005679F5">
        <w:t xml:space="preserve">, η Ακαδημία επέλεξε να «εγκρίνει και </w:t>
      </w:r>
      <w:r w:rsidR="000253E2">
        <w:t xml:space="preserve">ενθαρρύνει </w:t>
      </w:r>
      <w:r w:rsidR="005679F5">
        <w:t>την ανάπτυξη μονάδων οικογενειακης ζωής και αιθουσών επισκέψεων</w:t>
      </w:r>
      <w:r w:rsidR="007031E6">
        <w:t xml:space="preserve"> για τις οικογένειες</w:t>
      </w:r>
      <w:r w:rsidR="005679F5">
        <w:t>, των οποίων η ευεργετική επίδραση έχει ήδη καταδειχθεί, λαμβάνοντας υπόψη ότι οι δομές αυτές δύνανται να επιτρέψουν στους κρατούμενο</w:t>
      </w:r>
      <w:r w:rsidR="00560F64">
        <w:t>υς να τεκνοποιήσουν με φυσι</w:t>
      </w:r>
      <w:r w:rsidR="005679F5">
        <w:t>κό τρόπο, με ό,τι αυτό συνεπάγεται για τα τέκνα που θα γεννηθούν»</w:t>
      </w:r>
      <w:r w:rsidR="005679F5">
        <w:rPr>
          <w:rStyle w:val="FootnoteReference"/>
        </w:rPr>
        <w:footnoteReference w:id="95"/>
      </w:r>
      <w:r w:rsidR="005679F5">
        <w:t xml:space="preserve">. </w:t>
      </w:r>
    </w:p>
    <w:p w14:paraId="15187895" w14:textId="77777777" w:rsidR="007F3152" w:rsidRDefault="00252ED2" w:rsidP="00252ED2">
      <w:r>
        <w:t xml:space="preserve">Το ζήτημα </w:t>
      </w:r>
      <w:r w:rsidR="000D7A79">
        <w:t xml:space="preserve">άλλωστε </w:t>
      </w:r>
      <w:r>
        <w:t>της διεύρυνσης των όρων πρόσβασης στην ιατρικά υποβοηθούμενη αναπαραγωγή, ώστε να περιλαμβάνει και την πραγμα</w:t>
      </w:r>
      <w:r w:rsidR="000D7A79">
        <w:t xml:space="preserve">τική αδυναμία απόκτησης τέκνων </w:t>
      </w:r>
      <w:r>
        <w:t xml:space="preserve">εξετάζεται επισταμένως, όπως </w:t>
      </w:r>
      <w:r w:rsidR="000D7A79">
        <w:t>προαναφέρθηκε</w:t>
      </w:r>
      <w:r>
        <w:t xml:space="preserve">, ενόψει της </w:t>
      </w:r>
      <w:r w:rsidRPr="006C12D2">
        <w:t xml:space="preserve">αναθεώρησης του </w:t>
      </w:r>
      <w:r w:rsidRPr="00CE192B">
        <w:rPr>
          <w:rFonts w:eastAsia="Calibri"/>
          <w:lang w:eastAsia="en-US"/>
        </w:rPr>
        <w:t xml:space="preserve">Οδηγού καλών κλινικών και βιολογικών πρακτικών </w:t>
      </w:r>
      <w:r w:rsidR="0004076A">
        <w:rPr>
          <w:rFonts w:eastAsia="Calibri"/>
          <w:lang w:eastAsia="en-US"/>
        </w:rPr>
        <w:t>στην ιατρικά υποβοηθούμενη αναπαραγωγή</w:t>
      </w:r>
      <w:r>
        <w:rPr>
          <w:rFonts w:eastAsia="Calibri"/>
          <w:lang w:eastAsia="en-US"/>
        </w:rPr>
        <w:t>.</w:t>
      </w:r>
      <w:r>
        <w:t xml:space="preserve"> Στην υποθετική περίπτωση που κάτι τέτοιο ενσωματωνόταν στη γαλλική νομοθεσία, οι παράμετροι που θα έπρεπε να ληφθούν υπόψη είναι πολλοί και σημαντικοί. Ειδικότερα, ο καθηγητής </w:t>
      </w:r>
      <w:r w:rsidR="000D7A79">
        <w:t xml:space="preserve">Jean-Francois Guerin </w:t>
      </w:r>
      <w:r>
        <w:t>επισημαίνει ότι π</w:t>
      </w:r>
      <w:r w:rsidRPr="006C12D2">
        <w:t xml:space="preserve">ιο προβληματική </w:t>
      </w:r>
      <w:r>
        <w:t>είναι</w:t>
      </w:r>
      <w:r w:rsidRPr="006C12D2">
        <w:t xml:space="preserve"> σίγουρα </w:t>
      </w:r>
      <w:r>
        <w:t xml:space="preserve">η περίπτωση της μητέρας που </w:t>
      </w:r>
      <w:r w:rsidRPr="006C12D2">
        <w:t>εκτίει την ποινή</w:t>
      </w:r>
      <w:r>
        <w:t xml:space="preserve"> της, καθώς αμφισβητείται κατά πόσο είναι προς το συμφέρον του παιδιού να γεννηθεί και ανατραφεί στο περιβάλλον ενός σωφρονιστικού καταστήματος</w:t>
      </w:r>
      <w:r w:rsidRPr="006C12D2">
        <w:t xml:space="preserve">. Όσο για τον πατέρα, </w:t>
      </w:r>
      <w:r>
        <w:t xml:space="preserve">ο </w:t>
      </w:r>
      <w:r w:rsidR="000D7A79">
        <w:t>καθηγητής</w:t>
      </w:r>
      <w:r>
        <w:t xml:space="preserve"> υποστηρίζει ότι εξαρτάται από το μέγεθος της </w:t>
      </w:r>
      <w:r w:rsidRPr="006C12D2">
        <w:t>ποινή</w:t>
      </w:r>
      <w:r>
        <w:t>ς</w:t>
      </w:r>
      <w:r w:rsidRPr="006C12D2">
        <w:t xml:space="preserve">. </w:t>
      </w:r>
      <w:r>
        <w:t>Σε περίπτωση</w:t>
      </w:r>
      <w:r w:rsidRPr="006C12D2">
        <w:t xml:space="preserve"> </w:t>
      </w:r>
      <w:r>
        <w:t xml:space="preserve">έκτισης </w:t>
      </w:r>
      <w:r w:rsidRPr="006C12D2">
        <w:t>μεγάλη</w:t>
      </w:r>
      <w:r>
        <w:t>ς σε έκταση</w:t>
      </w:r>
      <w:r w:rsidRPr="006C12D2">
        <w:t xml:space="preserve"> ποινή</w:t>
      </w:r>
      <w:r>
        <w:t>ς,</w:t>
      </w:r>
      <w:r w:rsidRPr="006C12D2">
        <w:t xml:space="preserve"> είναι σημαντικό να </w:t>
      </w:r>
      <w:r>
        <w:t xml:space="preserve">ληφθεί υπόψη το συμφέρον του παιδιού, το οποίο </w:t>
      </w:r>
      <w:r w:rsidRPr="006C12D2">
        <w:t>θα γεννηθεί και θα στερείται για μεγάλο χρονικό διάστημα τον πατέρα του</w:t>
      </w:r>
      <w:r>
        <w:rPr>
          <w:rStyle w:val="FootnoteReference"/>
        </w:rPr>
        <w:footnoteReference w:id="96"/>
      </w:r>
      <w:r>
        <w:t>.</w:t>
      </w:r>
      <w:r w:rsidR="000D7A79">
        <w:t xml:space="preserve"> </w:t>
      </w:r>
    </w:p>
    <w:p w14:paraId="66D6AE5D" w14:textId="77777777" w:rsidR="00C4415A" w:rsidRPr="004933B9" w:rsidRDefault="00253FCB" w:rsidP="003A7105">
      <w:pPr>
        <w:pStyle w:val="Heading4"/>
      </w:pPr>
      <w:bookmarkStart w:id="38" w:name="_Ref275977842"/>
      <w:bookmarkStart w:id="39" w:name="_Toc276574375"/>
      <w:r>
        <w:t xml:space="preserve">§2. </w:t>
      </w:r>
      <w:r w:rsidR="00F834DD">
        <w:t>Η π</w:t>
      </w:r>
      <w:r w:rsidR="00B17226">
        <w:t xml:space="preserve">ιστοποίηση </w:t>
      </w:r>
      <w:r w:rsidR="00F834DD">
        <w:t xml:space="preserve">της </w:t>
      </w:r>
      <w:r w:rsidR="00B17226">
        <w:t xml:space="preserve">συνδρομής </w:t>
      </w:r>
      <w:r w:rsidR="00786C67">
        <w:t>της ιατρικής αδυναμίας τεκνοποίησης</w:t>
      </w:r>
      <w:bookmarkEnd w:id="38"/>
      <w:bookmarkEnd w:id="39"/>
      <w:r w:rsidR="00786C67">
        <w:t xml:space="preserve"> </w:t>
      </w:r>
    </w:p>
    <w:p w14:paraId="54EC1581" w14:textId="77777777" w:rsidR="00724452" w:rsidRDefault="00F834DD" w:rsidP="002B0FA3">
      <w:pPr>
        <w:rPr>
          <w:rFonts w:eastAsia="Calibri"/>
          <w:lang w:eastAsia="en-US"/>
        </w:rPr>
      </w:pPr>
      <w:r>
        <w:rPr>
          <w:rFonts w:eastAsia="Calibri"/>
          <w:lang w:eastAsia="en-US"/>
        </w:rPr>
        <w:t xml:space="preserve">Η </w:t>
      </w:r>
      <w:r>
        <w:t>πιστοποίηση της συνδρομής των όρων πρόσβασης στην ιατρικά υποβοηθούμενη αναπαραγωγή πραγματοποιείται από τον ιατρό σ</w:t>
      </w:r>
      <w:r>
        <w:rPr>
          <w:rFonts w:eastAsia="Calibri"/>
          <w:lang w:eastAsia="en-US"/>
        </w:rPr>
        <w:t xml:space="preserve">τον οποίο προσφεύγει το υποψήφιο υποβοηθούμενο ζευγάρι. </w:t>
      </w:r>
      <w:r w:rsidR="006B305D">
        <w:rPr>
          <w:rFonts w:eastAsia="Calibri"/>
          <w:lang w:eastAsia="en-US"/>
        </w:rPr>
        <w:t xml:space="preserve">Ήδη από το 1994, το άρθρο </w:t>
      </w:r>
      <w:r w:rsidR="006B305D">
        <w:rPr>
          <w:rFonts w:eastAsia="Calibri"/>
          <w:lang w:val="en-US" w:eastAsia="en-US"/>
        </w:rPr>
        <w:t>L. 152-10</w:t>
      </w:r>
      <w:r w:rsidR="006B305D">
        <w:rPr>
          <w:rFonts w:eastAsia="Calibri"/>
          <w:lang w:eastAsia="en-US"/>
        </w:rPr>
        <w:t xml:space="preserve"> </w:t>
      </w:r>
      <w:r w:rsidR="002E099D">
        <w:rPr>
          <w:rFonts w:eastAsia="Calibri"/>
          <w:lang w:eastAsia="en-US"/>
        </w:rPr>
        <w:t xml:space="preserve">ΚΔΥ </w:t>
      </w:r>
      <w:r w:rsidR="006B305D">
        <w:rPr>
          <w:rFonts w:eastAsia="Calibri"/>
          <w:lang w:eastAsia="en-US"/>
        </w:rPr>
        <w:t xml:space="preserve">ανέθετε στο θεράποντα </w:t>
      </w:r>
      <w:r w:rsidR="006B305D">
        <w:rPr>
          <w:rFonts w:eastAsia="Calibri"/>
          <w:lang w:eastAsia="en-US"/>
        </w:rPr>
        <w:lastRenderedPageBreak/>
        <w:t>ιατρό την ευθύνη της εξακρίβωσης της συνδρομής των προβλεπόμενων από το νόμο προϋποθέσεων προσφυγής σε μεθόδου</w:t>
      </w:r>
      <w:r w:rsidR="00EA0E7A">
        <w:rPr>
          <w:rFonts w:eastAsia="Calibri"/>
          <w:lang w:eastAsia="en-US"/>
        </w:rPr>
        <w:t>ς υποβοηθούμενης αναπαραγωγής. Η π</w:t>
      </w:r>
      <w:r w:rsidR="006B305D">
        <w:rPr>
          <w:rFonts w:eastAsia="Calibri"/>
          <w:lang w:eastAsia="en-US"/>
        </w:rPr>
        <w:t xml:space="preserve">ρόβλεψη </w:t>
      </w:r>
      <w:r w:rsidR="00EA0E7A">
        <w:rPr>
          <w:rFonts w:eastAsia="Calibri"/>
          <w:lang w:eastAsia="en-US"/>
        </w:rPr>
        <w:t>αυτή</w:t>
      </w:r>
      <w:r w:rsidR="006B305D">
        <w:rPr>
          <w:rFonts w:eastAsia="Calibri"/>
          <w:lang w:eastAsia="en-US"/>
        </w:rPr>
        <w:t xml:space="preserve"> διατηρήθηκε από τις μεταγενέστερες αναθεωρήσεις των </w:t>
      </w:r>
      <w:r w:rsidR="006B305D" w:rsidRPr="00EA0E7A">
        <w:rPr>
          <w:rFonts w:eastAsia="Calibri"/>
          <w:i/>
          <w:lang w:eastAsia="en-US"/>
        </w:rPr>
        <w:t>Νόμων περί Βιοηθικής</w:t>
      </w:r>
      <w:r w:rsidR="006B305D">
        <w:rPr>
          <w:rStyle w:val="FootnoteReference"/>
          <w:rFonts w:eastAsia="Calibri"/>
          <w:lang w:eastAsia="en-US"/>
        </w:rPr>
        <w:footnoteReference w:id="97"/>
      </w:r>
      <w:r w:rsidR="006B305D">
        <w:rPr>
          <w:rFonts w:eastAsia="Calibri"/>
          <w:lang w:eastAsia="en-US"/>
        </w:rPr>
        <w:t xml:space="preserve">. </w:t>
      </w:r>
      <w:r w:rsidR="00EA0E7A">
        <w:rPr>
          <w:rFonts w:eastAsia="Calibri"/>
          <w:lang w:eastAsia="en-US"/>
        </w:rPr>
        <w:t>Ο θεράπων ιατρός, δε, δεν είναι μόνος στην άσκηση των καθηκόντων του, αλλά επικουρείται,</w:t>
      </w:r>
      <w:r w:rsidR="00724452">
        <w:rPr>
          <w:rFonts w:eastAsia="Calibri"/>
          <w:lang w:eastAsia="en-US"/>
        </w:rPr>
        <w:t xml:space="preserve"> όπως θα δούμε αναλυτικά πιο κάτω, από ιατρική διεπιστημονική ομάδα του κέντρου ιατρικά υποβοηθούμενης αναπαραγωγής. </w:t>
      </w:r>
    </w:p>
    <w:p w14:paraId="0001C90A" w14:textId="77777777" w:rsidR="006B305D" w:rsidRDefault="00724452" w:rsidP="002B0FA3">
      <w:pPr>
        <w:rPr>
          <w:rFonts w:eastAsia="Calibri"/>
          <w:lang w:eastAsia="en-US"/>
        </w:rPr>
      </w:pPr>
      <w:r>
        <w:rPr>
          <w:rFonts w:eastAsia="Calibri"/>
          <w:lang w:eastAsia="en-US"/>
        </w:rPr>
        <w:t xml:space="preserve">Εν προκειμένω, σε ό,τι αφορά δηλαδή στις προϋποθέσεις ιατρικής φύσης, είναι λογικό και θεμιτό να έχει επιφορτιστεί η ιατρική ομάδα με τον έλεγχο της συνδρομής τους. Ενδιαφέρον παρουσιάζει, ωστόσο, </w:t>
      </w:r>
      <w:r w:rsidR="00E216E3">
        <w:rPr>
          <w:rFonts w:eastAsia="Calibri"/>
          <w:lang w:eastAsia="en-US"/>
        </w:rPr>
        <w:t xml:space="preserve">η διερεύνηση της εκτέλεσης της αποστολής </w:t>
      </w:r>
      <w:r>
        <w:rPr>
          <w:rFonts w:eastAsia="Calibri"/>
          <w:lang w:eastAsia="en-US"/>
        </w:rPr>
        <w:t>αυτή</w:t>
      </w:r>
      <w:r w:rsidR="00E216E3">
        <w:rPr>
          <w:rFonts w:eastAsia="Calibri"/>
          <w:lang w:eastAsia="en-US"/>
        </w:rPr>
        <w:t>ς</w:t>
      </w:r>
      <w:r>
        <w:rPr>
          <w:rFonts w:eastAsia="Calibri"/>
          <w:lang w:eastAsia="en-US"/>
        </w:rPr>
        <w:t xml:space="preserve"> </w:t>
      </w:r>
      <w:r w:rsidR="00E216E3">
        <w:rPr>
          <w:rFonts w:eastAsia="Calibri"/>
          <w:lang w:eastAsia="en-US"/>
        </w:rPr>
        <w:t>από τους</w:t>
      </w:r>
      <w:r>
        <w:rPr>
          <w:rFonts w:eastAsia="Calibri"/>
          <w:lang w:eastAsia="en-US"/>
        </w:rPr>
        <w:t xml:space="preserve"> επαγγελματίες υγείας προκειμένου να εξακριβ</w:t>
      </w:r>
      <w:r w:rsidR="00E216E3">
        <w:rPr>
          <w:rFonts w:eastAsia="Calibri"/>
          <w:lang w:eastAsia="en-US"/>
        </w:rPr>
        <w:t>ωθεί</w:t>
      </w:r>
      <w:r>
        <w:rPr>
          <w:rFonts w:eastAsia="Calibri"/>
          <w:lang w:eastAsia="en-US"/>
        </w:rPr>
        <w:t xml:space="preserve"> εάν πληρούνται οι λοιπές – μη ιατρικής φύσης – προϋποθέσεις</w:t>
      </w:r>
      <w:r>
        <w:rPr>
          <w:rStyle w:val="FootnoteReference"/>
          <w:rFonts w:eastAsia="Calibri"/>
          <w:lang w:eastAsia="en-US"/>
        </w:rPr>
        <w:footnoteReference w:id="98"/>
      </w:r>
      <w:r>
        <w:rPr>
          <w:rFonts w:eastAsia="Calibri"/>
          <w:lang w:eastAsia="en-US"/>
        </w:rPr>
        <w:t xml:space="preserve">.  </w:t>
      </w:r>
    </w:p>
    <w:p w14:paraId="5F8A2992" w14:textId="77777777" w:rsidR="00066CB2" w:rsidRDefault="00066CB2" w:rsidP="00066CB2">
      <w:pPr>
        <w:rPr>
          <w:rFonts w:eastAsia="Calibri"/>
          <w:lang w:eastAsia="en-US"/>
        </w:rPr>
      </w:pPr>
      <w:r>
        <w:t xml:space="preserve">Η </w:t>
      </w:r>
      <w:r w:rsidRPr="00F96BF8">
        <w:t>πιστοποίηση</w:t>
      </w:r>
      <w:r w:rsidR="00724452">
        <w:t>, λοιπόν,</w:t>
      </w:r>
      <w:r>
        <w:t xml:space="preserve"> της ιατρικής αδυναμίας πραγματοποιείται με ι</w:t>
      </w:r>
      <w:r w:rsidRPr="00E40CE1">
        <w:rPr>
          <w:rFonts w:eastAsia="Calibri"/>
          <w:lang w:eastAsia="en-US"/>
        </w:rPr>
        <w:t>ατρικές εξετάσεις</w:t>
      </w:r>
      <w:r>
        <w:t>, όπως άλλωστε το ορίζει ρητά και ο νομοθέτης στο άρθρο</w:t>
      </w:r>
      <w:r w:rsidRPr="008344A8">
        <w:t xml:space="preserve"> </w:t>
      </w:r>
      <w:r>
        <w:rPr>
          <w:lang w:val="fr-FR"/>
        </w:rPr>
        <w:t>L</w:t>
      </w:r>
      <w:r w:rsidRPr="008344A8">
        <w:t>. 2141-2</w:t>
      </w:r>
      <w:r>
        <w:t xml:space="preserve">, παρ. 1, </w:t>
      </w:r>
      <w:r w:rsidR="005A1087">
        <w:t>ΚΔΥ</w:t>
      </w:r>
      <w:r>
        <w:t>, σύμφωνα με τις διατάξεις του οποίου</w:t>
      </w:r>
      <w:r w:rsidRPr="008344A8">
        <w:t xml:space="preserve"> «</w:t>
      </w:r>
      <w:r w:rsidRPr="00874D9A">
        <w:rPr>
          <w:i/>
        </w:rPr>
        <w:t>η</w:t>
      </w:r>
      <w:r w:rsidRPr="008344A8">
        <w:rPr>
          <w:i/>
        </w:rPr>
        <w:t xml:space="preserve"> παθολογική φύση της υπογονιμότητας πρέπει να διαγνωσθεί ιατρικά</w:t>
      </w:r>
      <w:r>
        <w:t>».</w:t>
      </w:r>
      <w:r>
        <w:rPr>
          <w:rFonts w:eastAsia="Calibri"/>
          <w:lang w:eastAsia="en-US"/>
        </w:rPr>
        <w:t xml:space="preserve"> </w:t>
      </w:r>
    </w:p>
    <w:p w14:paraId="5269B4EF" w14:textId="77777777" w:rsidR="003B3816" w:rsidRDefault="00A67743" w:rsidP="00A67743">
      <w:r w:rsidRPr="00316247">
        <w:rPr>
          <w:rFonts w:eastAsia="Calibri"/>
        </w:rPr>
        <w:t>Ειδικότερα, βασικό προαπαιτούμενο για την πρόσβαση σ</w:t>
      </w:r>
      <w:r>
        <w:rPr>
          <w:rFonts w:eastAsia="Calibri"/>
        </w:rPr>
        <w:t>την ιατρικά υποβοηθούμενη αναπαραγωγή</w:t>
      </w:r>
      <w:r w:rsidRPr="00316247">
        <w:rPr>
          <w:rFonts w:eastAsia="Calibri"/>
        </w:rPr>
        <w:t xml:space="preserve"> είναι η διερεύνηση της υπογονιμότητας, η οποία μπορεί να επηρεαστεί από πολυάριθμους παράγοντες, όπως </w:t>
      </w:r>
      <w:r w:rsidR="003B3816">
        <w:rPr>
          <w:rFonts w:eastAsia="Calibri"/>
        </w:rPr>
        <w:t xml:space="preserve">είναι </w:t>
      </w:r>
      <w:r w:rsidR="003B3816" w:rsidRPr="003B3816">
        <w:rPr>
          <w:rFonts w:eastAsia="Calibri"/>
          <w:i/>
          <w:lang w:val="en-US"/>
        </w:rPr>
        <w:t>inter alia</w:t>
      </w:r>
      <w:r w:rsidR="003B3816">
        <w:rPr>
          <w:rFonts w:eastAsia="Calibri"/>
          <w:lang w:val="en-US"/>
        </w:rPr>
        <w:t xml:space="preserve"> </w:t>
      </w:r>
      <w:r w:rsidR="003B3816">
        <w:rPr>
          <w:rFonts w:eastAsia="Calibri"/>
        </w:rPr>
        <w:t>η</w:t>
      </w:r>
      <w:r>
        <w:rPr>
          <w:rFonts w:eastAsia="Calibri"/>
        </w:rPr>
        <w:t xml:space="preserve"> </w:t>
      </w:r>
      <w:r w:rsidR="003B3816">
        <w:rPr>
          <w:rFonts w:eastAsia="Calibri"/>
        </w:rPr>
        <w:t>ηλικία των υποβοηθούμενων προσώπων</w:t>
      </w:r>
      <w:r w:rsidRPr="00316247">
        <w:rPr>
          <w:rFonts w:eastAsia="Calibri"/>
        </w:rPr>
        <w:t xml:space="preserve">, </w:t>
      </w:r>
      <w:r w:rsidR="003B3816">
        <w:rPr>
          <w:rFonts w:eastAsia="Calibri"/>
        </w:rPr>
        <w:t xml:space="preserve">τυχόν </w:t>
      </w:r>
      <w:r w:rsidRPr="00316247">
        <w:rPr>
          <w:rFonts w:eastAsia="Calibri"/>
        </w:rPr>
        <w:t xml:space="preserve">γενετικές ασθένειες, </w:t>
      </w:r>
      <w:r w:rsidR="003B3816">
        <w:rPr>
          <w:rFonts w:eastAsia="Calibri"/>
        </w:rPr>
        <w:t xml:space="preserve">η </w:t>
      </w:r>
      <w:r w:rsidRPr="00316247">
        <w:rPr>
          <w:rFonts w:eastAsia="Calibri"/>
        </w:rPr>
        <w:t xml:space="preserve">έκθεση </w:t>
      </w:r>
      <w:r w:rsidR="003B3816">
        <w:rPr>
          <w:rFonts w:eastAsia="Calibri"/>
        </w:rPr>
        <w:t xml:space="preserve">σε τοξικά προϊόντα, τραυματισμοί, περιβαλλοντικοί </w:t>
      </w:r>
      <w:r w:rsidRPr="00316247">
        <w:rPr>
          <w:rFonts w:eastAsia="Calibri"/>
        </w:rPr>
        <w:t xml:space="preserve">παράγοντες, </w:t>
      </w:r>
      <w:r w:rsidR="003B3816">
        <w:rPr>
          <w:rFonts w:eastAsia="Calibri"/>
        </w:rPr>
        <w:t xml:space="preserve">η </w:t>
      </w:r>
      <w:r w:rsidRPr="00316247">
        <w:rPr>
          <w:rFonts w:eastAsia="Calibri"/>
        </w:rPr>
        <w:t>χρήση ψ</w:t>
      </w:r>
      <w:r>
        <w:rPr>
          <w:rFonts w:eastAsia="Calibri"/>
        </w:rPr>
        <w:t xml:space="preserve">υχοτρόπων ουσιών, </w:t>
      </w:r>
      <w:r w:rsidR="003B3816">
        <w:rPr>
          <w:rFonts w:eastAsia="Calibri"/>
        </w:rPr>
        <w:t xml:space="preserve">η </w:t>
      </w:r>
      <w:r>
        <w:rPr>
          <w:rFonts w:eastAsia="Calibri"/>
        </w:rPr>
        <w:t>παχυσαρκία κ.</w:t>
      </w:r>
      <w:r w:rsidRPr="00316247">
        <w:rPr>
          <w:rFonts w:eastAsia="Calibri"/>
        </w:rPr>
        <w:t>ά. Για το λόγο αυτό, σύμφωνα με το</w:t>
      </w:r>
      <w:r>
        <w:rPr>
          <w:rFonts w:eastAsia="Calibri"/>
          <w:lang w:eastAsia="en-US"/>
        </w:rPr>
        <w:t xml:space="preserve"> κεφάλαιο </w:t>
      </w:r>
      <w:r w:rsidRPr="00E65C4E">
        <w:rPr>
          <w:rFonts w:eastAsia="Calibri"/>
          <w:b/>
          <w:lang w:eastAsia="en-US"/>
        </w:rPr>
        <w:t>ΙΙ.2 του Παραρτήματος</w:t>
      </w:r>
      <w:r>
        <w:rPr>
          <w:rFonts w:eastAsia="Calibri"/>
          <w:lang w:eastAsia="en-US"/>
        </w:rPr>
        <w:t xml:space="preserve"> της </w:t>
      </w:r>
      <w:r w:rsidRPr="0020586F">
        <w:rPr>
          <w:rFonts w:eastAsia="Calibri"/>
          <w:b/>
          <w:lang w:eastAsia="en-US"/>
        </w:rPr>
        <w:t>Υπουργική</w:t>
      </w:r>
      <w:r>
        <w:rPr>
          <w:rFonts w:eastAsia="Calibri"/>
          <w:b/>
          <w:lang w:eastAsia="en-US"/>
        </w:rPr>
        <w:t>ς</w:t>
      </w:r>
      <w:r w:rsidRPr="0020586F">
        <w:rPr>
          <w:rFonts w:eastAsia="Calibri"/>
          <w:b/>
          <w:lang w:eastAsia="en-US"/>
        </w:rPr>
        <w:t xml:space="preserve"> απόφαση</w:t>
      </w:r>
      <w:r>
        <w:rPr>
          <w:rFonts w:eastAsia="Calibri"/>
          <w:b/>
          <w:lang w:eastAsia="en-US"/>
        </w:rPr>
        <w:t>ς</w:t>
      </w:r>
      <w:r w:rsidRPr="0020586F">
        <w:rPr>
          <w:rFonts w:eastAsia="Calibri"/>
          <w:b/>
          <w:lang w:eastAsia="en-US"/>
        </w:rPr>
        <w:t xml:space="preserve"> της 11</w:t>
      </w:r>
      <w:r w:rsidRPr="0020586F">
        <w:rPr>
          <w:rFonts w:eastAsia="Calibri"/>
          <w:b/>
          <w:vertAlign w:val="superscript"/>
          <w:lang w:eastAsia="en-US"/>
        </w:rPr>
        <w:t>ης</w:t>
      </w:r>
      <w:r w:rsidRPr="0020586F">
        <w:rPr>
          <w:rFonts w:eastAsia="Calibri"/>
          <w:b/>
          <w:lang w:eastAsia="en-US"/>
        </w:rPr>
        <w:t xml:space="preserve"> Απριλίου 2008 σχετικά με τους κανόνες καλών κλινικών και βιολογικών πρακτικών</w:t>
      </w:r>
      <w:r w:rsidRPr="003355B8">
        <w:rPr>
          <w:rFonts w:eastAsia="Calibri"/>
          <w:b/>
          <w:lang w:eastAsia="en-US"/>
        </w:rPr>
        <w:t xml:space="preserve"> </w:t>
      </w:r>
      <w:r w:rsidR="0004076A">
        <w:rPr>
          <w:rFonts w:eastAsia="Calibri"/>
          <w:b/>
          <w:lang w:eastAsia="en-US"/>
        </w:rPr>
        <w:t>στην ιατρικά υποβοηθούμενη αναπαραγωγή</w:t>
      </w:r>
      <w:r>
        <w:rPr>
          <w:rFonts w:eastAsia="Calibri"/>
          <w:lang w:eastAsia="en-US"/>
        </w:rPr>
        <w:t>, όπως αυτή τ</w:t>
      </w:r>
      <w:r w:rsidRPr="008A27C1">
        <w:rPr>
          <w:rFonts w:eastAsia="Calibri"/>
          <w:lang w:eastAsia="en-US"/>
        </w:rPr>
        <w:t xml:space="preserve">ροποποιήθηκε από </w:t>
      </w:r>
      <w:r>
        <w:rPr>
          <w:rFonts w:eastAsia="Calibri"/>
          <w:lang w:eastAsia="en-US"/>
        </w:rPr>
        <w:t xml:space="preserve">την </w:t>
      </w:r>
      <w:r w:rsidRPr="00141F30">
        <w:rPr>
          <w:rFonts w:eastAsia="Calibri"/>
          <w:b/>
          <w:lang w:eastAsia="en-US"/>
        </w:rPr>
        <w:t>Απόφαση της 3</w:t>
      </w:r>
      <w:r w:rsidRPr="00141F30">
        <w:rPr>
          <w:rFonts w:eastAsia="Calibri"/>
          <w:b/>
          <w:vertAlign w:val="superscript"/>
          <w:lang w:eastAsia="en-US"/>
        </w:rPr>
        <w:t>ης</w:t>
      </w:r>
      <w:r w:rsidRPr="00141F30">
        <w:rPr>
          <w:rFonts w:eastAsia="Calibri"/>
          <w:b/>
          <w:lang w:eastAsia="en-US"/>
        </w:rPr>
        <w:t xml:space="preserve"> Αυγούστου 2010</w:t>
      </w:r>
      <w:r>
        <w:rPr>
          <w:rFonts w:eastAsia="Calibri"/>
          <w:lang w:eastAsia="en-US"/>
        </w:rPr>
        <w:t xml:space="preserve">, </w:t>
      </w:r>
      <w:r w:rsidRPr="00513C39">
        <w:rPr>
          <w:rFonts w:eastAsia="Calibri"/>
        </w:rPr>
        <w:t xml:space="preserve">πριν ξεκινήσει </w:t>
      </w:r>
      <w:r>
        <w:rPr>
          <w:rFonts w:eastAsia="Calibri"/>
        </w:rPr>
        <w:t>κάθε ιατρικά υποβοηθούμενη αναπαραγωγή</w:t>
      </w:r>
      <w:r w:rsidRPr="00513C39">
        <w:rPr>
          <w:rFonts w:eastAsia="Calibri"/>
        </w:rPr>
        <w:t>, το ζευγάρι πραγματοποιεί μια σειρά διαγνωστικών εξετάσεων (</w:t>
      </w:r>
      <w:r w:rsidRPr="00513C39">
        <w:rPr>
          <w:i/>
        </w:rPr>
        <w:t>bilan diagnostique</w:t>
      </w:r>
      <w:r w:rsidRPr="00513C39">
        <w:t xml:space="preserve">), </w:t>
      </w:r>
      <w:r w:rsidRPr="00316247">
        <w:t xml:space="preserve">οι οποίες αφορούν είτε ξεχωριστά </w:t>
      </w:r>
      <w:r w:rsidR="00210B73">
        <w:t>σ</w:t>
      </w:r>
      <w:r w:rsidRPr="00316247">
        <w:t>τον άνδρα ή τη γυναίκα, είτε το ζευγάρι</w:t>
      </w:r>
      <w:r>
        <w:t xml:space="preserve"> από κοινού</w:t>
      </w:r>
      <w:r w:rsidRPr="00316247">
        <w:t xml:space="preserve">. </w:t>
      </w:r>
    </w:p>
    <w:p w14:paraId="3C4F15EF" w14:textId="77777777" w:rsidR="003B3816" w:rsidRDefault="003B3816" w:rsidP="003B3816">
      <w:pPr>
        <w:rPr>
          <w:rFonts w:eastAsia="Calibri"/>
          <w:lang w:eastAsia="en-US"/>
        </w:rPr>
      </w:pPr>
      <w:bookmarkStart w:id="40" w:name="αξίαΟδηγούκαλώνπρακτικών"/>
      <w:r>
        <w:rPr>
          <w:rFonts w:eastAsia="Calibri"/>
          <w:lang w:eastAsia="en-US"/>
        </w:rPr>
        <w:t>Στο σημείο αυτό</w:t>
      </w:r>
      <w:r w:rsidR="00C96F29">
        <w:rPr>
          <w:rFonts w:eastAsia="Calibri"/>
          <w:lang w:eastAsia="en-US"/>
        </w:rPr>
        <w:t>,</w:t>
      </w:r>
      <w:r>
        <w:rPr>
          <w:rFonts w:eastAsia="Calibri"/>
          <w:lang w:eastAsia="en-US"/>
        </w:rPr>
        <w:t xml:space="preserve"> </w:t>
      </w:r>
      <w:r w:rsidR="00C96F29">
        <w:rPr>
          <w:rFonts w:eastAsia="Calibri"/>
          <w:lang w:eastAsia="en-US"/>
        </w:rPr>
        <w:t xml:space="preserve">μια σύντομη επεξηγηματική παρένθεση κρίνεται αναγκαία για την καλύτερη κατανόηση της </w:t>
      </w:r>
      <w:r w:rsidR="00BD28A0">
        <w:rPr>
          <w:rFonts w:eastAsia="Calibri"/>
          <w:lang w:eastAsia="en-US"/>
        </w:rPr>
        <w:t>συμβολή</w:t>
      </w:r>
      <w:r w:rsidR="00C96F29">
        <w:rPr>
          <w:rFonts w:eastAsia="Calibri"/>
          <w:lang w:eastAsia="en-US"/>
        </w:rPr>
        <w:t>ς</w:t>
      </w:r>
      <w:r w:rsidR="00BD28A0">
        <w:rPr>
          <w:rFonts w:eastAsia="Calibri"/>
          <w:lang w:eastAsia="en-US"/>
        </w:rPr>
        <w:t xml:space="preserve"> του </w:t>
      </w:r>
      <w:r w:rsidR="00BD28A0" w:rsidRPr="00BD28A0">
        <w:rPr>
          <w:rFonts w:eastAsia="Calibri"/>
          <w:b/>
          <w:lang w:eastAsia="en-US"/>
        </w:rPr>
        <w:t xml:space="preserve">Οδηγού καλών κλινικών και βιολογικών πρακτικών </w:t>
      </w:r>
      <w:r w:rsidR="0004076A">
        <w:rPr>
          <w:rFonts w:eastAsia="Calibri"/>
          <w:b/>
          <w:lang w:eastAsia="en-US"/>
        </w:rPr>
        <w:t>στην ιατρικά υποβοηθούμενη αναπαραγωγή</w:t>
      </w:r>
      <w:r w:rsidR="00BD28A0">
        <w:rPr>
          <w:rFonts w:eastAsia="Calibri"/>
          <w:lang w:eastAsia="en-US"/>
        </w:rPr>
        <w:t xml:space="preserve"> στο πεδίο της νομοθετικής ρύθμισης της εφαρμογής της υποβοηθούμενης αναπαραγωγής. Πιο συγκεκριμένα, σ</w:t>
      </w:r>
      <w:r>
        <w:rPr>
          <w:rFonts w:eastAsia="Calibri"/>
          <w:lang w:eastAsia="en-US"/>
        </w:rPr>
        <w:t xml:space="preserve">ύμφωνα με την </w:t>
      </w:r>
      <w:bookmarkStart w:id="41" w:name="Arrete_2008"/>
      <w:r w:rsidRPr="0020586F">
        <w:rPr>
          <w:rFonts w:eastAsia="Calibri"/>
          <w:lang w:eastAsia="en-US"/>
        </w:rPr>
        <w:t>Υπουργική απόφαση της 11</w:t>
      </w:r>
      <w:r w:rsidRPr="0020586F">
        <w:rPr>
          <w:rFonts w:eastAsia="Calibri"/>
          <w:vertAlign w:val="superscript"/>
          <w:lang w:eastAsia="en-US"/>
        </w:rPr>
        <w:t>ης</w:t>
      </w:r>
      <w:r w:rsidRPr="0020586F">
        <w:rPr>
          <w:rFonts w:eastAsia="Calibri"/>
          <w:lang w:eastAsia="en-US"/>
        </w:rPr>
        <w:t xml:space="preserve"> Απριλίου 2008 σχετικά με τους κανόνες καλών κλινικών και βιολογικών </w:t>
      </w:r>
      <w:r>
        <w:rPr>
          <w:rFonts w:eastAsia="Calibri"/>
          <w:lang w:eastAsia="en-US"/>
        </w:rPr>
        <w:t xml:space="preserve">πρακτικών </w:t>
      </w:r>
      <w:r w:rsidR="0004076A">
        <w:rPr>
          <w:rFonts w:eastAsia="Calibri"/>
          <w:lang w:eastAsia="en-US"/>
        </w:rPr>
        <w:t>στην ιατρικά υποβοηθούμενη αναπαραγωγή</w:t>
      </w:r>
      <w:r>
        <w:rPr>
          <w:rFonts w:eastAsia="Calibri"/>
          <w:lang w:eastAsia="en-US"/>
        </w:rPr>
        <w:t>, όπως αυτή τ</w:t>
      </w:r>
      <w:r w:rsidRPr="008A27C1">
        <w:rPr>
          <w:rFonts w:eastAsia="Calibri"/>
          <w:lang w:eastAsia="en-US"/>
        </w:rPr>
        <w:t xml:space="preserve">ροποποιήθηκε από </w:t>
      </w:r>
      <w:r>
        <w:rPr>
          <w:rFonts w:eastAsia="Calibri"/>
          <w:lang w:eastAsia="en-US"/>
        </w:rPr>
        <w:t xml:space="preserve">την </w:t>
      </w:r>
      <w:r w:rsidRPr="00141F30">
        <w:rPr>
          <w:rFonts w:eastAsia="Calibri"/>
          <w:lang w:eastAsia="en-US"/>
        </w:rPr>
        <w:t>Απόφαση της 3</w:t>
      </w:r>
      <w:r w:rsidRPr="00141F30">
        <w:rPr>
          <w:rFonts w:eastAsia="Calibri"/>
          <w:vertAlign w:val="superscript"/>
          <w:lang w:eastAsia="en-US"/>
        </w:rPr>
        <w:t>ης</w:t>
      </w:r>
      <w:r w:rsidRPr="00141F30">
        <w:rPr>
          <w:rFonts w:eastAsia="Calibri"/>
          <w:lang w:eastAsia="en-US"/>
        </w:rPr>
        <w:t xml:space="preserve"> Αυγούστου 2010</w:t>
      </w:r>
      <w:r>
        <w:rPr>
          <w:rStyle w:val="FootnoteReference"/>
          <w:rFonts w:eastAsia="Calibri"/>
          <w:lang w:eastAsia="en-US"/>
        </w:rPr>
        <w:footnoteReference w:id="99"/>
      </w:r>
      <w:bookmarkEnd w:id="41"/>
      <w:r>
        <w:rPr>
          <w:rFonts w:eastAsia="Calibri"/>
          <w:lang w:eastAsia="en-US"/>
        </w:rPr>
        <w:t xml:space="preserve">, οι καλές πρακτικές στην ιατρικά </w:t>
      </w:r>
      <w:r>
        <w:rPr>
          <w:rFonts w:eastAsia="Calibri"/>
          <w:lang w:eastAsia="en-US"/>
        </w:rPr>
        <w:lastRenderedPageBreak/>
        <w:t>υποβοηθούμενη αναπαραγωγή αποτελούν το προστατευτικό κανονιστικό πλαίσιο που αφορά στην ιατρική φροντίδα ασθενών για το σύνολο των κλινικών και βιολογικών διαδικασιών ιατρικά υποβοηθούμενης αναπαραγωγής</w:t>
      </w:r>
      <w:r w:rsidR="00154EA3">
        <w:rPr>
          <w:rFonts w:eastAsia="Calibri"/>
          <w:lang w:eastAsia="en-US"/>
        </w:rPr>
        <w:t>, είτε αυτές διενεργούνται ενδο</w:t>
      </w:r>
      <w:r w:rsidR="008C6F0A">
        <w:rPr>
          <w:rFonts w:eastAsia="Calibri"/>
          <w:lang w:eastAsia="en-US"/>
        </w:rPr>
        <w:t>-συζυγικά (ομόλογη αναπαραγωγή)</w:t>
      </w:r>
      <w:r w:rsidR="00BD28A0">
        <w:rPr>
          <w:rFonts w:eastAsia="Calibri"/>
          <w:lang w:eastAsia="en-US"/>
        </w:rPr>
        <w:t>,</w:t>
      </w:r>
      <w:r>
        <w:rPr>
          <w:rFonts w:eastAsia="Calibri"/>
          <w:lang w:eastAsia="en-US"/>
        </w:rPr>
        <w:t xml:space="preserve"> είτε με τρίτο δότη. Έρχονται να συμπληρώσουν τους νόμους και τις κανονιστικές πράξεις στο πεδίο της ιατρικά υποβοηθούμενης αναπαραγωγής. Καθορίζουν τους κανόνες που στοχεύουν στη διασφάλιση της ποιότητας των δραστηριοτήτων της ιατρικά υποβοηθούμενης αναπαραγωγής, της ασφάλειας των γαμετών και των εμβρύων, καθώς επίσης και τη</w:t>
      </w:r>
      <w:r w:rsidR="00E216E3">
        <w:rPr>
          <w:rFonts w:eastAsia="Calibri"/>
          <w:lang w:eastAsia="en-US"/>
        </w:rPr>
        <w:t>ς</w:t>
      </w:r>
      <w:r>
        <w:rPr>
          <w:rFonts w:eastAsia="Calibri"/>
          <w:lang w:eastAsia="en-US"/>
        </w:rPr>
        <w:t xml:space="preserve"> διαχείριση</w:t>
      </w:r>
      <w:r w:rsidR="00E216E3">
        <w:rPr>
          <w:rFonts w:eastAsia="Calibri"/>
          <w:lang w:eastAsia="en-US"/>
        </w:rPr>
        <w:t>ς</w:t>
      </w:r>
      <w:r>
        <w:rPr>
          <w:rFonts w:eastAsia="Calibri"/>
          <w:lang w:eastAsia="en-US"/>
        </w:rPr>
        <w:t xml:space="preserve"> του κινδύνου. Η ισχύς τους επιβάλλεται σε όλους: </w:t>
      </w:r>
      <w:r w:rsidR="00BD28A0">
        <w:rPr>
          <w:rFonts w:eastAsia="Calibri"/>
          <w:lang w:eastAsia="en-US"/>
        </w:rPr>
        <w:t xml:space="preserve">ιατρικό και νοσηλευτικό προσωπικό, </w:t>
      </w:r>
      <w:r>
        <w:rPr>
          <w:rFonts w:eastAsia="Calibri"/>
          <w:lang w:eastAsia="en-US"/>
        </w:rPr>
        <w:t xml:space="preserve">οργανισμούς και κέντρα υγείας, εργαστήρια βιοϊατρικής που έχουν άδεια για τις συγκεκριμένες δραστηριότητες και δίνουν στο ιατρικό προσωπικό τα μέσα </w:t>
      </w:r>
      <w:r w:rsidR="00BD28A0">
        <w:rPr>
          <w:rFonts w:eastAsia="Calibri"/>
          <w:lang w:eastAsia="en-US"/>
        </w:rPr>
        <w:t xml:space="preserve">για </w:t>
      </w:r>
      <w:r>
        <w:rPr>
          <w:rFonts w:eastAsia="Calibri"/>
          <w:lang w:eastAsia="en-US"/>
        </w:rPr>
        <w:t xml:space="preserve">να τις θέτουν σε εφαρμογή. Οι κανόνες αυτοί εφαρμόζονται με την επιφύλαξη </w:t>
      </w:r>
      <w:r w:rsidR="00E216E3">
        <w:rPr>
          <w:rFonts w:eastAsia="Calibri"/>
          <w:lang w:eastAsia="en-US"/>
        </w:rPr>
        <w:t xml:space="preserve">άλλων </w:t>
      </w:r>
      <w:r>
        <w:rPr>
          <w:rFonts w:eastAsia="Calibri"/>
          <w:lang w:eastAsia="en-US"/>
        </w:rPr>
        <w:t>κανονισμών</w:t>
      </w:r>
      <w:r w:rsidR="00BD28A0">
        <w:rPr>
          <w:rFonts w:eastAsia="Calibri"/>
          <w:lang w:eastAsia="en-US"/>
        </w:rPr>
        <w:t xml:space="preserve"> ή συστάσεων που είναι σε ισχύ</w:t>
      </w:r>
      <w:r w:rsidR="00BD28A0">
        <w:rPr>
          <w:rStyle w:val="FootnoteReference"/>
          <w:rFonts w:eastAsia="Calibri"/>
          <w:lang w:eastAsia="en-US"/>
        </w:rPr>
        <w:footnoteReference w:id="100"/>
      </w:r>
      <w:r>
        <w:rPr>
          <w:rFonts w:eastAsia="Calibri"/>
          <w:lang w:eastAsia="en-US"/>
        </w:rPr>
        <w:t xml:space="preserve">. </w:t>
      </w:r>
      <w:bookmarkEnd w:id="40"/>
    </w:p>
    <w:p w14:paraId="410934E3" w14:textId="77777777" w:rsidR="008D2E8C" w:rsidRDefault="006A2F2A" w:rsidP="00A67743">
      <w:r>
        <w:t xml:space="preserve">Επανερχόμενοι στις </w:t>
      </w:r>
      <w:r>
        <w:rPr>
          <w:rFonts w:eastAsia="Calibri"/>
        </w:rPr>
        <w:t xml:space="preserve">διαγνωστικές εξετάσεις </w:t>
      </w:r>
      <w:r w:rsidRPr="00513C39">
        <w:rPr>
          <w:rFonts w:eastAsia="Calibri"/>
        </w:rPr>
        <w:t>(</w:t>
      </w:r>
      <w:r w:rsidRPr="00513C39">
        <w:rPr>
          <w:i/>
        </w:rPr>
        <w:t>bilan diagnostique</w:t>
      </w:r>
      <w:r w:rsidRPr="00513C39">
        <w:t xml:space="preserve">), </w:t>
      </w:r>
      <w:r>
        <w:t>τ</w:t>
      </w:r>
      <w:r w:rsidR="00A67743" w:rsidRPr="00316247">
        <w:t xml:space="preserve">ο σετ </w:t>
      </w:r>
      <w:r w:rsidR="00A67743">
        <w:t>των</w:t>
      </w:r>
      <w:r>
        <w:t xml:space="preserve"> προβλεπόμενων</w:t>
      </w:r>
      <w:r w:rsidR="00A67743">
        <w:t xml:space="preserve"> </w:t>
      </w:r>
      <w:r w:rsidR="00A67743" w:rsidRPr="00316247">
        <w:t xml:space="preserve">εξετάσεων περιλαμβάνει μια κλινική εξέταση, </w:t>
      </w:r>
      <w:r w:rsidR="00A67743">
        <w:t xml:space="preserve">τη </w:t>
      </w:r>
      <w:r w:rsidR="00A67743" w:rsidRPr="00316247">
        <w:t>διερεύνηση του κύκλου και της κατάστασης των ωοθηκών</w:t>
      </w:r>
      <w:r w:rsidR="00A67743">
        <w:t xml:space="preserve"> της γυναίκας</w:t>
      </w:r>
      <w:r w:rsidR="00A67743" w:rsidRPr="00316247">
        <w:t xml:space="preserve">, </w:t>
      </w:r>
      <w:r w:rsidR="00A67743">
        <w:t xml:space="preserve">τη </w:t>
      </w:r>
      <w:r w:rsidR="00A67743" w:rsidRPr="00316247">
        <w:t xml:space="preserve">διερεύνηση της μήτρας, </w:t>
      </w:r>
      <w:r w:rsidR="00A67743">
        <w:t xml:space="preserve">ένα </w:t>
      </w:r>
      <w:r w:rsidR="00A67743" w:rsidRPr="00316247">
        <w:t xml:space="preserve">σπερματογράφημα, καλλιέργεια σπέρματος και άλλες εξετάσεις υγειονομικής ασφάλειας. Οι </w:t>
      </w:r>
      <w:r w:rsidR="00A67743">
        <w:t xml:space="preserve">εν λόγω </w:t>
      </w:r>
      <w:r w:rsidR="00A67743" w:rsidRPr="00316247">
        <w:t xml:space="preserve">εξετάσεις συμπληρώνονται ανάλογα με τα αποτελέσματά τους. Ελέγχεται, επίσης, κατά περίπτωση, η ύπαρξη ενδεχόμενου κινδύνου που συνδέεται με τη μαιευτική. Η διεπιστημονική ομάδα που πλαισιώνει τον ιατρό είναι δυνατό να ζητήσει να επικουρηθεί, εάν το κρίνει αναγκαίο, από άλλους εξειδικευμένες ιατρούς, ιδίως από ιατρό εξειδικευμένο στην ψυχιατρική ή την ψυχολογία. </w:t>
      </w:r>
    </w:p>
    <w:p w14:paraId="193EB1BF" w14:textId="77777777" w:rsidR="00A67743" w:rsidRDefault="00A67743" w:rsidP="00A67743">
      <w:r>
        <w:t xml:space="preserve">Οι </w:t>
      </w:r>
      <w:r w:rsidRPr="00513C39">
        <w:t xml:space="preserve">εξετάσεις αυτές </w:t>
      </w:r>
      <w:r w:rsidR="008D2E8C">
        <w:t>επιτρέπ</w:t>
      </w:r>
      <w:r w:rsidRPr="00513C39">
        <w:t xml:space="preserve">ουν στη διεπιστημονική ομάδα του κέντρου </w:t>
      </w:r>
      <w:r>
        <w:t>ιατρικά υποβοηθούμενης αναπαραγωγής</w:t>
      </w:r>
      <w:r w:rsidRPr="00513C39">
        <w:t xml:space="preserve"> να αξιολογήσει τις πιθανότητες φυσιολογικής σύλληψης, το αναμενόμενο ποσοστό επιτυχίας ενδεχόμενης </w:t>
      </w:r>
      <w:r>
        <w:t>ιατρικά υποβοηθούμενης αναπαραγωγής</w:t>
      </w:r>
      <w:r w:rsidRPr="00513C39">
        <w:t xml:space="preserve">, τους κινδύνους των διαφόρων θεραπειών, καθώς επίσης και το ιδανικό χρονικό διάστημα κατά το οποίο πρέπει να πραγματοποιηθεί η </w:t>
      </w:r>
      <w:r>
        <w:t>ιατρικά υποβοηθούμενη αναπαραγωγή</w:t>
      </w:r>
      <w:r w:rsidRPr="00513C39">
        <w:t xml:space="preserve">. Μετά από μελέτη του συνόλου των ανωτέρω εξετάσεων υπογονιμότητας και συζήτηση εντός της διεπιστημονικής ομάδας, ο ιατρός προτείνει στο ζευγάρι προσαρμοσμένη στις ανάγκες του πορεία </w:t>
      </w:r>
      <w:r>
        <w:t>ιατρικά υποβοηθούμενης αναπαραγωγής</w:t>
      </w:r>
      <w:r w:rsidRPr="00513C39">
        <w:t>.</w:t>
      </w:r>
      <w:r>
        <w:t xml:space="preserve"> </w:t>
      </w:r>
    </w:p>
    <w:p w14:paraId="1535B897" w14:textId="77777777" w:rsidR="00273BF7" w:rsidRDefault="00A67743" w:rsidP="00273BF7">
      <w:r>
        <w:t xml:space="preserve">Μετά την αξιολόγηση αυτή, οι ασθενείς ενημερώνονται για τα αποτελέσματα των δοκιμών, τη διάγνωση της υπογονιμότητας και την προτεινόμενη θεραπευτική στρατηγική. Η σκοπιμότητα της ιατρικά υποβοηθούμενης αναπαραγωγής και η έναρξη εφαρμογής της </w:t>
      </w:r>
      <w:r w:rsidR="00D74B40">
        <w:t>αποτελούν αντικείμενο συζήτησης από τη διεπιστημονική ομάδα</w:t>
      </w:r>
      <w:r>
        <w:t xml:space="preserve"> και το ζευγάρι, ανάλογα με την ηλικία των υποβοηθούμενων προσώπων, όποια κι αν είναι η αιτία της υπογονιμότητας.</w:t>
      </w:r>
      <w:r w:rsidR="00273BF7">
        <w:t xml:space="preserve"> Επισημαίνεται, δε, στο σημείο αυτό ότι τις συνεντεύξεις με το ζευγάρι προκειμένου </w:t>
      </w:r>
      <w:r w:rsidR="00C45C78">
        <w:t>να βεβαιωθεί για τα κίνητρά του και να το</w:t>
      </w:r>
      <w:r w:rsidR="00273BF7">
        <w:t xml:space="preserve"> ενημερώσει διεξοδικά για όλες τις αναγκαίες </w:t>
      </w:r>
      <w:r w:rsidR="00273BF7">
        <w:lastRenderedPageBreak/>
        <w:t xml:space="preserve">παραμέτρους της ιατρικά υποβοηθούμενης αναπαραγωγής τις διενεργεί η ίδια η διεπιστημονική ομάδα του κέντρου (άρθρο </w:t>
      </w:r>
      <w:r w:rsidR="00273BF7">
        <w:rPr>
          <w:lang w:val="fr-FR"/>
        </w:rPr>
        <w:t>L</w:t>
      </w:r>
      <w:r w:rsidR="00273BF7" w:rsidRPr="008344A8">
        <w:t>. 2</w:t>
      </w:r>
      <w:r w:rsidR="00273BF7">
        <w:t xml:space="preserve">141-10 </w:t>
      </w:r>
      <w:r w:rsidR="005A1087">
        <w:t>ΚΔΥ).</w:t>
      </w:r>
    </w:p>
    <w:p w14:paraId="48F74847" w14:textId="77777777" w:rsidR="00B12984" w:rsidRDefault="00A67743" w:rsidP="00A67743">
      <w:pPr>
        <w:rPr>
          <w:rStyle w:val="hps"/>
        </w:rPr>
      </w:pPr>
      <w:r>
        <w:rPr>
          <w:rStyle w:val="hps"/>
        </w:rPr>
        <w:t>Η</w:t>
      </w:r>
      <w:r>
        <w:t xml:space="preserve"> </w:t>
      </w:r>
      <w:r>
        <w:rPr>
          <w:rStyle w:val="hps"/>
        </w:rPr>
        <w:t>διεπιστημονική ομάδα</w:t>
      </w:r>
      <w:r>
        <w:t xml:space="preserve"> </w:t>
      </w:r>
      <w:r w:rsidR="00203AAF">
        <w:rPr>
          <w:rStyle w:val="hps"/>
        </w:rPr>
        <w:t xml:space="preserve">δύναται, τέλος, </w:t>
      </w:r>
      <w:r>
        <w:rPr>
          <w:rStyle w:val="hps"/>
        </w:rPr>
        <w:t>ανά πάσα στιγμή</w:t>
      </w:r>
      <w:r w:rsidR="00273BF7">
        <w:rPr>
          <w:rStyle w:val="hps"/>
        </w:rPr>
        <w:t>,</w:t>
      </w:r>
      <w:r>
        <w:t xml:space="preserve"> </w:t>
      </w:r>
      <w:r w:rsidR="00273BF7">
        <w:rPr>
          <w:rStyle w:val="hps"/>
        </w:rPr>
        <w:t>εντός</w:t>
      </w:r>
      <w:r w:rsidR="00273BF7">
        <w:t xml:space="preserve"> </w:t>
      </w:r>
      <w:r w:rsidR="00273BF7">
        <w:rPr>
          <w:rStyle w:val="hps"/>
        </w:rPr>
        <w:t>του πλαισίου που καθορίζεται</w:t>
      </w:r>
      <w:r w:rsidR="00273BF7">
        <w:t xml:space="preserve"> </w:t>
      </w:r>
      <w:r w:rsidR="00273BF7">
        <w:rPr>
          <w:rStyle w:val="hps"/>
        </w:rPr>
        <w:t>από το νόμο και</w:t>
      </w:r>
      <w:r w:rsidR="00273BF7">
        <w:t xml:space="preserve"> </w:t>
      </w:r>
      <w:r w:rsidR="00273BF7">
        <w:rPr>
          <w:rStyle w:val="hps"/>
        </w:rPr>
        <w:t xml:space="preserve">τον Κώδικα </w:t>
      </w:r>
      <w:r w:rsidR="00C45C78">
        <w:rPr>
          <w:rStyle w:val="hps"/>
        </w:rPr>
        <w:t xml:space="preserve">Ιατρικής </w:t>
      </w:r>
      <w:r w:rsidR="00273BF7">
        <w:rPr>
          <w:rStyle w:val="hps"/>
        </w:rPr>
        <w:t>Δεοντολογίας</w:t>
      </w:r>
      <w:r w:rsidR="00273BF7">
        <w:t xml:space="preserve">, </w:t>
      </w:r>
      <w:r>
        <w:rPr>
          <w:rStyle w:val="hps"/>
        </w:rPr>
        <w:t>να αρνηθεί την</w:t>
      </w:r>
      <w:r>
        <w:t xml:space="preserve"> </w:t>
      </w:r>
      <w:r w:rsidR="00273BF7">
        <w:rPr>
          <w:rStyle w:val="hps"/>
        </w:rPr>
        <w:t>εφαρμογή των μεθόδων</w:t>
      </w:r>
      <w:r>
        <w:rPr>
          <w:rStyle w:val="hps"/>
        </w:rPr>
        <w:t xml:space="preserve"> ιατρικά υποβοηθούμενης αναπαραγωγής,</w:t>
      </w:r>
      <w:r>
        <w:t xml:space="preserve"> στο βαθμό που </w:t>
      </w:r>
      <w:r w:rsidR="00273BF7">
        <w:rPr>
          <w:rStyle w:val="hps"/>
        </w:rPr>
        <w:t>οφείλει</w:t>
      </w:r>
      <w:r>
        <w:rPr>
          <w:rStyle w:val="hps"/>
        </w:rPr>
        <w:t xml:space="preserve"> να</w:t>
      </w:r>
      <w:r w:rsidR="00273BF7">
        <w:rPr>
          <w:rStyle w:val="hps"/>
        </w:rPr>
        <w:t xml:space="preserve"> λάβει υπόψη της</w:t>
      </w:r>
      <w:r>
        <w:rPr>
          <w:rStyle w:val="hps"/>
        </w:rPr>
        <w:t xml:space="preserve"> τα πλεονεκτήματα</w:t>
      </w:r>
      <w:r>
        <w:t xml:space="preserve"> </w:t>
      </w:r>
      <w:r>
        <w:rPr>
          <w:rStyle w:val="hps"/>
        </w:rPr>
        <w:t>και τα μειονεκτήματα</w:t>
      </w:r>
      <w:r>
        <w:t xml:space="preserve"> </w:t>
      </w:r>
      <w:r>
        <w:rPr>
          <w:rStyle w:val="hps"/>
        </w:rPr>
        <w:t>των</w:t>
      </w:r>
      <w:r>
        <w:t xml:space="preserve"> </w:t>
      </w:r>
      <w:r>
        <w:rPr>
          <w:rStyle w:val="hps"/>
        </w:rPr>
        <w:t>διαφόρων διαγνωστικών και</w:t>
      </w:r>
      <w:r>
        <w:t xml:space="preserve"> </w:t>
      </w:r>
      <w:r>
        <w:rPr>
          <w:rStyle w:val="hps"/>
        </w:rPr>
        <w:t>θεραπευτικών δυ</w:t>
      </w:r>
      <w:r w:rsidR="003E3FCB">
        <w:rPr>
          <w:rStyle w:val="hps"/>
        </w:rPr>
        <w:t xml:space="preserve">νατοτήτων. </w:t>
      </w:r>
    </w:p>
    <w:p w14:paraId="519CBA50" w14:textId="77777777" w:rsidR="00A67743" w:rsidRDefault="003E3FCB" w:rsidP="00A67743">
      <w:r>
        <w:rPr>
          <w:rStyle w:val="hps"/>
        </w:rPr>
        <w:t>Σημαντική παράμετρο με ιδιαίτερη βαρύτητα στη λήψη απόφασης</w:t>
      </w:r>
      <w:r w:rsidR="00A67743">
        <w:rPr>
          <w:rStyle w:val="hps"/>
        </w:rPr>
        <w:t xml:space="preserve"> από τον ιατρό και την ομάδα του </w:t>
      </w:r>
      <w:r>
        <w:rPr>
          <w:rStyle w:val="hps"/>
        </w:rPr>
        <w:t>συνιστά και</w:t>
      </w:r>
      <w:r w:rsidR="00A67743">
        <w:rPr>
          <w:rStyle w:val="hps"/>
        </w:rPr>
        <w:t xml:space="preserve"> το συμφέρον</w:t>
      </w:r>
      <w:r w:rsidR="00A67743">
        <w:t xml:space="preserve"> </w:t>
      </w:r>
      <w:r w:rsidR="00A67743">
        <w:rPr>
          <w:rStyle w:val="hps"/>
        </w:rPr>
        <w:t>του παιδιού που θα γεννηθεί</w:t>
      </w:r>
      <w:r w:rsidR="00A67743">
        <w:t>.</w:t>
      </w:r>
    </w:p>
    <w:p w14:paraId="04A465D5" w14:textId="77777777" w:rsidR="00273BF7" w:rsidRDefault="00253FCB" w:rsidP="00DA6F48">
      <w:pPr>
        <w:pStyle w:val="Heading4"/>
      </w:pPr>
      <w:bookmarkStart w:id="42" w:name="_Toc276574376"/>
      <w:r>
        <w:t xml:space="preserve">§3. </w:t>
      </w:r>
      <w:r w:rsidR="00DA6F48">
        <w:t>Συνέπειες μη συμμόρφωσης με τις νομοθετικές προσταγές</w:t>
      </w:r>
      <w:bookmarkEnd w:id="42"/>
      <w:r w:rsidR="00DA6F48">
        <w:t xml:space="preserve"> </w:t>
      </w:r>
    </w:p>
    <w:p w14:paraId="31E35CE5" w14:textId="77777777" w:rsidR="002B0FA3" w:rsidRDefault="00DA6F48" w:rsidP="008169D8">
      <w:pPr>
        <w:rPr>
          <w:rFonts w:eastAsia="Calibri"/>
          <w:lang w:eastAsia="en-US"/>
        </w:rPr>
      </w:pPr>
      <w:r>
        <w:t xml:space="preserve">Σε περίπτωση που </w:t>
      </w:r>
      <w:r w:rsidRPr="004933B9">
        <w:t>η υποβοηθούμενη αναπαραγωγή πραγμ</w:t>
      </w:r>
      <w:r>
        <w:t xml:space="preserve">ατοποιηθεί χωρίς </w:t>
      </w:r>
      <w:r w:rsidR="008169D8">
        <w:t>τη συνδρομή του όρου</w:t>
      </w:r>
      <w:r>
        <w:t xml:space="preserve"> της ιατρικής αδυναμίας τεκνοποίησης του υποβοηθούμενου ζευγαριού</w:t>
      </w:r>
      <w:r w:rsidR="008169D8">
        <w:t>,</w:t>
      </w:r>
      <w:r>
        <w:t xml:space="preserve"> </w:t>
      </w:r>
      <w:r w:rsidR="008169D8">
        <w:t xml:space="preserve">οι συνέπειες που επιβάλλονται από το νομοθέτη αφορούν στον ιατρό και την ομάδα του, δεδομένου ότι αυτοί έχουν οριστεί από το </w:t>
      </w:r>
      <w:r w:rsidR="004B01FA">
        <w:t>νόμο</w:t>
      </w:r>
      <w:r w:rsidR="008169D8">
        <w:t xml:space="preserve"> ως οι</w:t>
      </w:r>
      <w:r w:rsidR="002B0FA3">
        <w:rPr>
          <w:rFonts w:eastAsia="Calibri"/>
          <w:lang w:eastAsia="en-US"/>
        </w:rPr>
        <w:t xml:space="preserve"> αρμόδιοι να ελέγχουν τη συνδρομή των προϋποθέσεων για την πρόσβαση στην ιατρικά υποβοηθούμενη</w:t>
      </w:r>
      <w:r w:rsidR="008169D8">
        <w:rPr>
          <w:rFonts w:eastAsia="Calibri"/>
          <w:lang w:eastAsia="en-US"/>
        </w:rPr>
        <w:t xml:space="preserve"> αναπαραγωγή. Ο ιατρός και η διεπιστημονική του ομάδα επωμίζονται, συνεπώς, την ευθύνη τήρησης της νομοθεσίας στο στάδιο αυτό της εφαρμογής της υποβοηθούμενης αναπαραγωγής. </w:t>
      </w:r>
    </w:p>
    <w:p w14:paraId="7A6F7FB9" w14:textId="77777777" w:rsidR="00253FCB" w:rsidRPr="004933B9" w:rsidRDefault="00253FCB" w:rsidP="008169D8">
      <w:r>
        <w:rPr>
          <w:rFonts w:eastAsia="Calibri"/>
          <w:lang w:eastAsia="en-US"/>
        </w:rPr>
        <w:t xml:space="preserve">Οι συνέπειες που προβλέπονται σε περίπτωση μη συνδρομής του όρου της ιατρικής αδυναμίας των υποβοηθούμενων προσώπων μπορεί να είναι διοικητικής ή ποινικής φύσης. </w:t>
      </w:r>
    </w:p>
    <w:p w14:paraId="2283E7CD" w14:textId="77777777" w:rsidR="003E3FCB" w:rsidRPr="00F974F3" w:rsidRDefault="003E3FCB" w:rsidP="007E7C66">
      <w:pPr>
        <w:pStyle w:val="Heading6"/>
      </w:pPr>
      <w:bookmarkStart w:id="43" w:name="Διοικητική_1"/>
      <w:r w:rsidRPr="00F974F3">
        <w:t>Συνέπειες διοικητικής φύσης:</w:t>
      </w:r>
    </w:p>
    <w:p w14:paraId="3960663C" w14:textId="607E9199" w:rsidR="003E3FCB" w:rsidRDefault="003E3FCB" w:rsidP="003E3FCB">
      <w:r>
        <w:t>Το</w:t>
      </w:r>
      <w:r w:rsidRPr="00580B29">
        <w:t xml:space="preserve"> άρθρο </w:t>
      </w:r>
      <w:r w:rsidRPr="00580B29">
        <w:rPr>
          <w:b/>
          <w:lang w:val="en-US"/>
        </w:rPr>
        <w:t>L</w:t>
      </w:r>
      <w:r w:rsidRPr="00580B29">
        <w:rPr>
          <w:b/>
        </w:rPr>
        <w:t xml:space="preserve">. 6241-1 </w:t>
      </w:r>
      <w:r w:rsidR="002E099D">
        <w:rPr>
          <w:b/>
        </w:rPr>
        <w:t xml:space="preserve">ΚΔΥ </w:t>
      </w:r>
      <w:r>
        <w:t>προβλέπει</w:t>
      </w:r>
      <w:r w:rsidRPr="00580B29">
        <w:t xml:space="preserve"> 23 </w:t>
      </w:r>
      <w:r>
        <w:t>διαφορετικές</w:t>
      </w:r>
      <w:r w:rsidRPr="00580B29">
        <w:t xml:space="preserve"> </w:t>
      </w:r>
      <w:r>
        <w:t>περιπτώσεις</w:t>
      </w:r>
      <w:r w:rsidR="008C725C">
        <w:t>, κατά τις</w:t>
      </w:r>
      <w:r w:rsidRPr="00580B29">
        <w:t xml:space="preserve"> </w:t>
      </w:r>
      <w:r>
        <w:t>οποίες</w:t>
      </w:r>
      <w:r w:rsidRPr="00580B29">
        <w:t xml:space="preserve"> </w:t>
      </w:r>
      <w:r w:rsidR="008C725C" w:rsidRPr="00F77D85">
        <w:t xml:space="preserve">ο </w:t>
      </w:r>
      <w:r w:rsidR="009E06D2">
        <w:t>Γενικός Διευθυντής</w:t>
      </w:r>
      <w:r w:rsidR="008C725C" w:rsidRPr="00F77D85">
        <w:t xml:space="preserve"> του Περιφερειακού Οργανισμού Υγείας (</w:t>
      </w:r>
      <w:r w:rsidR="008C725C" w:rsidRPr="00F77D85">
        <w:rPr>
          <w:lang w:val="en-US"/>
        </w:rPr>
        <w:t>ARS</w:t>
      </w:r>
      <w:r w:rsidR="008C725C" w:rsidRPr="00F77D85">
        <w:t>)</w:t>
      </w:r>
      <w:r w:rsidR="008C725C">
        <w:t xml:space="preserve"> δύναται να επιβάλει κύρωση </w:t>
      </w:r>
      <w:r w:rsidR="00572344">
        <w:t>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w:t>
      </w:r>
      <w:r w:rsidR="008C725C">
        <w:t>φορους χειρισμούς των ανωτέρω κέντρων ή εργαστηρίων</w:t>
      </w:r>
      <w:r w:rsidR="008C725C" w:rsidRPr="008C725C">
        <w:t xml:space="preserve"> </w:t>
      </w:r>
      <w:r w:rsidR="008C725C">
        <w:t>που παραβιάζουν την ισχύουσα νομοθεσία,</w:t>
      </w:r>
      <w:r>
        <w:t xml:space="preserve"> όπως </w:t>
      </w:r>
      <w:r w:rsidR="008C725C">
        <w:t xml:space="preserve">είναι, ενδεικτικά, </w:t>
      </w:r>
      <w:r>
        <w:t xml:space="preserve">η διενέργεια εξετάσεων (όπως π.χ. </w:t>
      </w:r>
      <w:r w:rsidR="00E471DC">
        <w:t xml:space="preserve">η </w:t>
      </w:r>
      <w:r>
        <w:t>προγεννητική διάγνωση) χωρίς την</w:t>
      </w:r>
      <w:r w:rsidR="008C725C">
        <w:t xml:space="preserve"> ειδικά προβλεπόμενη έγκριση ή </w:t>
      </w:r>
      <w:r>
        <w:t xml:space="preserve">η διενέργεια εξετάσεων χωρίς τον απαιτούμενο από το νόμο έλεγχο της ποιότητας των αποτελεσμάτων </w:t>
      </w:r>
      <w:r w:rsidR="007E0026">
        <w:t>τους</w:t>
      </w:r>
      <w:r>
        <w:t xml:space="preserve">. </w:t>
      </w:r>
    </w:p>
    <w:p w14:paraId="423EDF91" w14:textId="77777777" w:rsidR="003E3FCB" w:rsidRDefault="003E3FCB" w:rsidP="003E3FCB">
      <w:r>
        <w:t>Ειδικότερα, στην περίπτωση 4 του ανωτέρω άρθρου προβλέπεται «</w:t>
      </w:r>
      <w:r w:rsidRPr="00DE7D91">
        <w:rPr>
          <w:i/>
        </w:rPr>
        <w:t xml:space="preserve">η διενέργεια, από ένα εργαστήριο ιατρικής βιολογίας ή από έναν ιατρό-βιολόγο, εξετάσεων ιατρικής βιολογίας, βιολογικών δραστηριοτήτων σχετικών με την ιατρικά υποβοηθούμενη αναπαραγωγή και εξετάσεων ανατομίας και παθολογικής κυτταρολογίας που απαιτούν μια εξειδίκευση ή που προϋποθέτουν τη χρήση προϊόντων που παρουσιάζουν έναν ιδιαίτερο κίνδυνο κατά παράβαση του άρθρου </w:t>
      </w:r>
      <w:r w:rsidRPr="00DE7D91">
        <w:rPr>
          <w:i/>
          <w:lang w:val="fr-FR"/>
        </w:rPr>
        <w:t>L</w:t>
      </w:r>
      <w:r w:rsidRPr="00DE7D91">
        <w:rPr>
          <w:i/>
        </w:rPr>
        <w:t>. 6211-23</w:t>
      </w:r>
      <w:r w:rsidR="008C725C">
        <w:t>». Επίσης, στην περίπτωση 5 γίνεται λόγος για τη «</w:t>
      </w:r>
      <w:r w:rsidRPr="00DE7D91">
        <w:rPr>
          <w:i/>
        </w:rPr>
        <w:t xml:space="preserve">διενέργεια, από ένα εργαστήριο ιατρικής βιολογίας, δραστηριοτήτων ιατρικά υποβοηθούμενης αναπαραγωγής κατά </w:t>
      </w:r>
      <w:r w:rsidR="00035AB3">
        <w:rPr>
          <w:i/>
        </w:rPr>
        <w:t>παράβαση των διατάξεων του δευτέ</w:t>
      </w:r>
      <w:r w:rsidRPr="00DE7D91">
        <w:rPr>
          <w:i/>
        </w:rPr>
        <w:t xml:space="preserve">ρου εδαφίου του </w:t>
      </w:r>
      <w:r w:rsidRPr="00DE7D91">
        <w:rPr>
          <w:i/>
        </w:rPr>
        <w:lastRenderedPageBreak/>
        <w:t xml:space="preserve">άρθρου </w:t>
      </w:r>
      <w:r w:rsidRPr="00DE7D91">
        <w:rPr>
          <w:i/>
          <w:lang w:val="fr-FR"/>
        </w:rPr>
        <w:t>L</w:t>
      </w:r>
      <w:r w:rsidRPr="00DE7D91">
        <w:rPr>
          <w:i/>
        </w:rPr>
        <w:t>. 6212-2</w:t>
      </w:r>
      <w:r>
        <w:t xml:space="preserve"> [προϋποθέσεις διενέργειας ιατρικά υποβοηθούμενης αναπαραγωγής από εργαστήρια ιατρικής βιολογίας]». </w:t>
      </w:r>
    </w:p>
    <w:p w14:paraId="01139A5E" w14:textId="77777777" w:rsidR="003E3FCB" w:rsidRPr="00863CBA" w:rsidRDefault="008C725C" w:rsidP="003E3FCB">
      <w:r w:rsidRPr="008C725C">
        <w:t>Εάν το άρθρο</w:t>
      </w:r>
      <w:r>
        <w:rPr>
          <w:b/>
          <w:lang w:val="en-US"/>
        </w:rPr>
        <w:t xml:space="preserve"> </w:t>
      </w:r>
      <w:r w:rsidRPr="00580B29">
        <w:rPr>
          <w:b/>
          <w:lang w:val="en-US"/>
        </w:rPr>
        <w:t>L</w:t>
      </w:r>
      <w:r w:rsidRPr="00580B29">
        <w:rPr>
          <w:b/>
        </w:rPr>
        <w:t xml:space="preserve">. 6241-1 </w:t>
      </w:r>
      <w:r w:rsidR="002E099D">
        <w:rPr>
          <w:b/>
        </w:rPr>
        <w:t xml:space="preserve">ΚΔΥ </w:t>
      </w:r>
      <w:r>
        <w:t xml:space="preserve">ορίζει τις «παραβατικές» </w:t>
      </w:r>
      <w:r w:rsidR="00E17BFF">
        <w:t xml:space="preserve">σχετικά με την υποβοηθούμενη αναπαραγωγή </w:t>
      </w:r>
      <w:r>
        <w:t>συμπεριφορές</w:t>
      </w:r>
      <w:r w:rsidR="00E17BFF">
        <w:t>, το αμέσως επόμενο</w:t>
      </w:r>
      <w:r w:rsidR="003E3FCB">
        <w:t>,</w:t>
      </w:r>
      <w:r w:rsidR="00E17BFF">
        <w:t xml:space="preserve"> το</w:t>
      </w:r>
      <w:r w:rsidR="003E3FCB">
        <w:t xml:space="preserve"> </w:t>
      </w:r>
      <w:r w:rsidR="003E3FCB" w:rsidRPr="00580B29">
        <w:rPr>
          <w:b/>
          <w:lang w:val="en-US"/>
        </w:rPr>
        <w:t>L</w:t>
      </w:r>
      <w:r w:rsidR="003E3FCB" w:rsidRPr="00580B29">
        <w:rPr>
          <w:b/>
        </w:rPr>
        <w:t>. 6241-</w:t>
      </w:r>
      <w:r w:rsidR="003E3FCB">
        <w:rPr>
          <w:b/>
        </w:rPr>
        <w:t>2</w:t>
      </w:r>
      <w:r w:rsidR="003E3FCB" w:rsidRPr="00E77E35">
        <w:t>, έρχ</w:t>
      </w:r>
      <w:r w:rsidR="003E3FCB">
        <w:t xml:space="preserve">εται να ρυθμίσει </w:t>
      </w:r>
      <w:r w:rsidR="00E17BFF">
        <w:t>τις κυρώσεις που επιβάλλονται στους υπεύθυνους επαγγελματίες υγείας</w:t>
      </w:r>
      <w:r w:rsidR="003E3FCB">
        <w:t>. Έτσι</w:t>
      </w:r>
      <w:r w:rsidR="003E3FCB" w:rsidRPr="00863CBA">
        <w:t xml:space="preserve">, </w:t>
      </w:r>
      <w:r w:rsidR="003E3FCB">
        <w:t>λοιπόν</w:t>
      </w:r>
      <w:r w:rsidR="003E3FCB" w:rsidRPr="00863CBA">
        <w:t>:</w:t>
      </w:r>
    </w:p>
    <w:p w14:paraId="6815AFB5" w14:textId="77777777" w:rsidR="003E3FCB" w:rsidRPr="00F974F3" w:rsidRDefault="003E3FCB" w:rsidP="00E17BFF">
      <w:pPr>
        <w:ind w:firstLine="0"/>
        <w:rPr>
          <w:i/>
        </w:rPr>
      </w:pPr>
      <w:r>
        <w:t>«</w:t>
      </w:r>
      <w:r w:rsidRPr="00F974F3">
        <w:rPr>
          <w:i/>
        </w:rPr>
        <w:t>Ι. Μόλις μία από τις παραβάσεις που προβλέπονται στο προηγούμενο άρθρο τελεσθούν από το ερ</w:t>
      </w:r>
      <w:r w:rsidR="009E06D2">
        <w:rPr>
          <w:i/>
        </w:rPr>
        <w:t>γαστήριο ιατρικής βιολογίας, ο Γενικός Διευθυντής</w:t>
      </w:r>
      <w:r w:rsidRPr="00F974F3">
        <w:rPr>
          <w:i/>
        </w:rPr>
        <w:t xml:space="preserve"> του Περιφερειακού Οργανισμού Υγείας (</w:t>
      </w:r>
      <w:r w:rsidRPr="00F974F3">
        <w:rPr>
          <w:i/>
          <w:lang w:val="en-US"/>
        </w:rPr>
        <w:t>ARS</w:t>
      </w:r>
      <w:r w:rsidRPr="00F974F3">
        <w:rPr>
          <w:i/>
        </w:rPr>
        <w:t xml:space="preserve">) μπορεί να επιβάλει μια διοικητική ποινή στον υπεύθυνο για την ανωτέρω παράβαση. </w:t>
      </w:r>
    </w:p>
    <w:p w14:paraId="2302AF5D" w14:textId="77777777" w:rsidR="003E3FCB" w:rsidRPr="00F974F3" w:rsidRDefault="003E3FCB" w:rsidP="00E17BFF">
      <w:pPr>
        <w:ind w:firstLine="0"/>
        <w:rPr>
          <w:i/>
        </w:rPr>
      </w:pPr>
      <w:r w:rsidRPr="00F974F3">
        <w:rPr>
          <w:i/>
        </w:rPr>
        <w:t>Μπορεί επίσης να συνοδεύσει την ποινή αυτή με μια συμπληρωματική ποινή</w:t>
      </w:r>
      <w:r w:rsidR="00E17BFF" w:rsidRPr="00F974F3">
        <w:rPr>
          <w:i/>
        </w:rPr>
        <w:t>,</w:t>
      </w:r>
      <w:r w:rsidRPr="00F974F3">
        <w:rPr>
          <w:i/>
        </w:rPr>
        <w:t xml:space="preserve"> σε περίπτωση που ο παραβάτης δε συμμορφωθεί με τις οδηγίες μετά το πέρας της ταχθείσας προθεσμίας. </w:t>
      </w:r>
    </w:p>
    <w:p w14:paraId="390E4459" w14:textId="77777777" w:rsidR="003E3FCB" w:rsidRPr="00F974F3" w:rsidRDefault="003E3FCB" w:rsidP="00E17BFF">
      <w:pPr>
        <w:ind w:firstLine="0"/>
        <w:rPr>
          <w:i/>
        </w:rPr>
      </w:pPr>
      <w:r w:rsidRPr="00F974F3">
        <w:rPr>
          <w:i/>
        </w:rPr>
        <w:t>Το ποσό του διοικητικού προστίμου δε μπορεί να είναι ανώτερο των:</w:t>
      </w:r>
    </w:p>
    <w:p w14:paraId="7360E1B2" w14:textId="77777777" w:rsidR="003E3FCB" w:rsidRPr="00F974F3" w:rsidRDefault="003E3FCB" w:rsidP="00E17BFF">
      <w:pPr>
        <w:ind w:firstLine="0"/>
        <w:rPr>
          <w:i/>
        </w:rPr>
      </w:pPr>
      <w:r w:rsidRPr="00F974F3">
        <w:rPr>
          <w:i/>
        </w:rPr>
        <w:t>1°</w:t>
      </w:r>
      <w:r w:rsidR="00E17BFF" w:rsidRPr="00F974F3">
        <w:rPr>
          <w:i/>
        </w:rPr>
        <w:t>.</w:t>
      </w:r>
      <w:r w:rsidRPr="00F974F3">
        <w:rPr>
          <w:i/>
        </w:rPr>
        <w:t xml:space="preserve"> 500.000 ευρώ για τις παραβάσεις που </w:t>
      </w:r>
      <w:r w:rsidR="00E17BFF" w:rsidRPr="00F974F3">
        <w:rPr>
          <w:i/>
        </w:rPr>
        <w:t>προβλέπονται στις περιπτώσεις 1</w:t>
      </w:r>
      <w:r w:rsidRPr="00F974F3">
        <w:rPr>
          <w:i/>
        </w:rPr>
        <w:t xml:space="preserve"> </w:t>
      </w:r>
      <w:r w:rsidRPr="00F974F3">
        <w:rPr>
          <w:i/>
          <w:lang w:val="fr-FR"/>
        </w:rPr>
        <w:t>bis</w:t>
      </w:r>
      <w:r w:rsidRPr="00F974F3">
        <w:rPr>
          <w:i/>
        </w:rPr>
        <w:t>, 3, 7, 8</w:t>
      </w:r>
      <w:r w:rsidR="00E17BFF" w:rsidRPr="00F974F3">
        <w:rPr>
          <w:i/>
        </w:rPr>
        <w:t>, 15, 16</w:t>
      </w:r>
      <w:r w:rsidRPr="00F974F3">
        <w:rPr>
          <w:i/>
        </w:rPr>
        <w:t>, 18, 19, 20 και 23 του άρθρου</w:t>
      </w:r>
      <w:r w:rsidRPr="00F974F3">
        <w:rPr>
          <w:b/>
          <w:i/>
        </w:rPr>
        <w:t xml:space="preserve"> </w:t>
      </w:r>
      <w:r w:rsidRPr="00F974F3">
        <w:rPr>
          <w:i/>
          <w:lang w:val="en-US"/>
        </w:rPr>
        <w:t>L</w:t>
      </w:r>
      <w:r w:rsidRPr="00F974F3">
        <w:rPr>
          <w:i/>
        </w:rPr>
        <w:t xml:space="preserve">. 6241-1, </w:t>
      </w:r>
    </w:p>
    <w:p w14:paraId="66BF61EC" w14:textId="77777777" w:rsidR="003E3FCB" w:rsidRPr="00F974F3" w:rsidRDefault="003E3FCB" w:rsidP="00E17BFF">
      <w:pPr>
        <w:ind w:firstLine="0"/>
        <w:rPr>
          <w:i/>
        </w:rPr>
      </w:pPr>
      <w:r w:rsidRPr="00F974F3">
        <w:rPr>
          <w:i/>
        </w:rPr>
        <w:t>2°</w:t>
      </w:r>
      <w:r w:rsidR="00E17BFF" w:rsidRPr="00F974F3">
        <w:rPr>
          <w:i/>
        </w:rPr>
        <w:t>.</w:t>
      </w:r>
      <w:r w:rsidRPr="00F974F3">
        <w:rPr>
          <w:i/>
        </w:rPr>
        <w:t xml:space="preserve"> </w:t>
      </w:r>
      <w:r w:rsidR="006C63D4">
        <w:rPr>
          <w:i/>
        </w:rPr>
        <w:t>2</w:t>
      </w:r>
      <w:r w:rsidRPr="00F974F3">
        <w:rPr>
          <w:i/>
        </w:rPr>
        <w:t xml:space="preserve"> εκατ</w:t>
      </w:r>
      <w:r w:rsidR="006C63D4">
        <w:rPr>
          <w:i/>
        </w:rPr>
        <w:t>.</w:t>
      </w:r>
      <w:r w:rsidRPr="00F974F3">
        <w:rPr>
          <w:i/>
        </w:rPr>
        <w:t xml:space="preserve"> ευρώ για τις παραβάσεις που προβλέπονται στις περιπτώσεις 1, 2, 4 </w:t>
      </w:r>
      <w:r w:rsidR="00411B67">
        <w:rPr>
          <w:i/>
        </w:rPr>
        <w:t>εάν ο</w:t>
      </w:r>
      <w:r w:rsidRPr="00F974F3">
        <w:rPr>
          <w:i/>
        </w:rPr>
        <w:t xml:space="preserve"> παραβάτης είναι εργαστήριο, 5, 6, 10, 12, 13, 14 και 17 του ίδιου άρθρου. </w:t>
      </w:r>
    </w:p>
    <w:p w14:paraId="571C891A" w14:textId="77777777" w:rsidR="003E3FCB" w:rsidRPr="00F974F3" w:rsidRDefault="003E3FCB" w:rsidP="00E17BFF">
      <w:pPr>
        <w:ind w:firstLine="0"/>
        <w:rPr>
          <w:i/>
        </w:rPr>
      </w:pPr>
      <w:r w:rsidRPr="00F974F3">
        <w:rPr>
          <w:i/>
        </w:rPr>
        <w:t xml:space="preserve">ΙΙ. Εάν οι </w:t>
      </w:r>
      <w:r w:rsidR="00F974F3" w:rsidRPr="00F974F3">
        <w:rPr>
          <w:i/>
        </w:rPr>
        <w:t>παραβάσεις που προβλέπονται στην περίπτωση 2</w:t>
      </w:r>
      <w:r w:rsidRPr="00F974F3">
        <w:rPr>
          <w:i/>
        </w:rPr>
        <w:t xml:space="preserve"> της παραγράφου </w:t>
      </w:r>
      <w:r w:rsidRPr="00F974F3">
        <w:rPr>
          <w:i/>
          <w:lang w:val="fr-FR"/>
        </w:rPr>
        <w:t>I</w:t>
      </w:r>
      <w:r w:rsidR="00F974F3" w:rsidRPr="00F974F3">
        <w:rPr>
          <w:i/>
        </w:rPr>
        <w:t xml:space="preserve"> θεωρούνται σοβαρές ή</w:t>
      </w:r>
      <w:r w:rsidRPr="00F974F3">
        <w:rPr>
          <w:i/>
        </w:rPr>
        <w:t xml:space="preserve"> διαπράττονται κατ’ επανάληψη, ο </w:t>
      </w:r>
      <w:r w:rsidR="009E06D2">
        <w:rPr>
          <w:i/>
        </w:rPr>
        <w:t>Γενικός Διευθυντής</w:t>
      </w:r>
      <w:r w:rsidRPr="00F974F3">
        <w:rPr>
          <w:i/>
        </w:rPr>
        <w:t xml:space="preserve"> του Περιφερειακού Οργανισμού Υγείας (</w:t>
      </w:r>
      <w:r w:rsidRPr="00F974F3">
        <w:rPr>
          <w:i/>
          <w:lang w:val="en-US"/>
        </w:rPr>
        <w:t>ARS</w:t>
      </w:r>
      <w:r w:rsidRPr="00F974F3">
        <w:rPr>
          <w:i/>
        </w:rPr>
        <w:t xml:space="preserve">) μπορεί επίσης να αποφασίσει  το προσωρινό ή οριστικό </w:t>
      </w:r>
      <w:r w:rsidR="00F974F3" w:rsidRPr="00F974F3">
        <w:rPr>
          <w:i/>
        </w:rPr>
        <w:t xml:space="preserve">σφράγισμα </w:t>
      </w:r>
      <w:r w:rsidRPr="00F974F3">
        <w:rPr>
          <w:i/>
        </w:rPr>
        <w:t xml:space="preserve">μέρους ή ολόκληρου του εργαστηρίου ιατρικής βιολογίας, σε περίπτωση που το εργαστήριο έχει διαπράξει την παράβαση. </w:t>
      </w:r>
    </w:p>
    <w:p w14:paraId="7CC499A3" w14:textId="77777777" w:rsidR="003E3FCB" w:rsidRPr="00F974F3" w:rsidRDefault="003E3FCB" w:rsidP="00E17BFF">
      <w:pPr>
        <w:ind w:firstLine="0"/>
        <w:rPr>
          <w:i/>
        </w:rPr>
      </w:pPr>
      <w:r w:rsidRPr="00F974F3">
        <w:rPr>
          <w:i/>
        </w:rPr>
        <w:t xml:space="preserve">Το ποσό της συμπληρωματικής ποινής που προβλέπεται στο δεύτερο εδάφιο δε μπορεί να υπερβαίνει τα 5.000 ευρώ ημερησίως. </w:t>
      </w:r>
    </w:p>
    <w:p w14:paraId="1D46F156" w14:textId="77777777" w:rsidR="003E3FCB" w:rsidRPr="00F974F3" w:rsidRDefault="003E3FCB" w:rsidP="00F974F3">
      <w:pPr>
        <w:ind w:firstLine="0"/>
        <w:rPr>
          <w:i/>
        </w:rPr>
      </w:pPr>
      <w:r w:rsidRPr="00F974F3">
        <w:rPr>
          <w:i/>
        </w:rPr>
        <w:t xml:space="preserve">ΙΙΙ. Για τις παραβάσεις των περιπτώσεων 4, 9 και 11 του άρθρου </w:t>
      </w:r>
      <w:r w:rsidRPr="00F974F3">
        <w:rPr>
          <w:i/>
          <w:lang w:val="fr-FR"/>
        </w:rPr>
        <w:t>L</w:t>
      </w:r>
      <w:r w:rsidRPr="00F974F3">
        <w:rPr>
          <w:i/>
        </w:rPr>
        <w:t xml:space="preserve">. 6241-1, ο </w:t>
      </w:r>
      <w:r w:rsidR="009E06D2">
        <w:rPr>
          <w:i/>
        </w:rPr>
        <w:t>Γενικός Διευθυντής</w:t>
      </w:r>
      <w:r w:rsidRPr="00F974F3">
        <w:rPr>
          <w:i/>
        </w:rPr>
        <w:t xml:space="preserve"> του Περιφερειακού Οργανισμού Υγείας (</w:t>
      </w:r>
      <w:r w:rsidRPr="00F974F3">
        <w:rPr>
          <w:i/>
          <w:lang w:val="en-US"/>
        </w:rPr>
        <w:t>ARS</w:t>
      </w:r>
      <w:r w:rsidR="00F974F3" w:rsidRPr="00F974F3">
        <w:rPr>
          <w:i/>
        </w:rPr>
        <w:t xml:space="preserve">) δύναται </w:t>
      </w:r>
      <w:r w:rsidRPr="00F974F3">
        <w:rPr>
          <w:i/>
        </w:rPr>
        <w:t>να επιβάλει την αναστολή άσκησης επαγγέλματος του ιατρού-βιολόγου, του βιολόγου υπευθύνου, του βιολόγου συνυπεύθυνου ή του εξειδικευμένου ιατρού στην ανατομία ή την παθολογική κυτταρολογία συνυπεύθυνου του</w:t>
      </w:r>
      <w:r w:rsidR="00411B67">
        <w:rPr>
          <w:i/>
        </w:rPr>
        <w:t xml:space="preserve"> εργαστηρίου ιατρικής βιολογίας, </w:t>
      </w:r>
      <w:r w:rsidRPr="00F974F3">
        <w:rPr>
          <w:i/>
        </w:rPr>
        <w:t xml:space="preserve">εφόσον είναι ο παραβάτης. </w:t>
      </w:r>
    </w:p>
    <w:p w14:paraId="45A5321B" w14:textId="77777777" w:rsidR="003E3FCB" w:rsidRPr="00F77D85" w:rsidRDefault="003E3FCB" w:rsidP="00F974F3">
      <w:pPr>
        <w:ind w:firstLine="0"/>
        <w:rPr>
          <w:b/>
        </w:rPr>
      </w:pPr>
      <w:r w:rsidRPr="00F974F3">
        <w:rPr>
          <w:i/>
          <w:lang w:val="fr-FR"/>
        </w:rPr>
        <w:t>IV</w:t>
      </w:r>
      <w:r w:rsidRPr="00F974F3">
        <w:rPr>
          <w:i/>
        </w:rPr>
        <w:t>. Για τις</w:t>
      </w:r>
      <w:r w:rsidR="00F974F3" w:rsidRPr="00F974F3">
        <w:rPr>
          <w:i/>
        </w:rPr>
        <w:t xml:space="preserve"> παραβάσεις που προβλέπονται στις περιπτώσεις</w:t>
      </w:r>
      <w:r w:rsidRPr="00F974F3">
        <w:rPr>
          <w:i/>
        </w:rPr>
        <w:t xml:space="preserve"> 19 εφόσον ο παραβάτης δεν είναι εργαστήριο, 21 και 22, ο </w:t>
      </w:r>
      <w:r w:rsidR="009E06D2">
        <w:rPr>
          <w:i/>
        </w:rPr>
        <w:t>Γενικός Διευθυντής</w:t>
      </w:r>
      <w:r w:rsidRPr="00F974F3">
        <w:rPr>
          <w:i/>
        </w:rPr>
        <w:t xml:space="preserve"> του Περιφερειακού Οργανισμού Υγείας (</w:t>
      </w:r>
      <w:r w:rsidRPr="00F974F3">
        <w:rPr>
          <w:i/>
          <w:lang w:val="en-US"/>
        </w:rPr>
        <w:t>ARS</w:t>
      </w:r>
      <w:r w:rsidRPr="00F974F3">
        <w:rPr>
          <w:i/>
        </w:rPr>
        <w:t xml:space="preserve">) </w:t>
      </w:r>
      <w:r w:rsidR="00F974F3" w:rsidRPr="00F974F3">
        <w:rPr>
          <w:i/>
        </w:rPr>
        <w:t xml:space="preserve">δύναται </w:t>
      </w:r>
      <w:r w:rsidRPr="00F974F3">
        <w:rPr>
          <w:i/>
        </w:rPr>
        <w:t>να ε</w:t>
      </w:r>
      <w:r w:rsidR="00F974F3" w:rsidRPr="00F974F3">
        <w:rPr>
          <w:i/>
        </w:rPr>
        <w:t xml:space="preserve">πιβάλει διοικητικό πρόστιμο, </w:t>
      </w:r>
      <w:r w:rsidRPr="00F974F3">
        <w:rPr>
          <w:i/>
        </w:rPr>
        <w:t xml:space="preserve">του οποίου το ύψος δε μπορεί να υπερβαίνει τα </w:t>
      </w:r>
      <w:r w:rsidR="00F6276A">
        <w:rPr>
          <w:i/>
        </w:rPr>
        <w:t>2 εκατ. ευρώ</w:t>
      </w:r>
      <w:r w:rsidRPr="00F974F3">
        <w:rPr>
          <w:i/>
        </w:rPr>
        <w:t xml:space="preserve"> </w:t>
      </w:r>
      <w:r w:rsidR="00F974F3" w:rsidRPr="00F974F3">
        <w:rPr>
          <w:i/>
        </w:rPr>
        <w:t>όταν επιβάλλεται σε</w:t>
      </w:r>
      <w:r w:rsidRPr="00F974F3">
        <w:rPr>
          <w:i/>
        </w:rPr>
        <w:t xml:space="preserve"> νομικό πρόσωπο και τις 500.000 ευρώ </w:t>
      </w:r>
      <w:r w:rsidR="00CF563A">
        <w:rPr>
          <w:i/>
        </w:rPr>
        <w:t>όταν</w:t>
      </w:r>
      <w:r w:rsidR="00F974F3" w:rsidRPr="00F974F3">
        <w:rPr>
          <w:i/>
        </w:rPr>
        <w:t xml:space="preserve"> ο παραβάτης είναι φυσικό πρόσωπο</w:t>
      </w:r>
      <w:r w:rsidRPr="00F77D85">
        <w:t xml:space="preserve">». </w:t>
      </w:r>
    </w:p>
    <w:p w14:paraId="6D8002AF" w14:textId="77777777" w:rsidR="003E3FCB" w:rsidRPr="00F974F3" w:rsidRDefault="003E3FCB" w:rsidP="007E7C66">
      <w:pPr>
        <w:pStyle w:val="Heading6"/>
      </w:pPr>
      <w:bookmarkStart w:id="44" w:name="Ποινική_1"/>
      <w:bookmarkEnd w:id="43"/>
      <w:r w:rsidRPr="00F974F3">
        <w:t>Συνέπειες ποινικής φύσης:</w:t>
      </w:r>
    </w:p>
    <w:p w14:paraId="62F3DB59" w14:textId="71C296FC" w:rsidR="003E3FCB" w:rsidRDefault="003E3FCB" w:rsidP="003E3FCB">
      <w:r>
        <w:t xml:space="preserve">Σύμφωνα με τις διατάξεις του άρθρου </w:t>
      </w:r>
      <w:r w:rsidRPr="00602C1D">
        <w:rPr>
          <w:b/>
          <w:lang w:val="fr-FR"/>
        </w:rPr>
        <w:t>L</w:t>
      </w:r>
      <w:r w:rsidRPr="00602C1D">
        <w:rPr>
          <w:b/>
        </w:rPr>
        <w:t xml:space="preserve">. 2162-5 του </w:t>
      </w:r>
      <w:r w:rsidR="00DC00AE">
        <w:rPr>
          <w:b/>
        </w:rPr>
        <w:t>ΚΔΥ</w:t>
      </w:r>
      <w:r>
        <w:t xml:space="preserve">, </w:t>
      </w:r>
      <w:r w:rsidR="00827CDB">
        <w:t>οι οποίες παραπέμπουν</w:t>
      </w:r>
      <w:r>
        <w:t xml:space="preserve"> στο άρθρο </w:t>
      </w:r>
      <w:r w:rsidR="002F61A0">
        <w:t>511-24 ΠΚ</w:t>
      </w:r>
      <w:r>
        <w:t>, «</w:t>
      </w:r>
      <w:r w:rsidRPr="00E538B7">
        <w:rPr>
          <w:i/>
        </w:rPr>
        <w:t xml:space="preserve">η διενέργεια δραστηριοτήτων </w:t>
      </w:r>
      <w:r>
        <w:rPr>
          <w:i/>
        </w:rPr>
        <w:t>ιατρικά υποβοηθούμενης αναπαραγωγής</w:t>
      </w:r>
      <w:r w:rsidRPr="00E538B7">
        <w:rPr>
          <w:i/>
        </w:rPr>
        <w:t xml:space="preserve"> </w:t>
      </w:r>
      <w:r w:rsidRPr="00E538B7">
        <w:rPr>
          <w:i/>
        </w:rPr>
        <w:lastRenderedPageBreak/>
        <w:t xml:space="preserve">για σκοπούς άλλους από εκείνους που προβλέπονται στο άρθρο </w:t>
      </w:r>
      <w:r w:rsidRPr="00E538B7">
        <w:rPr>
          <w:i/>
          <w:lang w:val="fr-FR"/>
        </w:rPr>
        <w:t>L</w:t>
      </w:r>
      <w:r w:rsidRPr="00E538B7">
        <w:rPr>
          <w:i/>
        </w:rPr>
        <w:t xml:space="preserve">. 2141-2 </w:t>
      </w:r>
      <w:r w:rsidR="002E099D">
        <w:rPr>
          <w:i/>
        </w:rPr>
        <w:t xml:space="preserve">ΚΔΥ </w:t>
      </w:r>
      <w:r w:rsidRPr="00E538B7">
        <w:rPr>
          <w:i/>
        </w:rPr>
        <w:t xml:space="preserve">τιμωρείται με ποινή φυλάκισης πέντε (5) ετών και με </w:t>
      </w:r>
      <w:r>
        <w:rPr>
          <w:i/>
        </w:rPr>
        <w:t>χρηματική ποινή</w:t>
      </w:r>
      <w:r w:rsidRPr="00E538B7">
        <w:rPr>
          <w:i/>
        </w:rPr>
        <w:t xml:space="preserve"> 75.000 ευρώ</w:t>
      </w:r>
      <w:r>
        <w:t xml:space="preserve">». </w:t>
      </w:r>
    </w:p>
    <w:p w14:paraId="4032D533" w14:textId="77777777" w:rsidR="003E3FCB" w:rsidRDefault="003E3FCB" w:rsidP="003E3FCB">
      <w:r>
        <w:t xml:space="preserve">Επίσης, πρέπει να επισημανθεί ότι στις περιπτώσεις των ποινικών κυρώσεων που προβλέπονται στον </w:t>
      </w:r>
      <w:r w:rsidRPr="009C6B34">
        <w:rPr>
          <w:b/>
        </w:rPr>
        <w:t xml:space="preserve">Τίτλο </w:t>
      </w:r>
      <w:r w:rsidRPr="009C6B34">
        <w:rPr>
          <w:b/>
          <w:lang w:val="fr-FR"/>
        </w:rPr>
        <w:t>VI</w:t>
      </w:r>
      <w:r w:rsidRPr="009C6B34">
        <w:rPr>
          <w:b/>
        </w:rPr>
        <w:t xml:space="preserve"> (Ποινικές Διατάξεις)</w:t>
      </w:r>
      <w:r>
        <w:t xml:space="preserve"> του Βιβλίου Ι του Δ</w:t>
      </w:r>
      <w:r w:rsidR="00035AB3">
        <w:t>ευτέρου</w:t>
      </w:r>
      <w:r>
        <w:t xml:space="preserve"> Μέρους του Κώδικα Δημόσιας Υγείας </w:t>
      </w:r>
      <w:r w:rsidRPr="009C6B34">
        <w:t xml:space="preserve">(άρθρα </w:t>
      </w:r>
      <w:r w:rsidRPr="009C6B34">
        <w:rPr>
          <w:lang w:val="fr-FR"/>
        </w:rPr>
        <w:t>L</w:t>
      </w:r>
      <w:r w:rsidRPr="009C6B34">
        <w:t xml:space="preserve">. 2161-1 έως </w:t>
      </w:r>
      <w:r w:rsidRPr="009C6B34">
        <w:rPr>
          <w:lang w:val="fr-FR"/>
        </w:rPr>
        <w:t>L</w:t>
      </w:r>
      <w:r w:rsidRPr="009C6B34">
        <w:t>. 2164-2)</w:t>
      </w:r>
      <w:r w:rsidR="00827CDB">
        <w:t xml:space="preserve">, μεταξύ </w:t>
      </w:r>
      <w:r>
        <w:t xml:space="preserve">των οποίων συγκαταλέγεται και η περίπτωση του </w:t>
      </w:r>
      <w:r w:rsidRPr="009C6B34">
        <w:t xml:space="preserve">άρθρου </w:t>
      </w:r>
      <w:r w:rsidRPr="009C6B34">
        <w:rPr>
          <w:lang w:val="fr-FR"/>
        </w:rPr>
        <w:t>L</w:t>
      </w:r>
      <w:r w:rsidRPr="009C6B34">
        <w:t>. 2162-5</w:t>
      </w:r>
      <w:r w:rsidR="00827CDB">
        <w:t xml:space="preserve"> [διενέργεια δραστηριοτήτων ιατρικά υποβοηθούμενης αναπαραγωγής για σκοπούς άλλους από εκείνους που </w:t>
      </w:r>
      <w:r w:rsidR="00FB4D01">
        <w:t>ορίζει ο νομοθέτης</w:t>
      </w:r>
      <w:r w:rsidR="00827CDB" w:rsidRPr="00827CDB">
        <w:t>]</w:t>
      </w:r>
      <w:r w:rsidRPr="00827CDB">
        <w:t>,</w:t>
      </w:r>
      <w:r>
        <w:t xml:space="preserve"> εφαρμόζονται τα άρθρα </w:t>
      </w:r>
      <w:r w:rsidRPr="0053737D">
        <w:rPr>
          <w:b/>
          <w:lang w:val="fr-FR"/>
        </w:rPr>
        <w:t>L</w:t>
      </w:r>
      <w:r w:rsidRPr="0053737D">
        <w:rPr>
          <w:b/>
        </w:rPr>
        <w:t xml:space="preserve">. 2164-1 και </w:t>
      </w:r>
      <w:r w:rsidRPr="0053737D">
        <w:rPr>
          <w:b/>
          <w:lang w:val="fr-FR"/>
        </w:rPr>
        <w:t>L</w:t>
      </w:r>
      <w:r w:rsidRPr="0053737D">
        <w:rPr>
          <w:b/>
        </w:rPr>
        <w:t>. 2164-2,</w:t>
      </w:r>
      <w:r>
        <w:t xml:space="preserve"> τα οποία προβλέπουν συμπληρωματικές ποινές ειδικά για τα φυσικά ή νομικά πρόσωπα που τέλεσαν τις ανωτέρω αξιόποινες πράξεις. </w:t>
      </w:r>
    </w:p>
    <w:p w14:paraId="7929E6A2" w14:textId="77777777" w:rsidR="003E3FCB" w:rsidRPr="008E5AFA" w:rsidRDefault="003E3FCB" w:rsidP="003E3FCB">
      <w:r>
        <w:t xml:space="preserve">Ειδικότερα, σύμφωνα με τις διατάξεις του άρθρου </w:t>
      </w:r>
      <w:r w:rsidRPr="0053737D">
        <w:rPr>
          <w:b/>
          <w:lang w:val="fr-FR"/>
        </w:rPr>
        <w:t>L</w:t>
      </w:r>
      <w:r w:rsidRPr="0053737D">
        <w:rPr>
          <w:b/>
        </w:rPr>
        <w:t>. 2164-1</w:t>
      </w:r>
      <w:r w:rsidRPr="009C6B34">
        <w:t xml:space="preserve"> </w:t>
      </w:r>
      <w:r w:rsidR="005A1087">
        <w:t>ΚΔΥ</w:t>
      </w:r>
      <w:r>
        <w:t>, «</w:t>
      </w:r>
      <w:r w:rsidRPr="00FB4D01">
        <w:rPr>
          <w:i/>
        </w:rPr>
        <w:t xml:space="preserve">στα φυσικά πρόσωπα που κρίνονται ένοχα για τις παραβάσεις του παρόντος τίτλου μπορεί επίσης να επιβληθεί η συμπληρωματική ποινή της απαγόρευσης άσκησης της επαγγελματικής ή κοινωνικής </w:t>
      </w:r>
      <w:r w:rsidR="00FB4D01" w:rsidRPr="00FB4D01">
        <w:rPr>
          <w:i/>
        </w:rPr>
        <w:t xml:space="preserve">τους </w:t>
      </w:r>
      <w:r w:rsidRPr="00FB4D01">
        <w:rPr>
          <w:i/>
        </w:rPr>
        <w:t>δραστηριότητας, στα πλαίσια της οποίας το πρόσωπο είχε τη δυνατότητα να τελέσει την πράξη, για χρονικό διάστημα έως και δέκα (10) ετών</w:t>
      </w:r>
      <w:r w:rsidRPr="008E5AFA">
        <w:t>».</w:t>
      </w:r>
    </w:p>
    <w:p w14:paraId="5781BE46" w14:textId="77777777" w:rsidR="0097487B" w:rsidRDefault="00FB4D01" w:rsidP="0097487B">
      <w:r>
        <w:t>Επιπρόσθετα</w:t>
      </w:r>
      <w:r w:rsidR="003E3FCB" w:rsidRPr="008E5AFA">
        <w:t xml:space="preserve">, δυνάμει των διατάξεων του άρθρου </w:t>
      </w:r>
      <w:r w:rsidR="003E3FCB" w:rsidRPr="008E5AFA">
        <w:rPr>
          <w:b/>
          <w:lang w:val="fr-FR"/>
        </w:rPr>
        <w:t>L</w:t>
      </w:r>
      <w:r w:rsidR="003E3FCB" w:rsidRPr="008E5AFA">
        <w:rPr>
          <w:b/>
        </w:rPr>
        <w:t>. 2164-2</w:t>
      </w:r>
      <w:r w:rsidR="003E3FCB" w:rsidRPr="008E5AFA">
        <w:t xml:space="preserve"> </w:t>
      </w:r>
      <w:r w:rsidR="005A1087">
        <w:t>ΚΔΥ</w:t>
      </w:r>
      <w:r w:rsidR="0097487B">
        <w:t>:</w:t>
      </w:r>
      <w:r w:rsidR="007F0DCA">
        <w:t xml:space="preserve"> </w:t>
      </w:r>
    </w:p>
    <w:p w14:paraId="276D7326" w14:textId="77777777" w:rsidR="0097487B" w:rsidRDefault="003E3FCB" w:rsidP="0097487B">
      <w:r w:rsidRPr="008E5AFA">
        <w:t>«</w:t>
      </w:r>
      <w:r w:rsidRPr="00FB4D01">
        <w:rPr>
          <w:i/>
        </w:rPr>
        <w:t xml:space="preserve">στα νομικά πρόσωπα που κρίνονται ένοχα, όπως ορίζεται στο άρθρο 121-2 ΠΚ, για τις παραβάσεις του παρόντος τίτλου μπορούν επίσης να επιβληθούν, εκτός από το πρόστιμο που ορίζεται στο άρθρο 131-38 ΠΚ, οι συμπληρωματικές ποινές </w:t>
      </w:r>
      <w:r w:rsidR="00FB4D01">
        <w:rPr>
          <w:i/>
        </w:rPr>
        <w:t>του</w:t>
      </w:r>
      <w:r w:rsidRPr="00FB4D01">
        <w:rPr>
          <w:i/>
        </w:rPr>
        <w:t xml:space="preserve"> άρθρο</w:t>
      </w:r>
      <w:r w:rsidR="00FB4D01">
        <w:rPr>
          <w:i/>
        </w:rPr>
        <w:t>υ</w:t>
      </w:r>
      <w:r w:rsidRPr="00FB4D01">
        <w:rPr>
          <w:i/>
        </w:rPr>
        <w:t xml:space="preserve"> 131-39 του ίδιου Κώδικα. </w:t>
      </w:r>
    </w:p>
    <w:p w14:paraId="2CE74BFA" w14:textId="77777777" w:rsidR="003E3FCB" w:rsidRDefault="003E3FCB" w:rsidP="0097487B">
      <w:r w:rsidRPr="00FB4D01">
        <w:rPr>
          <w:i/>
        </w:rPr>
        <w:t>Η απαγόρευση που προβλέπεται στην περίπτωση 2 του άρθρου 131-39 ΠΚ αφορά στη δραστηριότητα, στα πλαίσια της άσκησης της οποίας ή με αφορμή την οποία η πράξη τελέστηκε</w:t>
      </w:r>
      <w:r>
        <w:t xml:space="preserve">». </w:t>
      </w:r>
    </w:p>
    <w:p w14:paraId="405A8120" w14:textId="77777777" w:rsidR="003E3FCB" w:rsidRPr="004933B9" w:rsidRDefault="003E3FCB" w:rsidP="002C7FBA">
      <w:pPr>
        <w:rPr>
          <w:lang w:val="en-US"/>
        </w:rPr>
      </w:pPr>
      <w:r>
        <w:t xml:space="preserve">Ενδεικτικά αναφέρεται ότι οι συμπληρωματικές αυτές ποινές που ορίζονται στα άρθρα 131-38 και 131-39 ΠΚ </w:t>
      </w:r>
      <w:r w:rsidR="00FB4D01">
        <w:t>συνίστανται σε</w:t>
      </w:r>
      <w:r>
        <w:t xml:space="preserve"> διάλυση </w:t>
      </w:r>
      <w:r w:rsidR="00FB4D01">
        <w:t>νομικού προσώπου</w:t>
      </w:r>
      <w:r>
        <w:t>, απαγόρευσ</w:t>
      </w:r>
      <w:r w:rsidR="00FB4D01">
        <w:t>η άσκησης της δραστηριότητάς του</w:t>
      </w:r>
      <w:r>
        <w:t xml:space="preserve">, θέση </w:t>
      </w:r>
      <w:r w:rsidR="00FB4D01">
        <w:t xml:space="preserve">του </w:t>
      </w:r>
      <w:r>
        <w:t>υπό εποπτεία για ορισμέν</w:t>
      </w:r>
      <w:r w:rsidR="0097487B">
        <w:t xml:space="preserve">ο χρονικό διάστημα </w:t>
      </w:r>
      <w:r>
        <w:t xml:space="preserve">που μπορεί να φτάσει τα πέντε (5) έτη, οριστικό </w:t>
      </w:r>
      <w:r w:rsidR="006B3937">
        <w:t>σφράγισμα ή σφράγισμ</w:t>
      </w:r>
      <w:r w:rsidR="00FB4D01">
        <w:t>ά</w:t>
      </w:r>
      <w:r>
        <w:t xml:space="preserve"> </w:t>
      </w:r>
      <w:r w:rsidR="00FB4D01">
        <w:t xml:space="preserve">του </w:t>
      </w:r>
      <w:r>
        <w:t xml:space="preserve">για </w:t>
      </w:r>
      <w:r w:rsidR="0097487B">
        <w:t xml:space="preserve">ορισμένο χρονικό διάστημα </w:t>
      </w:r>
      <w:r>
        <w:t>που μπορεί να φτάσει τα</w:t>
      </w:r>
      <w:r w:rsidR="00FB4D01">
        <w:t xml:space="preserve"> πέντε (5) έτη, αποκλεισμό του</w:t>
      </w:r>
      <w:r>
        <w:t xml:space="preserve"> από τη δημόσια αγορά, κατάσχεση, δημοσιοποίηση της καταδικαστικής απόφασης στον τύπο κ.ά.</w:t>
      </w:r>
      <w:r w:rsidR="00E20721">
        <w:t xml:space="preserve"> </w:t>
      </w:r>
    </w:p>
    <w:p w14:paraId="6B187127" w14:textId="77777777" w:rsidR="002B0FA3" w:rsidRPr="004933B9" w:rsidRDefault="00C4415A" w:rsidP="002B0FA3">
      <w:pPr>
        <w:pStyle w:val="Heading3"/>
      </w:pPr>
      <w:bookmarkStart w:id="45" w:name="_Toc394082546"/>
      <w:bookmarkStart w:id="46" w:name="_Toc275535591"/>
      <w:bookmarkStart w:id="47" w:name="_Toc276574377"/>
      <w:bookmarkEnd w:id="44"/>
      <w:r>
        <w:t>β</w:t>
      </w:r>
      <w:r w:rsidR="002B0FA3" w:rsidRPr="004933B9">
        <w:t xml:space="preserve">. </w:t>
      </w:r>
      <w:bookmarkEnd w:id="45"/>
      <w:r w:rsidR="000E26D3">
        <w:t>Αποφυγή μετάδοσης σοβαρ</w:t>
      </w:r>
      <w:r w:rsidR="003A7105">
        <w:t>ής ασθένειας στο τέκνο</w:t>
      </w:r>
      <w:bookmarkEnd w:id="46"/>
      <w:bookmarkEnd w:id="47"/>
    </w:p>
    <w:p w14:paraId="23B9DEC7" w14:textId="77777777" w:rsidR="002E279B" w:rsidRDefault="000E26D3" w:rsidP="000E26D3">
      <w:r>
        <w:t>Ο δεύτερος όρος</w:t>
      </w:r>
      <w:r w:rsidR="002E279B">
        <w:t xml:space="preserve"> </w:t>
      </w:r>
      <w:r w:rsidR="007F0DCA">
        <w:t>τον οποίο</w:t>
      </w:r>
      <w:r w:rsidR="00D31253">
        <w:t xml:space="preserve"> θέτει </w:t>
      </w:r>
      <w:r>
        <w:t xml:space="preserve">ο γάλλος νομοθέτης </w:t>
      </w:r>
      <w:r w:rsidR="00D31253">
        <w:t xml:space="preserve">για την πρόσβαση σε μεθόδους ιατρικά υποβοηθούμενης αναπαραγωγής </w:t>
      </w:r>
      <w:r>
        <w:t xml:space="preserve">είναι η αποφυγή μετάδοσης σοβαρής ασθένειας στο τέκνο που θα γεννηθεί. Ειδικότερα, το άρθρο </w:t>
      </w:r>
      <w:r>
        <w:rPr>
          <w:lang w:val="fr-FR"/>
        </w:rPr>
        <w:t>L</w:t>
      </w:r>
      <w:r w:rsidRPr="008344A8">
        <w:t>. 2141-2</w:t>
      </w:r>
      <w:r>
        <w:t xml:space="preserve">, παρ. 1, </w:t>
      </w:r>
      <w:r w:rsidR="002E099D">
        <w:t xml:space="preserve">ΚΔΥ </w:t>
      </w:r>
      <w:r>
        <w:t>ορίζει, όπως αναφέρθηκε πιο πάνω, ότι</w:t>
      </w:r>
      <w:r w:rsidRPr="008344A8">
        <w:t xml:space="preserve"> </w:t>
      </w:r>
      <w:r>
        <w:t>«</w:t>
      </w:r>
      <w:r w:rsidRPr="00C73E24">
        <w:rPr>
          <w:i/>
        </w:rPr>
        <w:t xml:space="preserve">σκοπός </w:t>
      </w:r>
      <w:r>
        <w:rPr>
          <w:i/>
        </w:rPr>
        <w:t>της ιατρικά υποβοηθούμενης αναπαραγωγής</w:t>
      </w:r>
      <w:r w:rsidRPr="00C73E24">
        <w:rPr>
          <w:i/>
        </w:rPr>
        <w:t xml:space="preserve"> είναι </w:t>
      </w:r>
      <w:r>
        <w:rPr>
          <w:i/>
        </w:rPr>
        <w:t>[...]</w:t>
      </w:r>
      <w:r w:rsidRPr="00C73E24">
        <w:rPr>
          <w:i/>
        </w:rPr>
        <w:t xml:space="preserve"> να αποφευχθεί η μετάδοση στο τέκνο</w:t>
      </w:r>
      <w:r w:rsidRPr="000E26D3">
        <w:rPr>
          <w:i/>
        </w:rPr>
        <w:t xml:space="preserve"> [...]</w:t>
      </w:r>
      <w:r w:rsidRPr="00C73E24">
        <w:rPr>
          <w:i/>
        </w:rPr>
        <w:t xml:space="preserve"> ασθένειας εν</w:t>
      </w:r>
      <w:r>
        <w:rPr>
          <w:i/>
        </w:rPr>
        <w:t>ός ορισμένου βαθμού σοβαρότητας [...]</w:t>
      </w:r>
      <w:r>
        <w:t>».</w:t>
      </w:r>
      <w:r w:rsidR="00673A31">
        <w:t xml:space="preserve"> </w:t>
      </w:r>
    </w:p>
    <w:p w14:paraId="2CA44AA4" w14:textId="77777777" w:rsidR="00C320B5" w:rsidRDefault="00C320B5" w:rsidP="000E26D3">
      <w:pPr>
        <w:rPr>
          <w:lang w:val="en-US"/>
        </w:rPr>
      </w:pPr>
      <w:r>
        <w:lastRenderedPageBreak/>
        <w:t xml:space="preserve">Το κείμενο του νόμου </w:t>
      </w:r>
      <w:r w:rsidR="00CE1F8C">
        <w:t>είναι παρεμφερές με αυτό του</w:t>
      </w:r>
      <w:r>
        <w:t xml:space="preserve"> άρθρο</w:t>
      </w:r>
      <w:r w:rsidR="00CE1F8C">
        <w:t>υ</w:t>
      </w:r>
      <w:r>
        <w:t xml:space="preserve"> </w:t>
      </w:r>
      <w:r>
        <w:rPr>
          <w:lang w:val="en-US"/>
        </w:rPr>
        <w:t xml:space="preserve">L. 2213-1 </w:t>
      </w:r>
      <w:r w:rsidR="005A1087">
        <w:t>ΚΔΥ</w:t>
      </w:r>
      <w:r>
        <w:t>, δυνάμει</w:t>
      </w:r>
      <w:r w:rsidR="00950249">
        <w:t xml:space="preserve"> των διατάξεων</w:t>
      </w:r>
      <w:r>
        <w:t xml:space="preserve"> του οποίο</w:t>
      </w:r>
      <w:r w:rsidR="00950249">
        <w:t>υ</w:t>
      </w:r>
      <w:r>
        <w:t xml:space="preserve"> επιτρέπεται η διακοπή κύησης εφόσον «</w:t>
      </w:r>
      <w:r w:rsidRPr="00950249">
        <w:rPr>
          <w:i/>
        </w:rPr>
        <w:t>υπάρχει μεγάλη πιθανότητα το τέκνο που θα γεννηθεί να πάσχει από ασθένεια ενός ορισμένου βαθμού σοβαρότητας, που θεωρείται ανίατη κατά τη στιγμή της διάγνωσης</w:t>
      </w:r>
      <w:r>
        <w:t xml:space="preserve">», καθώς επίσης και </w:t>
      </w:r>
      <w:r w:rsidR="00CE1F8C">
        <w:t>με το περιεχόμενο των άρθρων</w:t>
      </w:r>
      <w:r>
        <w:t xml:space="preserve"> </w:t>
      </w:r>
      <w:r>
        <w:rPr>
          <w:lang w:val="en-US"/>
        </w:rPr>
        <w:t>L. 2131-1</w:t>
      </w:r>
      <w:r w:rsidR="00CE1F8C">
        <w:rPr>
          <w:lang w:val="en-US"/>
        </w:rPr>
        <w:t xml:space="preserve"> ΚΔΥ [</w:t>
      </w:r>
      <w:r w:rsidR="00950249">
        <w:rPr>
          <w:lang w:val="en-US"/>
        </w:rPr>
        <w:t>δυνατότητα</w:t>
      </w:r>
      <w:r>
        <w:rPr>
          <w:lang w:val="en-US"/>
        </w:rPr>
        <w:t xml:space="preserve"> προγεννητική</w:t>
      </w:r>
      <w:r w:rsidR="00950249">
        <w:rPr>
          <w:lang w:val="en-US"/>
        </w:rPr>
        <w:t>ς</w:t>
      </w:r>
      <w:r>
        <w:rPr>
          <w:lang w:val="en-US"/>
        </w:rPr>
        <w:t xml:space="preserve"> διάγνωση</w:t>
      </w:r>
      <w:r w:rsidR="00950249">
        <w:rPr>
          <w:lang w:val="en-US"/>
        </w:rPr>
        <w:t>ς</w:t>
      </w:r>
      <w:r>
        <w:rPr>
          <w:lang w:val="en-US"/>
        </w:rPr>
        <w:t xml:space="preserve"> </w:t>
      </w:r>
      <w:r>
        <w:t>προκειμένου να διαγνωσθεί στο έμβρυο μια ασθένεια ορισμένου βαθμού σοβαρότητας</w:t>
      </w:r>
      <w:r w:rsidR="00CE1F8C">
        <w:rPr>
          <w:lang w:val="en-US"/>
        </w:rPr>
        <w:t>]</w:t>
      </w:r>
      <w:r>
        <w:rPr>
          <w:lang w:val="en-US"/>
        </w:rPr>
        <w:t xml:space="preserve"> </w:t>
      </w:r>
      <w:r>
        <w:t xml:space="preserve">και </w:t>
      </w:r>
      <w:r>
        <w:rPr>
          <w:lang w:val="en-US"/>
        </w:rPr>
        <w:t xml:space="preserve">L. 2131-4 </w:t>
      </w:r>
      <w:r w:rsidR="00CE1F8C">
        <w:rPr>
          <w:lang w:val="en-US"/>
        </w:rPr>
        <w:t>ΚΔΥ [</w:t>
      </w:r>
      <w:r w:rsidR="00950249">
        <w:rPr>
          <w:lang w:val="en-US"/>
        </w:rPr>
        <w:t>δυνατότητα</w:t>
      </w:r>
      <w:r>
        <w:rPr>
          <w:lang w:val="en-US"/>
        </w:rPr>
        <w:t xml:space="preserve"> προεμφυτευτική</w:t>
      </w:r>
      <w:r w:rsidR="00950249">
        <w:rPr>
          <w:lang w:val="en-US"/>
        </w:rPr>
        <w:t>ς</w:t>
      </w:r>
      <w:r>
        <w:rPr>
          <w:lang w:val="en-US"/>
        </w:rPr>
        <w:t xml:space="preserve"> διάγνωση</w:t>
      </w:r>
      <w:r w:rsidR="00950249">
        <w:rPr>
          <w:lang w:val="en-US"/>
        </w:rPr>
        <w:t>ς</w:t>
      </w:r>
      <w:r>
        <w:rPr>
          <w:lang w:val="en-US"/>
        </w:rPr>
        <w:t xml:space="preserve"> </w:t>
      </w:r>
      <w:r>
        <w:t>προκειμένου να διαγνωσθεί στο έμβρυο μια γενετική ασθένεια ορισμένου βαθμού σοβαρότητας</w:t>
      </w:r>
      <w:r w:rsidR="00CE1F8C">
        <w:rPr>
          <w:lang w:val="en-US"/>
        </w:rPr>
        <w:t>]</w:t>
      </w:r>
      <w:r>
        <w:rPr>
          <w:lang w:val="en-US"/>
        </w:rPr>
        <w:t xml:space="preserve">. </w:t>
      </w:r>
    </w:p>
    <w:p w14:paraId="35D040F5" w14:textId="77777777" w:rsidR="009B38DD" w:rsidRDefault="009B38DD" w:rsidP="000E26D3">
      <w:r>
        <w:rPr>
          <w:lang w:val="en-US"/>
        </w:rPr>
        <w:t xml:space="preserve">Η ιατρική υποβοήθηση, εν προκειμένω, θα συνίσταται είτε στην προσφυγή σε τρίτο δότη προκειμένου να αποφευχθεί η χρήση των γαμετών του υποβοηθούμενου προσώπου που πάσχει από τη σοβαρή ασθένεια, είτε στην επιλογή </w:t>
      </w:r>
      <w:r w:rsidR="00817202">
        <w:rPr>
          <w:lang w:val="en-US"/>
        </w:rPr>
        <w:t xml:space="preserve">προς εμφύτευση, </w:t>
      </w:r>
      <w:r>
        <w:rPr>
          <w:lang w:val="en-US"/>
        </w:rPr>
        <w:t xml:space="preserve">μεταξύ των εμβρύων που θα συλληφθούν </w:t>
      </w:r>
      <w:r w:rsidRPr="00817202">
        <w:rPr>
          <w:i/>
          <w:lang w:val="en-US"/>
        </w:rPr>
        <w:t>in vitro</w:t>
      </w:r>
      <w:r>
        <w:rPr>
          <w:lang w:val="en-US"/>
        </w:rPr>
        <w:t xml:space="preserve"> </w:t>
      </w:r>
      <w:r>
        <w:t>με χρήση των γαμετών του υποβοηθούμενου ζευγαριού</w:t>
      </w:r>
      <w:r w:rsidR="00817202">
        <w:t>,</w:t>
      </w:r>
      <w:r>
        <w:t xml:space="preserve"> του εμβρύου εκείνου που δε θα</w:t>
      </w:r>
      <w:r w:rsidR="00817202">
        <w:t xml:space="preserve"> είναι φορέας της γενετικής ασθένειας από την οποία πάσχει το ένα από τα δύο υποβοηθούμενα πρόσωπα. Μερίδα της θεωρίας, μάλιστα, έχει σχολιάσει τη λύση αυτή ως παράδοξη, δεδομένου ότι η γαλλική νομοθεσία διακηρύσσει πανηγυρικά την απαγόρευση κάθε «</w:t>
      </w:r>
      <w:r w:rsidR="00817202" w:rsidRPr="00817202">
        <w:rPr>
          <w:i/>
        </w:rPr>
        <w:t>πρακτικής ευγονικής που αποσκοπεί στην οργάνωση επιλογής προσώπων</w:t>
      </w:r>
      <w:r w:rsidR="00817202">
        <w:t>» (άρθρο 16-4, παρ. 2, ΑΚ)</w:t>
      </w:r>
      <w:r w:rsidR="00832B08">
        <w:rPr>
          <w:rStyle w:val="FootnoteReference"/>
        </w:rPr>
        <w:footnoteReference w:id="101"/>
      </w:r>
      <w:r w:rsidR="00817202">
        <w:t xml:space="preserve">. </w:t>
      </w:r>
    </w:p>
    <w:p w14:paraId="1073C30C" w14:textId="099E9132" w:rsidR="0050779D" w:rsidRPr="009B38DD" w:rsidRDefault="0050779D" w:rsidP="0050779D">
      <w:r>
        <w:t>Για να οδηγηθούμε σε ασφαλέστερα συμπεράσματα, ωστόσο, κρίνεται απαραίτητο να σταθούμε λίγο περισσότερο στην έννοια της «</w:t>
      </w:r>
      <w:r w:rsidRPr="0050779D">
        <w:rPr>
          <w:i/>
        </w:rPr>
        <w:t>ασθένειας ενός ορισμένου βαθμού σοβαρότητας</w:t>
      </w:r>
      <w:r>
        <w:t>» (§1), πριν περάσουμε στον τρόπο πιστοποίησης της συνδρομής του δεύτερου αυτού όρου πρόσβασης στην ιατρικά υποβοηθούμενη αναπαραγωγή (§2). Η παρούσα ενότητα θα κλείσει με την εξέταση των συνεπειών μη συμμόρφωσης με τις προβλέψεις του νομοθέτη (§3).</w:t>
      </w:r>
    </w:p>
    <w:p w14:paraId="1158C682" w14:textId="77777777" w:rsidR="00786C67" w:rsidRDefault="00786C67" w:rsidP="00786C67">
      <w:pPr>
        <w:pStyle w:val="Heading4"/>
      </w:pPr>
      <w:bookmarkStart w:id="48" w:name="_Toc276574378"/>
      <w:r>
        <w:t>§1. Η έννοια της «</w:t>
      </w:r>
      <w:r w:rsidRPr="00C73E24">
        <w:t>ασθένειας εν</w:t>
      </w:r>
      <w:r>
        <w:t>ός ορισμένου βαθμού σοβαρότητας»</w:t>
      </w:r>
      <w:bookmarkEnd w:id="48"/>
    </w:p>
    <w:p w14:paraId="15C411FE" w14:textId="77777777" w:rsidR="008D3D93" w:rsidRPr="008D3D93" w:rsidRDefault="008D3D93" w:rsidP="000E26D3">
      <w:r>
        <w:t>Η έννοια της «</w:t>
      </w:r>
      <w:r w:rsidRPr="00C73E24">
        <w:rPr>
          <w:i/>
        </w:rPr>
        <w:t>ασθένειας εν</w:t>
      </w:r>
      <w:r>
        <w:rPr>
          <w:i/>
        </w:rPr>
        <w:t>ός ορισμένου βαθμού σοβαρότητας</w:t>
      </w:r>
      <w:r>
        <w:t xml:space="preserve">», ωστόσο, δεν προσδιορίζεται περεταίρω από το νομοθέτη. Το νομοθετικό αυτό «κενό», όπως συνηθίζεται να το αποκαλούν συχνά στη θεωρία, συνιστά μια μάλλον συνειδητή επιλογή του νομοθέτη, ο οποίος έκρινε ορθότερο να </w:t>
      </w:r>
      <w:r w:rsidR="00EB1ECB">
        <w:t>θέτει σ</w:t>
      </w:r>
      <w:r w:rsidR="009F389A">
        <w:t xml:space="preserve">την κρίση </w:t>
      </w:r>
      <w:r w:rsidR="00EB1ECB">
        <w:t>του ιατρού</w:t>
      </w:r>
      <w:r w:rsidR="009F389A">
        <w:t xml:space="preserve"> το «σοβαρό» ή μη της επαπειλούμενης ασθένειας. Ε</w:t>
      </w:r>
      <w:r>
        <w:t>ναπόκειται</w:t>
      </w:r>
      <w:r w:rsidR="009F389A">
        <w:t>, συνεπώς,</w:t>
      </w:r>
      <w:r>
        <w:t xml:space="preserve"> στους επαγγελματίες υγείας να κρίνουν την κάθε περίπτωση </w:t>
      </w:r>
      <w:r w:rsidRPr="009F389A">
        <w:rPr>
          <w:i/>
          <w:lang w:val="en-US"/>
        </w:rPr>
        <w:t>ad hoc</w:t>
      </w:r>
      <w:r w:rsidR="009F389A">
        <w:t xml:space="preserve"> και βάσει καθαρά ιατρικών κριτηρίων να κάνουν τη διάγνωση που θα τους επιτρέπει να προβούν στο</w:t>
      </w:r>
      <w:r>
        <w:t xml:space="preserve"> χαρακτηρισμό μιας ασθένειας ως λιγότερο ή περισσότερο σοβαρής. </w:t>
      </w:r>
    </w:p>
    <w:p w14:paraId="1DF2E98F" w14:textId="77777777" w:rsidR="00786C67" w:rsidRPr="004933B9" w:rsidRDefault="00786C67" w:rsidP="00786C67">
      <w:pPr>
        <w:pStyle w:val="Heading4"/>
      </w:pPr>
      <w:bookmarkStart w:id="49" w:name="_Ref275977849"/>
      <w:bookmarkStart w:id="50" w:name="_Toc276574379"/>
      <w:r>
        <w:lastRenderedPageBreak/>
        <w:t>§2. Η πιστοποίηση της συνδρομής του όρου της ύπαρξης κινδύνου μετάδοσης σοβαρής ασθένειας στο τέκνο</w:t>
      </w:r>
      <w:bookmarkEnd w:id="49"/>
      <w:bookmarkEnd w:id="50"/>
    </w:p>
    <w:p w14:paraId="0AF6D3D7" w14:textId="77777777" w:rsidR="002B0FA3" w:rsidRPr="004933B9" w:rsidRDefault="00786C67" w:rsidP="00786C67">
      <w:pPr>
        <w:rPr>
          <w:lang w:val="en-US"/>
        </w:rPr>
      </w:pPr>
      <w:r>
        <w:rPr>
          <w:rFonts w:eastAsia="Calibri"/>
          <w:lang w:eastAsia="en-US"/>
        </w:rPr>
        <w:t xml:space="preserve">Η </w:t>
      </w:r>
      <w:r>
        <w:t>πιστοποίηση της συνδρομής των όρων πρόσβασης στην ιατρικά υποβοηθούμε</w:t>
      </w:r>
      <w:r w:rsidR="009B1786">
        <w:t>νη αναπαραγωγή πραγματοποιείται</w:t>
      </w:r>
      <w:r w:rsidR="009B1786">
        <w:rPr>
          <w:rFonts w:eastAsia="Calibri"/>
          <w:lang w:eastAsia="en-US"/>
        </w:rPr>
        <w:t xml:space="preserve">, όπως έχει ήδη αναφερθεί ανωτέρω, </w:t>
      </w:r>
      <w:r>
        <w:t>από τον ιατρό σ</w:t>
      </w:r>
      <w:r>
        <w:rPr>
          <w:rFonts w:eastAsia="Calibri"/>
          <w:lang w:eastAsia="en-US"/>
        </w:rPr>
        <w:t>τον οποίο προσφεύγει το υποψήφιο υποβοηθούμενο ζευγάρι. Ο θεράπων ιατρός επικουρείται στα καθήκοντά του</w:t>
      </w:r>
      <w:r w:rsidR="00970C60">
        <w:rPr>
          <w:rFonts w:eastAsia="Calibri"/>
          <w:lang w:eastAsia="en-US"/>
        </w:rPr>
        <w:t xml:space="preserve"> αυτά</w:t>
      </w:r>
      <w:r w:rsidR="009B1786">
        <w:rPr>
          <w:rFonts w:eastAsia="Calibri"/>
          <w:lang w:eastAsia="en-US"/>
        </w:rPr>
        <w:t xml:space="preserve"> </w:t>
      </w:r>
      <w:r>
        <w:rPr>
          <w:rFonts w:eastAsia="Calibri"/>
          <w:lang w:eastAsia="en-US"/>
        </w:rPr>
        <w:t xml:space="preserve">από ιατρική διεπιστημονική ομάδα του κέντρου ιατρικά υποβοηθούμενης αναπαραγωγής. </w:t>
      </w:r>
    </w:p>
    <w:p w14:paraId="3A299E1F" w14:textId="77777777" w:rsidR="000E26D3" w:rsidRDefault="000E26D3" w:rsidP="009B1786">
      <w:pPr>
        <w:rPr>
          <w:rFonts w:eastAsia="Calibri"/>
          <w:lang w:eastAsia="en-US"/>
        </w:rPr>
      </w:pPr>
      <w:r>
        <w:rPr>
          <w:rFonts w:eastAsia="Calibri"/>
          <w:lang w:eastAsia="en-US"/>
        </w:rPr>
        <w:t>Τα</w:t>
      </w:r>
      <w:r w:rsidRPr="00F775DB">
        <w:rPr>
          <w:rFonts w:eastAsia="Calibri"/>
          <w:lang w:eastAsia="en-US"/>
        </w:rPr>
        <w:t xml:space="preserve"> </w:t>
      </w:r>
      <w:r>
        <w:rPr>
          <w:rFonts w:eastAsia="Calibri"/>
          <w:lang w:eastAsia="en-US"/>
        </w:rPr>
        <w:t>κριτήρια</w:t>
      </w:r>
      <w:r w:rsidRPr="00F775DB">
        <w:rPr>
          <w:rFonts w:eastAsia="Calibri"/>
          <w:lang w:eastAsia="en-US"/>
        </w:rPr>
        <w:t xml:space="preserve"> </w:t>
      </w:r>
      <w:r>
        <w:rPr>
          <w:rFonts w:eastAsia="Calibri"/>
          <w:lang w:eastAsia="en-US"/>
        </w:rPr>
        <w:t>δυνάμει</w:t>
      </w:r>
      <w:r w:rsidRPr="00F775DB">
        <w:rPr>
          <w:rFonts w:eastAsia="Calibri"/>
          <w:lang w:eastAsia="en-US"/>
        </w:rPr>
        <w:t xml:space="preserve"> </w:t>
      </w:r>
      <w:r>
        <w:rPr>
          <w:rFonts w:eastAsia="Calibri"/>
          <w:lang w:eastAsia="en-US"/>
        </w:rPr>
        <w:t>των</w:t>
      </w:r>
      <w:r w:rsidRPr="00F775DB">
        <w:rPr>
          <w:rFonts w:eastAsia="Calibri"/>
          <w:lang w:eastAsia="en-US"/>
        </w:rPr>
        <w:t xml:space="preserve"> </w:t>
      </w:r>
      <w:r>
        <w:rPr>
          <w:rFonts w:eastAsia="Calibri"/>
          <w:lang w:eastAsia="en-US"/>
        </w:rPr>
        <w:t>οποίων</w:t>
      </w:r>
      <w:r w:rsidRPr="00F775DB">
        <w:rPr>
          <w:rFonts w:eastAsia="Calibri"/>
          <w:lang w:eastAsia="en-US"/>
        </w:rPr>
        <w:t xml:space="preserve"> </w:t>
      </w:r>
      <w:r>
        <w:rPr>
          <w:rFonts w:eastAsia="Calibri"/>
          <w:lang w:eastAsia="en-US"/>
        </w:rPr>
        <w:t>γίνεται</w:t>
      </w:r>
      <w:r w:rsidRPr="00F775DB">
        <w:rPr>
          <w:rFonts w:eastAsia="Calibri"/>
          <w:lang w:eastAsia="en-US"/>
        </w:rPr>
        <w:t xml:space="preserve"> </w:t>
      </w:r>
      <w:r>
        <w:rPr>
          <w:rFonts w:eastAsia="Calibri"/>
          <w:lang w:eastAsia="en-US"/>
        </w:rPr>
        <w:t>η</w:t>
      </w:r>
      <w:r w:rsidRPr="00F775DB">
        <w:rPr>
          <w:rFonts w:eastAsia="Calibri"/>
          <w:lang w:eastAsia="en-US"/>
        </w:rPr>
        <w:t xml:space="preserve"> </w:t>
      </w:r>
      <w:r>
        <w:rPr>
          <w:rFonts w:eastAsia="Calibri"/>
          <w:lang w:eastAsia="en-US"/>
        </w:rPr>
        <w:t>πιστοποίηση</w:t>
      </w:r>
      <w:r w:rsidRPr="00F775DB">
        <w:rPr>
          <w:rFonts w:eastAsia="Calibri"/>
          <w:lang w:eastAsia="en-US"/>
        </w:rPr>
        <w:t xml:space="preserve"> </w:t>
      </w:r>
      <w:r>
        <w:rPr>
          <w:rFonts w:eastAsia="Calibri"/>
          <w:lang w:eastAsia="en-US"/>
        </w:rPr>
        <w:t>της</w:t>
      </w:r>
      <w:r w:rsidRPr="00F775DB">
        <w:rPr>
          <w:rFonts w:eastAsia="Calibri"/>
          <w:lang w:eastAsia="en-US"/>
        </w:rPr>
        <w:t xml:space="preserve"> </w:t>
      </w:r>
      <w:r>
        <w:rPr>
          <w:rFonts w:eastAsia="Calibri"/>
          <w:lang w:eastAsia="en-US"/>
        </w:rPr>
        <w:t>συνδρομής</w:t>
      </w:r>
      <w:r w:rsidRPr="00F775DB">
        <w:rPr>
          <w:rFonts w:eastAsia="Calibri"/>
          <w:lang w:eastAsia="en-US"/>
        </w:rPr>
        <w:t xml:space="preserve"> </w:t>
      </w:r>
      <w:r w:rsidR="00786C67">
        <w:rPr>
          <w:rFonts w:eastAsia="Calibri"/>
          <w:lang w:eastAsia="en-US"/>
        </w:rPr>
        <w:t xml:space="preserve">του όρου της ύπαρξης κινδύνου μετάδοσης σοβαρής ασθένειας στο τέκνο που θα γεννηθεί </w:t>
      </w:r>
      <w:r w:rsidR="009B1786">
        <w:rPr>
          <w:rFonts w:eastAsia="Calibri"/>
          <w:lang w:eastAsia="en-US"/>
        </w:rPr>
        <w:t xml:space="preserve">είναι ιατρικά και ορίζονται στον </w:t>
      </w:r>
      <w:r w:rsidR="009B1786">
        <w:rPr>
          <w:rFonts w:eastAsia="Calibri"/>
          <w:b/>
          <w:lang w:eastAsia="en-US"/>
        </w:rPr>
        <w:t>Οδηγό</w:t>
      </w:r>
      <w:r w:rsidR="009B1786" w:rsidRPr="00BD28A0">
        <w:rPr>
          <w:rFonts w:eastAsia="Calibri"/>
          <w:b/>
          <w:lang w:eastAsia="en-US"/>
        </w:rPr>
        <w:t xml:space="preserve"> καλών κλινικών και βιολογικών πρακτικών </w:t>
      </w:r>
      <w:r w:rsidR="0004076A">
        <w:rPr>
          <w:rFonts w:eastAsia="Calibri"/>
          <w:b/>
          <w:lang w:eastAsia="en-US"/>
        </w:rPr>
        <w:t>στην ιατρικά υποβοηθούμενη αναπαραγωγή</w:t>
      </w:r>
      <w:r w:rsidR="009B1786">
        <w:rPr>
          <w:rFonts w:eastAsia="Calibri"/>
          <w:lang w:eastAsia="en-US"/>
        </w:rPr>
        <w:t xml:space="preserve">. Η ύπαρξη κινδύνου μετάδοσης σοβαρής ασθένειας στο τέκνο, με άλλα λόγια, πιστοποιείται με ιατρικές εξετάσεις. </w:t>
      </w:r>
      <w:r>
        <w:rPr>
          <w:rFonts w:eastAsia="Calibri"/>
          <w:lang w:eastAsia="en-US"/>
        </w:rPr>
        <w:t>Ποιες είναι αυτές;</w:t>
      </w:r>
    </w:p>
    <w:p w14:paraId="69A3DBE2" w14:textId="77777777" w:rsidR="009B1786" w:rsidRDefault="000E26D3" w:rsidP="009B1786">
      <w:r w:rsidRPr="00147513">
        <w:rPr>
          <w:rFonts w:eastAsia="Calibri"/>
          <w:lang w:eastAsia="en-US"/>
        </w:rPr>
        <w:t>Σύμφωνα με τον</w:t>
      </w:r>
      <w:r>
        <w:rPr>
          <w:rFonts w:eastAsia="Calibri"/>
          <w:b/>
          <w:lang w:eastAsia="en-US"/>
        </w:rPr>
        <w:t xml:space="preserve"> Οδηγό καλών πρακτικών στην ιατρικά υποβοηθούμενη αναπαραγωγή </w:t>
      </w:r>
      <w:r w:rsidRPr="00147513">
        <w:rPr>
          <w:rFonts w:eastAsia="Calibri"/>
          <w:lang w:eastAsia="en-US"/>
        </w:rPr>
        <w:t>και</w:t>
      </w:r>
      <w:r w:rsidR="009B1786">
        <w:rPr>
          <w:rFonts w:eastAsia="Calibri"/>
          <w:lang w:eastAsia="en-US"/>
        </w:rPr>
        <w:t>,</w:t>
      </w:r>
      <w:r w:rsidRPr="00147513">
        <w:rPr>
          <w:rFonts w:eastAsia="Calibri"/>
          <w:lang w:eastAsia="en-US"/>
        </w:rPr>
        <w:t xml:space="preserve"> ειδικότερα</w:t>
      </w:r>
      <w:r w:rsidR="009B1786">
        <w:rPr>
          <w:rFonts w:eastAsia="Calibri"/>
          <w:lang w:eastAsia="en-US"/>
        </w:rPr>
        <w:t>,</w:t>
      </w:r>
      <w:r w:rsidR="00970C60">
        <w:rPr>
          <w:rFonts w:eastAsia="Calibri"/>
          <w:lang w:eastAsia="en-US"/>
        </w:rPr>
        <w:t xml:space="preserve"> την ενότητα</w:t>
      </w:r>
      <w:r>
        <w:rPr>
          <w:rFonts w:eastAsia="Calibri"/>
          <w:b/>
          <w:lang w:eastAsia="en-US"/>
        </w:rPr>
        <w:t xml:space="preserve"> </w:t>
      </w:r>
      <w:r w:rsidRPr="00E65C4E">
        <w:rPr>
          <w:rFonts w:eastAsia="Calibri"/>
          <w:b/>
          <w:lang w:eastAsia="en-US"/>
        </w:rPr>
        <w:t>ΙΙ.2 του Παραρτήματος</w:t>
      </w:r>
      <w:r>
        <w:rPr>
          <w:rFonts w:eastAsia="Calibri"/>
          <w:lang w:eastAsia="en-US"/>
        </w:rPr>
        <w:t xml:space="preserve"> της </w:t>
      </w:r>
      <w:r w:rsidRPr="0020586F">
        <w:rPr>
          <w:rFonts w:eastAsia="Calibri"/>
          <w:b/>
          <w:lang w:eastAsia="en-US"/>
        </w:rPr>
        <w:t>Υπουργική</w:t>
      </w:r>
      <w:r>
        <w:rPr>
          <w:rFonts w:eastAsia="Calibri"/>
          <w:b/>
          <w:lang w:eastAsia="en-US"/>
        </w:rPr>
        <w:t>ς</w:t>
      </w:r>
      <w:r w:rsidRPr="0020586F">
        <w:rPr>
          <w:rFonts w:eastAsia="Calibri"/>
          <w:b/>
          <w:lang w:eastAsia="en-US"/>
        </w:rPr>
        <w:t xml:space="preserve"> απόφαση</w:t>
      </w:r>
      <w:r>
        <w:rPr>
          <w:rFonts w:eastAsia="Calibri"/>
          <w:b/>
          <w:lang w:eastAsia="en-US"/>
        </w:rPr>
        <w:t>ς</w:t>
      </w:r>
      <w:r w:rsidRPr="0020586F">
        <w:rPr>
          <w:rFonts w:eastAsia="Calibri"/>
          <w:b/>
          <w:lang w:eastAsia="en-US"/>
        </w:rPr>
        <w:t xml:space="preserve"> της 11</w:t>
      </w:r>
      <w:r w:rsidRPr="0020586F">
        <w:rPr>
          <w:rFonts w:eastAsia="Calibri"/>
          <w:b/>
          <w:vertAlign w:val="superscript"/>
          <w:lang w:eastAsia="en-US"/>
        </w:rPr>
        <w:t>ης</w:t>
      </w:r>
      <w:r w:rsidRPr="0020586F">
        <w:rPr>
          <w:rFonts w:eastAsia="Calibri"/>
          <w:b/>
          <w:lang w:eastAsia="en-US"/>
        </w:rPr>
        <w:t xml:space="preserve"> Απριλίου 2008</w:t>
      </w:r>
      <w:r>
        <w:rPr>
          <w:rFonts w:eastAsia="Calibri"/>
          <w:lang w:eastAsia="en-US"/>
        </w:rPr>
        <w:t xml:space="preserve">, </w:t>
      </w:r>
      <w:r w:rsidRPr="00513C39">
        <w:rPr>
          <w:rFonts w:eastAsia="Calibri"/>
        </w:rPr>
        <w:t xml:space="preserve">πριν ξεκινήσει </w:t>
      </w:r>
      <w:r>
        <w:rPr>
          <w:rFonts w:eastAsia="Calibri"/>
        </w:rPr>
        <w:t>κάθε ιατρικά υποβοηθούμενη αναπαραγωγή</w:t>
      </w:r>
      <w:r w:rsidRPr="00513C39">
        <w:rPr>
          <w:rFonts w:eastAsia="Calibri"/>
        </w:rPr>
        <w:t>, το ζευγάρι πραγματοποιεί μια σειρά διαγνωστικών εξετάσεων (</w:t>
      </w:r>
      <w:r w:rsidRPr="00513C39">
        <w:rPr>
          <w:i/>
        </w:rPr>
        <w:t>bilan diagnostique</w:t>
      </w:r>
      <w:r w:rsidRPr="00513C39">
        <w:t xml:space="preserve">), </w:t>
      </w:r>
      <w:r w:rsidRPr="00316247">
        <w:t xml:space="preserve">οι οποίες αφορούν </w:t>
      </w:r>
      <w:r w:rsidR="00210B73" w:rsidRPr="00316247">
        <w:t xml:space="preserve">είτε ξεχωριστά </w:t>
      </w:r>
      <w:r w:rsidR="00210B73">
        <w:t>σ</w:t>
      </w:r>
      <w:r w:rsidR="00210B73" w:rsidRPr="00316247">
        <w:t>τον άνδρα ή τη γυναίκα, είτε το ζευγάρι</w:t>
      </w:r>
      <w:r w:rsidR="00210B73">
        <w:t xml:space="preserve"> από κοινού</w:t>
      </w:r>
      <w:r w:rsidRPr="00316247">
        <w:t xml:space="preserve">. </w:t>
      </w:r>
      <w:r w:rsidR="009B1786">
        <w:t>Τ</w:t>
      </w:r>
      <w:r w:rsidR="009B1786" w:rsidRPr="00316247">
        <w:t xml:space="preserve">ο σετ </w:t>
      </w:r>
      <w:r w:rsidR="009B1786">
        <w:t xml:space="preserve">αυτό των </w:t>
      </w:r>
      <w:r w:rsidR="009B1786" w:rsidRPr="00316247">
        <w:t xml:space="preserve">εξετάσεων περιλαμβάνει μια κλινική εξέταση, </w:t>
      </w:r>
      <w:r w:rsidR="009B1786">
        <w:t xml:space="preserve">τη </w:t>
      </w:r>
      <w:r w:rsidR="009B1786" w:rsidRPr="00316247">
        <w:t>διερεύνηση του κύκλου και της κατάστασης των ωοθηκών</w:t>
      </w:r>
      <w:r w:rsidR="009B1786">
        <w:t xml:space="preserve"> της γυναίκας</w:t>
      </w:r>
      <w:r w:rsidR="009B1786" w:rsidRPr="00316247">
        <w:t xml:space="preserve">, </w:t>
      </w:r>
      <w:r w:rsidR="009B1786">
        <w:t xml:space="preserve">τη </w:t>
      </w:r>
      <w:r w:rsidR="009B1786" w:rsidRPr="00316247">
        <w:t xml:space="preserve">διερεύνηση της μήτρας, </w:t>
      </w:r>
      <w:r w:rsidR="009B1786">
        <w:t xml:space="preserve">ένα </w:t>
      </w:r>
      <w:r w:rsidR="009B1786" w:rsidRPr="00316247">
        <w:t xml:space="preserve">σπερματογράφημα, καλλιέργεια σπέρματος και άλλες εξετάσεις υγειονομικής ασφάλειας. Οι </w:t>
      </w:r>
      <w:r w:rsidR="009B1786">
        <w:t xml:space="preserve">εν λόγω </w:t>
      </w:r>
      <w:r w:rsidR="009B1786" w:rsidRPr="00316247">
        <w:t xml:space="preserve">εξετάσεις συμπληρώνονται ανάλογα με τα αποτελέσματά τους. Ελέγχεται, επίσης, κατά περίπτωση, η ύπαρξη ενδεχόμενου κινδύνου που συνδέεται με τη μαιευτική. Η διεπιστημονική ομάδα που πλαισιώνει τον ιατρό είναι δυνατό να ζητήσει να επικουρηθεί, εάν το κρίνει αναγκαίο, από άλλους εξειδικευμένες ιατρούς, ιδίως από ιατρό εξειδικευμένο στην ψυχιατρική ή την ψυχολογία. </w:t>
      </w:r>
    </w:p>
    <w:p w14:paraId="4E375806" w14:textId="77777777" w:rsidR="000E26D3" w:rsidRDefault="009B1786" w:rsidP="000E26D3">
      <w:r>
        <w:t xml:space="preserve">Οι </w:t>
      </w:r>
      <w:r w:rsidRPr="00513C39">
        <w:t xml:space="preserve">εξετάσεις αυτές </w:t>
      </w:r>
      <w:r>
        <w:t>επιτρέπ</w:t>
      </w:r>
      <w:r w:rsidRPr="00513C39">
        <w:t xml:space="preserve">ουν στη διεπιστημονική ομάδα του κέντρου </w:t>
      </w:r>
      <w:r>
        <w:t>ιατρικά υποβοηθούμενης αναπαραγωγής</w:t>
      </w:r>
      <w:r w:rsidRPr="00513C39">
        <w:t xml:space="preserve"> να αξιολογήσει τις πιθανότητες φυσιολογικής σύλληψης, το αναμενόμενο ποσοστό επιτυχίας ενδεχόμενης </w:t>
      </w:r>
      <w:r>
        <w:t>ιατρικά υποβοηθούμενης αναπαραγωγής</w:t>
      </w:r>
      <w:r w:rsidRPr="00513C39">
        <w:t xml:space="preserve">, τους κινδύνους των διαφόρων θεραπειών, καθώς επίσης και το ιδανικό χρονικό διάστημα κατά το οποίο πρέπει να πραγματοποιηθεί η </w:t>
      </w:r>
      <w:r>
        <w:t>ιατρικά υποβοηθούμενη αναπαραγωγή</w:t>
      </w:r>
      <w:r w:rsidRPr="00513C39">
        <w:t xml:space="preserve">. Μετά από μελέτη του συνόλου των ανωτέρω εξετάσεων υπογονιμότητας και συζήτηση εντός της διεπιστημονικής ομάδας, ο ιατρός προτείνει στο ζευγάρι προσαρμοσμένη στις ανάγκες του πορεία </w:t>
      </w:r>
      <w:r>
        <w:t>ιατρικά υποβοηθούμενης αναπαραγωγής</w:t>
      </w:r>
      <w:r w:rsidRPr="00513C39">
        <w:t>.</w:t>
      </w:r>
    </w:p>
    <w:p w14:paraId="3C38BFBD" w14:textId="77777777" w:rsidR="009B1786" w:rsidRDefault="009B1786" w:rsidP="009B1786">
      <w:r>
        <w:t>Μετά την αξιολόγηση αυτή, οι ασθενείς ενημερώνονται για τα αποτελέσματα των δοκιμών, τη διάγνωση της υπογονιμότητας και την προτεινόμενη θεραπευτική στρατηγική. Η σκοπιμότητα της ιατρικά υποβοηθούμενης αναπαραγωγής και η έναρξη εφαρμογής της αποτελούν αντικείμενο συζήτησης από τη διεπιστημονική ομάδα και το ζευγάρι, ανάλογα με την ηλικία των υποβοηθούμενων προσώπων, όποια κι αν είναι η αιτία της υπ</w:t>
      </w:r>
      <w:r w:rsidR="00C73501">
        <w:t xml:space="preserve">ογονιμότητας. </w:t>
      </w:r>
      <w:r w:rsidR="00C73501">
        <w:lastRenderedPageBreak/>
        <w:t>Υπενθυμίζεται</w:t>
      </w:r>
      <w:r>
        <w:t>, δε, στο σημείο αυτό</w:t>
      </w:r>
      <w:r w:rsidR="00C73501">
        <w:t>,</w:t>
      </w:r>
      <w:r>
        <w:t xml:space="preserve"> ότι τις συνεντεύξεις με το ζευγάρι προκειμένου να βεβαιωθεί για τα κίνητρά του</w:t>
      </w:r>
      <w:r w:rsidR="00E237E2">
        <w:t xml:space="preserve"> και να το</w:t>
      </w:r>
      <w:r>
        <w:t xml:space="preserve"> ενημερώσει διεξοδικά για όλες τις αναγκαίες παραμέτρους της ιατρικά υποβοηθούμενης αναπαραγωγής τις διενεργεί η ίδια η διεπιστημονική ομάδα του κέντρου (άρθρο </w:t>
      </w:r>
      <w:r>
        <w:rPr>
          <w:lang w:val="fr-FR"/>
        </w:rPr>
        <w:t>L</w:t>
      </w:r>
      <w:r w:rsidRPr="008344A8">
        <w:t>. 2</w:t>
      </w:r>
      <w:r>
        <w:t xml:space="preserve">141-10 </w:t>
      </w:r>
      <w:r w:rsidR="00E237E2">
        <w:t>ΚΔΥ</w:t>
      </w:r>
      <w:r>
        <w:t>).</w:t>
      </w:r>
    </w:p>
    <w:p w14:paraId="68207C2A" w14:textId="77777777" w:rsidR="00B12984" w:rsidRDefault="009B1786" w:rsidP="009B1786">
      <w:pPr>
        <w:rPr>
          <w:rStyle w:val="hps"/>
        </w:rPr>
      </w:pPr>
      <w:r>
        <w:rPr>
          <w:rStyle w:val="hps"/>
        </w:rPr>
        <w:t>Η</w:t>
      </w:r>
      <w:r>
        <w:t xml:space="preserve"> </w:t>
      </w:r>
      <w:r>
        <w:rPr>
          <w:rStyle w:val="hps"/>
        </w:rPr>
        <w:t>διεπιστημονική ομάδα</w:t>
      </w:r>
      <w:r>
        <w:t xml:space="preserve"> </w:t>
      </w:r>
      <w:r>
        <w:rPr>
          <w:rStyle w:val="hps"/>
        </w:rPr>
        <w:t>δύναται, τέλος, ανά πάσα στιγμή,</w:t>
      </w:r>
      <w:r>
        <w:t xml:space="preserve"> </w:t>
      </w:r>
      <w:r>
        <w:rPr>
          <w:rStyle w:val="hps"/>
        </w:rPr>
        <w:t>εντός</w:t>
      </w:r>
      <w:r>
        <w:t xml:space="preserve"> </w:t>
      </w:r>
      <w:r>
        <w:rPr>
          <w:rStyle w:val="hps"/>
        </w:rPr>
        <w:t>του πλαισίου που καθορίζεται</w:t>
      </w:r>
      <w:r>
        <w:t xml:space="preserve"> </w:t>
      </w:r>
      <w:r>
        <w:rPr>
          <w:rStyle w:val="hps"/>
        </w:rPr>
        <w:t>από το νόμο και</w:t>
      </w:r>
      <w:r>
        <w:t xml:space="preserve"> </w:t>
      </w:r>
      <w:r>
        <w:rPr>
          <w:rStyle w:val="hps"/>
        </w:rPr>
        <w:t xml:space="preserve">τον Κώδικα </w:t>
      </w:r>
      <w:r w:rsidR="00B12984">
        <w:rPr>
          <w:rStyle w:val="hps"/>
        </w:rPr>
        <w:t xml:space="preserve">Ιατρικής </w:t>
      </w:r>
      <w:r>
        <w:rPr>
          <w:rStyle w:val="hps"/>
        </w:rPr>
        <w:t>Δεοντολογίας</w:t>
      </w:r>
      <w:r>
        <w:t xml:space="preserve">, </w:t>
      </w:r>
      <w:r>
        <w:rPr>
          <w:rStyle w:val="hps"/>
        </w:rPr>
        <w:t>να αρνηθεί την</w:t>
      </w:r>
      <w:r>
        <w:t xml:space="preserve"> </w:t>
      </w:r>
      <w:r>
        <w:rPr>
          <w:rStyle w:val="hps"/>
        </w:rPr>
        <w:t>εφαρμογή των μεθόδων ιατρικά υποβοηθούμενης αναπαραγωγής,</w:t>
      </w:r>
      <w:r>
        <w:t xml:space="preserve"> στο βαθμό που </w:t>
      </w:r>
      <w:r>
        <w:rPr>
          <w:rStyle w:val="hps"/>
        </w:rPr>
        <w:t>οφείλει να λάβει υπόψη της τα πλεονεκτήματα</w:t>
      </w:r>
      <w:r>
        <w:t xml:space="preserve"> </w:t>
      </w:r>
      <w:r>
        <w:rPr>
          <w:rStyle w:val="hps"/>
        </w:rPr>
        <w:t>και τα μειονεκτήματα</w:t>
      </w:r>
      <w:r>
        <w:t xml:space="preserve"> </w:t>
      </w:r>
      <w:r>
        <w:rPr>
          <w:rStyle w:val="hps"/>
        </w:rPr>
        <w:t>των</w:t>
      </w:r>
      <w:r>
        <w:t xml:space="preserve"> </w:t>
      </w:r>
      <w:r>
        <w:rPr>
          <w:rStyle w:val="hps"/>
        </w:rPr>
        <w:t>διαφόρων διαγνωστικών και</w:t>
      </w:r>
      <w:r>
        <w:t xml:space="preserve"> </w:t>
      </w:r>
      <w:r>
        <w:rPr>
          <w:rStyle w:val="hps"/>
        </w:rPr>
        <w:t xml:space="preserve">θεραπευτικών δυνατοτήτων. </w:t>
      </w:r>
    </w:p>
    <w:p w14:paraId="4148548A" w14:textId="77777777" w:rsidR="009B1786" w:rsidRDefault="009B1786" w:rsidP="009B1786">
      <w:r>
        <w:rPr>
          <w:rStyle w:val="hps"/>
        </w:rPr>
        <w:t xml:space="preserve">Σημαντική παράμετρο με ιδιαίτερη βαρύτητα στη λήψη απόφασης από τον ιατρό και την ομάδα του συνιστά και το </w:t>
      </w:r>
      <w:r w:rsidRPr="00B12984">
        <w:rPr>
          <w:rStyle w:val="hps"/>
        </w:rPr>
        <w:t>συμφέρον</w:t>
      </w:r>
      <w:r w:rsidRPr="00B12984">
        <w:t xml:space="preserve"> </w:t>
      </w:r>
      <w:r w:rsidRPr="00B12984">
        <w:rPr>
          <w:rStyle w:val="hps"/>
        </w:rPr>
        <w:t>του παιδιού που θα γεννηθεί</w:t>
      </w:r>
      <w:r>
        <w:t>.</w:t>
      </w:r>
    </w:p>
    <w:p w14:paraId="0EE00096" w14:textId="77777777" w:rsidR="009B1786" w:rsidRDefault="009B1786" w:rsidP="009B1786">
      <w:pPr>
        <w:pStyle w:val="Heading4"/>
      </w:pPr>
      <w:bookmarkStart w:id="51" w:name="_Toc276574380"/>
      <w:r>
        <w:t>§3. Συνέπειες μη συμμόρφωσης με τις νομοθετικές προσταγές</w:t>
      </w:r>
      <w:bookmarkEnd w:id="51"/>
      <w:r>
        <w:t xml:space="preserve"> </w:t>
      </w:r>
    </w:p>
    <w:p w14:paraId="428334C9" w14:textId="77777777" w:rsidR="009B1786" w:rsidRDefault="009B1786" w:rsidP="009B1786">
      <w:pPr>
        <w:rPr>
          <w:rFonts w:eastAsia="Calibri"/>
          <w:lang w:eastAsia="en-US"/>
        </w:rPr>
      </w:pPr>
      <w:r>
        <w:t xml:space="preserve">Σε περίπτωση που </w:t>
      </w:r>
      <w:r w:rsidRPr="004933B9">
        <w:t>η υποβοηθούμενη αναπαραγωγή πραγμ</w:t>
      </w:r>
      <w:r>
        <w:t>ατοποιηθεί χωρίς τη συνδρομή του όρου της ύπαρξης κινδύνου μετάδοσης σοβαρής ασθένειας στο τέκνο που θα γεννηθεί, οι συνέπειες που επιβάλλονται από το νομοθέτη αφορούν στον ιατρό και την ομάδα του, δεδομένου ότι αυτοί έχουν οριστεί από το νόμο ως οι</w:t>
      </w:r>
      <w:r>
        <w:rPr>
          <w:rFonts w:eastAsia="Calibri"/>
          <w:lang w:eastAsia="en-US"/>
        </w:rPr>
        <w:t xml:space="preserve"> αρμόδιοι να ελέγχουν τη συνδρομή των προϋποθέσεων για την πρόσβαση στην ιατρικά υποβοηθούμενη αναπαραγωγή. Όπως αναφέρθηκε και νωρίτερα,</w:t>
      </w:r>
      <w:r w:rsidRPr="009B1786">
        <w:rPr>
          <w:rFonts w:eastAsia="Calibri"/>
          <w:lang w:eastAsia="en-US"/>
        </w:rPr>
        <w:t xml:space="preserve"> </w:t>
      </w:r>
      <w:r>
        <w:rPr>
          <w:rFonts w:eastAsia="Calibri"/>
          <w:lang w:eastAsia="en-US"/>
        </w:rPr>
        <w:t xml:space="preserve">στο στάδιο αυτό της εφαρμογής της υποβοηθούμενης αναπαραγωγής, </w:t>
      </w:r>
      <w:r w:rsidR="00642B1A">
        <w:rPr>
          <w:rFonts w:eastAsia="Calibri"/>
          <w:lang w:eastAsia="en-US"/>
        </w:rPr>
        <w:t>το βάρος της τήρησης</w:t>
      </w:r>
      <w:r>
        <w:rPr>
          <w:rFonts w:eastAsia="Calibri"/>
          <w:lang w:eastAsia="en-US"/>
        </w:rPr>
        <w:t xml:space="preserve"> της νομοθεσίας </w:t>
      </w:r>
      <w:r w:rsidR="00642B1A">
        <w:rPr>
          <w:rFonts w:eastAsia="Calibri"/>
          <w:lang w:eastAsia="en-US"/>
        </w:rPr>
        <w:t xml:space="preserve">το έχουν επωμιστεί </w:t>
      </w:r>
      <w:r>
        <w:rPr>
          <w:rFonts w:eastAsia="Calibri"/>
          <w:lang w:eastAsia="en-US"/>
        </w:rPr>
        <w:t>ο ιατρός</w:t>
      </w:r>
      <w:r w:rsidR="00642B1A">
        <w:rPr>
          <w:rFonts w:eastAsia="Calibri"/>
          <w:lang w:eastAsia="en-US"/>
        </w:rPr>
        <w:t xml:space="preserve"> και η διεπιστημονική του ομάδα. </w:t>
      </w:r>
    </w:p>
    <w:p w14:paraId="3E8CE8FF" w14:textId="77777777" w:rsidR="009B1786" w:rsidRPr="000C732F" w:rsidRDefault="009B1786" w:rsidP="009B1786">
      <w:r>
        <w:rPr>
          <w:rFonts w:eastAsia="Calibri"/>
          <w:lang w:eastAsia="en-US"/>
        </w:rPr>
        <w:t xml:space="preserve">Οι </w:t>
      </w:r>
      <w:r w:rsidRPr="000C732F">
        <w:rPr>
          <w:rFonts w:eastAsia="Calibri"/>
          <w:lang w:eastAsia="en-US"/>
        </w:rPr>
        <w:t xml:space="preserve">συνέπειες που προβλέπονται σε περίπτωση μη συνδρομής του όρου της ιατρικής αδυναμίας των υποβοηθούμενων προσώπων μπορεί να είναι διοικητικής ή ποινικής φύσης. </w:t>
      </w:r>
    </w:p>
    <w:p w14:paraId="3ED360A5" w14:textId="77777777" w:rsidR="009B1786" w:rsidRPr="000C732F" w:rsidRDefault="009B1786" w:rsidP="00DF651E">
      <w:pPr>
        <w:pStyle w:val="Heading6"/>
      </w:pPr>
      <w:bookmarkStart w:id="52" w:name="Διοικητική_2"/>
      <w:r w:rsidRPr="000C732F">
        <w:t>Συνέπειες διοικητικής φύσης:</w:t>
      </w:r>
    </w:p>
    <w:p w14:paraId="4E2F63E5" w14:textId="77777777" w:rsidR="009B1786" w:rsidRPr="00A74A1A" w:rsidRDefault="000C732F" w:rsidP="000C732F">
      <w:r>
        <w:t>Όπως έχει ήδη σημειωθεί, τ</w:t>
      </w:r>
      <w:r w:rsidR="00215C5E">
        <w:t>ο</w:t>
      </w:r>
      <w:r w:rsidR="00215C5E" w:rsidRPr="00580B29">
        <w:t xml:space="preserve"> άρθρο </w:t>
      </w:r>
      <w:r w:rsidR="00215C5E" w:rsidRPr="00580B29">
        <w:rPr>
          <w:b/>
          <w:lang w:val="en-US"/>
        </w:rPr>
        <w:t>L</w:t>
      </w:r>
      <w:r w:rsidR="00215C5E" w:rsidRPr="00580B29">
        <w:rPr>
          <w:b/>
        </w:rPr>
        <w:t xml:space="preserve">. 6241-1 </w:t>
      </w:r>
      <w:r w:rsidR="00215C5E">
        <w:rPr>
          <w:b/>
        </w:rPr>
        <w:t xml:space="preserve">ΚΔΥ </w:t>
      </w:r>
      <w:r w:rsidR="00215C5E">
        <w:t>προβλέπει</w:t>
      </w:r>
      <w:r w:rsidR="00215C5E" w:rsidRPr="00580B29">
        <w:t xml:space="preserve"> 23 </w:t>
      </w:r>
      <w:r w:rsidR="00215C5E">
        <w:t>διαφορετικές</w:t>
      </w:r>
      <w:r w:rsidR="00215C5E" w:rsidRPr="00580B29">
        <w:t xml:space="preserve"> </w:t>
      </w:r>
      <w:r w:rsidR="00215C5E">
        <w:t>περιπτώσεις, κατά τις</w:t>
      </w:r>
      <w:r w:rsidR="00215C5E" w:rsidRPr="00580B29">
        <w:t xml:space="preserve"> </w:t>
      </w:r>
      <w:r w:rsidR="00215C5E">
        <w:t>οποίες</w:t>
      </w:r>
      <w:r w:rsidR="00215C5E" w:rsidRPr="00580B29">
        <w:t xml:space="preserve"> </w:t>
      </w:r>
      <w:r w:rsidR="00215C5E" w:rsidRPr="00F77D85">
        <w:t xml:space="preserve">ο </w:t>
      </w:r>
      <w:r w:rsidR="009E06D2">
        <w:t>Γενικός Διευθυντής</w:t>
      </w:r>
      <w:r w:rsidR="00215C5E" w:rsidRPr="00F77D85">
        <w:t xml:space="preserve"> του Περιφερειακού Οργανισμού Υγείας (</w:t>
      </w:r>
      <w:r w:rsidR="00215C5E" w:rsidRPr="00F77D85">
        <w:rPr>
          <w:lang w:val="en-US"/>
        </w:rPr>
        <w:t>ARS</w:t>
      </w:r>
      <w:r w:rsidR="00215C5E" w:rsidRPr="00F77D85">
        <w:t>)</w:t>
      </w:r>
      <w:r w:rsidR="00215C5E">
        <w:t xml:space="preserve"> δύναται να επιβάλει κύρωση διοικητικής</w:t>
      </w:r>
      <w:r w:rsidR="00215C5E" w:rsidRPr="00580B29">
        <w:t xml:space="preserve"> </w:t>
      </w:r>
      <w:r w:rsidR="00215C5E">
        <w:t>φύσης</w:t>
      </w:r>
      <w:r w:rsidR="00215C5E" w:rsidRPr="00580B29">
        <w:t xml:space="preserve"> </w:t>
      </w:r>
      <w:r w:rsidR="00215C5E">
        <w:t>στα</w:t>
      </w:r>
      <w:r w:rsidR="00215C5E" w:rsidRPr="00580B29">
        <w:t xml:space="preserve"> </w:t>
      </w:r>
      <w:r w:rsidR="00215C5E">
        <w:t>κέντρα</w:t>
      </w:r>
      <w:r w:rsidR="00215C5E" w:rsidRPr="00580B29">
        <w:t xml:space="preserve"> </w:t>
      </w:r>
      <w:r w:rsidR="00215C5E">
        <w:t>ιατρικά</w:t>
      </w:r>
      <w:r w:rsidR="00215C5E" w:rsidRPr="00580B29">
        <w:t xml:space="preserve"> </w:t>
      </w:r>
      <w:r w:rsidR="00215C5E">
        <w:t>υποβοηθούμενης</w:t>
      </w:r>
      <w:r w:rsidR="00215C5E" w:rsidRPr="00580B29">
        <w:t xml:space="preserve"> </w:t>
      </w:r>
      <w:r w:rsidR="00215C5E">
        <w:t>αναπαραγωγής</w:t>
      </w:r>
      <w:r w:rsidR="00215C5E" w:rsidRPr="00580B29">
        <w:t xml:space="preserve"> </w:t>
      </w:r>
      <w:r w:rsidR="00215C5E">
        <w:t>και</w:t>
      </w:r>
      <w:r w:rsidR="00215C5E" w:rsidRPr="00580B29">
        <w:t xml:space="preserve"> </w:t>
      </w:r>
      <w:r w:rsidR="00215C5E">
        <w:t>τα</w:t>
      </w:r>
      <w:r w:rsidR="00215C5E" w:rsidRPr="00580B29">
        <w:t xml:space="preserve"> </w:t>
      </w:r>
      <w:r w:rsidR="00215C5E">
        <w:t>βιολογικά</w:t>
      </w:r>
      <w:r w:rsidR="00215C5E" w:rsidRPr="00580B29">
        <w:t xml:space="preserve"> </w:t>
      </w:r>
      <w:r w:rsidR="00215C5E">
        <w:t>τους</w:t>
      </w:r>
      <w:r w:rsidR="00215C5E" w:rsidRPr="00580B29">
        <w:t xml:space="preserve"> </w:t>
      </w:r>
      <w:r w:rsidR="00215C5E">
        <w:t>εργαστήρια</w:t>
      </w:r>
      <w:r w:rsidR="00215C5E" w:rsidRPr="00580B29">
        <w:t xml:space="preserve">. </w:t>
      </w:r>
      <w:r w:rsidR="00215C5E">
        <w:t>Οι περιπτώσεις αυτές αφορούν σε διάφορους χειρισμούς των ανωτέρω κέντρων ή εργαστηρίων</w:t>
      </w:r>
      <w:r w:rsidR="00215C5E" w:rsidRPr="008C725C">
        <w:t xml:space="preserve"> </w:t>
      </w:r>
      <w:r w:rsidR="00215C5E">
        <w:t xml:space="preserve">που παραβιάζουν την ισχύουσα νομοθεσία, όπως είναι, ενδεικτικά, η διενέργεια εξετάσεων (όπως π.χ. η 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w:t>
      </w:r>
      <w:r w:rsidR="00215C5E" w:rsidRPr="00A74A1A">
        <w:t>τους</w:t>
      </w:r>
      <w:r w:rsidR="009B1786" w:rsidRPr="00A74A1A">
        <w:t xml:space="preserve">. </w:t>
      </w:r>
    </w:p>
    <w:p w14:paraId="0B182CC0" w14:textId="77777777" w:rsidR="009B1786" w:rsidRPr="00A74A1A" w:rsidRDefault="009B1786" w:rsidP="009B1786">
      <w:r w:rsidRPr="00A74A1A">
        <w:t>Ειδικότερα, στην περίπτωση 4 του ανωτέρω άρθρου προβλέπεται «</w:t>
      </w:r>
      <w:r w:rsidRPr="00A74A1A">
        <w:rPr>
          <w:i/>
        </w:rPr>
        <w:t>η διενέργεια</w:t>
      </w:r>
      <w:r w:rsidRPr="000C732F">
        <w:rPr>
          <w:i/>
        </w:rPr>
        <w:t xml:space="preserve">, από ένα εργαστήριο ιατρικής βιολογίας ή από έναν ιατρό-βιολόγο, εξετάσεων ιατρικής βιολογίας, βιολογικών δραστηριοτήτων σχετικών με την ιατρικά υποβοηθούμενη αναπαραγωγή και εξετάσεων ανατομίας και παθολογικής κυτταρολογίας που απαιτούν μια εξειδίκευση ή που προϋποθέτουν τη χρήση προϊόντων που παρουσιάζουν έναν ιδιαίτερο κίνδυνο κατά </w:t>
      </w:r>
      <w:r w:rsidRPr="000C732F">
        <w:rPr>
          <w:i/>
        </w:rPr>
        <w:lastRenderedPageBreak/>
        <w:t xml:space="preserve">παράβαση του άρθρου </w:t>
      </w:r>
      <w:r w:rsidRPr="000C732F">
        <w:rPr>
          <w:i/>
          <w:lang w:val="fr-FR"/>
        </w:rPr>
        <w:t>L</w:t>
      </w:r>
      <w:r w:rsidRPr="000C732F">
        <w:rPr>
          <w:i/>
        </w:rPr>
        <w:t>. 6211-23</w:t>
      </w:r>
      <w:r w:rsidRPr="000C732F">
        <w:t>». Επίσης, στην περίπτωση 5 γίνεται λόγος για τη «</w:t>
      </w:r>
      <w:r w:rsidRPr="000C732F">
        <w:rPr>
          <w:i/>
        </w:rPr>
        <w:t>διενέργεια, από ένα εργαστήριο ιατρικής βιολογίας, δραστηριοτήτων ιατρικά υποβοηθούμενης αναπαραγωγής κατά παράβαση των διατάξεων του δ</w:t>
      </w:r>
      <w:r w:rsidR="00035AB3" w:rsidRPr="000C732F">
        <w:rPr>
          <w:i/>
        </w:rPr>
        <w:t>ευτέρου</w:t>
      </w:r>
      <w:r w:rsidRPr="000C732F">
        <w:rPr>
          <w:i/>
        </w:rPr>
        <w:t xml:space="preserve"> εδαφίου του άρθρου </w:t>
      </w:r>
      <w:r w:rsidRPr="000C732F">
        <w:rPr>
          <w:i/>
          <w:lang w:val="fr-FR"/>
        </w:rPr>
        <w:t>L</w:t>
      </w:r>
      <w:r w:rsidRPr="000C732F">
        <w:rPr>
          <w:i/>
        </w:rPr>
        <w:t>. 6212-2</w:t>
      </w:r>
      <w:r w:rsidRPr="000C732F">
        <w:t xml:space="preserve"> [</w:t>
      </w:r>
      <w:r w:rsidRPr="00A74A1A">
        <w:t xml:space="preserve">προϋποθέσεις διενέργειας ιατρικά υποβοηθούμενης αναπαραγωγής από εργαστήρια ιατρικής βιολογίας]». </w:t>
      </w:r>
    </w:p>
    <w:p w14:paraId="39796C16" w14:textId="77777777" w:rsidR="00A74A1A" w:rsidRPr="004E4E05" w:rsidRDefault="009B1786" w:rsidP="00A74A1A">
      <w:pPr>
        <w:rPr>
          <w:i/>
        </w:rPr>
      </w:pPr>
      <w:r w:rsidRPr="00A74A1A">
        <w:t>Εάν το άρθρο</w:t>
      </w:r>
      <w:r w:rsidRPr="00A74A1A">
        <w:rPr>
          <w:b/>
          <w:lang w:val="en-US"/>
        </w:rPr>
        <w:t xml:space="preserve"> L</w:t>
      </w:r>
      <w:r w:rsidRPr="00A74A1A">
        <w:rPr>
          <w:b/>
        </w:rPr>
        <w:t xml:space="preserve">. 6241-1 </w:t>
      </w:r>
      <w:r w:rsidR="002E099D" w:rsidRPr="00A74A1A">
        <w:rPr>
          <w:b/>
        </w:rPr>
        <w:t xml:space="preserve">ΚΔΥ </w:t>
      </w:r>
      <w:r w:rsidRPr="00A74A1A">
        <w:t xml:space="preserve">ορίζει τις «παραβατικές» σχετικά με την υποβοηθούμενη αναπαραγωγή συμπεριφορές, το αμέσως επόμενο, το </w:t>
      </w:r>
      <w:r w:rsidRPr="00A74A1A">
        <w:rPr>
          <w:b/>
          <w:lang w:val="en-US"/>
        </w:rPr>
        <w:t>L</w:t>
      </w:r>
      <w:r w:rsidRPr="00A74A1A">
        <w:rPr>
          <w:b/>
        </w:rPr>
        <w:t>. 6241-2</w:t>
      </w:r>
      <w:r w:rsidRPr="00A74A1A">
        <w:t xml:space="preserve">, έρχεται να ρυθμίσει τις κυρώσεις </w:t>
      </w:r>
      <w:r w:rsidRPr="004E4E05">
        <w:t>που επιβάλλονται στους υπεύθυνους επαγγελματίες υγείας</w:t>
      </w:r>
      <w:r w:rsidR="00A74A1A" w:rsidRPr="004E4E05">
        <w:rPr>
          <w:rStyle w:val="FootnoteReference"/>
        </w:rPr>
        <w:footnoteReference w:id="102"/>
      </w:r>
      <w:r w:rsidRPr="004E4E05">
        <w:t xml:space="preserve">. </w:t>
      </w:r>
    </w:p>
    <w:bookmarkEnd w:id="52"/>
    <w:p w14:paraId="02345386" w14:textId="77777777" w:rsidR="009B1786" w:rsidRPr="004E4E05" w:rsidRDefault="009B1786" w:rsidP="00DF651E">
      <w:pPr>
        <w:pStyle w:val="Heading6"/>
      </w:pPr>
      <w:r w:rsidRPr="004E4E05">
        <w:t>Συνέπειες ποινικής φύσης:</w:t>
      </w:r>
    </w:p>
    <w:p w14:paraId="2C74F2C1" w14:textId="662141D0" w:rsidR="009B1786" w:rsidRDefault="009B1786" w:rsidP="004E4E05">
      <w:r w:rsidRPr="004E4E05">
        <w:t xml:space="preserve">Σύμφωνα με τις διατάξεις του άρθρου </w:t>
      </w:r>
      <w:r w:rsidRPr="004E4E05">
        <w:rPr>
          <w:b/>
          <w:lang w:val="fr-FR"/>
        </w:rPr>
        <w:t>L</w:t>
      </w:r>
      <w:r w:rsidRPr="004E4E05">
        <w:rPr>
          <w:b/>
        </w:rPr>
        <w:t xml:space="preserve">. 2162-5 </w:t>
      </w:r>
      <w:r w:rsidR="005A1087" w:rsidRPr="004E4E05">
        <w:rPr>
          <w:b/>
        </w:rPr>
        <w:t>ΚΔΥ</w:t>
      </w:r>
      <w:r w:rsidRPr="004E4E05">
        <w:t>, οι οποίες παραπέμπουν</w:t>
      </w:r>
      <w:r w:rsidR="004E4E05" w:rsidRPr="004E4E05">
        <w:t>, όπως σημειώθηκε ανωτέρω,</w:t>
      </w:r>
      <w:r w:rsidRPr="004E4E05">
        <w:t xml:space="preserve"> στο άρθρο </w:t>
      </w:r>
      <w:r w:rsidR="002F61A0">
        <w:t>511-24 ΠΚ</w:t>
      </w:r>
      <w:r w:rsidRPr="004E4E05">
        <w:t>, «</w:t>
      </w:r>
      <w:r w:rsidRPr="004E4E05">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4E4E05">
        <w:rPr>
          <w:i/>
          <w:lang w:val="fr-FR"/>
        </w:rPr>
        <w:t>L</w:t>
      </w:r>
      <w:r w:rsidRPr="004E4E05">
        <w:rPr>
          <w:i/>
        </w:rPr>
        <w:t xml:space="preserve">. 2141-2 </w:t>
      </w:r>
      <w:r w:rsidR="002E099D" w:rsidRPr="004E4E05">
        <w:rPr>
          <w:i/>
        </w:rPr>
        <w:t xml:space="preserve">ΚΔΥ </w:t>
      </w:r>
      <w:r w:rsidRPr="004E4E05">
        <w:rPr>
          <w:i/>
        </w:rPr>
        <w:t>τιμωρείται με ποινή φυλάκισης πέντε (5) ετών και με χρηματική ποινή 75.000 ευρώ</w:t>
      </w:r>
      <w:r w:rsidRPr="004E4E05">
        <w:t>»</w:t>
      </w:r>
      <w:r w:rsidR="004E4E05">
        <w:rPr>
          <w:rStyle w:val="FootnoteReference"/>
        </w:rPr>
        <w:footnoteReference w:id="103"/>
      </w:r>
      <w:r w:rsidRPr="004E4E05">
        <w:t xml:space="preserve">. </w:t>
      </w:r>
    </w:p>
    <w:p w14:paraId="1D919D00" w14:textId="77777777" w:rsidR="002B0FA3" w:rsidRPr="000573D8" w:rsidRDefault="00C4415A" w:rsidP="002B0FA3">
      <w:pPr>
        <w:pStyle w:val="Heading3"/>
      </w:pPr>
      <w:bookmarkStart w:id="53" w:name="_Toc394082547"/>
      <w:bookmarkStart w:id="54" w:name="_Toc275535592"/>
      <w:bookmarkStart w:id="55" w:name="_Toc276574381"/>
      <w:r>
        <w:t>γ</w:t>
      </w:r>
      <w:r w:rsidR="002B0FA3" w:rsidRPr="000573D8">
        <w:t xml:space="preserve">. </w:t>
      </w:r>
      <w:bookmarkEnd w:id="53"/>
      <w:r w:rsidR="00642B1A">
        <w:t xml:space="preserve">Αποφυγή μετάδοσης σοβαρής ασθένειας </w:t>
      </w:r>
      <w:r w:rsidR="009B4BDF">
        <w:t>σε ένα από τα δύο υποβοηθούμενα πρόσωπα</w:t>
      </w:r>
      <w:bookmarkEnd w:id="54"/>
      <w:bookmarkEnd w:id="55"/>
      <w:r w:rsidR="00642B1A">
        <w:t xml:space="preserve"> </w:t>
      </w:r>
    </w:p>
    <w:p w14:paraId="7640CD08" w14:textId="77777777" w:rsidR="00642B1A" w:rsidRDefault="009B4BDF" w:rsidP="00642B1A">
      <w:r>
        <w:t>Ο</w:t>
      </w:r>
      <w:r w:rsidR="00642B1A">
        <w:t xml:space="preserve"> γάλλος νομοθέτης δεν π</w:t>
      </w:r>
      <w:r w:rsidR="0009289A">
        <w:t xml:space="preserve">εριορίστηκε στους δύο κλασικούς, ιατρικής φύσης, </w:t>
      </w:r>
      <w:r w:rsidR="00642B1A">
        <w:t>όρους πρόσβασης στην ιατρικά υποβοηθούμενη αναπαραγωγή, αλλά στο</w:t>
      </w:r>
      <w:r w:rsidR="00642B1A" w:rsidRPr="008344A8">
        <w:t xml:space="preserve"> </w:t>
      </w:r>
      <w:r w:rsidR="00642B1A">
        <w:t>άρθρο</w:t>
      </w:r>
      <w:r w:rsidR="00642B1A" w:rsidRPr="008344A8">
        <w:t xml:space="preserve"> </w:t>
      </w:r>
      <w:r w:rsidR="00642B1A">
        <w:rPr>
          <w:lang w:val="fr-FR"/>
        </w:rPr>
        <w:t>L</w:t>
      </w:r>
      <w:r w:rsidR="00642B1A" w:rsidRPr="008344A8">
        <w:t>. 2141-2</w:t>
      </w:r>
      <w:r w:rsidR="00642B1A">
        <w:t xml:space="preserve">, παρ. 1, </w:t>
      </w:r>
      <w:r w:rsidR="002E099D">
        <w:t xml:space="preserve">ΚΔΥ </w:t>
      </w:r>
      <w:r>
        <w:t xml:space="preserve">ορίζει ότι </w:t>
      </w:r>
      <w:r w:rsidR="00642B1A">
        <w:t>«</w:t>
      </w:r>
      <w:r w:rsidR="00642B1A" w:rsidRPr="00C73E24">
        <w:rPr>
          <w:i/>
        </w:rPr>
        <w:t xml:space="preserve">σκοπός </w:t>
      </w:r>
      <w:r w:rsidR="00642B1A">
        <w:rPr>
          <w:i/>
        </w:rPr>
        <w:t>της ιατρικά υποβοηθούμενης αναπαραγωγής</w:t>
      </w:r>
      <w:r w:rsidR="00642B1A" w:rsidRPr="00C73E24">
        <w:rPr>
          <w:i/>
        </w:rPr>
        <w:t xml:space="preserve"> είναι να θεραπευθεί η υπογονιμότητα ενός ζευγαριού</w:t>
      </w:r>
      <w:r w:rsidR="00642B1A" w:rsidRPr="00C73E24">
        <w:rPr>
          <w:b/>
          <w:i/>
        </w:rPr>
        <w:t xml:space="preserve"> </w:t>
      </w:r>
      <w:r w:rsidR="00642B1A" w:rsidRPr="00C73E24">
        <w:rPr>
          <w:b/>
          <w:i/>
          <w:u w:val="single"/>
        </w:rPr>
        <w:t>ή</w:t>
      </w:r>
      <w:r w:rsidR="00642B1A" w:rsidRPr="00C73E24">
        <w:rPr>
          <w:i/>
        </w:rPr>
        <w:t xml:space="preserve"> να αποφευχθεί η μετάδοση στο τέκνο </w:t>
      </w:r>
      <w:r w:rsidR="00642B1A" w:rsidRPr="00C73E24">
        <w:rPr>
          <w:b/>
          <w:i/>
          <w:u w:val="single"/>
        </w:rPr>
        <w:t>ή</w:t>
      </w:r>
      <w:r w:rsidR="00642B1A" w:rsidRPr="00C73E24">
        <w:rPr>
          <w:i/>
        </w:rPr>
        <w:t xml:space="preserve"> σε ένα από τα δύο υποβοηθούμενα πρόσωπα του ζευγαριού ασθένειας ενός ορισμένου βαθμού σοβαρότητας</w:t>
      </w:r>
      <w:r>
        <w:rPr>
          <w:i/>
        </w:rPr>
        <w:t xml:space="preserve"> [...]</w:t>
      </w:r>
      <w:r w:rsidR="00642B1A">
        <w:t>».</w:t>
      </w:r>
    </w:p>
    <w:p w14:paraId="2F06A96A" w14:textId="77777777" w:rsidR="002B0FA3" w:rsidRPr="00506486" w:rsidRDefault="006B3A36" w:rsidP="00506486">
      <w:r>
        <w:t>Ο τρίτος</w:t>
      </w:r>
      <w:r w:rsidR="00234B8A">
        <w:t xml:space="preserve">, λοιπόν, </w:t>
      </w:r>
      <w:r>
        <w:t>όρος για την πρόσβαση σε μεθόδους ιατρικά υποβοηθούμενης αναπαραγωγής</w:t>
      </w:r>
      <w:r w:rsidR="00234B8A">
        <w:t xml:space="preserve">, </w:t>
      </w:r>
      <w:r>
        <w:t xml:space="preserve">τον οποίο έθεσε ο γάλλος νομοθέτης για πρώτη φορά το 2004, </w:t>
      </w:r>
      <w:r w:rsidR="00642B1A">
        <w:t xml:space="preserve">είναι η </w:t>
      </w:r>
      <w:r w:rsidR="009B4BDF">
        <w:t>ύπαρξη κινδύνου μετάδοσης σοβαρής ασθένειας σε ένα από τα δύο υποβοηθούμενα πρόσωπα.</w:t>
      </w:r>
      <w:r w:rsidR="00642B1A">
        <w:t xml:space="preserve"> </w:t>
      </w:r>
      <w:r w:rsidR="00D31253">
        <w:t xml:space="preserve">Πρόκειται, στην πραγματικότητα, για το άνοιγμα της υποβοηθούμενης αναπαραγωγής σε πρόσωπα που πάσχουν από σεξουαλικά μεταδιδόμενα νοσήματα και, ειδικότερα, τον ιό του </w:t>
      </w:r>
      <w:r w:rsidR="00D31253">
        <w:rPr>
          <w:lang w:val="en-US"/>
        </w:rPr>
        <w:t xml:space="preserve">AIDS. </w:t>
      </w:r>
      <w:r>
        <w:rPr>
          <w:lang w:val="en-US"/>
        </w:rPr>
        <w:t xml:space="preserve">Στη στάθμιση μεταξύ της ανάγκης να ικανοποιηθεί η επιθυμία του ζευγαριού να αποκτήσει παιδί και της υποχρέωσης να διασφαλιστεί το συμφέρον του παιδιού απέναντι στην προοτική να χάσει τον πατέρα ή τη μητέρα του που πάσχει από </w:t>
      </w:r>
      <w:r>
        <w:t>«</w:t>
      </w:r>
      <w:r>
        <w:rPr>
          <w:i/>
        </w:rPr>
        <w:t xml:space="preserve">ασθένεια </w:t>
      </w:r>
      <w:r w:rsidRPr="00C73E24">
        <w:rPr>
          <w:i/>
        </w:rPr>
        <w:t>ενός ορισμένου βαθμού σοβαρότητας</w:t>
      </w:r>
      <w:r>
        <w:t>», επικράτησε εμφανώς η πρώτη</w:t>
      </w:r>
      <w:r>
        <w:rPr>
          <w:rStyle w:val="FootnoteReference"/>
          <w:lang w:val="en-US"/>
        </w:rPr>
        <w:footnoteReference w:id="104"/>
      </w:r>
      <w:r>
        <w:t xml:space="preserve">. </w:t>
      </w:r>
    </w:p>
    <w:p w14:paraId="2D9E0493" w14:textId="77777777" w:rsidR="00642B1A" w:rsidRDefault="009B4BDF" w:rsidP="00642B1A">
      <w:pPr>
        <w:rPr>
          <w:rFonts w:eastAsia="Calibri"/>
          <w:lang w:eastAsia="en-US"/>
        </w:rPr>
      </w:pPr>
      <w:r>
        <w:rPr>
          <w:rFonts w:eastAsia="Calibri"/>
          <w:lang w:eastAsia="en-US"/>
        </w:rPr>
        <w:lastRenderedPageBreak/>
        <w:t>Επισημαίνεται, δε, ότι η</w:t>
      </w:r>
      <w:r w:rsidR="00642B1A">
        <w:rPr>
          <w:rFonts w:eastAsia="Calibri"/>
          <w:lang w:eastAsia="en-US"/>
        </w:rPr>
        <w:t xml:space="preserve"> συνδρομή των τριών </w:t>
      </w:r>
      <w:r>
        <w:rPr>
          <w:rFonts w:eastAsia="Calibri"/>
          <w:lang w:eastAsia="en-US"/>
        </w:rPr>
        <w:t>όρων</w:t>
      </w:r>
      <w:r w:rsidR="00642B1A">
        <w:rPr>
          <w:rFonts w:eastAsia="Calibri"/>
          <w:lang w:eastAsia="en-US"/>
        </w:rPr>
        <w:t xml:space="preserve"> ια</w:t>
      </w:r>
      <w:r>
        <w:rPr>
          <w:rFonts w:eastAsia="Calibri"/>
          <w:lang w:eastAsia="en-US"/>
        </w:rPr>
        <w:t xml:space="preserve">τρικής φύσης είναι διαζευκτική και όχι σωρευτική. </w:t>
      </w:r>
    </w:p>
    <w:p w14:paraId="222256AB" w14:textId="77777777" w:rsidR="00234B8A" w:rsidRDefault="00234B8A" w:rsidP="00642B1A">
      <w:pPr>
        <w:rPr>
          <w:rFonts w:eastAsia="Calibri"/>
          <w:lang w:eastAsia="en-US"/>
        </w:rPr>
      </w:pPr>
      <w:r>
        <w:t>Ως προς την πιστοποίηση της συνδρομής του όρου της ύπαρξης κινδύνου μετάδοσης σοβαρής ασθένειας στο έτερο υποβοηθούμενο πρόσωπο, καθώς επίσης και ως προς τις συνέπειες – διοικητικής και ποινικής φύσης – μη συμμόρφωσης με τις νομοθετικές προσταγές, ισχύουν όσα αναφέρθηκαν πιο πάνω</w:t>
      </w:r>
      <w:r>
        <w:rPr>
          <w:rStyle w:val="FootnoteReference"/>
        </w:rPr>
        <w:footnoteReference w:id="105"/>
      </w:r>
      <w:r>
        <w:t xml:space="preserve">. </w:t>
      </w:r>
    </w:p>
    <w:p w14:paraId="1A639ABE" w14:textId="77777777" w:rsidR="006B7DDC" w:rsidRDefault="006B7DDC" w:rsidP="006B7DDC">
      <w:pPr>
        <w:pStyle w:val="Heading3"/>
      </w:pPr>
      <w:bookmarkStart w:id="56" w:name="_Ref275339709"/>
      <w:bookmarkStart w:id="57" w:name="_Toc275535593"/>
      <w:bookmarkStart w:id="58" w:name="_Toc276574382"/>
      <w:r>
        <w:t>δ</w:t>
      </w:r>
      <w:r w:rsidRPr="00062153">
        <w:t xml:space="preserve">. </w:t>
      </w:r>
      <w:r w:rsidRPr="00062153">
        <w:rPr>
          <w:i/>
          <w:lang w:val="en-US"/>
        </w:rPr>
        <w:t>B</w:t>
      </w:r>
      <w:r w:rsidRPr="00062153">
        <w:rPr>
          <w:i/>
          <w:lang w:val="fr-FR"/>
        </w:rPr>
        <w:t>é</w:t>
      </w:r>
      <w:r w:rsidRPr="00062153">
        <w:rPr>
          <w:i/>
          <w:lang w:val="en-US"/>
        </w:rPr>
        <w:t>bé médicament</w:t>
      </w:r>
      <w:r>
        <w:t xml:space="preserve"> (μ</w:t>
      </w:r>
      <w:r w:rsidRPr="00062153">
        <w:t>ωρό φάρμακο</w:t>
      </w:r>
      <w:r>
        <w:t xml:space="preserve">) </w:t>
      </w:r>
      <w:r w:rsidRPr="00062153">
        <w:t xml:space="preserve">ή </w:t>
      </w:r>
      <w:r w:rsidRPr="00062153">
        <w:rPr>
          <w:i/>
        </w:rPr>
        <w:t>bébé du douple espoir</w:t>
      </w:r>
      <w:r>
        <w:rPr>
          <w:rStyle w:val="FootnoteReference"/>
        </w:rPr>
        <w:footnoteReference w:id="106"/>
      </w:r>
      <w:r>
        <w:t xml:space="preserve"> (</w:t>
      </w:r>
      <w:r w:rsidRPr="00062153">
        <w:t>μωρό της διπλής ελπίδας</w:t>
      </w:r>
      <w:r>
        <w:t>)</w:t>
      </w:r>
      <w:r w:rsidRPr="006B7DDC">
        <w:t xml:space="preserve"> </w:t>
      </w:r>
      <w:r>
        <w:t xml:space="preserve">ή αλλιώς </w:t>
      </w:r>
      <w:r w:rsidRPr="00F81C4D">
        <w:t>«αδελφός‐σωτήρας» ή «σχεδιασμένο παιδι</w:t>
      </w:r>
      <w:r>
        <w:t>́»</w:t>
      </w:r>
      <w:bookmarkEnd w:id="56"/>
      <w:bookmarkEnd w:id="57"/>
      <w:bookmarkEnd w:id="58"/>
    </w:p>
    <w:p w14:paraId="7A341C79" w14:textId="77777777" w:rsidR="0068360D" w:rsidRDefault="006B7DDC" w:rsidP="00CC6120">
      <w:r>
        <w:t>Στις τρεις προαναφερθείσες περιπτώσεις, οι οποίες ρητά ορίζονται από το νομοθέτη ως μοναδικοί και αναγκαίοι όροι πρόσβασης στην ιατρικά υποβοηθούμενη αναπαραγωγή, θα ήταν σκόπιμο να προστεθεί και μία τέταρτη</w:t>
      </w:r>
      <w:r w:rsidR="00CC6120">
        <w:t xml:space="preserve">, το επονομαζόμενο </w:t>
      </w:r>
      <w:r w:rsidR="000554F3">
        <w:t>«</w:t>
      </w:r>
      <w:r w:rsidR="00CC6120">
        <w:t>μ</w:t>
      </w:r>
      <w:r w:rsidR="00CC6120" w:rsidRPr="00062153">
        <w:t>ωρό φάρμακο</w:t>
      </w:r>
      <w:r w:rsidR="000554F3">
        <w:t>»</w:t>
      </w:r>
      <w:r w:rsidR="00CC6120">
        <w:t xml:space="preserve"> (</w:t>
      </w:r>
      <w:r w:rsidR="00CC6120" w:rsidRPr="00062153">
        <w:rPr>
          <w:i/>
          <w:lang w:val="en-US"/>
        </w:rPr>
        <w:t>b</w:t>
      </w:r>
      <w:r w:rsidR="00CC6120" w:rsidRPr="00062153">
        <w:rPr>
          <w:i/>
          <w:lang w:val="fr-FR"/>
        </w:rPr>
        <w:t>é</w:t>
      </w:r>
      <w:r w:rsidR="00CC6120" w:rsidRPr="00062153">
        <w:rPr>
          <w:i/>
          <w:lang w:val="en-US"/>
        </w:rPr>
        <w:t>bé médicament</w:t>
      </w:r>
      <w:r w:rsidR="00CC6120">
        <w:t xml:space="preserve">) </w:t>
      </w:r>
      <w:r w:rsidR="00CC6120" w:rsidRPr="00062153">
        <w:t xml:space="preserve">ή </w:t>
      </w:r>
      <w:r w:rsidR="000554F3">
        <w:t>«</w:t>
      </w:r>
      <w:r w:rsidR="00CC6120" w:rsidRPr="00062153">
        <w:t>μωρό της διπλής ελπίδας</w:t>
      </w:r>
      <w:r w:rsidR="000554F3">
        <w:t>»</w:t>
      </w:r>
      <w:r w:rsidR="00CC6120">
        <w:t xml:space="preserve"> (</w:t>
      </w:r>
      <w:r w:rsidR="00CC6120" w:rsidRPr="00062153">
        <w:rPr>
          <w:i/>
        </w:rPr>
        <w:t>bébé du douple espoir</w:t>
      </w:r>
      <w:r w:rsidR="00CC6120">
        <w:t xml:space="preserve">). </w:t>
      </w:r>
    </w:p>
    <w:p w14:paraId="3C3549AA" w14:textId="6995EAF8" w:rsidR="00174533" w:rsidRDefault="009D5665" w:rsidP="003818D7">
      <w:r>
        <w:t xml:space="preserve">Πιο συγκεκριμένα, όπως θα δούμε και πιο κάτω στο σχετικό κεφάλαιο, </w:t>
      </w:r>
      <w:r w:rsidR="006B7DDC">
        <w:t xml:space="preserve">το άρθρο </w:t>
      </w:r>
      <w:r w:rsidR="00174533">
        <w:rPr>
          <w:b/>
        </w:rPr>
        <w:t>L. 2131-4, παρ. 2-3, ΚΔΥ</w:t>
      </w:r>
      <w:r w:rsidR="00174533">
        <w:t xml:space="preserve"> επιτρέπει την προεμφυτευτική διάγνωση μόνο κατ’ εξαίρεση και υπό τον όρο ότι: «</w:t>
      </w:r>
      <w:r w:rsidR="00174533">
        <w:rPr>
          <w:i/>
        </w:rPr>
        <w:t>[...]</w:t>
      </w:r>
      <w:r w:rsidR="00174533" w:rsidRPr="00F60C4D">
        <w:rPr>
          <w:i/>
        </w:rPr>
        <w:t xml:space="preserve"> το ζευγάρι έχει </w:t>
      </w:r>
      <w:r w:rsidR="00174533" w:rsidRPr="00F60C4D">
        <w:rPr>
          <w:b/>
          <w:i/>
        </w:rPr>
        <w:t>υψηλή πιθανότητα</w:t>
      </w:r>
      <w:r w:rsidR="00174533" w:rsidRPr="00F60C4D">
        <w:rPr>
          <w:i/>
        </w:rPr>
        <w:t xml:space="preserve"> να γεννήσει ένα </w:t>
      </w:r>
      <w:r w:rsidR="00174533" w:rsidRPr="00F60C4D">
        <w:rPr>
          <w:b/>
          <w:i/>
        </w:rPr>
        <w:t>τέκνο που θα πάσχει από σοβαρή και ανίατη, κατά τη χρονική στιγμή της διάγνωσης, γενετική ασθένεια</w:t>
      </w:r>
      <w:r w:rsidR="00174533">
        <w:rPr>
          <w:i/>
        </w:rPr>
        <w:t xml:space="preserve">», </w:t>
      </w:r>
      <w:r w:rsidR="00174533" w:rsidRPr="00174533">
        <w:t>ενώ ταυτό</w:t>
      </w:r>
      <w:r w:rsidR="00174533">
        <w:t xml:space="preserve">χρονα </w:t>
      </w:r>
      <w:r w:rsidR="000554F3">
        <w:t>προβλέπει</w:t>
      </w:r>
      <w:r w:rsidR="00174533">
        <w:t xml:space="preserve"> ότι «</w:t>
      </w:r>
      <w:r w:rsidR="00174533" w:rsidRPr="00174533">
        <w:rPr>
          <w:i/>
        </w:rPr>
        <w:t>η</w:t>
      </w:r>
      <w:r w:rsidR="00174533" w:rsidRPr="00F60C4D">
        <w:rPr>
          <w:i/>
        </w:rPr>
        <w:t xml:space="preserve"> διάγνωση δε μπορεί να διενεργηθεί </w:t>
      </w:r>
      <w:r w:rsidR="00D9413A">
        <w:rPr>
          <w:b/>
          <w:i/>
        </w:rPr>
        <w:t>παρά μόνο εάν εντοπισθούν</w:t>
      </w:r>
      <w:r w:rsidR="00174533" w:rsidRPr="00F60C4D">
        <w:rPr>
          <w:i/>
        </w:rPr>
        <w:t xml:space="preserve">, προγενεστέρα και με ακρίβεια, </w:t>
      </w:r>
      <w:r w:rsidR="00174533" w:rsidRPr="00F60C4D">
        <w:rPr>
          <w:b/>
          <w:i/>
        </w:rPr>
        <w:t>σε έναν από τους γονείς ή σε έναν από τους άμεσους προγόνους</w:t>
      </w:r>
      <w:r w:rsidR="000554F3">
        <w:rPr>
          <w:i/>
        </w:rPr>
        <w:t xml:space="preserve"> του, </w:t>
      </w:r>
      <w:r w:rsidR="00174533" w:rsidRPr="00F60C4D">
        <w:rPr>
          <w:i/>
        </w:rPr>
        <w:t>σε περίπτωση σοβαρής ασθένειας που μπ</w:t>
      </w:r>
      <w:r w:rsidR="007A3490">
        <w:rPr>
          <w:i/>
        </w:rPr>
        <w:t xml:space="preserve">ορεί να οδηγήσει σε αναπηρία που </w:t>
      </w:r>
      <w:r w:rsidR="00174533" w:rsidRPr="00F60C4D">
        <w:rPr>
          <w:i/>
        </w:rPr>
        <w:t xml:space="preserve">εμφανίστηκε καθυστερημένα και θέτει πρόωρα σε κίνδυνο τη ζωή του τέκνου που θα γεννηθεί, </w:t>
      </w:r>
      <w:r w:rsidR="00174533" w:rsidRPr="00F60C4D">
        <w:rPr>
          <w:b/>
          <w:i/>
        </w:rPr>
        <w:t>η ανωμαλία ή οι ανωμαλίες που ευθύνονται για την ασθένεια αυτή</w:t>
      </w:r>
      <w:r w:rsidR="003818D7" w:rsidRPr="003818D7">
        <w:t xml:space="preserve">». </w:t>
      </w:r>
      <w:r w:rsidR="00D9413A">
        <w:t xml:space="preserve">Ο νομοθέτης συνεχίζει, μάλιστα, </w:t>
      </w:r>
      <w:r w:rsidR="003818D7">
        <w:t>προβλέποντας στην πέμπτη παράγραφο του ίδιου άρθρου ότι «</w:t>
      </w:r>
      <w:r w:rsidR="003818D7">
        <w:rPr>
          <w:i/>
        </w:rPr>
        <w:t xml:space="preserve">η </w:t>
      </w:r>
      <w:r w:rsidR="003818D7" w:rsidRPr="00F60C4D">
        <w:rPr>
          <w:i/>
        </w:rPr>
        <w:t xml:space="preserve">διάγνωση δε μπορεί να έχει άλλο </w:t>
      </w:r>
      <w:r w:rsidR="003818D7" w:rsidRPr="00F60C4D">
        <w:rPr>
          <w:b/>
          <w:i/>
        </w:rPr>
        <w:t>σκοπό από τη διερεύνηση της ασθένειας αυτής</w:t>
      </w:r>
      <w:r w:rsidR="003818D7" w:rsidRPr="00F60C4D">
        <w:rPr>
          <w:i/>
        </w:rPr>
        <w:t xml:space="preserve">, καθώς επίσης και των τρόπων </w:t>
      </w:r>
      <w:r w:rsidR="003818D7" w:rsidRPr="00F60C4D">
        <w:rPr>
          <w:b/>
          <w:i/>
        </w:rPr>
        <w:t>πρόληψης και θεραπείας</w:t>
      </w:r>
      <w:r w:rsidR="003818D7">
        <w:rPr>
          <w:i/>
        </w:rPr>
        <w:t xml:space="preserve"> της</w:t>
      </w:r>
      <w:r w:rsidR="003818D7">
        <w:t xml:space="preserve">». </w:t>
      </w:r>
    </w:p>
    <w:p w14:paraId="6357D466" w14:textId="001D8222" w:rsidR="00391A14" w:rsidRPr="00AC5EE7" w:rsidRDefault="00391A14" w:rsidP="00391A14">
      <w:pPr>
        <w:rPr>
          <w:i/>
        </w:rPr>
      </w:pPr>
      <w:r>
        <w:t xml:space="preserve">Ο </w:t>
      </w:r>
      <w:r w:rsidR="00B31A9A">
        <w:rPr>
          <w:i/>
        </w:rPr>
        <w:t>Νόμος περί Β</w:t>
      </w:r>
      <w:r w:rsidRPr="00B31A9A">
        <w:rPr>
          <w:i/>
        </w:rPr>
        <w:t>ιοηθικής</w:t>
      </w:r>
      <w:r>
        <w:t xml:space="preserve"> του 2004 ήρθε να ενσωματώσει </w:t>
      </w:r>
      <w:r w:rsidR="007C7597">
        <w:t>σ</w:t>
      </w:r>
      <w:r>
        <w:t xml:space="preserve">τον Κώδικα Δημόσιας Υγείας ένα νέο άρθρο, το </w:t>
      </w:r>
      <w:r w:rsidR="006B7DDC" w:rsidRPr="00983CCE">
        <w:rPr>
          <w:b/>
        </w:rPr>
        <w:t>L. 2131-4-1</w:t>
      </w:r>
      <w:r>
        <w:t>, δυνάμει των διατάξεων του οποίου:</w:t>
      </w:r>
      <w:r w:rsidR="00B2304D">
        <w:t xml:space="preserve"> </w:t>
      </w:r>
      <w:r>
        <w:t>«</w:t>
      </w:r>
      <w:r w:rsidR="00335E5D">
        <w:rPr>
          <w:i/>
        </w:rPr>
        <w:t>κατά παρέκκλιση</w:t>
      </w:r>
      <w:r w:rsidRPr="00AC5EE7">
        <w:rPr>
          <w:i/>
        </w:rPr>
        <w:t xml:space="preserve"> του έκτου εδαφίου του άρθρου L. 2131-4 και με την επιφύλαξη της προηγούμενης εξάντλησης κάθε πιθανότητας κατά τα άρθρα L. 1241-1 και L. 1241-7, η προεμφυτευτική διάγνωση μπορεί επίσης να εγκριθεί όταν πληρούνται οι ακόλουθες προϋποθέσεις:</w:t>
      </w:r>
    </w:p>
    <w:p w14:paraId="3B7C3E7F" w14:textId="77777777" w:rsidR="00391A14" w:rsidRPr="00AC5EE7" w:rsidRDefault="00391A14" w:rsidP="00391A14">
      <w:pPr>
        <w:rPr>
          <w:i/>
        </w:rPr>
      </w:pPr>
      <w:r w:rsidRPr="00AC5EE7">
        <w:rPr>
          <w:i/>
        </w:rPr>
        <w:t xml:space="preserve">- το ζευγάρι έχει γεννήσει ένα τέκνο που </w:t>
      </w:r>
      <w:r w:rsidR="00B2304D">
        <w:rPr>
          <w:i/>
        </w:rPr>
        <w:t>πάσχει</w:t>
      </w:r>
      <w:r w:rsidRPr="00AC5EE7">
        <w:rPr>
          <w:i/>
        </w:rPr>
        <w:t xml:space="preserve"> από γενετική ασθένεια που οδηγεί στο θάνατο από τα πρώτα κιόλας χρόνια της ζωής του και η οποία αναγνωρίζεται ως ανίατη κατά τη χρονική στιγμή της διάγνωσης,</w:t>
      </w:r>
    </w:p>
    <w:p w14:paraId="28766821" w14:textId="77777777" w:rsidR="00391A14" w:rsidRPr="00AC5EE7" w:rsidRDefault="00391A14" w:rsidP="00391A14">
      <w:pPr>
        <w:rPr>
          <w:i/>
        </w:rPr>
      </w:pPr>
      <w:r w:rsidRPr="00AC5EE7">
        <w:rPr>
          <w:i/>
        </w:rPr>
        <w:lastRenderedPageBreak/>
        <w:t xml:space="preserve">- η πρόγνωση για τη ζωή του τέκνου που θα γεννηθεί μπορεί να βελτιωθεί αποφασιστικά, με την εφαρμογή σε αυτό μιας θεραπείας που δεν προσβάλλει τη σωματική του ακεραιότητα, κατά το άρθρο 16-3 ΑΚ, </w:t>
      </w:r>
    </w:p>
    <w:p w14:paraId="6185733B" w14:textId="77777777" w:rsidR="00391A14" w:rsidRDefault="00391A14" w:rsidP="00391A14">
      <w:r w:rsidRPr="00AC5EE7">
        <w:rPr>
          <w:i/>
        </w:rPr>
        <w:t>- η προεμφυτευτική διάγνωση έχει ως μοναδικό της σκοπό, αφενός, τη διερ</w:t>
      </w:r>
      <w:r w:rsidR="00B31A9A">
        <w:rPr>
          <w:i/>
        </w:rPr>
        <w:t xml:space="preserve">εύνηση της γενετικής ασθένειας </w:t>
      </w:r>
      <w:r w:rsidRPr="00AC5EE7">
        <w:rPr>
          <w:i/>
        </w:rPr>
        <w:t>και των τρόπω</w:t>
      </w:r>
      <w:r w:rsidR="00B31A9A">
        <w:rPr>
          <w:i/>
        </w:rPr>
        <w:t>ν πρόληψης και θεραπείας της</w:t>
      </w:r>
      <w:r w:rsidRPr="00AC5EE7">
        <w:rPr>
          <w:i/>
        </w:rPr>
        <w:t>, αφετέρου, την εφαρμογή της θεραπείας που προβ</w:t>
      </w:r>
      <w:r w:rsidR="00B2304D">
        <w:rPr>
          <w:i/>
        </w:rPr>
        <w:t>λέπεται στο προηγούμενο εδάφιο</w:t>
      </w:r>
      <w:r w:rsidR="00B2304D" w:rsidRPr="00B2304D">
        <w:t xml:space="preserve">». </w:t>
      </w:r>
    </w:p>
    <w:p w14:paraId="57A295F1" w14:textId="77777777" w:rsidR="003A32BC" w:rsidRDefault="003A32BC" w:rsidP="003A32BC">
      <w:r>
        <w:t xml:space="preserve">Η </w:t>
      </w:r>
      <w:r w:rsidR="00BE68CB">
        <w:t xml:space="preserve">διπλή </w:t>
      </w:r>
      <w:r>
        <w:t>προεμφυτευτική διάγνωση</w:t>
      </w:r>
      <w:r w:rsidR="00BE68CB">
        <w:t xml:space="preserve"> (όπως αποκαλείται η εν λόγω τεχνική)</w:t>
      </w:r>
      <w:r>
        <w:t xml:space="preserve"> φαίνεται</w:t>
      </w:r>
      <w:r w:rsidR="00CB78D6">
        <w:t>,</w:t>
      </w:r>
      <w:r>
        <w:t xml:space="preserve"> λοιπόν</w:t>
      </w:r>
      <w:r w:rsidR="00CB78D6">
        <w:t>,</w:t>
      </w:r>
      <w:r>
        <w:t xml:space="preserve"> να </w:t>
      </w:r>
      <w:r w:rsidR="00DF4D92">
        <w:t>εξυπηρετεί</w:t>
      </w:r>
      <w:r>
        <w:t xml:space="preserve"> ένα διττό σκοπό: ευγονικό και ταυτόχρονα θεραπευτικό</w:t>
      </w:r>
      <w:r>
        <w:rPr>
          <w:rStyle w:val="FootnoteReference"/>
        </w:rPr>
        <w:footnoteReference w:id="107"/>
      </w:r>
      <w:r>
        <w:t xml:space="preserve">, δεδομένου ότι στοχεύει, αφενός, στη διερεύνηση της γενετικής ασθένειας </w:t>
      </w:r>
      <w:r w:rsidR="00DF4D92">
        <w:t>προκείμενου</w:t>
      </w:r>
      <w:r>
        <w:t xml:space="preserve"> να αποφευχθεί η γέννηση ενός τέκνου που θα π</w:t>
      </w:r>
      <w:r w:rsidRPr="003A32BC">
        <w:t>άσχει από σοβαρή και ανίατη, κατά τη χρονική στιγμή της διάγνωσης, γενετική ασθένεια</w:t>
      </w:r>
      <w:r>
        <w:t xml:space="preserve">, αφετέρου, στον καθορισμό των </w:t>
      </w:r>
      <w:r w:rsidRPr="00AC5EE7">
        <w:t xml:space="preserve">τρόπων πρόληψης και θεραπείας </w:t>
      </w:r>
      <w:r w:rsidR="00BE68CB">
        <w:t>του τέκνου του υποβ</w:t>
      </w:r>
      <w:r>
        <w:t>οηθούμενου ζευγαριού που ήδη πάσχει από την ανωτέρω ασθένεια</w:t>
      </w:r>
      <w:r w:rsidRPr="00B2304D">
        <w:t xml:space="preserve">. </w:t>
      </w:r>
    </w:p>
    <w:p w14:paraId="135F33E4" w14:textId="77777777" w:rsidR="00333406" w:rsidRDefault="00D51AF2" w:rsidP="002625B2">
      <w:r>
        <w:t xml:space="preserve">Η δυνατότητα και μόνο της χρήσης της τεχνικής αυτής αφήνει να εννοηθεί ότι ένα παιδί μπορεί να συλληφθεί με αποκλειστικό σκοπό της </w:t>
      </w:r>
      <w:r w:rsidR="00DF4D92">
        <w:t>ύπαρξής</w:t>
      </w:r>
      <w:r>
        <w:t xml:space="preserve"> του να αποτελέσει «φάρμακο» για τον αδερφό ή τη αδερφή του</w:t>
      </w:r>
      <w:r w:rsidR="002625B2">
        <w:t>, γεγονός το οποίο προκαλεί εύλογες επιφυλάξεις</w:t>
      </w:r>
      <w:r w:rsidR="004D49A9">
        <w:rPr>
          <w:rStyle w:val="FootnoteReference"/>
        </w:rPr>
        <w:footnoteReference w:id="108"/>
      </w:r>
      <w:r w:rsidR="002625B2">
        <w:t xml:space="preserve"> και δικαιολογεί την επιλογή της φράσης «μωρό </w:t>
      </w:r>
      <w:r w:rsidR="00DF4D92">
        <w:t>φάρμακο</w:t>
      </w:r>
      <w:r w:rsidR="002625B2">
        <w:t>»</w:t>
      </w:r>
      <w:r>
        <w:t>. Ο νομοθέτης, ασφαλώς, αρνήθηκε την πρόθεση αυτή, σημειώνοντας με έμφαση ότι προτεραιότητα έχει η επιθυμία του ζευγαριού να αποκτήσει τέκνο, για την οποία πρέπει να είναι βέ</w:t>
      </w:r>
      <w:r w:rsidR="00CB78D6">
        <w:t>βαιος ο γιατρός πριν προβεί στη διπλή</w:t>
      </w:r>
      <w:r>
        <w:t xml:space="preserve"> προεμφυτευτική διάγνωση. Η επιθυμία θεραπείας του </w:t>
      </w:r>
      <w:r w:rsidR="00CB78D6">
        <w:t>πρώτου</w:t>
      </w:r>
      <w:r>
        <w:t xml:space="preserve"> τέκνου πρέπει να έρχεται δεύτερη</w:t>
      </w:r>
      <w:r>
        <w:rPr>
          <w:rStyle w:val="FootnoteReference"/>
        </w:rPr>
        <w:footnoteReference w:id="109"/>
      </w:r>
      <w:r>
        <w:t>.</w:t>
      </w:r>
      <w:r w:rsidR="00480291">
        <w:t xml:space="preserve"> Το νόημα αυτό επιδιώκει να εκφράσει η δεύτερη φράση που χρησιμοποιείται για να </w:t>
      </w:r>
      <w:r w:rsidR="00AC2016">
        <w:t xml:space="preserve">αποδώσει </w:t>
      </w:r>
      <w:r w:rsidR="00480291">
        <w:t>την ίδια τεχνική: το «μωρό της διπλής ελπίδας».</w:t>
      </w:r>
      <w:r>
        <w:t xml:space="preserve"> </w:t>
      </w:r>
      <w:r w:rsidR="00B93140">
        <w:t>Έχει υποστηριχθεί, ωστόσο, ότι ο έλεγχος από τον Οργανισμό Βιοϊατρικής αυτής της στάθμισης από το θεράποντα ιατρό και το διαγνωστικό κέντρο είναι μάλλον δύσκολος έως αδύνατος</w:t>
      </w:r>
      <w:r w:rsidR="00B93140">
        <w:rPr>
          <w:rStyle w:val="FootnoteReference"/>
        </w:rPr>
        <w:footnoteReference w:id="110"/>
      </w:r>
      <w:r w:rsidR="00B93140">
        <w:t xml:space="preserve">. </w:t>
      </w:r>
      <w:r w:rsidR="00917F1E">
        <w:t xml:space="preserve">Στο συμπέρασμα αυτό καταλήγει και η </w:t>
      </w:r>
      <w:r w:rsidR="00917F1E">
        <w:rPr>
          <w:lang w:val="en-US"/>
        </w:rPr>
        <w:t xml:space="preserve">Stéphanie Millan, </w:t>
      </w:r>
      <w:r w:rsidR="00917F1E">
        <w:t xml:space="preserve">η οποία στην ερώτηση σχετικά με το αν </w:t>
      </w:r>
      <w:r w:rsidR="00BF2556">
        <w:t xml:space="preserve">πρέπει, κατά τη γνώμη της, </w:t>
      </w:r>
      <w:r w:rsidR="00917F1E">
        <w:t>να επιτρέπεται και υπό ποιες προϋποθέσεις η προεμφυτευτική διάγνωση, απαντά θετικά και τάσσεται υπέρ της μεθόδου</w:t>
      </w:r>
      <w:r w:rsidR="00BF2556">
        <w:t xml:space="preserve"> της</w:t>
      </w:r>
      <w:r w:rsidR="00917F1E">
        <w:t xml:space="preserve"> διπλής προεμφυτευτικής διάγνωσης. </w:t>
      </w:r>
      <w:r w:rsidR="00BF2556">
        <w:t xml:space="preserve">Ανανγωρίζει, ωστόσο, παράλληλα ότι «η επιλογή αυτή είναι πράγματι πιο </w:t>
      </w:r>
      <w:r w:rsidR="00917F1E">
        <w:t xml:space="preserve">πολύπλοκη, </w:t>
      </w:r>
      <w:r w:rsidR="00505400">
        <w:t xml:space="preserve">δεδομένου ότι, </w:t>
      </w:r>
      <w:r w:rsidR="00917F1E">
        <w:t xml:space="preserve">για να καταφύγει το ζευγάρι στην </w:t>
      </w:r>
      <w:r w:rsidR="00BF2556">
        <w:t>ια</w:t>
      </w:r>
      <w:r w:rsidR="00505400">
        <w:t xml:space="preserve">τρικά </w:t>
      </w:r>
      <w:r w:rsidR="00505400">
        <w:lastRenderedPageBreak/>
        <w:t xml:space="preserve">υποβοηθούμενη αναπαραγωγή, </w:t>
      </w:r>
      <w:r w:rsidR="00917F1E">
        <w:t>βασική προϋπόθεση είναι το παιδί να είναι επιθυμητό και η επιθυμία αυτή να υπερέχει έναντι κάθε άλλης ανάγκης ή επιθυμίας</w:t>
      </w:r>
      <w:r w:rsidR="00BF2556">
        <w:t>»</w:t>
      </w:r>
      <w:r w:rsidR="00BF2556">
        <w:rPr>
          <w:rStyle w:val="FootnoteReference"/>
        </w:rPr>
        <w:footnoteReference w:id="111"/>
      </w:r>
      <w:r w:rsidR="00BF2556">
        <w:t xml:space="preserve">. </w:t>
      </w:r>
    </w:p>
    <w:p w14:paraId="4656768A" w14:textId="77777777" w:rsidR="00977088" w:rsidRDefault="00977088" w:rsidP="002625B2">
      <w:r>
        <w:t xml:space="preserve">Δεν είναι λίγοι εκείνοι που υποστηρίζουν ότι εάν η προεμφυτευτική διάγνωση επιδιώκει να αποκλείσει κάθε ενδεχόμενο ότι το τέκνο που θα γεννηθεί δε θα είναι φορέας σοβαρής γενετικής ασθένειας, η διπλή προεμφυτευτική διάγνωση στόχο της έχει τη θεραπεία </w:t>
      </w:r>
      <w:r w:rsidR="00631FB0">
        <w:t>του</w:t>
      </w:r>
      <w:r>
        <w:t xml:space="preserve"> τέκνου</w:t>
      </w:r>
      <w:r w:rsidR="00E80F5F">
        <w:t xml:space="preserve"> που </w:t>
      </w:r>
      <w:r w:rsidR="00631FB0">
        <w:t>πάσχει</w:t>
      </w:r>
      <w:r w:rsidR="00E80F5F">
        <w:t xml:space="preserve"> ήδη </w:t>
      </w:r>
      <w:r w:rsidR="00631FB0">
        <w:t xml:space="preserve">από </w:t>
      </w:r>
      <w:r w:rsidR="00E80F5F">
        <w:t xml:space="preserve">μια ασθένεια </w:t>
      </w:r>
      <w:r w:rsidR="00631FB0">
        <w:t xml:space="preserve">με τη βοήθεια του μικρότερου του αδελφού </w:t>
      </w:r>
      <w:r w:rsidR="00E80F5F">
        <w:t>ή αδελφή</w:t>
      </w:r>
      <w:r w:rsidR="00631FB0">
        <w:t>ς</w:t>
      </w:r>
      <w:r w:rsidR="00E80F5F">
        <w:t xml:space="preserve"> που θα γεννηθεί για το σκοπό αυτό. Και η διαφορά μεταξύ των δύο είναι θεμελιώδης κα</w:t>
      </w:r>
      <w:r w:rsidR="00631FB0">
        <w:t>ι προβληματική, τόσο από ηθικής</w:t>
      </w:r>
      <w:r w:rsidR="00D953DE">
        <w:t xml:space="preserve">, όσο και από ψυχολογικής πλευράς. </w:t>
      </w:r>
      <w:r w:rsidR="00D57B4F">
        <w:t>Η ηθική σκοπιά του ζητήματος αφορά στους γονείς και την κοινωνία</w:t>
      </w:r>
      <w:r w:rsidR="00631FB0">
        <w:t>, καθώς το τέκνο που γεννιέται γίνεται ηθελημένα μέσο και όχι αυτοσκοπός</w:t>
      </w:r>
      <w:r w:rsidR="00D57B4F">
        <w:t>. Η ψυχολογική, από την άλλη, αφορά στο ίδιο το παιδί που είναι υποχρεωμένο να μάθει να ζει με την ιδέα ότι η σύλληψή του είχε άλλο «σκοπό» από τη γέννησή του αυτή καθ’ εαυτή, καθώς επίσης</w:t>
      </w:r>
      <w:r w:rsidR="00631FB0">
        <w:t xml:space="preserve"> και</w:t>
      </w:r>
      <w:r w:rsidR="00D57B4F">
        <w:t xml:space="preserve"> να αντιμετωπίζει τα πιθανά συναισθήματα ενοχής που θα νιώθει σε περίπτωση θεραπευτικής αποτυχίας της μεθόδου ή ακόμη και άρνησής του να χρησιμοποιηθεί ως μέσο για τη θεραπεία του μεγαλύτερου αδερφού ή της μεγαλύτερης αδερφής του</w:t>
      </w:r>
      <w:r w:rsidR="002E00C3">
        <w:rPr>
          <w:rStyle w:val="FootnoteReference"/>
        </w:rPr>
        <w:footnoteReference w:id="112"/>
      </w:r>
      <w:r w:rsidR="00A91AAA">
        <w:t>.</w:t>
      </w:r>
    </w:p>
    <w:p w14:paraId="7E0E5542" w14:textId="77777777" w:rsidR="002E00C3" w:rsidRDefault="000B55D8" w:rsidP="0083267B">
      <w:r>
        <w:t>Ο απόλυτος κίνδυνος «</w:t>
      </w:r>
      <w:r w:rsidR="00A91AAA">
        <w:t>εκμετάλλευσης</w:t>
      </w:r>
      <w:r>
        <w:t>» του</w:t>
      </w:r>
      <w:r w:rsidR="00A91AAA">
        <w:t xml:space="preserve"> εμβρύου</w:t>
      </w:r>
      <w:r>
        <w:t xml:space="preserve"> που θα συλληφθεί για να σώσει το μεγαλύτερο αδερφό ή τη μεγαλύ</w:t>
      </w:r>
      <w:r w:rsidR="00A91AAA">
        <w:t>τερη</w:t>
      </w:r>
      <w:r>
        <w:t xml:space="preserve"> αδερφή </w:t>
      </w:r>
      <w:r w:rsidR="0046782C">
        <w:t>του εντοπίζεται, ωστόσο, αλλού. Ακόμη πιο προβληματική – απο ηθικής πλευράς – κρίνεται η</w:t>
      </w:r>
      <w:r>
        <w:t xml:space="preserve"> περίπτωση κατά την οποία η διπλή προεμφυτευτική διάγνωση δε θα ακολουθηθεί από γέννηση. </w:t>
      </w:r>
      <w:r w:rsidR="0046782C">
        <w:t>Πιο συγκεκριμένα, είναι γνωστό ότι τ</w:t>
      </w:r>
      <w:r w:rsidR="00A91AAA">
        <w:t xml:space="preserve">ο έμβρυο και ο ομφάλιος λώρος φέρουν από την πρώτη στιγμή της σύλληψής τους </w:t>
      </w:r>
      <w:r w:rsidR="00A02E37">
        <w:t>τα κύτταρα που θα μπορούσαν να χρησιμοποιηθούν για να θεραπεύσουν ορισμένες παθολογί</w:t>
      </w:r>
      <w:r w:rsidR="0083267B">
        <w:t xml:space="preserve">ες, ενώ και τα αιμοποιητικά κύτταρα </w:t>
      </w:r>
      <w:r w:rsidR="0046782C">
        <w:t>μπορούν</w:t>
      </w:r>
      <w:r w:rsidR="0083267B">
        <w:t xml:space="preserve"> να απομονωθούν και να χρησιμοποιηθούν στη συνέχεια για τη θεραπεία του μεγαλύτερου αδερφού, χωρίς απαραίτητα να συνεχισθεί η κύηση. Η δυνατότητα αυτή δε φαίνεται να είναι σήμερα πολύ πιθανή, λόγω του αντιδεοντολογικού χαρακτήρα της ιατρικής παρέμβασης που προϋποθέτει, είναι όμως υπαρκτή</w:t>
      </w:r>
      <w:r w:rsidR="0083267B">
        <w:rPr>
          <w:rStyle w:val="FootnoteReference"/>
        </w:rPr>
        <w:footnoteReference w:id="113"/>
      </w:r>
      <w:r w:rsidR="0083267B">
        <w:t xml:space="preserve">. </w:t>
      </w:r>
    </w:p>
    <w:p w14:paraId="06E9CFF9" w14:textId="77777777" w:rsidR="00E473A0" w:rsidRDefault="00B23AAF" w:rsidP="006B7DDC">
      <w:r>
        <w:t xml:space="preserve">Είναι, προφανώς, </w:t>
      </w:r>
      <w:r w:rsidR="002625B2">
        <w:t>ο λόγος για τον οποίο</w:t>
      </w:r>
      <w:r w:rsidR="002B0DDF">
        <w:t xml:space="preserve">, </w:t>
      </w:r>
      <w:r w:rsidR="00DF4D92">
        <w:t xml:space="preserve">μετά την υιοθέτηση του </w:t>
      </w:r>
      <w:r w:rsidR="00DF4D92" w:rsidRPr="00B23AAF">
        <w:rPr>
          <w:i/>
        </w:rPr>
        <w:t xml:space="preserve">Νόμου περί </w:t>
      </w:r>
      <w:r w:rsidRPr="00B23AAF">
        <w:rPr>
          <w:i/>
        </w:rPr>
        <w:t>Β</w:t>
      </w:r>
      <w:r w:rsidR="00DF4D92" w:rsidRPr="00B23AAF">
        <w:rPr>
          <w:i/>
        </w:rPr>
        <w:t>ιοηθικής</w:t>
      </w:r>
      <w:r w:rsidR="00DF4D92">
        <w:t xml:space="preserve"> της 6</w:t>
      </w:r>
      <w:r w:rsidR="00DF4D92" w:rsidRPr="00DF4D92">
        <w:rPr>
          <w:vertAlign w:val="superscript"/>
        </w:rPr>
        <w:t>ης</w:t>
      </w:r>
      <w:r w:rsidR="00DF4D92">
        <w:t xml:space="preserve"> Αυγού</w:t>
      </w:r>
      <w:r w:rsidR="002B0DDF">
        <w:t xml:space="preserve">στου 2004, </w:t>
      </w:r>
      <w:r w:rsidR="00DF4D92">
        <w:t xml:space="preserve">εκφράστηκαν </w:t>
      </w:r>
      <w:r w:rsidR="004E639E">
        <w:t xml:space="preserve">έντονες επιφυλάξεις </w:t>
      </w:r>
      <w:r w:rsidR="00E473A0">
        <w:t>από πολλά μέλη</w:t>
      </w:r>
      <w:r w:rsidR="00DF4D92">
        <w:t xml:space="preserve"> της ιατρικής κοινό</w:t>
      </w:r>
      <w:r w:rsidR="002B0DDF">
        <w:t xml:space="preserve">τητας. Ειδικότερα, ο νομπελίστας </w:t>
      </w:r>
      <w:r w:rsidR="00E473A0">
        <w:t xml:space="preserve">και καθηγητής </w:t>
      </w:r>
      <w:r w:rsidR="002B0DDF">
        <w:t>ιατρικής</w:t>
      </w:r>
      <w:r w:rsidR="00E473A0">
        <w:t>,</w:t>
      </w:r>
      <w:r w:rsidR="002B0DDF">
        <w:rPr>
          <w:lang w:val="en-US"/>
        </w:rPr>
        <w:t xml:space="preserve"> François Jacob</w:t>
      </w:r>
      <w:r w:rsidR="00E473A0">
        <w:rPr>
          <w:lang w:val="en-US"/>
        </w:rPr>
        <w:t>,</w:t>
      </w:r>
      <w:r w:rsidR="004E639E">
        <w:t xml:space="preserve"> έβρισκε εξαιρετικά «δύσκολο να </w:t>
      </w:r>
      <w:r w:rsidR="00E05C9C">
        <w:t>χρησιμοποιήσει</w:t>
      </w:r>
      <w:r w:rsidR="004E639E">
        <w:t xml:space="preserve"> ένα βρέφος ως φάρμακο για τη θεραπεία ενός άλλου βρέφους»</w:t>
      </w:r>
      <w:r w:rsidR="004E639E">
        <w:rPr>
          <w:rStyle w:val="FootnoteReference"/>
        </w:rPr>
        <w:footnoteReference w:id="114"/>
      </w:r>
      <w:r w:rsidR="004E639E">
        <w:t xml:space="preserve">, ενώ ο καθηγητής </w:t>
      </w:r>
      <w:r w:rsidR="004E639E">
        <w:rPr>
          <w:lang w:val="en-US"/>
        </w:rPr>
        <w:t xml:space="preserve">Sonigo δήλωνε σοκαρισμένος από το γεγονός ότι </w:t>
      </w:r>
      <w:r w:rsidR="004E639E">
        <w:t xml:space="preserve">«το </w:t>
      </w:r>
      <w:r w:rsidR="00E473A0">
        <w:rPr>
          <w:lang w:val="en-US"/>
        </w:rPr>
        <w:t>“</w:t>
      </w:r>
      <w:r w:rsidR="00E473A0">
        <w:t>μωρό φάρμακο</w:t>
      </w:r>
      <w:r w:rsidR="00E473A0">
        <w:rPr>
          <w:lang w:val="en-US"/>
        </w:rPr>
        <w:t>”</w:t>
      </w:r>
      <w:r w:rsidR="004E639E">
        <w:t xml:space="preserve"> καθίσταται αντικείμενο»</w:t>
      </w:r>
      <w:r w:rsidR="004E639E">
        <w:rPr>
          <w:rStyle w:val="FootnoteReference"/>
        </w:rPr>
        <w:footnoteReference w:id="115"/>
      </w:r>
      <w:r w:rsidR="004E639E">
        <w:t xml:space="preserve">. </w:t>
      </w:r>
    </w:p>
    <w:p w14:paraId="52DC34D5" w14:textId="77777777" w:rsidR="002712F1" w:rsidRDefault="00B916F0" w:rsidP="006B7DDC">
      <w:r>
        <w:lastRenderedPageBreak/>
        <w:t xml:space="preserve">Οι επιφυλάξεις αυτές διατυπώθηκαν και από το Συμβούλιο της Επικρατείας, το οποίο στην από 9 Απριλίου 2009 Έκθεσή του πρότεινε την </w:t>
      </w:r>
      <w:r w:rsidR="00B52120">
        <w:t>επανεξέταση</w:t>
      </w:r>
      <w:r>
        <w:t xml:space="preserve"> της τεχνικής της «διπλής προεμφυτευτικής διάγνωσης», θέτοντας μια περίοδο αναστολής πέντε (5) ετών από τη θέση σε ισχύ του νέου </w:t>
      </w:r>
      <w:r w:rsidR="002712F1">
        <w:rPr>
          <w:i/>
        </w:rPr>
        <w:t>Νόμου περί Β</w:t>
      </w:r>
      <w:r w:rsidRPr="002712F1">
        <w:rPr>
          <w:i/>
        </w:rPr>
        <w:t>ιοηθικής</w:t>
      </w:r>
      <w:r w:rsidR="002712F1">
        <w:t>. Η περίοδος αυτή</w:t>
      </w:r>
      <w:r>
        <w:t xml:space="preserve"> θα επέτρεπε, σύμφωνα με το ανώτατο διοικητικό δικαστήριο της Χώρας, </w:t>
      </w:r>
      <w:r w:rsidR="00E734D8">
        <w:t>τη διεξαγωγή ασφαλέστερων συμπερασμάτων ως προς τη διατήρηση ή όχι της εν λόγω τεχνικής</w:t>
      </w:r>
      <w:r w:rsidR="00E734D8">
        <w:rPr>
          <w:rStyle w:val="FootnoteReference"/>
        </w:rPr>
        <w:footnoteReference w:id="116"/>
      </w:r>
      <w:r w:rsidR="00E734D8">
        <w:t xml:space="preserve">. </w:t>
      </w:r>
    </w:p>
    <w:p w14:paraId="64E3C41E" w14:textId="77777777" w:rsidR="00391A14" w:rsidRDefault="00E734D8" w:rsidP="006B7DDC">
      <w:r>
        <w:t xml:space="preserve">Η Έκθεση της Αποστολής πληροφόρησης σχετικά με την αναθεώρηση των </w:t>
      </w:r>
      <w:r w:rsidRPr="002712F1">
        <w:rPr>
          <w:i/>
        </w:rPr>
        <w:t>Νόμων περί</w:t>
      </w:r>
      <w:r w:rsidR="002712F1" w:rsidRPr="002712F1">
        <w:rPr>
          <w:i/>
        </w:rPr>
        <w:t xml:space="preserve"> Β</w:t>
      </w:r>
      <w:r w:rsidRPr="002712F1">
        <w:rPr>
          <w:i/>
        </w:rPr>
        <w:t>ιοηθικής</w:t>
      </w:r>
      <w:r>
        <w:t>, αντίθετα, κατέληξε σε διαφορετικά συμπεράσματα, συστήνοντας τη διατήρηση των διατάξεω</w:t>
      </w:r>
      <w:r w:rsidR="002712F1">
        <w:t>ν του νόμου σχετικά με το «μωρό</w:t>
      </w:r>
      <w:r>
        <w:t xml:space="preserve"> της διπλής ελπίδας» και την ταυτόχρονη</w:t>
      </w:r>
      <w:r w:rsidR="002712F1">
        <w:t xml:space="preserve"> κατάργηση του πειραματικού τους</w:t>
      </w:r>
      <w:r>
        <w:t xml:space="preserve"> χαρακτήρα</w:t>
      </w:r>
      <w:r>
        <w:rPr>
          <w:rStyle w:val="FootnoteReference"/>
        </w:rPr>
        <w:footnoteReference w:id="117"/>
      </w:r>
      <w:r>
        <w:t xml:space="preserve">. </w:t>
      </w:r>
    </w:p>
    <w:p w14:paraId="10E78C97" w14:textId="77777777" w:rsidR="00656C9D" w:rsidRDefault="00595EC3" w:rsidP="00656C9D">
      <w:r>
        <w:t xml:space="preserve">Σε ό,τι αφορά στην Εθνική Συμβουλευτική Επιτροπή Ηθικής </w:t>
      </w:r>
      <w:r>
        <w:rPr>
          <w:lang w:val="en-US"/>
        </w:rPr>
        <w:t xml:space="preserve">(CCNE), </w:t>
      </w:r>
      <w:r>
        <w:t>με τ</w:t>
      </w:r>
      <w:r w:rsidR="00E56290">
        <w:t>ην από 4 Ιουλίου 2002 Γνώμη της,</w:t>
      </w:r>
      <w:r>
        <w:t xml:space="preserve"> έκρουε τον κώδωνα του κινδύνου ενόψει πιθανών ηθ</w:t>
      </w:r>
      <w:r w:rsidR="00E56290">
        <w:t xml:space="preserve">ικών προβλημάτων, </w:t>
      </w:r>
      <w:r>
        <w:t xml:space="preserve">όταν «η ανθρωπότητα τείνει να θεωρεί τον </w:t>
      </w:r>
      <w:r w:rsidR="00E56290">
        <w:t>εαυτό</w:t>
      </w:r>
      <w:r>
        <w:t xml:space="preserve"> της </w:t>
      </w:r>
      <w:r w:rsidR="00ED6E0E">
        <w:t xml:space="preserve">περισσότερο </w:t>
      </w:r>
      <w:r>
        <w:t>ως μέσο παρά ως σκοπό»</w:t>
      </w:r>
      <w:r w:rsidR="00E56290">
        <w:t>, επισημαίνοντας πόσο σημαντικό είναι να συνηδητοποιήσουμε «τη σοβαρότητα του μείζονος διακηβεύματος που ενέχει κάθε απόφαση στον εν λόγω τομέα απέναντι σε ένα παιδί. Το συμφέρον ενός τρίτου δεν πρέπει ποτέ να εμποδίζει τη λήψη υπόψη του συμφέροντος του ίδιου του παιδιού»</w:t>
      </w:r>
      <w:r w:rsidR="00E56290">
        <w:rPr>
          <w:rStyle w:val="FootnoteReference"/>
        </w:rPr>
        <w:footnoteReference w:id="118"/>
      </w:r>
      <w:r w:rsidR="00AB7710">
        <w:t>. Παρόλα αυτά</w:t>
      </w:r>
      <w:r w:rsidR="00437E72">
        <w:t>, σ</w:t>
      </w:r>
      <w:r w:rsidR="00E56290">
        <w:t xml:space="preserve">το τέλος της ίδιας δεκαετίας, </w:t>
      </w:r>
      <w:r w:rsidR="00437E72">
        <w:t xml:space="preserve">η ίδια </w:t>
      </w:r>
      <w:r w:rsidR="00AB7710">
        <w:t xml:space="preserve">αυτή </w:t>
      </w:r>
      <w:r w:rsidR="00437E72">
        <w:t xml:space="preserve">Επιτροπή [Εθνική Συμβουλευτική Επιτροπή Ηθικής] είναι που </w:t>
      </w:r>
      <w:r w:rsidR="00E56290">
        <w:t xml:space="preserve">δήλωνε </w:t>
      </w:r>
      <w:r w:rsidR="00AB7710">
        <w:t>πεπεισμένη για την επάρκεια των εχεγγύων «</w:t>
      </w:r>
      <w:r w:rsidR="00E56290">
        <w:t xml:space="preserve">που έχει </w:t>
      </w:r>
      <w:r w:rsidR="00656C9D">
        <w:t>προβλέψει</w:t>
      </w:r>
      <w:r w:rsidR="00E56290">
        <w:t xml:space="preserve"> ο νομοθέτης προκειμένου να απ</w:t>
      </w:r>
      <w:r w:rsidR="00AB7710">
        <w:t>οφευχθεί κάθε πιθανή παρεκτροπή</w:t>
      </w:r>
      <w:r w:rsidR="00E56290">
        <w:t>»</w:t>
      </w:r>
      <w:r w:rsidR="00E56290">
        <w:rPr>
          <w:rStyle w:val="FootnoteReference"/>
        </w:rPr>
        <w:footnoteReference w:id="119"/>
      </w:r>
      <w:r w:rsidR="00E56290">
        <w:t xml:space="preserve">. </w:t>
      </w:r>
    </w:p>
    <w:p w14:paraId="1E094098" w14:textId="77777777" w:rsidR="0098646B" w:rsidRDefault="00480291" w:rsidP="00626EB5">
      <w:r>
        <w:t xml:space="preserve">Παρότι με τη νομοθεσία του 2004 η εν λόγω τεχνική επιτράπηκε μόνο «κατ’ εξαίρεση», ο </w:t>
      </w:r>
      <w:r w:rsidRPr="00674292">
        <w:rPr>
          <w:i/>
        </w:rPr>
        <w:t xml:space="preserve">Νόμος περί </w:t>
      </w:r>
      <w:r w:rsidR="00674292" w:rsidRPr="00674292">
        <w:rPr>
          <w:i/>
        </w:rPr>
        <w:t>Β</w:t>
      </w:r>
      <w:r w:rsidRPr="00674292">
        <w:rPr>
          <w:i/>
        </w:rPr>
        <w:t>ιοηθικής</w:t>
      </w:r>
      <w:r>
        <w:t xml:space="preserve"> της 7</w:t>
      </w:r>
      <w:r w:rsidRPr="00480291">
        <w:rPr>
          <w:vertAlign w:val="superscript"/>
        </w:rPr>
        <w:t>ης</w:t>
      </w:r>
      <w:r>
        <w:t xml:space="preserve"> Ιουλίου 2011 ήρθε να καταργήσει τον εξαιρετικό αυτό χαρακτήρα του μέτρου</w:t>
      </w:r>
      <w:r w:rsidR="007348D3">
        <w:rPr>
          <w:rStyle w:val="FootnoteReference"/>
        </w:rPr>
        <w:footnoteReference w:id="120"/>
      </w:r>
      <w:r w:rsidR="0055217A">
        <w:t>. Το πρώτο «μωρό φάρμακο» γεννήθηκε, μάλιστα, στη Γαλλία</w:t>
      </w:r>
      <w:r w:rsidR="00A10100">
        <w:t>, στις 26 Ιανουαρίου 2011, δηλαδή</w:t>
      </w:r>
      <w:r w:rsidR="0055217A">
        <w:t xml:space="preserve"> λίγες ημέρες πριν την έναρξη των κοινοβουλευτικών </w:t>
      </w:r>
      <w:r w:rsidR="00E05C9C">
        <w:t>συζητήσεων</w:t>
      </w:r>
      <w:r w:rsidR="0055217A">
        <w:t xml:space="preserve"> ενόψει της αναθεώρησης</w:t>
      </w:r>
      <w:r w:rsidR="000A2C08">
        <w:t xml:space="preserve"> των </w:t>
      </w:r>
      <w:r w:rsidR="000A2C08" w:rsidRPr="000A2C08">
        <w:rPr>
          <w:i/>
        </w:rPr>
        <w:t>Νόμων περί Β</w:t>
      </w:r>
      <w:r w:rsidR="00A10100" w:rsidRPr="000A2C08">
        <w:rPr>
          <w:i/>
        </w:rPr>
        <w:t>ιοηθικής</w:t>
      </w:r>
      <w:r w:rsidR="00A10100">
        <w:t xml:space="preserve">, στο </w:t>
      </w:r>
      <w:r w:rsidR="00A10100" w:rsidRPr="00A10100">
        <w:t xml:space="preserve">νοσοκομείο Antoine-Béclère </w:t>
      </w:r>
      <w:r w:rsidR="00A10100">
        <w:t>στο</w:t>
      </w:r>
      <w:r w:rsidR="00A10100" w:rsidRPr="00A10100">
        <w:t xml:space="preserve"> </w:t>
      </w:r>
      <w:hyperlink r:id="rId9" w:history="1">
        <w:r w:rsidR="00A10100" w:rsidRPr="00A10100">
          <w:t>Clamart</w:t>
        </w:r>
      </w:hyperlink>
      <w:r w:rsidR="00A10100" w:rsidRPr="00A10100">
        <w:t xml:space="preserve"> (Hauts-de-Seine)</w:t>
      </w:r>
      <w:r w:rsidR="00A10100">
        <w:rPr>
          <w:rStyle w:val="FootnoteReference"/>
        </w:rPr>
        <w:footnoteReference w:id="121"/>
      </w:r>
      <w:r w:rsidR="00A10100">
        <w:t xml:space="preserve">. </w:t>
      </w:r>
      <w:r w:rsidR="000D272F">
        <w:t xml:space="preserve">Οι αντιδράσεις ήταν πολλές και διαφορετικές: από την καταδίκη του φιλοσόφου </w:t>
      </w:r>
      <w:r w:rsidR="000D272F">
        <w:rPr>
          <w:lang w:val="en-US"/>
        </w:rPr>
        <w:t>Michel Onfrey</w:t>
      </w:r>
      <w:r w:rsidR="00191EE8">
        <w:rPr>
          <w:rStyle w:val="FootnoteReference"/>
          <w:lang w:val="en-US"/>
        </w:rPr>
        <w:footnoteReference w:id="122"/>
      </w:r>
      <w:r w:rsidR="000D272F">
        <w:rPr>
          <w:lang w:val="en-US"/>
        </w:rPr>
        <w:t xml:space="preserve"> </w:t>
      </w:r>
      <w:r w:rsidR="000D272F">
        <w:t xml:space="preserve">και του γενικού εκπροσώπου της Συμμαχίας </w:t>
      </w:r>
      <w:r w:rsidR="000D272F">
        <w:lastRenderedPageBreak/>
        <w:t>για τα Δικαιώματα του Ανθρώπ</w:t>
      </w:r>
      <w:r w:rsidR="00191EE8">
        <w:t>ου</w:t>
      </w:r>
      <w:r w:rsidR="00191EE8">
        <w:rPr>
          <w:rStyle w:val="FootnoteReference"/>
        </w:rPr>
        <w:footnoteReference w:id="123"/>
      </w:r>
      <w:r w:rsidR="00191EE8">
        <w:t xml:space="preserve"> έως την ενθουσιώδη ικανοποίηση τόσο του καθηγητή </w:t>
      </w:r>
      <w:r w:rsidR="00191EE8">
        <w:rPr>
          <w:lang w:val="en-US"/>
        </w:rPr>
        <w:t>Ren</w:t>
      </w:r>
      <w:r w:rsidR="00191EE8">
        <w:t>é</w:t>
      </w:r>
      <w:r w:rsidR="00191EE8">
        <w:rPr>
          <w:lang w:val="en-US"/>
        </w:rPr>
        <w:t xml:space="preserve"> Frydman</w:t>
      </w:r>
      <w:r w:rsidR="00191EE8">
        <w:rPr>
          <w:rStyle w:val="FootnoteReference"/>
          <w:lang w:val="en-US"/>
        </w:rPr>
        <w:footnoteReference w:id="124"/>
      </w:r>
      <w:r w:rsidR="00191EE8">
        <w:rPr>
          <w:lang w:val="en-US"/>
        </w:rPr>
        <w:t xml:space="preserve">, </w:t>
      </w:r>
      <w:r w:rsidR="00191EE8">
        <w:t>ο οποίος έφερε το βρέφος στον κόσμο, όσο και της Επιτροπής Ηθικής της Γαλλικής Ένωσης Παιδιατρικής</w:t>
      </w:r>
      <w:r w:rsidR="00191EE8">
        <w:rPr>
          <w:rStyle w:val="FootnoteReference"/>
        </w:rPr>
        <w:footnoteReference w:id="125"/>
      </w:r>
      <w:r w:rsidR="00191EE8">
        <w:t>.</w:t>
      </w:r>
      <w:r w:rsidR="0098646B">
        <w:t xml:space="preserve"> </w:t>
      </w:r>
    </w:p>
    <w:p w14:paraId="63FFC27C" w14:textId="77777777" w:rsidR="008E4D08" w:rsidRDefault="0098646B" w:rsidP="00626EB5">
      <w:r>
        <w:t xml:space="preserve">Η βασική κριτική κατά της </w:t>
      </w:r>
      <w:r w:rsidR="0000424F">
        <w:t>συστηματοποίηση</w:t>
      </w:r>
      <w:r>
        <w:t>ς</w:t>
      </w:r>
      <w:r w:rsidR="0000424F">
        <w:t xml:space="preserve"> της τεχνικής της διπλής προεμφευτικής διάγνωσης, με άλλα λόγια, την οποία επέφερε η αναθεώρηση του 2011,</w:t>
      </w:r>
      <w:r>
        <w:t xml:space="preserve"> συνίσταται στο ότι η συστηματοποίηση αυτή</w:t>
      </w:r>
      <w:r w:rsidR="0000424F">
        <w:t xml:space="preserve"> </w:t>
      </w:r>
      <w:r w:rsidR="002D1ED9">
        <w:t>δεν προέκυψε από την αξιολόγηση των προϋπο</w:t>
      </w:r>
      <w:r w:rsidR="0000424F">
        <w:t>θέσεων και των αποτελεσμάτων της εφαρμογή</w:t>
      </w:r>
      <w:r>
        <w:t>ς του μέτρου</w:t>
      </w:r>
      <w:r w:rsidR="002D1ED9">
        <w:t xml:space="preserve">. </w:t>
      </w:r>
      <w:r w:rsidR="007870BD">
        <w:t>Στην πραγματικότητα, η «επικύρωση» της τεχνικής της δι</w:t>
      </w:r>
      <w:r w:rsidR="0000424F">
        <w:t>πλής προεμφυτευτικής διάγνωσης</w:t>
      </w:r>
      <w:r>
        <w:t xml:space="preserve"> </w:t>
      </w:r>
      <w:r w:rsidR="007870BD">
        <w:t xml:space="preserve">στόχο της είχε τη γενίκευση της μεταμόσχευσης αιμοποιητικών βλαστικών κυττάρων που υπάρχουν στο αίμα του πλακούντα. Αφενός, η ποσότητα των μονάδων του αίματος του πλακούντα ήταν ανεπαρκής για να καλύψει τις υφιστάμενες ανάγκες, αφετέρου, υπήρχε ανάγκη για μεγαλύτερη ποικιλία μοσχευμάτων προς διάθεση. </w:t>
      </w:r>
      <w:r w:rsidR="007D7280">
        <w:t>Για το λόγο αυτό και δεν είναι λίγοι εκείνοι που εύχονται να εκλείψει σύντομα η ανάγκη προσφυγής στην τενική αυτή</w:t>
      </w:r>
      <w:r w:rsidR="00FE7E25">
        <w:t xml:space="preserve">. </w:t>
      </w:r>
    </w:p>
    <w:p w14:paraId="65D502E2" w14:textId="77777777" w:rsidR="004342DF" w:rsidRDefault="002854C8" w:rsidP="00626EB5">
      <w:r>
        <w:t>Η προσφυγή στην τεχνική της διπλής προεμφυτευτικής διάγνωσης, με σκοπό τη γέννηση ενός τέκνου που θα επιτρέψει τη θεραπεία του αδερφού ή της αδερφής του,</w:t>
      </w:r>
      <w:r w:rsidR="00266C37">
        <w:t xml:space="preserve"> αναγνωρίστηκε από το νομοθέτη αλλά και τους επιστήμονες ως ένα μέτρο</w:t>
      </w:r>
      <w:r>
        <w:t xml:space="preserve"> έκτακτου χαρακτήρα που μόνο κατ’ εξαίρεση </w:t>
      </w:r>
      <w:r w:rsidR="004D4655">
        <w:t>μπορεί να</w:t>
      </w:r>
      <w:r>
        <w:t xml:space="preserve"> τίθεται σε εφαρμογή</w:t>
      </w:r>
      <w:r w:rsidR="004D4655">
        <w:t>. Αυτό αποδεικνύεται, δε, όχι μόνο από το σ</w:t>
      </w:r>
      <w:r w:rsidR="00AF0BD9">
        <w:t>ύνολο των περιοριστικών προϋποθέ</w:t>
      </w:r>
      <w:r w:rsidR="004D4655">
        <w:t>σεων που έθεσε ο νομοθέτης, αλλά και από το γεγονός ότι την έγκριση τελικά για τη διενέργεια διπλής προεμφυτευτικής διάγνωσης την πα</w:t>
      </w:r>
      <w:r w:rsidR="004A1EA5">
        <w:t xml:space="preserve">ρέχει ο Οργανισμός Βιοϊατρικής. </w:t>
      </w:r>
      <w:r w:rsidR="00AF0BD9">
        <w:t xml:space="preserve">Σύμφωνα με την </w:t>
      </w:r>
      <w:r w:rsidR="00B37D9F">
        <w:t xml:space="preserve">από 18 Ιανουαρίου 2012 </w:t>
      </w:r>
      <w:r w:rsidR="00266C37">
        <w:t xml:space="preserve">αριθ. 2012-03 </w:t>
      </w:r>
      <w:r w:rsidR="00AF0BD9">
        <w:t>Απόφαση της Γενι</w:t>
      </w:r>
      <w:r w:rsidR="00266C37">
        <w:t>κής Διευθύντριας του Οργανισμού</w:t>
      </w:r>
      <w:r w:rsidR="00AF0BD9">
        <w:t xml:space="preserve"> Βιοϊατρικής</w:t>
      </w:r>
      <w:r w:rsidR="00B37D9F">
        <w:rPr>
          <w:rStyle w:val="FootnoteReference"/>
        </w:rPr>
        <w:footnoteReference w:id="126"/>
      </w:r>
      <w:r w:rsidR="00AF0BD9">
        <w:t>, τ</w:t>
      </w:r>
      <w:r w:rsidR="004A1EA5">
        <w:t>ο αίτημα του υποβοηθούμενου ζευγαριού απευθύνεται στον Οργανισμό Βιοϊατρικής από το Κέντρο που είναι ειδικά εξουσιοδοτημένο για τη διενέργεια προεμφυτευτικής διάγνωσης</w:t>
      </w:r>
      <w:r w:rsidR="00F57361">
        <w:t>, σύμφωνα με υπόδειγμα αίτησης έγκρισης που έχει ετοιμάσει ο Οργανισμός για το σκοπό αυτό</w:t>
      </w:r>
      <w:r w:rsidR="00F57361">
        <w:rPr>
          <w:rStyle w:val="FootnoteReference"/>
        </w:rPr>
        <w:footnoteReference w:id="127"/>
      </w:r>
      <w:r w:rsidR="00F57361">
        <w:t xml:space="preserve">. </w:t>
      </w:r>
      <w:r w:rsidR="008F755F">
        <w:t xml:space="preserve">Η </w:t>
      </w:r>
      <w:r w:rsidR="008F755F">
        <w:lastRenderedPageBreak/>
        <w:t xml:space="preserve">Διευθύντρια του Οργανισμού εγκρίνει, κατά περίπτωση, την προεμφυτευτική διάγνωση μόνο εάν το υποψήφιο υποβοηθούμενο ζευγάρι συγκεντρώνει το σύνολο </w:t>
      </w:r>
      <w:r w:rsidR="004342DF">
        <w:t>των αναγκαίων προϋποθέσεων. Π</w:t>
      </w:r>
      <w:r w:rsidR="008F755F">
        <w:t>ροκειμένου</w:t>
      </w:r>
      <w:r w:rsidR="004342DF">
        <w:t>, μάλιστα,</w:t>
      </w:r>
      <w:r w:rsidR="008F755F">
        <w:t xml:space="preserve"> να εκδώσει την απόφασή της υποστηρίζεται από το Συμβούλιο Προσανατολισμού του Οργανισμού.</w:t>
      </w:r>
      <w:r w:rsidR="00DE4535">
        <w:t xml:space="preserve"> </w:t>
      </w:r>
    </w:p>
    <w:p w14:paraId="37DC9143" w14:textId="4B9924FA" w:rsidR="00B0408A" w:rsidRPr="00B37D9F" w:rsidRDefault="00DE4535" w:rsidP="00626EB5">
      <w:r>
        <w:t xml:space="preserve">Ενδεικτικά αναφέρεται ότι σε σύνολο </w:t>
      </w:r>
      <w:r w:rsidR="009D1A64">
        <w:t>είκοσι (</w:t>
      </w:r>
      <w:r>
        <w:t>20</w:t>
      </w:r>
      <w:r w:rsidR="009D1A64">
        <w:t>)</w:t>
      </w:r>
      <w:r>
        <w:t xml:space="preserve"> </w:t>
      </w:r>
      <w:r w:rsidR="00E05A35">
        <w:t>αιτημάτων</w:t>
      </w:r>
      <w:r>
        <w:t xml:space="preserve"> που υποβλήθηκαν στον Οργανισμό</w:t>
      </w:r>
      <w:r w:rsidR="004342DF">
        <w:t xml:space="preserve"> Βιοϊατρικής</w:t>
      </w:r>
      <w:r w:rsidR="00E05A35">
        <w:t xml:space="preserve">, από το 2004 έως το 2010, </w:t>
      </w:r>
      <w:r w:rsidR="009D1A64">
        <w:t xml:space="preserve">δεκτά </w:t>
      </w:r>
      <w:r w:rsidR="00E05A35">
        <w:t>έγιναν</w:t>
      </w:r>
      <w:r w:rsidR="009D1A64" w:rsidRPr="009D1A64">
        <w:t xml:space="preserve"> </w:t>
      </w:r>
      <w:r w:rsidR="009D1A64">
        <w:t>τα δεκαεπτά (17)</w:t>
      </w:r>
      <w:r w:rsidR="00E05A35">
        <w:t xml:space="preserve">. Από τις </w:t>
      </w:r>
      <w:r w:rsidR="00F925FC">
        <w:t xml:space="preserve">δεκαεπτά </w:t>
      </w:r>
      <w:r>
        <w:t xml:space="preserve">αυτές περιπτώσεις </w:t>
      </w:r>
      <w:r w:rsidR="00F925FC">
        <w:t>μόνο μία κατέληξε σε τοκετό</w:t>
      </w:r>
      <w:r>
        <w:t>, τον Ιανουάριο του 2011. Πράγματι, όπως χαρακτηριστικά αναφέρει η Aline Cheynet de Beaupr</w:t>
      </w:r>
      <w:r w:rsidRPr="00F61AE7">
        <w:t>é</w:t>
      </w:r>
      <w:r>
        <w:t>, «στον εξαιρετικό χαρακτήρα των νομικών διατάξεων προστίθεται και η στατιστική σπανιότητα»</w:t>
      </w:r>
      <w:r>
        <w:rPr>
          <w:rStyle w:val="FootnoteReference"/>
        </w:rPr>
        <w:footnoteReference w:id="128"/>
      </w:r>
      <w:r>
        <w:t xml:space="preserve">. </w:t>
      </w:r>
    </w:p>
    <w:p w14:paraId="23BD862B" w14:textId="77777777" w:rsidR="009B4BDF" w:rsidRDefault="008E4D08" w:rsidP="009B4BDF">
      <w:pPr>
        <w:pStyle w:val="Heading3"/>
      </w:pPr>
      <w:bookmarkStart w:id="59" w:name="_Toc275535594"/>
      <w:bookmarkStart w:id="60" w:name="_Toc276574383"/>
      <w:r>
        <w:rPr>
          <w:lang w:val="el-GR"/>
        </w:rPr>
        <w:t>ε</w:t>
      </w:r>
      <w:r w:rsidR="009B4BDF">
        <w:t xml:space="preserve">. </w:t>
      </w:r>
      <w:r w:rsidR="006604C4">
        <w:t>Άλλοι όροι πρόσβασης στην υποβοηθούμενη αναπαραγωγή που αφορούν ειδικότερα στο ζευγάρι</w:t>
      </w:r>
      <w:bookmarkEnd w:id="59"/>
      <w:bookmarkEnd w:id="60"/>
      <w:r w:rsidR="006604C4">
        <w:t xml:space="preserve"> </w:t>
      </w:r>
      <w:r w:rsidR="009B4BDF">
        <w:t xml:space="preserve"> </w:t>
      </w:r>
    </w:p>
    <w:p w14:paraId="2ED60B96" w14:textId="3A34FF0D" w:rsidR="009C031A" w:rsidRPr="00FA0918" w:rsidRDefault="009B4BDF" w:rsidP="00642B1A">
      <w:r>
        <w:rPr>
          <w:rFonts w:eastAsia="Calibri"/>
          <w:lang w:eastAsia="en-US"/>
        </w:rPr>
        <w:t>Πριν</w:t>
      </w:r>
      <w:r w:rsidR="00642B1A">
        <w:rPr>
          <w:rFonts w:eastAsia="Calibri"/>
          <w:lang w:eastAsia="en-US"/>
        </w:rPr>
        <w:t xml:space="preserve"> περάσουμε στις γενικές προϋποθέσεις εφαρμογής των μεθόδων ιατρικά υποβοηθούμενης αναπαραγωγής σε ζευγάρια, </w:t>
      </w:r>
      <w:r w:rsidR="0030000B">
        <w:rPr>
          <w:rFonts w:eastAsia="Calibri"/>
          <w:lang w:eastAsia="en-US"/>
        </w:rPr>
        <w:t>θα ήταν χρήσιμο για τη</w:t>
      </w:r>
      <w:r w:rsidR="003937C4">
        <w:rPr>
          <w:rFonts w:eastAsia="Calibri"/>
          <w:lang w:eastAsia="en-US"/>
        </w:rPr>
        <w:t xml:space="preserve"> συνέχεια</w:t>
      </w:r>
      <w:r w:rsidR="00642B1A">
        <w:rPr>
          <w:rFonts w:eastAsia="Calibri"/>
          <w:lang w:eastAsia="en-US"/>
        </w:rPr>
        <w:t xml:space="preserve"> να συνοψισθούν, υπό μορφή επισήμανσης, οι ακόλουθες παρατ</w:t>
      </w:r>
      <w:r w:rsidR="003937C4">
        <w:rPr>
          <w:rFonts w:eastAsia="Calibri"/>
          <w:lang w:eastAsia="en-US"/>
        </w:rPr>
        <w:t xml:space="preserve">ηρήσεις που αφορούν ειδικότερα </w:t>
      </w:r>
      <w:r w:rsidR="00995C28">
        <w:rPr>
          <w:rFonts w:eastAsia="Calibri"/>
          <w:lang w:eastAsia="en-US"/>
        </w:rPr>
        <w:t>στο υποψήφιο υποβοηθούμενο ζευγάρι</w:t>
      </w:r>
      <w:r w:rsidR="009C031A">
        <w:rPr>
          <w:rFonts w:eastAsia="Calibri"/>
          <w:lang w:eastAsia="en-US"/>
        </w:rPr>
        <w:t>, το οποίο</w:t>
      </w:r>
      <w:r w:rsidR="00AA737D">
        <w:rPr>
          <w:rFonts w:eastAsia="Calibri"/>
          <w:lang w:eastAsia="en-US"/>
        </w:rPr>
        <w:t xml:space="preserve"> μπορεί να είναι</w:t>
      </w:r>
      <w:r w:rsidR="009C031A">
        <w:rPr>
          <w:rFonts w:eastAsia="Calibri"/>
          <w:lang w:eastAsia="en-US"/>
        </w:rPr>
        <w:t xml:space="preserve"> </w:t>
      </w:r>
      <w:r w:rsidR="00AA737D">
        <w:rPr>
          <w:rFonts w:eastAsia="Calibri"/>
          <w:lang w:eastAsia="en-US"/>
        </w:rPr>
        <w:t xml:space="preserve">έγγαμο ή όχι (§1), </w:t>
      </w:r>
      <w:r w:rsidR="009C031A">
        <w:rPr>
          <w:rFonts w:eastAsia="Calibri"/>
          <w:lang w:eastAsia="en-US"/>
        </w:rPr>
        <w:t xml:space="preserve">θα πρέπει </w:t>
      </w:r>
      <w:r w:rsidR="00AA737D">
        <w:rPr>
          <w:rFonts w:eastAsia="Calibri"/>
          <w:lang w:eastAsia="en-US"/>
        </w:rPr>
        <w:t xml:space="preserve">όμως να είναι </w:t>
      </w:r>
      <w:r w:rsidR="009C031A">
        <w:rPr>
          <w:rFonts w:eastAsia="Calibri"/>
          <w:lang w:eastAsia="en-US"/>
        </w:rPr>
        <w:t xml:space="preserve">διαφορετικού φύλου (§2) και εν ζωή (§3). </w:t>
      </w:r>
    </w:p>
    <w:p w14:paraId="3EBDB210" w14:textId="77777777" w:rsidR="00642B1A" w:rsidRDefault="00CF47CC" w:rsidP="00CF47CC">
      <w:pPr>
        <w:pStyle w:val="Heading4"/>
      </w:pPr>
      <w:bookmarkStart w:id="61" w:name="_Toc276574384"/>
      <w:r w:rsidRPr="00CF47CC">
        <w:t>§1</w:t>
      </w:r>
      <w:r w:rsidR="00642B1A" w:rsidRPr="00CF47CC">
        <w:t>.</w:t>
      </w:r>
      <w:r w:rsidR="00642B1A" w:rsidRPr="00FA0918">
        <w:t xml:space="preserve"> </w:t>
      </w:r>
      <w:r w:rsidR="00D62F39">
        <w:t>Τα</w:t>
      </w:r>
      <w:r w:rsidR="00642B1A">
        <w:t xml:space="preserve"> </w:t>
      </w:r>
      <w:r w:rsidR="00D62F39">
        <w:t>υποψήφια υποβοηθούμενα πρόσωπα πρέπει να είναι</w:t>
      </w:r>
      <w:r w:rsidR="00642B1A">
        <w:t xml:space="preserve"> </w:t>
      </w:r>
      <w:r w:rsidR="00642B1A" w:rsidRPr="001165FA">
        <w:t>ζευγάρι, έγγαμο ή όχι</w:t>
      </w:r>
      <w:bookmarkEnd w:id="61"/>
    </w:p>
    <w:p w14:paraId="0E64F3B2" w14:textId="77777777" w:rsidR="008B5033" w:rsidRDefault="0030000B" w:rsidP="00642B1A">
      <w:bookmarkStart w:id="62" w:name="δύο_χρόνια_κοινού_βίου"/>
      <w:r>
        <w:t>Έως και το 2011 (και</w:t>
      </w:r>
      <w:r w:rsidR="008B5033">
        <w:t xml:space="preserve"> το νόμο της 7</w:t>
      </w:r>
      <w:r w:rsidR="008B5033" w:rsidRPr="008B5033">
        <w:rPr>
          <w:vertAlign w:val="superscript"/>
        </w:rPr>
        <w:t>ης</w:t>
      </w:r>
      <w:r>
        <w:t xml:space="preserve"> Ιουλίου)</w:t>
      </w:r>
      <w:r w:rsidR="008B5033">
        <w:t>, το υποψήφιο υ</w:t>
      </w:r>
      <w:r w:rsidR="00AD4595">
        <w:t>ποβοηθούμενο ζευγάρι έπρεπε να είναι</w:t>
      </w:r>
      <w:r w:rsidR="008B5033">
        <w:t xml:space="preserve"> έγγαμο ή σε θέση να αποδείξει κοινό βίο διάρκειας τουλάχιστο δύο ετών. </w:t>
      </w:r>
      <w:r w:rsidR="00AD4595">
        <w:t>Με τον τρόπο αυτό, ο νομοθέτης διέκρινε ουσιαστικά</w:t>
      </w:r>
      <w:r w:rsidR="008B5033">
        <w:t xml:space="preserve"> μεταξύ, αφενός, των ζευγαριών που ήταν </w:t>
      </w:r>
      <w:r w:rsidR="00AD4595">
        <w:t>έγγαμα</w:t>
      </w:r>
      <w:r w:rsidR="008B5033">
        <w:t xml:space="preserve"> και, αφετέρου, </w:t>
      </w:r>
      <w:r w:rsidR="00AD4595">
        <w:t>των ζευγαριών εκείνων</w:t>
      </w:r>
      <w:r w:rsidR="008B5033">
        <w:t xml:space="preserve"> που δεν ήταν. Και ενώ τα πρώτα δεν </w:t>
      </w:r>
      <w:r w:rsidR="00AD4595">
        <w:t xml:space="preserve">όφειλαν </w:t>
      </w:r>
      <w:r w:rsidR="008B5033">
        <w:t xml:space="preserve">να αποδείξουν τη διάρκεια </w:t>
      </w:r>
      <w:r w:rsidR="00AD4595">
        <w:t>της σχέσης τους</w:t>
      </w:r>
      <w:r w:rsidR="00425C0E">
        <w:rPr>
          <w:rStyle w:val="FootnoteReference"/>
        </w:rPr>
        <w:footnoteReference w:id="129"/>
      </w:r>
      <w:r w:rsidR="00AD4595">
        <w:t xml:space="preserve">, τα δεύτερα ήταν υποχρεωμένα να προσκομίσουν απόδειξη ότι διήγαν κοινό βίο για διάρκεια τουλάχιστο δύο ετών προκειμένου να έχουν πρόσβαση σε τεχνικές ιατρικά υποβοηθούμενης αναπαραγωγής. Ο νομοθέτης ουσιαστικά απαιτούσε από τα υποψήφια υποβοηθούμενα πρόσωπα την ύπαρξη </w:t>
      </w:r>
      <w:r w:rsidR="00B53EA6">
        <w:t xml:space="preserve">της προϋπόθεσης σταθερότητας στη σχέση τους, τεκμαιρόμενη για τα έγγαμα ζευγάρια και προς απόδειξη για όλα τα άλλα. Όπως το επιβεβαιώνει άλλωστε και το Συμβούλιο της Επικρατείας </w:t>
      </w:r>
      <w:r w:rsidR="00CD3DAC">
        <w:t>στην από 9 Απριλίου</w:t>
      </w:r>
      <w:r w:rsidR="00B53EA6">
        <w:t xml:space="preserve"> 2009</w:t>
      </w:r>
      <w:r w:rsidR="00CD3DAC">
        <w:t xml:space="preserve"> Έκθεσή του</w:t>
      </w:r>
      <w:r w:rsidR="00B53EA6">
        <w:t>, η προϋπόθεση της διάρκειας ανταποκρινόταν σε μια διπλή απαίτηση, τόσο ιατρική όσο και νομικο-κοινωνική: ήταν δυνατό να ερμηνευθεί ως «εχέγγυο σταθερότητας του ζευγαριού προς το συμφέρον του τέκνου»</w:t>
      </w:r>
      <w:r w:rsidR="00B53EA6">
        <w:rPr>
          <w:rStyle w:val="FootnoteReference"/>
        </w:rPr>
        <w:footnoteReference w:id="130"/>
      </w:r>
      <w:r w:rsidR="00B53EA6">
        <w:t xml:space="preserve">. </w:t>
      </w:r>
    </w:p>
    <w:p w14:paraId="51E5AC02" w14:textId="77777777" w:rsidR="008B5033" w:rsidRDefault="005A5049" w:rsidP="00457D3F">
      <w:r>
        <w:lastRenderedPageBreak/>
        <w:t>Σήμερα</w:t>
      </w:r>
      <w:r w:rsidR="00CD3DAC">
        <w:t xml:space="preserve">, μετά την αναθεώρηση των </w:t>
      </w:r>
      <w:r w:rsidR="00CD3DAC" w:rsidRPr="000068B4">
        <w:rPr>
          <w:i/>
        </w:rPr>
        <w:t>Νόμων περί Βιοηθικής</w:t>
      </w:r>
      <w:r w:rsidR="00CD3DAC">
        <w:t xml:space="preserve"> του 2011, δεν είναι πλέον αναγκαίο το ζευγάρι ούτε έγγαμο να είναι, ούτε να μπορεί να αποδείξει την επί τουλάχιστο δύο ετών διάρκεια της σχέσης του. Βέβαια, αρχικά, η σκέψη ήταν να εξισωθεί ο γάμος με το σύμφωνο συμβίωσης. Ωστόσο, τελικά, προτιμήθηκε η κατάργηση της προϋπόθεσης της διάρκειας των δύο ετώ</w:t>
      </w:r>
      <w:r w:rsidR="000C62DA">
        <w:t>ν, λύση που προκρίθηκε προς το συμφέρον τόσο των ζευγαριών, όσο και των γιατρών, οι οποίοι αντιμετώπιζαν</w:t>
      </w:r>
      <w:r w:rsidR="003A0872">
        <w:t>, σύμφωνα την Κοινοβουλευτική Αποστολή Πληροφόρησης,</w:t>
      </w:r>
      <w:r w:rsidR="000C62DA">
        <w:t xml:space="preserve"> την πρακτική δυσκολία να πρέπει να επαληθεύουν τη συνδρομή της προϋπόθεσης της διάρκειας των δύο ετών</w:t>
      </w:r>
      <w:r w:rsidR="000C62DA">
        <w:rPr>
          <w:rStyle w:val="FootnoteReference"/>
        </w:rPr>
        <w:footnoteReference w:id="131"/>
      </w:r>
      <w:r w:rsidR="000C62DA">
        <w:t xml:space="preserve">. </w:t>
      </w:r>
      <w:r w:rsidR="006874CB">
        <w:t xml:space="preserve">Τα επιχειρήματα που κυρίως κινητοποιήθηκαν προκειμένου να δικαιολογηθεί η προκριθείσα λύση συνίστανται, μεταξύ άλλων, στο γεγονός ότι ούτως ή άλλως η ιατρικά υποβοηθούμενη αναπαραγωγή είναι </w:t>
      </w:r>
      <w:r w:rsidR="00457D3F">
        <w:t xml:space="preserve">από μόνη της </w:t>
      </w:r>
      <w:r w:rsidR="006874CB">
        <w:t xml:space="preserve">μια </w:t>
      </w:r>
      <w:r w:rsidR="00457D3F">
        <w:t>χρονοβόρα</w:t>
      </w:r>
      <w:r w:rsidR="006874CB">
        <w:t xml:space="preserve"> διαδικασία</w:t>
      </w:r>
      <w:r w:rsidR="00457D3F">
        <w:t xml:space="preserve">, καθώς επίσης και στο ότι η προϋπόθεση της περιόδου των δύο ετών αποτελούσε εμπόδιο στην αναπαραγωγή για πολλά ζευγάρια. </w:t>
      </w:r>
      <w:r w:rsidR="0059702A">
        <w:t xml:space="preserve">Συνεπώς, από το 2011 και μετά, η κατάσταση με την οποία έρχεται αντιμέτωπος ο ιατρός είναι η εξής: ενώπιόν του παρουσιάζονται μια γυναίκα και ένας άνδρας, οι οποίοι παρόλα αυτά θα πρέπει να είναι ζευγάρι (έγγαμο, άγαμο ή σε </w:t>
      </w:r>
      <w:r w:rsidR="00710B50">
        <w:t>ελεύθερη</w:t>
      </w:r>
      <w:r w:rsidR="0059702A">
        <w:t xml:space="preserve"> ένωση για πάνω ή </w:t>
      </w:r>
      <w:r w:rsidR="00710B50">
        <w:t>κάτω</w:t>
      </w:r>
      <w:r w:rsidR="0059702A">
        <w:t xml:space="preserve"> των δύο ετών δεν έχει σημασία)</w:t>
      </w:r>
      <w:r w:rsidR="00710B50">
        <w:t xml:space="preserve">. </w:t>
      </w:r>
    </w:p>
    <w:p w14:paraId="7304B957" w14:textId="77777777" w:rsidR="00642B1A" w:rsidRDefault="00710B50" w:rsidP="0082296D">
      <w:r>
        <w:t>Ο</w:t>
      </w:r>
      <w:r w:rsidR="00642B1A">
        <w:t>ρισμένοι</w:t>
      </w:r>
      <w:r>
        <w:t>, εντούτοις,</w:t>
      </w:r>
      <w:r w:rsidR="00642B1A">
        <w:t xml:space="preserve"> ισχυρίζονται ότι η εξέλιξη αυτή δυσχεραίνει </w:t>
      </w:r>
      <w:r w:rsidR="00247D42">
        <w:t>ακόμη περισσότερο</w:t>
      </w:r>
      <w:r w:rsidR="00642B1A">
        <w:t xml:space="preserve"> το έργο του ιατρού, ο οποίος εξακολουθεί να </w:t>
      </w:r>
      <w:r w:rsidR="00247D42">
        <w:t xml:space="preserve">υποχρεούται να διαπιστώσει </w:t>
      </w:r>
      <w:r w:rsidR="00642B1A">
        <w:t xml:space="preserve">εάν πράγματι τα υποψήφια υποβοηθούμενα πρόσωπα που έχει ενώπιόν του συνθέτουν ζευγάρι, χωρίς ωστόσο να έχει στη διάθεσή του </w:t>
      </w:r>
      <w:r w:rsidR="0048088E">
        <w:t>τα αναγκαία μέσα</w:t>
      </w:r>
      <w:r w:rsidR="00642B1A">
        <w:t xml:space="preserve"> για να το κάνει</w:t>
      </w:r>
      <w:r w:rsidR="00CD467D">
        <w:rPr>
          <w:rStyle w:val="FootnoteReference"/>
        </w:rPr>
        <w:footnoteReference w:id="132"/>
      </w:r>
      <w:r w:rsidR="00642B1A">
        <w:t xml:space="preserve">. </w:t>
      </w:r>
      <w:r w:rsidR="006522A5">
        <w:t xml:space="preserve">Διότι, </w:t>
      </w:r>
      <w:r>
        <w:t>μπορεί για</w:t>
      </w:r>
      <w:r w:rsidR="00642B1A">
        <w:t xml:space="preserve"> τα έγγαμα ζευγάρια ή τα ζευγάρια που έχουν συνάψει σύμφωνο συμβίωσης (</w:t>
      </w:r>
      <w:r w:rsidR="00642B1A" w:rsidRPr="001165FA">
        <w:rPr>
          <w:i/>
          <w:lang w:val="en-US"/>
        </w:rPr>
        <w:t>Pacte</w:t>
      </w:r>
      <w:r w:rsidR="00642B1A" w:rsidRPr="001165FA">
        <w:rPr>
          <w:i/>
        </w:rPr>
        <w:t xml:space="preserve"> </w:t>
      </w:r>
      <w:r w:rsidR="00642B1A" w:rsidRPr="001165FA">
        <w:rPr>
          <w:i/>
          <w:lang w:val="en-US"/>
        </w:rPr>
        <w:t>civil</w:t>
      </w:r>
      <w:r w:rsidR="00642B1A" w:rsidRPr="001165FA">
        <w:rPr>
          <w:i/>
        </w:rPr>
        <w:t xml:space="preserve"> </w:t>
      </w:r>
      <w:r w:rsidR="00642B1A" w:rsidRPr="001165FA">
        <w:rPr>
          <w:i/>
          <w:lang w:val="en-US"/>
        </w:rPr>
        <w:t>de</w:t>
      </w:r>
      <w:r w:rsidR="00642B1A" w:rsidRPr="001165FA">
        <w:rPr>
          <w:i/>
        </w:rPr>
        <w:t xml:space="preserve"> </w:t>
      </w:r>
      <w:r w:rsidR="00642B1A" w:rsidRPr="001165FA">
        <w:rPr>
          <w:i/>
          <w:lang w:val="en-US"/>
        </w:rPr>
        <w:t>solidarit</w:t>
      </w:r>
      <w:r w:rsidR="00642B1A" w:rsidRPr="001165FA">
        <w:rPr>
          <w:i/>
        </w:rPr>
        <w:t xml:space="preserve">é, </w:t>
      </w:r>
      <w:r w:rsidR="00642B1A" w:rsidRPr="001165FA">
        <w:rPr>
          <w:i/>
          <w:lang w:val="en-US"/>
        </w:rPr>
        <w:t>PACS</w:t>
      </w:r>
      <w:r w:rsidR="00642B1A">
        <w:t>)</w:t>
      </w:r>
      <w:r w:rsidR="00642B1A" w:rsidRPr="007A14F6">
        <w:t xml:space="preserve"> </w:t>
      </w:r>
      <w:r>
        <w:t>να αρκεί να προσκομίσουν το σχετικό δικαιολογητικό</w:t>
      </w:r>
      <w:r w:rsidR="006522A5">
        <w:rPr>
          <w:rStyle w:val="FootnoteReference"/>
        </w:rPr>
        <w:footnoteReference w:id="133"/>
      </w:r>
      <w:r w:rsidR="006522A5">
        <w:t>,</w:t>
      </w:r>
      <w:r>
        <w:t xml:space="preserve"> </w:t>
      </w:r>
      <w:r w:rsidR="006522A5">
        <w:t>τα υπόλοιπα ζευγάρια, ωστόσο, που ζουν σε ελεύθερη ένωση, εξακολουθούν να υποχρεούνται να αποδείξουν ότι αποτελούν πράγματι ζευγάρι</w:t>
      </w:r>
      <w:r w:rsidR="006522A5">
        <w:rPr>
          <w:lang w:val="en-US"/>
        </w:rPr>
        <w:t xml:space="preserve">. </w:t>
      </w:r>
      <w:r w:rsidR="006522A5">
        <w:t xml:space="preserve">Ο ιατρός, </w:t>
      </w:r>
      <w:r w:rsidR="0048088E">
        <w:t>με άλλα λόγια,</w:t>
      </w:r>
      <w:r w:rsidR="006522A5">
        <w:t xml:space="preserve"> </w:t>
      </w:r>
      <w:r w:rsidR="00642B1A">
        <w:t xml:space="preserve">εξακολουθεί να είναι υποχρεωμένος να εξακριβώσει ότι πρόκειται για ένα πραγματικό ζευγάρι σύμφωνα με τους όρους του άρθρου 515-8 ΑΚ: </w:t>
      </w:r>
      <w:r w:rsidR="0048088E">
        <w:t xml:space="preserve">δηλαδή μια </w:t>
      </w:r>
      <w:r w:rsidR="00642B1A" w:rsidRPr="0048088E">
        <w:rPr>
          <w:i/>
          <w:lang w:val="en-US"/>
        </w:rPr>
        <w:t>de</w:t>
      </w:r>
      <w:r w:rsidR="00642B1A" w:rsidRPr="0048088E">
        <w:rPr>
          <w:i/>
        </w:rPr>
        <w:t xml:space="preserve"> </w:t>
      </w:r>
      <w:r w:rsidR="00642B1A" w:rsidRPr="0048088E">
        <w:rPr>
          <w:i/>
          <w:lang w:val="en-US"/>
        </w:rPr>
        <w:t>facto</w:t>
      </w:r>
      <w:r w:rsidR="00642B1A" w:rsidRPr="007A14F6">
        <w:t xml:space="preserve"> </w:t>
      </w:r>
      <w:r w:rsidR="00642B1A">
        <w:t xml:space="preserve">ένωση, που χαρακτηρίζεται από έναν κοινό βίο που παρουσιάζει ένα χαρακτήρα σταθερότητας και συνέχειας μεταξύ </w:t>
      </w:r>
      <w:r w:rsidR="006522A5">
        <w:t xml:space="preserve">δύο προσώπων, διαφορετικού φύλου εν προκειμένω, </w:t>
      </w:r>
      <w:r w:rsidR="00642B1A">
        <w:t xml:space="preserve">που ζουν σε ζευγάρι. </w:t>
      </w:r>
      <w:r w:rsidR="0048088E">
        <w:t>Ό</w:t>
      </w:r>
      <w:r w:rsidR="00642B1A">
        <w:t xml:space="preserve">πως και πριν την αναθεώρηση της </w:t>
      </w:r>
      <w:r w:rsidR="00642B1A" w:rsidRPr="001C730C">
        <w:rPr>
          <w:i/>
        </w:rPr>
        <w:t>Νομοθεσίας περί Βιοηθικής</w:t>
      </w:r>
      <w:r w:rsidR="00642B1A">
        <w:t xml:space="preserve">, </w:t>
      </w:r>
      <w:r w:rsidR="0048088E">
        <w:t xml:space="preserve">συνεπώς, </w:t>
      </w:r>
      <w:r w:rsidR="00642B1A">
        <w:t xml:space="preserve">ο ιατρός </w:t>
      </w:r>
      <w:r w:rsidR="0048088E">
        <w:t>εξασφαλίζεται ζητώντας</w:t>
      </w:r>
      <w:r w:rsidR="00642B1A">
        <w:t xml:space="preserve"> ένα</w:t>
      </w:r>
      <w:r w:rsidR="0082296D">
        <w:t xml:space="preserve"> αντίγραφο κοινού λογαριασμού</w:t>
      </w:r>
      <w:r w:rsidR="00642B1A">
        <w:t xml:space="preserve"> </w:t>
      </w:r>
      <w:r w:rsidR="0048088E">
        <w:t>(όπως, π.χ., ενοίκιο, λογαριασμό ηλεκτρικού ρεύματος ή φυσικού αερίου κ.λπ.)</w:t>
      </w:r>
      <w:r w:rsidR="0082296D">
        <w:t xml:space="preserve"> ή κοινής φορολογικής δήλωσης, από τα οποία</w:t>
      </w:r>
      <w:r w:rsidR="00642B1A">
        <w:t xml:space="preserve"> να </w:t>
      </w:r>
      <w:r w:rsidR="0048088E">
        <w:t xml:space="preserve">προκύπτει ουσιαστικά </w:t>
      </w:r>
      <w:r w:rsidR="00642B1A">
        <w:t xml:space="preserve">ότι το ζευγάρι </w:t>
      </w:r>
      <w:r w:rsidR="0048088E">
        <w:t>μοιράζεται την ίδια στέγη</w:t>
      </w:r>
      <w:r w:rsidR="0048088E">
        <w:rPr>
          <w:rStyle w:val="FootnoteReference"/>
        </w:rPr>
        <w:footnoteReference w:id="134"/>
      </w:r>
      <w:r w:rsidR="00642B1A">
        <w:t xml:space="preserve">. Επίσης, </w:t>
      </w:r>
      <w:r w:rsidR="0048088E">
        <w:t xml:space="preserve">απαραίτητο </w:t>
      </w:r>
      <w:r w:rsidR="00642B1A">
        <w:t>είναι να τους ζητήσε</w:t>
      </w:r>
      <w:r w:rsidR="0048088E">
        <w:t xml:space="preserve">ι μια </w:t>
      </w:r>
      <w:r w:rsidR="0048088E">
        <w:lastRenderedPageBreak/>
        <w:t xml:space="preserve">ληξιαρχική πράξη γέννησης, </w:t>
      </w:r>
      <w:r w:rsidR="00642B1A">
        <w:t xml:space="preserve">η οποία θα του επιτρέψει να εξακριβώσει ότι κανένα από τα δύο </w:t>
      </w:r>
      <w:r w:rsidR="0048088E">
        <w:t xml:space="preserve">υποψήφια υποβοηθούμενα </w:t>
      </w:r>
      <w:r w:rsidR="00642B1A">
        <w:t xml:space="preserve">πρόσωπα δεν </w:t>
      </w:r>
      <w:r w:rsidR="0048088E">
        <w:t>έχει συνάψει</w:t>
      </w:r>
      <w:r w:rsidR="00642B1A">
        <w:t xml:space="preserve"> γάμο ή </w:t>
      </w:r>
      <w:r w:rsidR="00642B1A">
        <w:rPr>
          <w:lang w:val="en-US"/>
        </w:rPr>
        <w:t>PACS</w:t>
      </w:r>
      <w:r w:rsidR="0048088E">
        <w:t xml:space="preserve"> με άλλο </w:t>
      </w:r>
      <w:r w:rsidR="00642B1A">
        <w:t>πρόσωπ</w:t>
      </w:r>
      <w:r w:rsidR="0048088E">
        <w:t>ο</w:t>
      </w:r>
      <w:r w:rsidR="00642B1A">
        <w:rPr>
          <w:rStyle w:val="FootnoteReference"/>
        </w:rPr>
        <w:footnoteReference w:id="135"/>
      </w:r>
      <w:r w:rsidR="00642B1A">
        <w:t xml:space="preserve">. </w:t>
      </w:r>
      <w:bookmarkEnd w:id="62"/>
    </w:p>
    <w:p w14:paraId="17473F09" w14:textId="77777777" w:rsidR="006D731A" w:rsidRPr="006D731A" w:rsidRDefault="000047E3" w:rsidP="006D731A">
      <w:r>
        <w:t xml:space="preserve">Η ύπαρξη του ζευγαριού, τέλος, είναι μια προϋπόθεση που </w:t>
      </w:r>
      <w:r w:rsidR="00446DBE">
        <w:t>οφείλει</w:t>
      </w:r>
      <w:r>
        <w:t xml:space="preserve"> να πληρούνται έως τη</w:t>
      </w:r>
      <w:r w:rsidR="006D731A">
        <w:t xml:space="preserve">ν πραγματοποίηση της ιατρικά υποβοηθούμενης αναπαραγωγής. </w:t>
      </w:r>
      <w:r w:rsidR="006E15F8">
        <w:t xml:space="preserve">Ήδη από 1994, ο Αστικός Κώδικας και το </w:t>
      </w:r>
      <w:r w:rsidR="006E15F8" w:rsidRPr="00C03F9D">
        <w:t xml:space="preserve">άρθρο </w:t>
      </w:r>
      <w:r w:rsidR="00446DBE">
        <w:rPr>
          <w:rStyle w:val="hps"/>
        </w:rPr>
        <w:t>311-20, παρ. 3</w:t>
      </w:r>
      <w:r w:rsidR="006E15F8">
        <w:rPr>
          <w:rStyle w:val="hps"/>
        </w:rPr>
        <w:t>,</w:t>
      </w:r>
      <w:r w:rsidR="006E15F8" w:rsidRPr="00C03F9D">
        <w:rPr>
          <w:rStyle w:val="hps"/>
        </w:rPr>
        <w:t xml:space="preserve"> το οποίο</w:t>
      </w:r>
      <w:r w:rsidR="006E15F8">
        <w:rPr>
          <w:rStyle w:val="hps"/>
        </w:rPr>
        <w:t xml:space="preserve"> προβλέπει τις προϋποθέσεις έγκυρης συναίνεσης</w:t>
      </w:r>
      <w:r w:rsidR="006E15F8">
        <w:t>, ορίζει ότι δεν πρέπει να έχει μεσολαβήσε</w:t>
      </w:r>
      <w:r w:rsidR="00CC3C21">
        <w:t>ι θάνατος ενός εκ των δύο υποψηφί</w:t>
      </w:r>
      <w:r w:rsidR="006E15F8">
        <w:t xml:space="preserve">ων υποβοηθούμενων προσώπων και ότι το ζευγάρι δεν πρέπει να έχει καταθέσει αίτηση διαζυγίου ή να βρίσκεται σε διάσταση ή να έχει διακοπεί ο κοινός του βίος. Η περίπτωση του θανάτου ή του διαζυγίου και της διάστασης δεν ενσωματώθηκε στον Κώδικα Δημόσιας Υγείας παρά μόνο δέκα χρόνια αργότερα, με το </w:t>
      </w:r>
      <w:r w:rsidR="006E15F8" w:rsidRPr="008C47F1">
        <w:rPr>
          <w:i/>
        </w:rPr>
        <w:t>Νόμο περί Βιοηθικής</w:t>
      </w:r>
      <w:r w:rsidR="006E15F8">
        <w:t xml:space="preserve"> του 2004. Ειδικότερα, τ</w:t>
      </w:r>
      <w:r w:rsidR="006D731A">
        <w:t xml:space="preserve">ο άρθρο </w:t>
      </w:r>
      <w:r w:rsidR="006D731A" w:rsidRPr="00E30A79">
        <w:t>L.2141-2,</w:t>
      </w:r>
      <w:r w:rsidR="006D731A">
        <w:t xml:space="preserve"> παρ. 2, </w:t>
      </w:r>
      <w:r w:rsidR="002E099D">
        <w:t xml:space="preserve">ΚΔΥ </w:t>
      </w:r>
      <w:r w:rsidR="006D731A">
        <w:t xml:space="preserve">ορίζει ότι </w:t>
      </w:r>
      <w:r w:rsidR="006D731A" w:rsidRPr="00E30A79">
        <w:t>«</w:t>
      </w:r>
      <w:r w:rsidR="006D731A">
        <w:rPr>
          <w:i/>
        </w:rPr>
        <w:t xml:space="preserve">τη γονιμοποίηση ή τη μεταφορά των εμβρύων αποκλείουν ο θάνατος ενός εκ των δύο προσώπων του υποβοηθούμενου ζευγαριού, </w:t>
      </w:r>
      <w:r w:rsidR="006D731A" w:rsidRPr="006D731A">
        <w:rPr>
          <w:i/>
        </w:rPr>
        <w:t>η κατάθεση αγωγής διαζυγίου ή διάσταση</w:t>
      </w:r>
      <w:r w:rsidR="006D731A">
        <w:rPr>
          <w:i/>
        </w:rPr>
        <w:t>ς</w:t>
      </w:r>
      <w:r w:rsidR="006D731A" w:rsidRPr="006D731A">
        <w:rPr>
          <w:i/>
        </w:rPr>
        <w:t xml:space="preserve"> του ζευγαριού ή η διακοπή του κοινού τους βίου».</w:t>
      </w:r>
      <w:r w:rsidR="006D731A">
        <w:rPr>
          <w:i/>
        </w:rPr>
        <w:t xml:space="preserve"> </w:t>
      </w:r>
    </w:p>
    <w:p w14:paraId="2349FCA3" w14:textId="77777777" w:rsidR="009601C7" w:rsidRDefault="00E10388" w:rsidP="00642B1A">
      <w:pPr>
        <w:rPr>
          <w:rStyle w:val="hps"/>
        </w:rPr>
      </w:pPr>
      <w:r>
        <w:rPr>
          <w:rStyle w:val="hps"/>
        </w:rPr>
        <w:t>Ε</w:t>
      </w:r>
      <w:r w:rsidR="004659A8">
        <w:rPr>
          <w:rStyle w:val="hps"/>
        </w:rPr>
        <w:t>πομένως, ε</w:t>
      </w:r>
      <w:r>
        <w:rPr>
          <w:rStyle w:val="hps"/>
        </w:rPr>
        <w:t>άν το ζευγάρι δεν είναι πια μαζί, ο νομοθέτης δε μπορεί να επιτρέψει τη σύλληψη ενός εμβρύου</w:t>
      </w:r>
      <w:r>
        <w:rPr>
          <w:rStyle w:val="FootnoteReference"/>
        </w:rPr>
        <w:footnoteReference w:id="136"/>
      </w:r>
      <w:r>
        <w:rPr>
          <w:rStyle w:val="hps"/>
        </w:rPr>
        <w:t>. Η</w:t>
      </w:r>
      <w:r w:rsidR="00642B1A">
        <w:rPr>
          <w:rStyle w:val="hps"/>
        </w:rPr>
        <w:t xml:space="preserve"> συνδρομή ενός εκ των ως άνω γεγονότων </w:t>
      </w:r>
      <w:r>
        <w:rPr>
          <w:rStyle w:val="hps"/>
        </w:rPr>
        <w:t xml:space="preserve">δύναται να </w:t>
      </w:r>
      <w:r w:rsidR="00642B1A">
        <w:rPr>
          <w:rStyle w:val="hps"/>
        </w:rPr>
        <w:t xml:space="preserve">αποκλείσει την </w:t>
      </w:r>
      <w:r w:rsidR="00297BDC">
        <w:rPr>
          <w:rStyle w:val="hps"/>
        </w:rPr>
        <w:t>πρόσβαση στην ιατρικά υποβοηθούμενη αναπαραγωγή</w:t>
      </w:r>
      <w:r w:rsidR="00B63D64">
        <w:rPr>
          <w:rStyle w:val="hps"/>
        </w:rPr>
        <w:t xml:space="preserve"> εμποδίζοντας τόσο τη γονιμοποίηση όσο και τη μεταφορά γονιμοποιημένων ωαρίων. </w:t>
      </w:r>
    </w:p>
    <w:p w14:paraId="686DADD0" w14:textId="77777777" w:rsidR="00642B1A" w:rsidRPr="008B1CD4" w:rsidRDefault="00B63D64" w:rsidP="00642B1A">
      <w:r>
        <w:rPr>
          <w:rStyle w:val="hps"/>
        </w:rPr>
        <w:t>Μ</w:t>
      </w:r>
      <w:r w:rsidR="00642B1A">
        <w:rPr>
          <w:rStyle w:val="hps"/>
        </w:rPr>
        <w:t>έρος της θεωρίας</w:t>
      </w:r>
      <w:r>
        <w:rPr>
          <w:rStyle w:val="hps"/>
        </w:rPr>
        <w:t>, ωστόσο,</w:t>
      </w:r>
      <w:r w:rsidR="00642B1A">
        <w:rPr>
          <w:rStyle w:val="hps"/>
        </w:rPr>
        <w:t xml:space="preserve"> έχει εκφράσει αντίθε</w:t>
      </w:r>
      <w:r w:rsidR="009601C7">
        <w:rPr>
          <w:rStyle w:val="hps"/>
        </w:rPr>
        <w:t xml:space="preserve">τη γνώμη με την απαγόρευση αυτή, σε περίπτωση που </w:t>
      </w:r>
      <w:r w:rsidR="00642B1A">
        <w:rPr>
          <w:rStyle w:val="hps"/>
        </w:rPr>
        <w:t>η συνδρομή ενός εκ των ως άνω λόγων προκύπτει μετά τη σύλληψη του εμβρύου και πριν τη μεταφορά του</w:t>
      </w:r>
      <w:r>
        <w:rPr>
          <w:rStyle w:val="hps"/>
        </w:rPr>
        <w:t xml:space="preserve">. </w:t>
      </w:r>
      <w:r w:rsidR="009601C7">
        <w:rPr>
          <w:rStyle w:val="hps"/>
        </w:rPr>
        <w:t>Ειδικότερα, υποστηρίζεται ότι είναι κατανοητή η απαγόρευση της σύλληψης του εμβρύου όταν το ζευγάρι δεν υπάρχει πια. Παύει, όμως, να είναι το ίδιο κατανοητή όταν το έμβρυο έχει ήδη συλληφθεί και ο χωρισμός του ζευγαριού είναι ικανός να προκαλέσει είτε την καταστροφή ή τη δωρεά του για έρευνα, είτε, στην καλύτερη περίπτωση, τη δωρεά του σε ένα άλλο ζευγάρι</w:t>
      </w:r>
      <w:r w:rsidR="00297BDC">
        <w:rPr>
          <w:rStyle w:val="FootnoteReference"/>
        </w:rPr>
        <w:footnoteReference w:id="137"/>
      </w:r>
      <w:r w:rsidR="00642B1A">
        <w:rPr>
          <w:rStyle w:val="hps"/>
        </w:rPr>
        <w:t xml:space="preserve">. </w:t>
      </w:r>
    </w:p>
    <w:p w14:paraId="52B1F208" w14:textId="77777777" w:rsidR="00CF47CC" w:rsidRDefault="006E15F8" w:rsidP="00CF47CC">
      <w:pPr>
        <w:pStyle w:val="Heading4"/>
      </w:pPr>
      <w:bookmarkStart w:id="63" w:name="_Toc276574385"/>
      <w:r>
        <w:t>§2</w:t>
      </w:r>
      <w:r w:rsidR="00642B1A" w:rsidRPr="008B1CD4">
        <w:t>.</w:t>
      </w:r>
      <w:r w:rsidR="00642B1A" w:rsidRPr="00FA0918">
        <w:t xml:space="preserve"> </w:t>
      </w:r>
      <w:r w:rsidR="00D62F39">
        <w:t>Τα υποψήφια υποβοηθούμενα πρόσωπα πρέπει να είναι διαφορετικού φύλου</w:t>
      </w:r>
      <w:r w:rsidR="00FD6E0D">
        <w:rPr>
          <w:rStyle w:val="FootnoteReference"/>
        </w:rPr>
        <w:footnoteReference w:id="138"/>
      </w:r>
      <w:bookmarkEnd w:id="63"/>
    </w:p>
    <w:p w14:paraId="0F9F0536" w14:textId="77777777" w:rsidR="005D74A7" w:rsidRDefault="00642B1A" w:rsidP="00CF47CC">
      <w:r>
        <w:t xml:space="preserve">Η απαίτηση αυτή του νομοθέτη προκύπτει ξεκάθαρα από τη διάταξη του άρθρου </w:t>
      </w:r>
      <w:r w:rsidRPr="00DA3B41">
        <w:rPr>
          <w:b/>
          <w:lang w:val="fr-FR"/>
        </w:rPr>
        <w:t>L</w:t>
      </w:r>
      <w:r w:rsidRPr="00DA3B41">
        <w:rPr>
          <w:b/>
        </w:rPr>
        <w:t xml:space="preserve">. 2141-2, παρ. </w:t>
      </w:r>
      <w:r>
        <w:rPr>
          <w:b/>
        </w:rPr>
        <w:t>2</w:t>
      </w:r>
      <w:r w:rsidRPr="00DA3B41">
        <w:rPr>
          <w:b/>
        </w:rPr>
        <w:t xml:space="preserve">, </w:t>
      </w:r>
      <w:r w:rsidR="005A1087">
        <w:rPr>
          <w:b/>
        </w:rPr>
        <w:t>ΚΔΥ</w:t>
      </w:r>
      <w:r w:rsidRPr="00BD12DF">
        <w:t>,</w:t>
      </w:r>
      <w:r>
        <w:t xml:space="preserve"> σύμφωνα με την οποία δικαίωμα στη μεταφορά εμβρύων ή τη γονιμοποίηση έχουν «</w:t>
      </w:r>
      <w:r w:rsidRPr="00790E72">
        <w:rPr>
          <w:i/>
        </w:rPr>
        <w:t>ο άνδρας και η γυναίκα που συνθέτουν το ζευγάρι</w:t>
      </w:r>
      <w:r>
        <w:t>». Δυ</w:t>
      </w:r>
      <w:r w:rsidRPr="00496E7F">
        <w:t xml:space="preserve">νάμει των διατάξεων του άρθρου </w:t>
      </w:r>
      <w:r w:rsidRPr="00496E7F">
        <w:rPr>
          <w:lang w:val="fr-FR"/>
        </w:rPr>
        <w:t>L</w:t>
      </w:r>
      <w:r w:rsidRPr="00496E7F">
        <w:t xml:space="preserve">. 2141-2, παρ. 1, </w:t>
      </w:r>
      <w:r w:rsidR="002E099D">
        <w:t xml:space="preserve">ΚΔΥ </w:t>
      </w:r>
      <w:r>
        <w:t>«</w:t>
      </w:r>
      <w:r w:rsidRPr="008344A8">
        <w:rPr>
          <w:i/>
        </w:rPr>
        <w:t xml:space="preserve">σκοπός </w:t>
      </w:r>
      <w:r>
        <w:rPr>
          <w:i/>
        </w:rPr>
        <w:t xml:space="preserve">της ιατρικά υποβοηθούμενης αναπαραγωγής </w:t>
      </w:r>
      <w:r w:rsidRPr="008344A8">
        <w:rPr>
          <w:i/>
        </w:rPr>
        <w:t xml:space="preserve"> είναι να θεραπευθεί η υπογονιμότητα ενός ζευγαριού </w:t>
      </w:r>
      <w:r>
        <w:rPr>
          <w:i/>
        </w:rPr>
        <w:t>[…]</w:t>
      </w:r>
      <w:r>
        <w:t xml:space="preserve">». </w:t>
      </w:r>
    </w:p>
    <w:p w14:paraId="62979619" w14:textId="77777777" w:rsidR="00642B1A" w:rsidRDefault="004A23E3" w:rsidP="00CF47CC">
      <w:r>
        <w:lastRenderedPageBreak/>
        <w:t>Σύμφωνα,</w:t>
      </w:r>
      <w:r w:rsidR="00642B1A">
        <w:t xml:space="preserve"> λοιπόν,</w:t>
      </w:r>
      <w:r w:rsidR="00642B1A" w:rsidRPr="00496E7F">
        <w:t xml:space="preserve"> </w:t>
      </w:r>
      <w:r>
        <w:t xml:space="preserve">με την κρατούσα άποψη, η οποία υιοθετήθηκε από το γάλλο νομοθέτη το 1994 και εξακολουθεί να μένει πιστός σε αυτή, δεδομένου </w:t>
      </w:r>
      <w:r w:rsidR="00642B1A" w:rsidRPr="00496E7F">
        <w:t>ότι</w:t>
      </w:r>
      <w:r w:rsidR="00642B1A">
        <w:t xml:space="preserve"> η υπογονιμότητα ενός ομόφυλου ζευγαριού δεν οφείλεται σε κάποια παθολογική κατάσταση, είναι λογικό </w:t>
      </w:r>
      <w:r>
        <w:t>να μην του αναγνωρίζεται δικαίωμα πρόσβασης στην ιατρικά υποβοηθούμενη αναπαραγωγή</w:t>
      </w:r>
      <w:r w:rsidR="00642B1A">
        <w:rPr>
          <w:rStyle w:val="FootnoteReference"/>
        </w:rPr>
        <w:footnoteReference w:id="139"/>
      </w:r>
      <w:r w:rsidR="00642B1A">
        <w:t>.</w:t>
      </w:r>
    </w:p>
    <w:p w14:paraId="6C6620BC" w14:textId="77777777" w:rsidR="00CF47CC" w:rsidRDefault="006E15F8" w:rsidP="00CF47CC">
      <w:pPr>
        <w:pStyle w:val="Heading4"/>
      </w:pPr>
      <w:bookmarkStart w:id="64" w:name="_Ref276409409"/>
      <w:bookmarkStart w:id="65" w:name="_Toc276574386"/>
      <w:r>
        <w:t>§3</w:t>
      </w:r>
      <w:r w:rsidR="00642B1A" w:rsidRPr="00877BB0">
        <w:t>.</w:t>
      </w:r>
      <w:r w:rsidR="00642B1A">
        <w:t xml:space="preserve"> </w:t>
      </w:r>
      <w:r w:rsidR="00D62F39">
        <w:t xml:space="preserve">Τα υποψήφια υποβοηθούμενα πρόσωπα </w:t>
      </w:r>
      <w:r w:rsidR="00642B1A">
        <w:t xml:space="preserve">πρέπει να είναι </w:t>
      </w:r>
      <w:r w:rsidR="00642B1A" w:rsidRPr="00877BB0">
        <w:t>εν ζωή</w:t>
      </w:r>
      <w:bookmarkEnd w:id="64"/>
      <w:bookmarkEnd w:id="65"/>
    </w:p>
    <w:p w14:paraId="2502BC77" w14:textId="77777777" w:rsidR="00642B1A" w:rsidRPr="00BD12DF" w:rsidRDefault="00642B1A" w:rsidP="00642B1A">
      <w:r>
        <w:t xml:space="preserve">Οι διατάξεις του </w:t>
      </w:r>
      <w:r w:rsidRPr="00DA3B41">
        <w:rPr>
          <w:b/>
        </w:rPr>
        <w:t>άρθρο</w:t>
      </w:r>
      <w:r>
        <w:rPr>
          <w:b/>
        </w:rPr>
        <w:t>υ</w:t>
      </w:r>
      <w:r w:rsidRPr="00DA3B41">
        <w:rPr>
          <w:b/>
        </w:rPr>
        <w:t xml:space="preserve"> </w:t>
      </w:r>
      <w:r w:rsidRPr="00DA3B41">
        <w:rPr>
          <w:b/>
          <w:lang w:val="fr-FR"/>
        </w:rPr>
        <w:t>L</w:t>
      </w:r>
      <w:r w:rsidRPr="00DA3B41">
        <w:rPr>
          <w:b/>
        </w:rPr>
        <w:t xml:space="preserve">. 2141-2, παρ. </w:t>
      </w:r>
      <w:r>
        <w:rPr>
          <w:b/>
        </w:rPr>
        <w:t>2</w:t>
      </w:r>
      <w:r w:rsidRPr="00DA3B41">
        <w:rPr>
          <w:b/>
        </w:rPr>
        <w:t xml:space="preserve">, </w:t>
      </w:r>
      <w:r w:rsidR="002E099D">
        <w:rPr>
          <w:b/>
        </w:rPr>
        <w:t xml:space="preserve">ΚΔΥ </w:t>
      </w:r>
      <w:r>
        <w:t>είναι ξεκάθαρες: «</w:t>
      </w:r>
      <w:r w:rsidRPr="00496E7F">
        <w:rPr>
          <w:i/>
        </w:rPr>
        <w:t>ο άνδρας και η γυναίκα που συνθέτουν το ζευγάρι πρέπει να είναι εν ζωή, σε ηλικία φυσικής ικανότητας αναπαραγωγής και να έχουν συναινέσει προγενέστερα στη μεταφορά των εμβρύων ή την τεχνητή γονιμοποίηση</w:t>
      </w:r>
      <w:r>
        <w:t>». Η εν λόγω διάταξη, όπως θα δούμε και πιο κάτω, αποκλείει εκ προοιμίου τόσο τη μεταθανάτια γονιμοποίηση, όσο και τη μεταθανάτια μεταφορά εμβρύων</w:t>
      </w:r>
      <w:r>
        <w:rPr>
          <w:rStyle w:val="FootnoteReference"/>
        </w:rPr>
        <w:footnoteReference w:id="140"/>
      </w:r>
      <w:r>
        <w:t xml:space="preserve">. </w:t>
      </w:r>
      <w:r w:rsidRPr="00BD12DF">
        <w:t xml:space="preserve"> </w:t>
      </w:r>
    </w:p>
    <w:p w14:paraId="7504F7EB" w14:textId="77777777" w:rsidR="002B0FA3" w:rsidRDefault="002B0FA3" w:rsidP="002B0FA3">
      <w:pPr>
        <w:pStyle w:val="Heading2"/>
        <w:rPr>
          <w:lang w:val="en-US"/>
        </w:rPr>
      </w:pPr>
      <w:bookmarkStart w:id="66" w:name="_Ref393619298"/>
      <w:bookmarkStart w:id="67" w:name="_Toc394082548"/>
      <w:bookmarkStart w:id="68" w:name="_Toc275535595"/>
      <w:bookmarkStart w:id="69" w:name="_Toc276574387"/>
      <w:r w:rsidRPr="004933B9">
        <w:t xml:space="preserve">Β. </w:t>
      </w:r>
      <w:r w:rsidR="00C63AD3">
        <w:t>Γενικές</w:t>
      </w:r>
      <w:r w:rsidR="00C63AD3" w:rsidRPr="004933B9">
        <w:t xml:space="preserve"> </w:t>
      </w:r>
      <w:r w:rsidR="00C63AD3">
        <w:t>προϋποθέσεις εφαρμογής μεθό</w:t>
      </w:r>
      <w:r w:rsidR="00C63AD3" w:rsidRPr="004933B9">
        <w:t xml:space="preserve">δων </w:t>
      </w:r>
      <w:bookmarkEnd w:id="66"/>
      <w:bookmarkEnd w:id="67"/>
      <w:r w:rsidR="00C63AD3">
        <w:rPr>
          <w:lang w:val="en-US"/>
        </w:rPr>
        <w:t>Ιατρικά Υποβοηθούμενης Αναπαραγωγ</w:t>
      </w:r>
      <w:bookmarkEnd w:id="68"/>
      <w:r w:rsidR="00C63AD3">
        <w:rPr>
          <w:lang w:val="en-US"/>
        </w:rPr>
        <w:t>ής</w:t>
      </w:r>
      <w:bookmarkEnd w:id="69"/>
    </w:p>
    <w:p w14:paraId="5AA7F8A4" w14:textId="77777777" w:rsidR="00464AF9" w:rsidRDefault="00464AF9" w:rsidP="000F3CE4">
      <w:r>
        <w:t xml:space="preserve">Η ιατρικά διαγεγνωσμένη υπογονιμότητα ή ο κίνδυνος μετάδοσης σοβαρής ασθένειας στο τέκνο ή το έτερο </w:t>
      </w:r>
      <w:r w:rsidR="00117184">
        <w:t xml:space="preserve">υποβοηθούμενο πρόσωπο συνιστούν </w:t>
      </w:r>
      <w:r>
        <w:t>όρους πρόσβασης στην ια</w:t>
      </w:r>
      <w:r w:rsidR="00117184">
        <w:t>τρικά υποβοηθούμενη αναπαραγωγή, η συνδρομή των οποίων ωστόσο από μόνη της δεν αρκεί</w:t>
      </w:r>
      <w:r>
        <w:t>.</w:t>
      </w:r>
      <w:r w:rsidR="00117184">
        <w:t xml:space="preserve"> </w:t>
      </w:r>
      <w:r>
        <w:t>Το υποψήφιο ζευγάρι πρέπει</w:t>
      </w:r>
      <w:r w:rsidR="00117184">
        <w:t xml:space="preserve"> επιπρόσθετα</w:t>
      </w:r>
      <w:r>
        <w:t xml:space="preserve"> να πληροί μια σειρά γενικών προϋποθέσεων που αφορούν στην ηλικία (α), την κατάσταση της υγείας του (β), </w:t>
      </w:r>
      <w:r w:rsidR="00117184">
        <w:t xml:space="preserve">την ενημέρωσή του πριν συναινέσει στην εφαρμογή μεθόδων ιατρικά υποβοηθούμενης αναπαραγωγής (γ) και, τέλος, την </w:t>
      </w:r>
      <w:r w:rsidR="002E0A77">
        <w:t>παροχή συναίνεση</w:t>
      </w:r>
      <w:r w:rsidR="00117184">
        <w:t xml:space="preserve">ς και </w:t>
      </w:r>
      <w:r w:rsidR="002E0A77">
        <w:t>τη δυνατότητα</w:t>
      </w:r>
      <w:r w:rsidR="00117184">
        <w:t xml:space="preserve"> ανάκλησής της (δ).  </w:t>
      </w:r>
    </w:p>
    <w:p w14:paraId="78FA9898" w14:textId="77777777" w:rsidR="002B0FA3" w:rsidRDefault="00C4415A" w:rsidP="002B0FA3">
      <w:pPr>
        <w:pStyle w:val="Heading3"/>
      </w:pPr>
      <w:bookmarkStart w:id="70" w:name="_Toc394082549"/>
      <w:bookmarkStart w:id="71" w:name="_Ref272261277"/>
      <w:bookmarkStart w:id="72" w:name="_Toc275535596"/>
      <w:bookmarkStart w:id="73" w:name="_Toc276574388"/>
      <w:r>
        <w:t>α</w:t>
      </w:r>
      <w:r w:rsidR="002B0FA3" w:rsidRPr="004933B9">
        <w:t xml:space="preserve">. </w:t>
      </w:r>
      <w:bookmarkEnd w:id="70"/>
      <w:bookmarkEnd w:id="71"/>
      <w:r w:rsidR="00A61029">
        <w:t>Ηλικία υποψηφίων υποβοηθούμενων προσώπων</w:t>
      </w:r>
      <w:bookmarkEnd w:id="72"/>
      <w:bookmarkEnd w:id="73"/>
      <w:r w:rsidR="00A61029">
        <w:t xml:space="preserve"> </w:t>
      </w:r>
    </w:p>
    <w:p w14:paraId="40BD0A70" w14:textId="5C7ED4AF" w:rsidR="005E10A8" w:rsidRDefault="005E10A8" w:rsidP="00E62F8D">
      <w:r>
        <w:t>Σύμφωνα με τη λογική που έχει υιοθετήσει ο γάλλος νομοθέτης</w:t>
      </w:r>
      <w:r w:rsidR="00D66921">
        <w:t xml:space="preserve"> από την αρχή της ρύθμισης της ιατρικά υποβοηθούμενης αναπαραγωγής το 1994</w:t>
      </w:r>
      <w:r>
        <w:t xml:space="preserve">, εφόσον το ζευγάρι δε βρίσκεται πλέον σε </w:t>
      </w:r>
      <w:r w:rsidRPr="0003670C">
        <w:t>ηλικία φυσικής ικανότητας αναπαραγωγής</w:t>
      </w:r>
      <w:r>
        <w:t>, δε</w:t>
      </w:r>
      <w:r w:rsidR="0075134F">
        <w:t xml:space="preserve"> γίνεται </w:t>
      </w:r>
      <w:r w:rsidR="00D66921">
        <w:t>λόγος ούτε για παθολογική υπογονιμότητα</w:t>
      </w:r>
      <w:r>
        <w:t>.</w:t>
      </w:r>
      <w:r w:rsidR="00D66921">
        <w:t xml:space="preserve"> Μια τέτοια επιλογή ανταποκρίνεται στην αρχή της ισότητας απέναντι στο νόμο, καθώς θα ήταν παράλογο να επιτρέπεται μόνο στα ζευγάρια με προβλήματα γονιμότητας να π</w:t>
      </w:r>
      <w:r w:rsidR="00E62F8D">
        <w:t>ροσφεύγουν σε ιατρική υποβοήθηση</w:t>
      </w:r>
      <w:r w:rsidR="00D66921">
        <w:t xml:space="preserve"> αφού περάσουν την ηλικία φυσικής ικανότητ</w:t>
      </w:r>
      <w:r w:rsidR="00E62F8D">
        <w:t>ας αναπαραγωγής. Ασφαλώς, πέραν των λόγων ισότητας, είναι το ίδιο το συμφέρον του τέκνου που θα γεννηθεί που υπαγορεύει, σύμφωνα με τις προσταγές τους γάλλου νομοθέτη, την ταύτιση των προβλεπόμενων ηλικιακών ορί</w:t>
      </w:r>
      <w:r w:rsidR="00210A34">
        <w:t xml:space="preserve">ων </w:t>
      </w:r>
      <w:r w:rsidR="00E62F8D">
        <w:t>των υποψ</w:t>
      </w:r>
      <w:r w:rsidR="00210A34">
        <w:t>ηφίω</w:t>
      </w:r>
      <w:r w:rsidR="00E62F8D">
        <w:t xml:space="preserve">ν υποβοηθούμενων ζευγαριών με την ηλικία φυσικής ικανότητας τεκνοποίησης. </w:t>
      </w:r>
    </w:p>
    <w:p w14:paraId="6A6FE5E4" w14:textId="0A81ECFD" w:rsidR="00F56185" w:rsidRPr="005E10A8" w:rsidRDefault="00F56185" w:rsidP="00F56185">
      <w:r>
        <w:t xml:space="preserve">Θα ακολουθήσει σύντομη παρουσίαση των ηλικιακών αυτών ορίων, ανώτατων (§1) και κατώτατων (§2), τα οποία λόγω της φύσης τους, όπως θα δούμε, δε δύνανται να επεκταθούν </w:t>
      </w:r>
      <w:r>
        <w:lastRenderedPageBreak/>
        <w:t xml:space="preserve">δικαστικά (§4). </w:t>
      </w:r>
      <w:r>
        <w:rPr>
          <w:rFonts w:eastAsia="Calibri"/>
          <w:lang w:eastAsia="en-US"/>
        </w:rPr>
        <w:t>Στο στάδιο αυτό της εφαρμογής της υποβοηθούμενης αναπαραγωγής, ο ιατρός και η διεπιστημονική του ομάδα είναι που επωμίζονται εξ’ ολοκλήρου την ευθύνη της τήρησης της νομοθεσίας</w:t>
      </w:r>
      <w:r>
        <w:t xml:space="preserve"> και άρα και του ελέγχου της συνδρομής της προϋπόθεσης των νομοθετικά προβλεπόμενων ηλικιακών ορίων (§3). Για λόγο αυτό, επομένως, εύλογα οι συνέπειες που επιβάλλονται από το νομοθέτη σε περίπτωση μη συμμόρφωσης αφορούν στον ιατρό και την ομάδα του (§5).</w:t>
      </w:r>
    </w:p>
    <w:p w14:paraId="2F46310C" w14:textId="77777777" w:rsidR="00A61029" w:rsidRDefault="006F68D6" w:rsidP="006F68D6">
      <w:pPr>
        <w:pStyle w:val="Heading4"/>
      </w:pPr>
      <w:bookmarkStart w:id="74" w:name="_Toc276574389"/>
      <w:r>
        <w:t>§1. Ανώτατα ηλικιακά όρια</w:t>
      </w:r>
      <w:bookmarkEnd w:id="74"/>
      <w:r>
        <w:t xml:space="preserve"> </w:t>
      </w:r>
    </w:p>
    <w:p w14:paraId="32D46257" w14:textId="77777777" w:rsidR="007F3B8C" w:rsidRDefault="00872696" w:rsidP="00872696">
      <w:r>
        <w:t>Η γαλλική νομοθεσία ορίζει ότι για να μπορούν να προσφύγουν σε μεθόδους ιατρικά υποβοηθούμενης αναπαραγωγής, τα υποψήφια υποβοηθούμενα πρόσωπα</w:t>
      </w:r>
      <w:r w:rsidR="007F3B8C">
        <w:t>, δηλαδή ο άνδρας και η γυναίκα,</w:t>
      </w:r>
      <w:r>
        <w:t xml:space="preserve"> πρέπει να είναι «</w:t>
      </w:r>
      <w:r w:rsidRPr="00CB41B4">
        <w:rPr>
          <w:i/>
        </w:rPr>
        <w:t>σε ηλικία φυσικής ικανότητας αναπαραγωγής</w:t>
      </w:r>
      <w:r>
        <w:rPr>
          <w:i/>
        </w:rPr>
        <w:t xml:space="preserve"> </w:t>
      </w:r>
      <w:r w:rsidRPr="003C0FFB">
        <w:rPr>
          <w:i/>
        </w:rPr>
        <w:t>(</w:t>
      </w:r>
      <w:r>
        <w:rPr>
          <w:i/>
          <w:lang w:val="en-US"/>
        </w:rPr>
        <w:t xml:space="preserve">en </w:t>
      </w:r>
      <w:r w:rsidRPr="003C0FFB">
        <w:rPr>
          <w:i/>
        </w:rPr>
        <w:t>â</w:t>
      </w:r>
      <w:r w:rsidRPr="003C0FFB">
        <w:rPr>
          <w:i/>
          <w:lang w:val="en-US"/>
        </w:rPr>
        <w:t>ge</w:t>
      </w:r>
      <w:r w:rsidRPr="003C0FFB">
        <w:rPr>
          <w:i/>
        </w:rPr>
        <w:t xml:space="preserve"> </w:t>
      </w:r>
      <w:r w:rsidRPr="003C0FFB">
        <w:rPr>
          <w:i/>
          <w:lang w:val="en-US"/>
        </w:rPr>
        <w:t>de</w:t>
      </w:r>
      <w:r w:rsidRPr="003C0FFB">
        <w:rPr>
          <w:i/>
        </w:rPr>
        <w:t xml:space="preserve"> </w:t>
      </w:r>
      <w:r w:rsidRPr="003C0FFB">
        <w:rPr>
          <w:i/>
          <w:lang w:val="en-US"/>
        </w:rPr>
        <w:t>procr</w:t>
      </w:r>
      <w:r w:rsidRPr="003C0FFB">
        <w:rPr>
          <w:i/>
        </w:rPr>
        <w:t>é</w:t>
      </w:r>
      <w:r w:rsidRPr="003C0FFB">
        <w:rPr>
          <w:i/>
          <w:lang w:val="en-US"/>
        </w:rPr>
        <w:t>er</w:t>
      </w:r>
      <w:r w:rsidRPr="003C0FFB">
        <w:rPr>
          <w:i/>
        </w:rPr>
        <w:t>)</w:t>
      </w:r>
      <w:r w:rsidR="007F3B8C">
        <w:t>»</w:t>
      </w:r>
      <w:r>
        <w:t>.</w:t>
      </w:r>
      <w:r w:rsidR="007F3B8C">
        <w:t xml:space="preserve"> </w:t>
      </w:r>
    </w:p>
    <w:p w14:paraId="18CD7A4D" w14:textId="77777777" w:rsidR="00872696" w:rsidRDefault="007F3B8C" w:rsidP="00872696">
      <w:r>
        <w:t>Π</w:t>
      </w:r>
      <w:r w:rsidR="00872696" w:rsidRPr="003C0FFB">
        <w:t xml:space="preserve">ιο συγκεκριμένα, </w:t>
      </w:r>
      <w:r w:rsidR="0075134F">
        <w:t>είναι οι διατάξεις</w:t>
      </w:r>
      <w:r w:rsidR="00872696">
        <w:t xml:space="preserve"> του άρθρου</w:t>
      </w:r>
      <w:r w:rsidR="00872696" w:rsidRPr="003C0FFB">
        <w:t xml:space="preserve"> L. 2141-2, παρ. </w:t>
      </w:r>
      <w:r>
        <w:t xml:space="preserve">2, </w:t>
      </w:r>
      <w:r w:rsidR="005A1087">
        <w:t>ΚΔΥ</w:t>
      </w:r>
      <w:r>
        <w:t xml:space="preserve">, </w:t>
      </w:r>
      <w:r w:rsidR="0075134F">
        <w:t xml:space="preserve">που ορίζουν ότι </w:t>
      </w:r>
      <w:r w:rsidR="00872696" w:rsidRPr="003C0FFB">
        <w:t>«</w:t>
      </w:r>
      <w:r w:rsidR="00872696" w:rsidRPr="003C0FFB">
        <w:rPr>
          <w:i/>
        </w:rPr>
        <w:t>ο άνδρας και η γυναίκα που συνθέτουν το [υποβοηθούμενο] ζευγάρι πρέπει να είναι […] σε ηλικία φυσικής ικανότητας αναπαραγωγής</w:t>
      </w:r>
      <w:r w:rsidR="00872696" w:rsidRPr="003C0FFB">
        <w:t>»</w:t>
      </w:r>
      <w:r w:rsidR="00872696" w:rsidRPr="003C0FFB">
        <w:rPr>
          <w:rStyle w:val="FootnoteReference"/>
        </w:rPr>
        <w:footnoteReference w:id="141"/>
      </w:r>
      <w:r w:rsidR="00872696" w:rsidRPr="003C0FFB">
        <w:t xml:space="preserve">. Ο ίδιος ο νομοθέτης, όμως, δε δίνει σαφή προσδιορισμό </w:t>
      </w:r>
      <w:r>
        <w:t>της έννοιας-κλειδί της</w:t>
      </w:r>
      <w:r w:rsidR="00872696" w:rsidRPr="003C0FFB">
        <w:t xml:space="preserve"> «</w:t>
      </w:r>
      <w:r w:rsidR="00872696" w:rsidRPr="003C0FFB">
        <w:rPr>
          <w:i/>
        </w:rPr>
        <w:t>ηλικίας φυσικής ικανότητας αναπαραγωγής</w:t>
      </w:r>
      <w:r w:rsidR="00872696" w:rsidRPr="003C0FFB">
        <w:t xml:space="preserve">».  </w:t>
      </w:r>
    </w:p>
    <w:p w14:paraId="1DD99585" w14:textId="77777777" w:rsidR="00183622" w:rsidRPr="00183622" w:rsidRDefault="00183622" w:rsidP="00872696">
      <w:r>
        <w:t>Επ</w:t>
      </w:r>
      <w:r w:rsidR="00C6464B">
        <w:t>ομένως, στην πράξη, ο νομοθέτης</w:t>
      </w:r>
      <w:r>
        <w:t xml:space="preserve"> δείχνει εμπιστοσύνη στον ιατρό, αφήνοντας στην κρίση του την απόφαση οριοθέτησης σε κάθε περίπτωση </w:t>
      </w:r>
      <w:r w:rsidRPr="00183622">
        <w:rPr>
          <w:i/>
          <w:lang w:val="en-US"/>
        </w:rPr>
        <w:t>ad hoc</w:t>
      </w:r>
      <w:r>
        <w:rPr>
          <w:lang w:val="en-US"/>
        </w:rPr>
        <w:t xml:space="preserve"> </w:t>
      </w:r>
      <w:r>
        <w:t>των ηλικιακών πλαισίων εντός των οποίων δικαιούται το υποβοηθούμενο ζευγάρι να προσφύγει σε μεθόδους υποβοηθούμενης αναπαραγωγής</w:t>
      </w:r>
      <w:r w:rsidR="00C6464B">
        <w:rPr>
          <w:rStyle w:val="FootnoteReference"/>
        </w:rPr>
        <w:footnoteReference w:id="142"/>
      </w:r>
      <w:r>
        <w:t xml:space="preserve">. </w:t>
      </w:r>
    </w:p>
    <w:p w14:paraId="3F49D5F9" w14:textId="77777777" w:rsidR="00726303" w:rsidRDefault="00726303" w:rsidP="00872696">
      <w:r>
        <w:t xml:space="preserve">Για τον άνδρα είναι λίγο πιο απλά τα </w:t>
      </w:r>
      <w:r w:rsidR="00183622">
        <w:t>πράγματα, καθώς μπορεί να γίνει δεκτός στην ιατρική υποβοήθηση έως και την ηλικία των εξήντα (60) ετών, ενώ δεν υπάρχει ειδικότερη ρύθμιση σχετικά με την ασφαλιστική του κάλυψη</w:t>
      </w:r>
      <w:r w:rsidR="0079406A">
        <w:rPr>
          <w:rStyle w:val="FootnoteReference"/>
        </w:rPr>
        <w:footnoteReference w:id="143"/>
      </w:r>
      <w:r w:rsidR="00183622">
        <w:t xml:space="preserve">. </w:t>
      </w:r>
    </w:p>
    <w:p w14:paraId="0EA29650" w14:textId="77777777" w:rsidR="00844AD7" w:rsidRDefault="00183622" w:rsidP="00183622">
      <w:r>
        <w:t xml:space="preserve">Σε ό,τι αφορά στη γυναίκα, ωστόσο, τα πράγματα περιπλέκονται ελαφρώς. Ενδεικτικές </w:t>
      </w:r>
      <w:r w:rsidRPr="003C0FFB">
        <w:t>είναι οι διατάξεις του Κώδικα Κοινωνικής Ασφάλισης, σύμφωνα με τις οποίες οι δαπάνες της ιατρ</w:t>
      </w:r>
      <w:r>
        <w:t>ικά υποβοηθούμενης αναπαραγωγής</w:t>
      </w:r>
      <w:r w:rsidRPr="003C0FFB">
        <w:t xml:space="preserve"> καλύπτονται στο ακέραιο (100%) σε ό,τι αφορά στις ιατρικές εξετάσεις που πραγματοποιούνται για τη διερεύνηση της γονιμότητας του ζευγαριού, την αναγκαία θεραπευτική αγωγή, όλες τις εξετάσεις που ενδεχομένως ακολουθούσουν, καθώς επίσης και τις δαπάνες των μεθόδων της εξωσωματικής γονιμοποίησης. </w:t>
      </w:r>
      <w:r>
        <w:t xml:space="preserve">Όχι άνευ όρων ωστόσο. </w:t>
      </w:r>
    </w:p>
    <w:p w14:paraId="0E6D4146" w14:textId="77777777" w:rsidR="00183622" w:rsidRDefault="00183622" w:rsidP="00183622">
      <w:r w:rsidRPr="003C0FFB">
        <w:lastRenderedPageBreak/>
        <w:t xml:space="preserve">Το </w:t>
      </w:r>
      <w:r w:rsidRPr="003C0FFB">
        <w:rPr>
          <w:b/>
        </w:rPr>
        <w:t xml:space="preserve">άρθρο </w:t>
      </w:r>
      <w:r w:rsidRPr="003C0FFB">
        <w:rPr>
          <w:b/>
          <w:lang w:val="fr-FR"/>
        </w:rPr>
        <w:t>L</w:t>
      </w:r>
      <w:r w:rsidRPr="003C0FFB">
        <w:rPr>
          <w:b/>
        </w:rPr>
        <w:t>. 162-1-7 του Κώδικα της Κοινωνικής Ασφάλισης</w:t>
      </w:r>
      <w:r w:rsidRPr="003C0FFB">
        <w:t xml:space="preserve"> </w:t>
      </w:r>
      <w:r>
        <w:t xml:space="preserve">προβλέπει </w:t>
      </w:r>
      <w:r w:rsidRPr="003C0FFB">
        <w:t xml:space="preserve">ότι η ασφαλιστική κάλυψη κάθε ιατρικής πράξης που πραγματοποιείται από έναν επαγγελματία υπόκειται στην εγγραφή της σε έναν κατάλογο υπό τις συνθήκες που ορίζονται στο παρόν άρθρο. Η εγγραφή αυτή εξαρτάται από τη συνδρομή διαφόρων θεραπευτικών ή διαγνωστικών παραγόντων, ενώ ειδικότερα </w:t>
      </w:r>
      <w:r w:rsidRPr="003C0FFB">
        <w:rPr>
          <w:b/>
        </w:rPr>
        <w:t xml:space="preserve">η ασφαλιστική κάλυψη πράξεων </w:t>
      </w:r>
      <w:r>
        <w:rPr>
          <w:b/>
        </w:rPr>
        <w:t>ιατρικά υποβοηθούμενης αναπαραγωγής</w:t>
      </w:r>
      <w:r w:rsidRPr="003C0FFB">
        <w:rPr>
          <w:b/>
        </w:rPr>
        <w:t xml:space="preserve"> σταματάει στο 43</w:t>
      </w:r>
      <w:r w:rsidRPr="003C0FFB">
        <w:rPr>
          <w:b/>
          <w:vertAlign w:val="superscript"/>
        </w:rPr>
        <w:t>ο</w:t>
      </w:r>
      <w:r w:rsidRPr="003C0FFB">
        <w:rPr>
          <w:b/>
        </w:rPr>
        <w:t xml:space="preserve"> έτος της </w:t>
      </w:r>
      <w:r>
        <w:rPr>
          <w:b/>
        </w:rPr>
        <w:t xml:space="preserve">ηλικίας της </w:t>
      </w:r>
      <w:r w:rsidRPr="003C0FFB">
        <w:rPr>
          <w:b/>
        </w:rPr>
        <w:t>γυναίκας και περιορίζεται, για την</w:t>
      </w:r>
      <w:r w:rsidR="00116280">
        <w:rPr>
          <w:b/>
        </w:rPr>
        <w:t xml:space="preserve"> τεχνητή γονιμοποίηση, στις έξι (6) προσπάθειες και, για την</w:t>
      </w:r>
      <w:r w:rsidRPr="003C0FFB">
        <w:rPr>
          <w:b/>
        </w:rPr>
        <w:t xml:space="preserve"> εξωσωματική</w:t>
      </w:r>
      <w:r w:rsidR="00844AD7">
        <w:rPr>
          <w:b/>
        </w:rPr>
        <w:t xml:space="preserve"> αναπαραγωγή</w:t>
      </w:r>
      <w:r w:rsidR="00116280">
        <w:rPr>
          <w:b/>
        </w:rPr>
        <w:t>,</w:t>
      </w:r>
      <w:r w:rsidRPr="003C0FFB">
        <w:rPr>
          <w:b/>
        </w:rPr>
        <w:t xml:space="preserve"> στις </w:t>
      </w:r>
      <w:r w:rsidR="00116280">
        <w:rPr>
          <w:b/>
        </w:rPr>
        <w:t>τέσσερις (</w:t>
      </w:r>
      <w:r w:rsidRPr="003C0FFB">
        <w:rPr>
          <w:b/>
        </w:rPr>
        <w:t>4</w:t>
      </w:r>
      <w:r w:rsidR="00116280">
        <w:rPr>
          <w:b/>
        </w:rPr>
        <w:t>)</w:t>
      </w:r>
      <w:r w:rsidRPr="003C0FFB">
        <w:t xml:space="preserve">. Τα ταμεία κοινωνικής ασφάλισης, </w:t>
      </w:r>
      <w:r w:rsidR="00116280">
        <w:t>με άλλα λόγια</w:t>
      </w:r>
      <w:r w:rsidRPr="003C0FFB">
        <w:t xml:space="preserve">, καλύπτουν στο ακέραιο έως και </w:t>
      </w:r>
      <w:r w:rsidR="00116280">
        <w:t xml:space="preserve">έξι (6) ή </w:t>
      </w:r>
      <w:r w:rsidRPr="003C0FFB">
        <w:t xml:space="preserve">τέσσερις (4) προσπάθειες ιατρικά υποβοηθούμενης αναπαραγωγής, </w:t>
      </w:r>
      <w:r w:rsidR="00116280">
        <w:t xml:space="preserve">ανάλογα με την επιλεγείσα μέθοδο, </w:t>
      </w:r>
      <w:r w:rsidRPr="003C0FFB">
        <w:t>αρκεί η γυναίκα να μην έχει ξεπεράσει τα 43 έτη της ηλικίας της</w:t>
      </w:r>
      <w:r w:rsidR="00116280">
        <w:t xml:space="preserve">. </w:t>
      </w:r>
    </w:p>
    <w:p w14:paraId="106DD57A" w14:textId="77777777" w:rsidR="001C06FF" w:rsidRDefault="00183622" w:rsidP="00872696">
      <w:r w:rsidRPr="003C0FFB">
        <w:t>Μετά το όριο αυτό, μπορεί να το ζευγάρι να προσπαθήσει, εάν ο ιατρός κρίνει ότι βρίσκονται και οι δύο σε «</w:t>
      </w:r>
      <w:r w:rsidRPr="00040EE2">
        <w:rPr>
          <w:i/>
        </w:rPr>
        <w:t>ηλικία φυσικής ικανότητας αναπαραγωγής</w:t>
      </w:r>
      <w:r w:rsidR="00116280">
        <w:t xml:space="preserve">». Στην περίπτωση όμως αυτή, </w:t>
      </w:r>
      <w:r w:rsidRPr="003C0FFB">
        <w:t>αναλαμβ</w:t>
      </w:r>
      <w:r w:rsidR="00116280">
        <w:t xml:space="preserve">άνει το ίδιο το ζευγάρι </w:t>
      </w:r>
      <w:r w:rsidRPr="003C0FFB">
        <w:t xml:space="preserve">το </w:t>
      </w:r>
      <w:r w:rsidR="00116280">
        <w:t xml:space="preserve">συνολικό </w:t>
      </w:r>
      <w:r w:rsidRPr="003C0FFB">
        <w:t>κόστος των δαπανών διαγνωστικών και θεραπευτικών μέσων που θα χρησιμοποιηθούν</w:t>
      </w:r>
      <w:r w:rsidR="00116280">
        <w:t>, καθότι δεν προβλέπεται η ασφαλιστική τους κάλυψη</w:t>
      </w:r>
      <w:r w:rsidR="00D927FB">
        <w:t xml:space="preserve">. </w:t>
      </w:r>
    </w:p>
    <w:p w14:paraId="60A361E4" w14:textId="77777777" w:rsidR="00183622" w:rsidRDefault="001C06FF" w:rsidP="00872696">
      <w:r>
        <w:t>Σε</w:t>
      </w:r>
      <w:r w:rsidR="00183622" w:rsidRPr="003C0FFB">
        <w:t xml:space="preserve"> κάθε περίπτωση, </w:t>
      </w:r>
      <w:r w:rsidR="00D927FB">
        <w:t xml:space="preserve">όπως </w:t>
      </w:r>
      <w:r>
        <w:t>επισημαίνει</w:t>
      </w:r>
      <w:r w:rsidR="00D927FB">
        <w:t xml:space="preserve"> ο Καθηγητής Jean-Francois Guerin, </w:t>
      </w:r>
      <w:r w:rsidR="00183622" w:rsidRPr="003C0FFB">
        <w:t xml:space="preserve">είναι πολύ σπάνιες οι περιπτώσεις ιατρικά υποβοηθούμενης αναπαραγωγής </w:t>
      </w:r>
      <w:r>
        <w:t xml:space="preserve">σε γυναίκες ηλικίας άνω των </w:t>
      </w:r>
      <w:r w:rsidR="00183622" w:rsidRPr="003C0FFB">
        <w:t xml:space="preserve">45 </w:t>
      </w:r>
      <w:r>
        <w:t>ετών</w:t>
      </w:r>
      <w:r w:rsidR="0079406A">
        <w:rPr>
          <w:rStyle w:val="FootnoteReference"/>
        </w:rPr>
        <w:footnoteReference w:id="144"/>
      </w:r>
      <w:r w:rsidR="0079406A">
        <w:t>.</w:t>
      </w:r>
    </w:p>
    <w:p w14:paraId="76EF46FC" w14:textId="77777777" w:rsidR="006F68D6" w:rsidRDefault="006F68D6" w:rsidP="006F68D6">
      <w:pPr>
        <w:pStyle w:val="Heading4"/>
      </w:pPr>
      <w:bookmarkStart w:id="75" w:name="_Toc276574390"/>
      <w:r>
        <w:t>§2. Κατώτατα ηλικιακά όρια</w:t>
      </w:r>
      <w:bookmarkEnd w:id="75"/>
      <w:r>
        <w:t xml:space="preserve"> </w:t>
      </w:r>
    </w:p>
    <w:p w14:paraId="5483259C" w14:textId="77777777" w:rsidR="003B388F" w:rsidRDefault="00805003" w:rsidP="002B0FA3">
      <w:pPr>
        <w:rPr>
          <w:rFonts w:eastAsia="Calibri"/>
        </w:rPr>
      </w:pPr>
      <w:r w:rsidRPr="00123CB8">
        <w:rPr>
          <w:rFonts w:eastAsia="Calibri"/>
        </w:rPr>
        <w:t>Η πρόσβαση σ</w:t>
      </w:r>
      <w:r>
        <w:rPr>
          <w:rFonts w:eastAsia="Calibri"/>
        </w:rPr>
        <w:t>την ιατρικά υποβοηθούμενη αναπαραγωγή</w:t>
      </w:r>
      <w:r w:rsidRPr="00123CB8">
        <w:rPr>
          <w:rFonts w:eastAsia="Calibri"/>
        </w:rPr>
        <w:t xml:space="preserve"> επιτρέπεται, </w:t>
      </w:r>
      <w:r w:rsidR="003B388F">
        <w:rPr>
          <w:rFonts w:eastAsia="Calibri"/>
        </w:rPr>
        <w:t xml:space="preserve">όπως προαναφέρθηκε, </w:t>
      </w:r>
      <w:r w:rsidRPr="00123CB8">
        <w:rPr>
          <w:rFonts w:eastAsia="Calibri"/>
        </w:rPr>
        <w:t xml:space="preserve">δυνάμει των διατάξεων του άρθρου L. 2141-2, παρ. 2, </w:t>
      </w:r>
      <w:r w:rsidR="002E099D">
        <w:rPr>
          <w:rFonts w:eastAsia="Calibri"/>
        </w:rPr>
        <w:t xml:space="preserve">ΚΔΥ </w:t>
      </w:r>
      <w:r w:rsidRPr="00123CB8">
        <w:rPr>
          <w:rFonts w:eastAsia="Calibri"/>
        </w:rPr>
        <w:t xml:space="preserve">μόνο όταν και τα δύο </w:t>
      </w:r>
      <w:r w:rsidR="003B388F">
        <w:rPr>
          <w:rFonts w:eastAsia="Calibri"/>
        </w:rPr>
        <w:t xml:space="preserve">υποψήφια υποβοηθούμενα πρόσωπα, άνδρας και γυναίκα, </w:t>
      </w:r>
      <w:r w:rsidRPr="00123CB8">
        <w:rPr>
          <w:rFonts w:eastAsia="Calibri"/>
        </w:rPr>
        <w:t>βρίσκονται σε «</w:t>
      </w:r>
      <w:r w:rsidRPr="00040EE2">
        <w:rPr>
          <w:rFonts w:eastAsia="Calibri"/>
          <w:i/>
        </w:rPr>
        <w:t>ηλικία φυσικής ικανότητας αναπαραγωγής</w:t>
      </w:r>
      <w:r w:rsidRPr="00123CB8">
        <w:rPr>
          <w:rFonts w:eastAsia="Calibri"/>
        </w:rPr>
        <w:t>». Η ηλικία αυτή, όπως είναι φυσιολ</w:t>
      </w:r>
      <w:r w:rsidR="003B388F">
        <w:rPr>
          <w:rFonts w:eastAsia="Calibri"/>
        </w:rPr>
        <w:t>ογικό, δεν έχει μόνο ανώτατα</w:t>
      </w:r>
      <w:r w:rsidRPr="00123CB8">
        <w:rPr>
          <w:rFonts w:eastAsia="Calibri"/>
        </w:rPr>
        <w:t xml:space="preserve">, αλλά </w:t>
      </w:r>
      <w:r w:rsidR="003B388F">
        <w:rPr>
          <w:rFonts w:eastAsia="Calibri"/>
        </w:rPr>
        <w:t xml:space="preserve">έχει </w:t>
      </w:r>
      <w:r w:rsidRPr="00123CB8">
        <w:rPr>
          <w:rFonts w:eastAsia="Calibri"/>
        </w:rPr>
        <w:t>και κατώτα</w:t>
      </w:r>
      <w:r w:rsidR="003B388F">
        <w:rPr>
          <w:rFonts w:eastAsia="Calibri"/>
        </w:rPr>
        <w:t>τα όρια, παρότι επισημαίνεται, για ακόμη μία φορά, ότι</w:t>
      </w:r>
      <w:r>
        <w:rPr>
          <w:rFonts w:eastAsia="Calibri"/>
        </w:rPr>
        <w:t xml:space="preserve"> ο ίδιος ο νομοθέτης δεν παρέχει</w:t>
      </w:r>
      <w:r w:rsidRPr="00123CB8">
        <w:rPr>
          <w:rFonts w:eastAsia="Calibri"/>
        </w:rPr>
        <w:t xml:space="preserve"> σαφή προσδιορισμό των ορίων αυτών</w:t>
      </w:r>
      <w:r w:rsidR="00642DC1">
        <w:rPr>
          <w:rStyle w:val="FootnoteReference"/>
          <w:rFonts w:eastAsia="Calibri"/>
        </w:rPr>
        <w:footnoteReference w:id="145"/>
      </w:r>
      <w:r w:rsidRPr="00123CB8">
        <w:rPr>
          <w:rFonts w:eastAsia="Calibri"/>
        </w:rPr>
        <w:t>.</w:t>
      </w:r>
      <w:r w:rsidR="003B388F">
        <w:rPr>
          <w:rFonts w:eastAsia="Calibri"/>
        </w:rPr>
        <w:t xml:space="preserve"> </w:t>
      </w:r>
    </w:p>
    <w:p w14:paraId="4646B973" w14:textId="77777777" w:rsidR="00805003" w:rsidRPr="00123CB8" w:rsidRDefault="00805003" w:rsidP="00805003">
      <w:pPr>
        <w:rPr>
          <w:rFonts w:eastAsia="Calibri"/>
        </w:rPr>
      </w:pPr>
      <w:r w:rsidRPr="00123CB8">
        <w:rPr>
          <w:rFonts w:eastAsia="Calibri"/>
        </w:rPr>
        <w:t xml:space="preserve">Στο σημείο αυτό είναι αναγκαίο να γίνει διάκριση μεταξύ </w:t>
      </w:r>
      <w:r w:rsidRPr="00123CB8">
        <w:rPr>
          <w:rFonts w:eastAsia="Calibri"/>
          <w:b/>
        </w:rPr>
        <w:t xml:space="preserve">του βιολογικού σταδίου και του κλινικού σταδίου </w:t>
      </w:r>
      <w:r>
        <w:rPr>
          <w:rFonts w:eastAsia="Calibri"/>
          <w:b/>
        </w:rPr>
        <w:t>της ιατρικά υποβοηθούμενης αναπαραγωγής</w:t>
      </w:r>
      <w:r w:rsidRPr="00123CB8">
        <w:rPr>
          <w:rFonts w:eastAsia="Calibri"/>
        </w:rPr>
        <w:t xml:space="preserve"> και ανάλογα να διακρίνουμε και την ικανότητα των ανηλίκων προσώπων να υποβοηθηθούν ιατρικά σ</w:t>
      </w:r>
      <w:r>
        <w:rPr>
          <w:rFonts w:eastAsia="Calibri"/>
        </w:rPr>
        <w:t>την ιατρικά υποβοηθούμενη αναπαραγωγή</w:t>
      </w:r>
      <w:r w:rsidRPr="00123CB8">
        <w:rPr>
          <w:rFonts w:eastAsia="Calibri"/>
        </w:rPr>
        <w:t xml:space="preserve">. </w:t>
      </w:r>
    </w:p>
    <w:p w14:paraId="22453A36" w14:textId="77777777" w:rsidR="00805003" w:rsidRPr="00123CB8" w:rsidRDefault="003701DF" w:rsidP="00805003">
      <w:pPr>
        <w:rPr>
          <w:rFonts w:eastAsia="Calibri"/>
        </w:rPr>
      </w:pPr>
      <w:r>
        <w:rPr>
          <w:rFonts w:eastAsia="Calibri"/>
        </w:rPr>
        <w:lastRenderedPageBreak/>
        <w:t>Σε ό,τι αφορά, καταρχάς,</w:t>
      </w:r>
      <w:r w:rsidR="00805003" w:rsidRPr="00123CB8">
        <w:rPr>
          <w:rFonts w:eastAsia="Calibri"/>
        </w:rPr>
        <w:t xml:space="preserve"> στο </w:t>
      </w:r>
      <w:r w:rsidR="00805003" w:rsidRPr="00123CB8">
        <w:rPr>
          <w:rFonts w:eastAsia="Calibri"/>
          <w:b/>
        </w:rPr>
        <w:t xml:space="preserve">βιολογικό στάδιο </w:t>
      </w:r>
      <w:r w:rsidR="00805003">
        <w:rPr>
          <w:rFonts w:eastAsia="Calibri"/>
          <w:b/>
        </w:rPr>
        <w:t>της ιατρικά υποβοηθούμενης αναπαραγωγής</w:t>
      </w:r>
      <w:r w:rsidR="00805003" w:rsidRPr="00123CB8">
        <w:rPr>
          <w:rFonts w:eastAsia="Calibri"/>
        </w:rPr>
        <w:t xml:space="preserve">, δυνάμει των διατάξεων του </w:t>
      </w:r>
      <w:r w:rsidR="00805003" w:rsidRPr="00123CB8">
        <w:rPr>
          <w:rFonts w:eastAsia="Calibri"/>
          <w:b/>
        </w:rPr>
        <w:t xml:space="preserve">άρθρου L. 2141-11 </w:t>
      </w:r>
      <w:r w:rsidR="005A1087">
        <w:rPr>
          <w:rFonts w:eastAsia="Calibri"/>
          <w:b/>
        </w:rPr>
        <w:t>ΚΔΥ</w:t>
      </w:r>
      <w:r w:rsidR="00805003" w:rsidRPr="00123CB8">
        <w:rPr>
          <w:rFonts w:eastAsia="Calibri"/>
        </w:rPr>
        <w:t>, εφόσον μια θεραπεία ή άλλη επέμβαση επισύρει κίνδυνο στειρότητας ή πιθανολογείται ότι δύναται να μειώσει πρόωρα τη γονιμότητά ενός προσώπου, το πρόσωπ</w:t>
      </w:r>
      <w:r w:rsidR="001B585E">
        <w:rPr>
          <w:rFonts w:eastAsia="Calibri"/>
        </w:rPr>
        <w:t>ο αυτό έχει το δικαίωμα να κρυο</w:t>
      </w:r>
      <w:r w:rsidR="00E46683">
        <w:rPr>
          <w:rFonts w:eastAsia="Calibri"/>
        </w:rPr>
        <w:t>συντηρήσει το γεννητικό</w:t>
      </w:r>
      <w:r w:rsidR="00805003" w:rsidRPr="00123CB8">
        <w:rPr>
          <w:rFonts w:eastAsia="Calibri"/>
        </w:rPr>
        <w:t xml:space="preserve"> </w:t>
      </w:r>
      <w:r w:rsidR="000906EA" w:rsidRPr="00123CB8">
        <w:rPr>
          <w:rFonts w:eastAsia="Calibri"/>
        </w:rPr>
        <w:t xml:space="preserve">του </w:t>
      </w:r>
      <w:r w:rsidR="00805003" w:rsidRPr="00123CB8">
        <w:rPr>
          <w:rFonts w:eastAsia="Calibri"/>
        </w:rPr>
        <w:t>υλικό (γαμέτες ή εμβρυικό ιστό), προκειμένου να καταφύγει μεταγενέστερα, αν πράγματι προκύψει ανάγκη, σ</w:t>
      </w:r>
      <w:r w:rsidR="00805003">
        <w:rPr>
          <w:rFonts w:eastAsia="Calibri"/>
        </w:rPr>
        <w:t>την ιατρικά υποβοηθούμενη αναπαραγωγή</w:t>
      </w:r>
      <w:r w:rsidR="00805003" w:rsidRPr="00123CB8">
        <w:rPr>
          <w:rFonts w:eastAsia="Calibri"/>
        </w:rPr>
        <w:t xml:space="preserve">. Αναγκαία, ασφαλώς, στην προκειμένη περίπτωση δεν </w:t>
      </w:r>
      <w:r w:rsidR="004A7BD0">
        <w:rPr>
          <w:rFonts w:eastAsia="Calibri"/>
        </w:rPr>
        <w:t>είναι η συναίνεση μόνο του ανηλί</w:t>
      </w:r>
      <w:r w:rsidR="00805003" w:rsidRPr="00123CB8">
        <w:rPr>
          <w:rFonts w:eastAsia="Calibri"/>
        </w:rPr>
        <w:t xml:space="preserve">κου υποβοηθούμενου προσώπου, αλλά και </w:t>
      </w:r>
      <w:r w:rsidR="004A7BD0">
        <w:rPr>
          <w:rFonts w:eastAsia="Calibri"/>
        </w:rPr>
        <w:t xml:space="preserve">αυτή </w:t>
      </w:r>
      <w:r w:rsidR="00805003" w:rsidRPr="00123CB8">
        <w:rPr>
          <w:rFonts w:eastAsia="Calibri"/>
        </w:rPr>
        <w:t xml:space="preserve">των δικαιούχων της γονικής μέριμνας ή όσων ασκούν την κηδεμονία του ανηλίκου. </w:t>
      </w:r>
    </w:p>
    <w:p w14:paraId="54D6DD64" w14:textId="77777777" w:rsidR="00805003" w:rsidRPr="00123CB8" w:rsidRDefault="00805003" w:rsidP="00805003">
      <w:pPr>
        <w:rPr>
          <w:rFonts w:eastAsia="Calibri"/>
        </w:rPr>
      </w:pPr>
      <w:r w:rsidRPr="00123CB8">
        <w:rPr>
          <w:rFonts w:eastAsia="Calibri"/>
        </w:rPr>
        <w:t xml:space="preserve">Σε ό,τι αφορά στο </w:t>
      </w:r>
      <w:r w:rsidRPr="00123CB8">
        <w:rPr>
          <w:rFonts w:eastAsia="Calibri"/>
          <w:b/>
        </w:rPr>
        <w:t xml:space="preserve">κλινικό στάδιο </w:t>
      </w:r>
      <w:r>
        <w:rPr>
          <w:rFonts w:eastAsia="Calibri"/>
          <w:b/>
        </w:rPr>
        <w:t>της ιατρικά υποβοηθούμενης αναπαραγωγής</w:t>
      </w:r>
      <w:r w:rsidRPr="00123CB8">
        <w:rPr>
          <w:rFonts w:eastAsia="Calibri"/>
        </w:rPr>
        <w:t xml:space="preserve">, τα πράγματα δεν είναι τόσο ξεκάθαρα γιατί ο νομοθέτης </w:t>
      </w:r>
      <w:r>
        <w:rPr>
          <w:rFonts w:eastAsia="Calibri"/>
        </w:rPr>
        <w:t>δεν έχει προβλέψει ρητή ρύθμιση</w:t>
      </w:r>
      <w:r w:rsidRPr="00123CB8">
        <w:rPr>
          <w:rFonts w:eastAsia="Calibri"/>
        </w:rPr>
        <w:t xml:space="preserve">. Ορισμένοι υποστηρίζουν, λοιπόν, ότι, στο βαθμό που η κλινική φάση </w:t>
      </w:r>
      <w:r>
        <w:rPr>
          <w:rFonts w:eastAsia="Calibri"/>
        </w:rPr>
        <w:t>της ιατρικά υποβοηθούμενης αναπαραγωγής</w:t>
      </w:r>
      <w:r w:rsidRPr="00123CB8">
        <w:rPr>
          <w:rFonts w:eastAsia="Calibri"/>
        </w:rPr>
        <w:t xml:space="preserve"> δεν είναι παρά η κατάληξη μιας ενιαίας διαδικασίας που ξεκίνησε με τη βιολογική </w:t>
      </w:r>
      <w:r w:rsidR="004F03A3" w:rsidRPr="00123CB8">
        <w:rPr>
          <w:rFonts w:eastAsia="Calibri"/>
        </w:rPr>
        <w:t xml:space="preserve">της </w:t>
      </w:r>
      <w:r w:rsidRPr="00123CB8">
        <w:rPr>
          <w:rFonts w:eastAsia="Calibri"/>
        </w:rPr>
        <w:t xml:space="preserve">φάση, η συναίνεση που δόθηκε από το ανήλικο υποβοηθούμενο πρόσωπο καλύπτει το σύνολο της διαδικασίας </w:t>
      </w:r>
      <w:r>
        <w:rPr>
          <w:rFonts w:eastAsia="Calibri"/>
        </w:rPr>
        <w:t>της ιατρικά υποβοηθούμενης αναπαραγωγής.</w:t>
      </w:r>
      <w:r w:rsidRPr="00123CB8">
        <w:rPr>
          <w:rFonts w:eastAsia="Calibri"/>
        </w:rPr>
        <w:t xml:space="preserve"> Σε κάθε περίπτωση, ωστόσο, αναγκαία είναι πάντα και η συναίνεση των δικαιούχων της γονικής μέριμνας ή όσων ασκούν την κηδεμονία του ανηλίκου. </w:t>
      </w:r>
    </w:p>
    <w:p w14:paraId="51F832DF" w14:textId="77777777" w:rsidR="00805003" w:rsidRPr="00123CB8" w:rsidRDefault="00805003" w:rsidP="00805003">
      <w:pPr>
        <w:rPr>
          <w:rFonts w:eastAsia="Calibri"/>
        </w:rPr>
      </w:pPr>
      <w:r w:rsidRPr="00123CB8">
        <w:rPr>
          <w:rFonts w:eastAsia="Calibri"/>
        </w:rPr>
        <w:t xml:space="preserve">Σύμφωνα με αντίθετη άποψη, πάντως, </w:t>
      </w:r>
      <w:r w:rsidR="005A6AD1">
        <w:rPr>
          <w:rFonts w:eastAsia="Calibri"/>
        </w:rPr>
        <w:t xml:space="preserve">αναφορικά με </w:t>
      </w:r>
      <w:r w:rsidRPr="00123CB8">
        <w:rPr>
          <w:rFonts w:eastAsia="Calibri"/>
        </w:rPr>
        <w:t xml:space="preserve">την κλινική φάση </w:t>
      </w:r>
      <w:r>
        <w:rPr>
          <w:rFonts w:eastAsia="Calibri"/>
        </w:rPr>
        <w:t>της ιατρικά υποβοηθούμενης αναπαραγωγής</w:t>
      </w:r>
      <w:r w:rsidRPr="00123CB8">
        <w:rPr>
          <w:rFonts w:eastAsia="Calibri"/>
        </w:rPr>
        <w:t>, είναι οι ίδιες οι προϋποθέσεις εφαρμογής των μεθόδων</w:t>
      </w:r>
      <w:r>
        <w:rPr>
          <w:rFonts w:eastAsia="Calibri"/>
        </w:rPr>
        <w:t xml:space="preserve"> ιατρικά υποβοηθούμενης αναπαραγωγής</w:t>
      </w:r>
      <w:r w:rsidRPr="00123CB8">
        <w:rPr>
          <w:rFonts w:eastAsia="Calibri"/>
        </w:rPr>
        <w:t>, όπως αυτές προβλέπονται από το νομοθέτη, που αποκλείουν εν τοις πράγμασι από την πρόσβαση σ</w:t>
      </w:r>
      <w:r>
        <w:rPr>
          <w:rFonts w:eastAsia="Calibri"/>
        </w:rPr>
        <w:t>την ιατρικά υποβοηθούμενη αναπαραγωγή</w:t>
      </w:r>
      <w:r w:rsidRPr="00123CB8">
        <w:rPr>
          <w:rFonts w:eastAsia="Calibri"/>
        </w:rPr>
        <w:t xml:space="preserve"> τη μεγάλη πλειονότητα των ανηλίκων: το υποβοηθούμενο πρόσωπο πρέπει να είναι σε ηλικία φυσικής ικανότητας αναπαραγωγής και να συμβιώνει με το έτερο πρό</w:t>
      </w:r>
      <w:r>
        <w:rPr>
          <w:rFonts w:eastAsia="Calibri"/>
        </w:rPr>
        <w:t>σωπο, με το οποίο είναι ζευγάρι</w:t>
      </w:r>
      <w:r w:rsidRPr="00123CB8">
        <w:rPr>
          <w:rFonts w:eastAsia="Calibri"/>
        </w:rPr>
        <w:t xml:space="preserve">. </w:t>
      </w:r>
    </w:p>
    <w:p w14:paraId="39C48448" w14:textId="77777777" w:rsidR="002B0FA3" w:rsidRDefault="00805003" w:rsidP="00E02D58">
      <w:pPr>
        <w:rPr>
          <w:rFonts w:eastAsia="Calibri"/>
        </w:rPr>
      </w:pPr>
      <w:r w:rsidRPr="00123CB8">
        <w:rPr>
          <w:rFonts w:eastAsia="Calibri"/>
        </w:rPr>
        <w:t xml:space="preserve">Δεδομένης λοιπόν της ασάφειας του νομοθετικού πλαισίου, φαίνεται να βρίσκουν κι εδώ εφαρμογή οι κανόνες που εφαρμόζονται στη βιολογική φάση </w:t>
      </w:r>
      <w:r>
        <w:rPr>
          <w:rFonts w:eastAsia="Calibri"/>
        </w:rPr>
        <w:t xml:space="preserve">της ιατρικά υποβοηθούμενης αναπαραγωγής </w:t>
      </w:r>
      <w:r w:rsidRPr="00123CB8">
        <w:rPr>
          <w:rFonts w:eastAsia="Calibri"/>
        </w:rPr>
        <w:t xml:space="preserve"> (</w:t>
      </w:r>
      <w:r w:rsidR="0035332E">
        <w:rPr>
          <w:rFonts w:eastAsia="Calibri"/>
        </w:rPr>
        <w:t>υποχρεωτική η</w:t>
      </w:r>
      <w:r w:rsidRPr="00123CB8">
        <w:rPr>
          <w:rFonts w:eastAsia="Calibri"/>
        </w:rPr>
        <w:t xml:space="preserve"> συναίνεση τόσο του ανηλίκου, όσο και του κηδεμόνα του). Παρόλα αυτά, κι εφόσον η ενηλικίωση του ενδιαφερόμενου προσώπου εκ των πραγμάτων πλησιάζει, υποστηρίζεται ότι θα ήταν πιο σώφρον να ενηλικιωθεί πρώτα το υποβοηθούμενο πρόσωπο προκειμένου να μπορεί να λάβει μόνο του τις αναγκαίες αποφάσεις, χωρίς </w:t>
      </w:r>
      <w:r>
        <w:rPr>
          <w:rFonts w:eastAsia="Calibri"/>
        </w:rPr>
        <w:t>να είναι αναγκαία η</w:t>
      </w:r>
      <w:r w:rsidRPr="00123CB8">
        <w:rPr>
          <w:rFonts w:eastAsia="Calibri"/>
        </w:rPr>
        <w:t xml:space="preserve"> συναίνεση του γονέα ή κηδεμόνα του</w:t>
      </w:r>
      <w:r>
        <w:rPr>
          <w:rFonts w:eastAsia="Calibri"/>
        </w:rPr>
        <w:t>.</w:t>
      </w:r>
    </w:p>
    <w:p w14:paraId="43138DE1" w14:textId="77777777" w:rsidR="008878C5" w:rsidRPr="004933B9" w:rsidRDefault="008878C5" w:rsidP="008878C5">
      <w:pPr>
        <w:pStyle w:val="Heading4"/>
      </w:pPr>
      <w:bookmarkStart w:id="76" w:name="_Ref272430333"/>
      <w:bookmarkStart w:id="77" w:name="_Toc276574391"/>
      <w:r>
        <w:t xml:space="preserve">§3. </w:t>
      </w:r>
      <w:r w:rsidR="003E1316">
        <w:t xml:space="preserve">Ο έλεγχος </w:t>
      </w:r>
      <w:r>
        <w:t>της συνδρομής της ιατρικής αδυναμίας τεκνοποίησης</w:t>
      </w:r>
      <w:bookmarkEnd w:id="76"/>
      <w:bookmarkEnd w:id="77"/>
      <w:r>
        <w:t xml:space="preserve"> </w:t>
      </w:r>
    </w:p>
    <w:p w14:paraId="6036D4C4" w14:textId="77777777" w:rsidR="003B760E" w:rsidRDefault="003B760E" w:rsidP="008878C5">
      <w:pPr>
        <w:rPr>
          <w:rFonts w:eastAsia="Calibri"/>
          <w:lang w:eastAsia="en-US"/>
        </w:rPr>
      </w:pPr>
      <w:r>
        <w:rPr>
          <w:rFonts w:eastAsia="Calibri"/>
          <w:lang w:eastAsia="en-US"/>
        </w:rPr>
        <w:t xml:space="preserve">Όπως έχει ήδη αναφερθεί πιο πάνω, ήδη από το 1994, το άρθρο </w:t>
      </w:r>
      <w:r>
        <w:rPr>
          <w:rFonts w:eastAsia="Calibri"/>
          <w:lang w:val="en-US" w:eastAsia="en-US"/>
        </w:rPr>
        <w:t>L. 152-10</w:t>
      </w:r>
      <w:r>
        <w:rPr>
          <w:rFonts w:eastAsia="Calibri"/>
          <w:lang w:eastAsia="en-US"/>
        </w:rPr>
        <w:t xml:space="preserve"> </w:t>
      </w:r>
      <w:r w:rsidR="002E099D">
        <w:rPr>
          <w:rFonts w:eastAsia="Calibri"/>
          <w:lang w:eastAsia="en-US"/>
        </w:rPr>
        <w:t xml:space="preserve">ΚΔΥ </w:t>
      </w:r>
      <w:r>
        <w:rPr>
          <w:rFonts w:eastAsia="Calibri"/>
          <w:lang w:eastAsia="en-US"/>
        </w:rPr>
        <w:t xml:space="preserve">ανέθετε στο θεράποντα ιατρό την αποστολή της εξακρίβωσης της συνδρομής των προβλεπόμενων από το νόμο προϋποθέσεων προσφυγής σε μεθόδους υποβοηθούμενης αναπαραγωγής. Πρόβλεψη, η οποία διατηρήθηκε από τις μεταγενέστερες αναθεωρήσεις των </w:t>
      </w:r>
      <w:r w:rsidRPr="00157DCC">
        <w:rPr>
          <w:rFonts w:eastAsia="Calibri"/>
          <w:i/>
          <w:lang w:eastAsia="en-US"/>
        </w:rPr>
        <w:t>Νόμων περί Βιοηθικής</w:t>
      </w:r>
      <w:r>
        <w:rPr>
          <w:rFonts w:eastAsia="Calibri"/>
          <w:lang w:eastAsia="en-US"/>
        </w:rPr>
        <w:t xml:space="preserve"> και φαίνεται απόλυτα θεμιτή σε ό,τι αφορά στη διερεύνηση ζητημάτων</w:t>
      </w:r>
      <w:r w:rsidR="00AC7975" w:rsidRPr="00AC7975">
        <w:rPr>
          <w:rFonts w:eastAsia="Calibri"/>
          <w:lang w:eastAsia="en-US"/>
        </w:rPr>
        <w:t xml:space="preserve"> </w:t>
      </w:r>
      <w:r w:rsidR="00AC7975">
        <w:rPr>
          <w:rFonts w:eastAsia="Calibri"/>
          <w:lang w:eastAsia="en-US"/>
        </w:rPr>
        <w:t xml:space="preserve">ιατρικής </w:t>
      </w:r>
      <w:r w:rsidR="00AC7975">
        <w:rPr>
          <w:rFonts w:eastAsia="Calibri"/>
          <w:lang w:eastAsia="en-US"/>
        </w:rPr>
        <w:lastRenderedPageBreak/>
        <w:t xml:space="preserve">φύσης, όπως λ.χ. </w:t>
      </w:r>
      <w:r w:rsidR="00C1012F">
        <w:rPr>
          <w:rFonts w:eastAsia="Calibri"/>
          <w:lang w:eastAsia="en-US"/>
        </w:rPr>
        <w:t>η ύπαρξη αδυναμίας τεκνοποίησης ή ο κίνδυνος μετάδοσης στο τέκνο σοβαρής ασθένειας ή, ακόμη, όπως θα δούμε πιο κάτω, ο έλεγχος της κατάστασης της υγείας</w:t>
      </w:r>
      <w:r w:rsidR="00CC3C21">
        <w:rPr>
          <w:rFonts w:eastAsia="Calibri"/>
          <w:lang w:eastAsia="en-US"/>
        </w:rPr>
        <w:t xml:space="preserve"> των υποψηφί</w:t>
      </w:r>
      <w:r w:rsidR="00C1012F">
        <w:rPr>
          <w:rFonts w:eastAsia="Calibri"/>
          <w:lang w:eastAsia="en-US"/>
        </w:rPr>
        <w:t>ων υποβοηθούμενων προσώπων. Πέρα</w:t>
      </w:r>
      <w:r w:rsidR="00AC7975">
        <w:rPr>
          <w:rFonts w:eastAsia="Calibri"/>
          <w:lang w:eastAsia="en-US"/>
        </w:rPr>
        <w:t>ν</w:t>
      </w:r>
      <w:r w:rsidR="00C1012F">
        <w:rPr>
          <w:rFonts w:eastAsia="Calibri"/>
          <w:lang w:eastAsia="en-US"/>
        </w:rPr>
        <w:t xml:space="preserve"> από τα στοιχεία αυτά, </w:t>
      </w:r>
      <w:r w:rsidR="00AC7975">
        <w:rPr>
          <w:rFonts w:eastAsia="Calibri"/>
          <w:lang w:eastAsia="en-US"/>
        </w:rPr>
        <w:t>όμως</w:t>
      </w:r>
      <w:r w:rsidR="00C1012F">
        <w:rPr>
          <w:rFonts w:eastAsia="Calibri"/>
          <w:lang w:eastAsia="en-US"/>
        </w:rPr>
        <w:t>, ο ιατρός και η ομάδα του υποχρεούνται να ελέγξουν τη συνδρομή του συνόλου των προϋποθέσεων που ορίζονται στο νόμο</w:t>
      </w:r>
      <w:r w:rsidR="003E1316">
        <w:rPr>
          <w:rFonts w:eastAsia="Calibri"/>
          <w:lang w:eastAsia="en-US"/>
        </w:rPr>
        <w:t>, όπως, λ.χ. εάν το υποψήφιο ζευγάρι πληροί το σύνολο των όρων που ορίζει ο νόμος (πραγμα</w:t>
      </w:r>
      <w:r w:rsidR="00157DCC">
        <w:rPr>
          <w:rFonts w:eastAsia="Calibri"/>
          <w:lang w:eastAsia="en-US"/>
        </w:rPr>
        <w:t xml:space="preserve">τικό, εν ζωή, </w:t>
      </w:r>
      <w:r w:rsidR="00191B32">
        <w:rPr>
          <w:rFonts w:eastAsia="Calibri"/>
          <w:lang w:eastAsia="en-US"/>
        </w:rPr>
        <w:t>ζευγάρι, διαφορετικού φύλου</w:t>
      </w:r>
      <w:r w:rsidR="00157DCC">
        <w:rPr>
          <w:rFonts w:eastAsia="Calibri"/>
          <w:lang w:eastAsia="en-US"/>
        </w:rPr>
        <w:t xml:space="preserve">, </w:t>
      </w:r>
      <w:r w:rsidR="00191B32">
        <w:rPr>
          <w:rFonts w:eastAsia="Calibri"/>
          <w:lang w:eastAsia="en-US"/>
        </w:rPr>
        <w:t>σε ηλικία φυσικής ικανότητας αναπαραγωγή κ.λπ.</w:t>
      </w:r>
      <w:r w:rsidR="003E1316">
        <w:rPr>
          <w:rFonts w:eastAsia="Calibri"/>
          <w:lang w:eastAsia="en-US"/>
        </w:rPr>
        <w:t>)</w:t>
      </w:r>
      <w:r w:rsidR="00191B32">
        <w:rPr>
          <w:rFonts w:eastAsia="Calibri"/>
          <w:lang w:eastAsia="en-US"/>
        </w:rPr>
        <w:t xml:space="preserve">. </w:t>
      </w:r>
    </w:p>
    <w:p w14:paraId="328D4FDA" w14:textId="77777777" w:rsidR="008878C5" w:rsidRDefault="00AC7975" w:rsidP="008878C5">
      <w:pPr>
        <w:rPr>
          <w:rFonts w:eastAsia="Calibri"/>
          <w:lang w:eastAsia="en-US"/>
        </w:rPr>
      </w:pPr>
      <w:r>
        <w:rPr>
          <w:rFonts w:eastAsia="Calibri"/>
          <w:lang w:eastAsia="en-US"/>
        </w:rPr>
        <w:t>Ο ιατρός και η ο</w:t>
      </w:r>
      <w:r w:rsidR="002E6E53">
        <w:rPr>
          <w:rFonts w:eastAsia="Calibri"/>
          <w:lang w:eastAsia="en-US"/>
        </w:rPr>
        <w:t xml:space="preserve">μάδα </w:t>
      </w:r>
      <w:r>
        <w:rPr>
          <w:rFonts w:eastAsia="Calibri"/>
          <w:lang w:eastAsia="en-US"/>
        </w:rPr>
        <w:t>του θα πρέπει να καλήξουν σε μια απόφαση λαμβάνοντας</w:t>
      </w:r>
      <w:r w:rsidR="002E6E53">
        <w:rPr>
          <w:rFonts w:eastAsia="Calibri"/>
          <w:lang w:eastAsia="en-US"/>
        </w:rPr>
        <w:t xml:space="preserve"> </w:t>
      </w:r>
      <w:r>
        <w:rPr>
          <w:rFonts w:eastAsia="Calibri"/>
          <w:lang w:eastAsia="en-US"/>
        </w:rPr>
        <w:t xml:space="preserve">επίσης </w:t>
      </w:r>
      <w:r w:rsidR="002E6E53">
        <w:rPr>
          <w:rFonts w:eastAsia="Calibri"/>
          <w:lang w:eastAsia="en-US"/>
        </w:rPr>
        <w:t xml:space="preserve">υπόψη </w:t>
      </w:r>
      <w:r>
        <w:rPr>
          <w:rFonts w:eastAsia="Calibri"/>
          <w:lang w:eastAsia="en-US"/>
        </w:rPr>
        <w:t>μια σειρά άλλων</w:t>
      </w:r>
      <w:r w:rsidR="002E6E53">
        <w:rPr>
          <w:rFonts w:eastAsia="Calibri"/>
          <w:lang w:eastAsia="en-US"/>
        </w:rPr>
        <w:t xml:space="preserve"> </w:t>
      </w:r>
      <w:r>
        <w:rPr>
          <w:rFonts w:eastAsia="Calibri"/>
          <w:lang w:eastAsia="en-US"/>
        </w:rPr>
        <w:t>παραμέτρων.</w:t>
      </w:r>
      <w:r w:rsidR="002E6E53">
        <w:rPr>
          <w:rFonts w:eastAsia="Calibri"/>
          <w:lang w:eastAsia="en-US"/>
        </w:rPr>
        <w:t xml:space="preserve"> Γι’ αυτό</w:t>
      </w:r>
      <w:r>
        <w:rPr>
          <w:rFonts w:eastAsia="Calibri"/>
          <w:lang w:eastAsia="en-US"/>
        </w:rPr>
        <w:t>,</w:t>
      </w:r>
      <w:r w:rsidR="002E6E53">
        <w:rPr>
          <w:rFonts w:eastAsia="Calibri"/>
          <w:lang w:eastAsia="en-US"/>
        </w:rPr>
        <w:t xml:space="preserve"> άλλωστε</w:t>
      </w:r>
      <w:r>
        <w:rPr>
          <w:rFonts w:eastAsia="Calibri"/>
          <w:lang w:eastAsia="en-US"/>
        </w:rPr>
        <w:t>,</w:t>
      </w:r>
      <w:r w:rsidR="002E6E53">
        <w:rPr>
          <w:rFonts w:eastAsia="Calibri"/>
          <w:lang w:eastAsia="en-US"/>
        </w:rPr>
        <w:t xml:space="preserve"> το άρθρο </w:t>
      </w:r>
      <w:r w:rsidR="002E6E53">
        <w:rPr>
          <w:rFonts w:eastAsia="Calibri"/>
          <w:lang w:val="en-US" w:eastAsia="en-US"/>
        </w:rPr>
        <w:t xml:space="preserve">L. 2141-10, </w:t>
      </w:r>
      <w:r w:rsidR="002E6E53">
        <w:rPr>
          <w:rFonts w:eastAsia="Calibri"/>
          <w:lang w:eastAsia="en-US"/>
        </w:rPr>
        <w:t xml:space="preserve">παρ. </w:t>
      </w:r>
      <w:r w:rsidR="008860D9">
        <w:rPr>
          <w:rFonts w:eastAsia="Calibri"/>
          <w:lang w:eastAsia="en-US"/>
        </w:rPr>
        <w:t xml:space="preserve">6, </w:t>
      </w:r>
      <w:r w:rsidR="002E099D">
        <w:rPr>
          <w:rFonts w:eastAsia="Calibri"/>
          <w:lang w:eastAsia="en-US"/>
        </w:rPr>
        <w:t xml:space="preserve">ΚΔΥ </w:t>
      </w:r>
      <w:r w:rsidR="008860D9">
        <w:rPr>
          <w:rFonts w:eastAsia="Calibri"/>
          <w:lang w:eastAsia="en-US"/>
        </w:rPr>
        <w:t>επιτρέπει την επιβολή στο ζευγάρι μιας περιόδου σκέψης «</w:t>
      </w:r>
      <w:r w:rsidR="008860D9" w:rsidRPr="008860D9">
        <w:rPr>
          <w:rFonts w:eastAsia="Calibri"/>
          <w:i/>
          <w:lang w:eastAsia="en-US"/>
        </w:rPr>
        <w:t>προς το συμφέρον του τέκνου που θα γεννηθεί</w:t>
      </w:r>
      <w:r w:rsidR="008860D9">
        <w:rPr>
          <w:rFonts w:eastAsia="Calibri"/>
          <w:lang w:eastAsia="en-US"/>
        </w:rPr>
        <w:t xml:space="preserve">». Φαίνεται λογική και αναγκαία, </w:t>
      </w:r>
      <w:r>
        <w:rPr>
          <w:rFonts w:eastAsia="Calibri"/>
          <w:lang w:eastAsia="en-US"/>
        </w:rPr>
        <w:t>εξάλλου</w:t>
      </w:r>
      <w:r w:rsidR="008860D9">
        <w:rPr>
          <w:rFonts w:eastAsia="Calibri"/>
          <w:lang w:eastAsia="en-US"/>
        </w:rPr>
        <w:t xml:space="preserve">, η αναβολή λήψης απόφασης από την ιατρική ομάδα εάν λ.χ. ένα από τα δύο υποψήφια υποβοηθούμενα πρόσωπα πάσχει από σοβαρή ασθένεια. </w:t>
      </w:r>
      <w:r>
        <w:rPr>
          <w:rFonts w:eastAsia="Calibri"/>
          <w:lang w:eastAsia="en-US"/>
        </w:rPr>
        <w:t>Το ίδιο</w:t>
      </w:r>
      <w:r w:rsidR="0088529F">
        <w:rPr>
          <w:rFonts w:eastAsia="Calibri"/>
          <w:lang w:eastAsia="en-US"/>
        </w:rPr>
        <w:t xml:space="preserve"> φυσιολογικός φαίνεται να είναι και ο </w:t>
      </w:r>
      <w:r>
        <w:rPr>
          <w:rFonts w:eastAsia="Calibri"/>
          <w:lang w:eastAsia="en-US"/>
        </w:rPr>
        <w:t xml:space="preserve">δισταγμός του θεράποντος ιατρού, </w:t>
      </w:r>
      <w:r w:rsidR="0088529F">
        <w:rPr>
          <w:rFonts w:eastAsia="Calibri"/>
          <w:lang w:eastAsia="en-US"/>
        </w:rPr>
        <w:t>εάν το αίτημα ιατρικής υποβοήθησης στην αναπαραγωγή προέρχεται από ζευγάρι διαφυλικών προσώπων</w:t>
      </w:r>
      <w:r w:rsidR="0088529F">
        <w:rPr>
          <w:rStyle w:val="FootnoteReference"/>
          <w:rFonts w:eastAsia="Calibri"/>
          <w:lang w:eastAsia="en-US"/>
        </w:rPr>
        <w:footnoteReference w:id="146"/>
      </w:r>
      <w:r w:rsidR="0088529F">
        <w:rPr>
          <w:rFonts w:eastAsia="Calibri"/>
          <w:lang w:eastAsia="en-US"/>
        </w:rPr>
        <w:t xml:space="preserve">. </w:t>
      </w:r>
    </w:p>
    <w:p w14:paraId="723D2034" w14:textId="77777777" w:rsidR="00850F39" w:rsidRDefault="00850F39" w:rsidP="00680921">
      <w:r>
        <w:rPr>
          <w:rFonts w:eastAsia="Calibri"/>
          <w:lang w:eastAsia="en-US"/>
        </w:rPr>
        <w:t xml:space="preserve">Αντίθετα, η </w:t>
      </w:r>
      <w:r w:rsidR="00231090">
        <w:rPr>
          <w:rFonts w:eastAsia="Calibri"/>
          <w:lang w:val="en-US" w:eastAsia="en-US"/>
        </w:rPr>
        <w:t xml:space="preserve">Aude Mircovic, </w:t>
      </w:r>
      <w:r w:rsidR="00231090">
        <w:rPr>
          <w:rStyle w:val="Emphasis"/>
          <w:i w:val="0"/>
        </w:rPr>
        <w:t xml:space="preserve">στην από </w:t>
      </w:r>
      <w:r w:rsidR="00231090">
        <w:t xml:space="preserve">27 Ιουνίου 2014 συνέντευξή της, </w:t>
      </w:r>
      <w:r w:rsidR="009061B1">
        <w:t xml:space="preserve">υποστηρίζει ότι ο έλεγχος που ασκείται από τους ιατρούς για την τήρηση των ηλικιακών ορίων που θέτει ο νομοθέτης δεν είναι επαρκής. </w:t>
      </w:r>
      <w:r w:rsidR="0004323D">
        <w:t xml:space="preserve">Η υπέρβαση των ορίων ηλικίας είναι συχνό φαινόμενο και, όπως μας λέει, πρόκειται για </w:t>
      </w:r>
      <w:r w:rsidR="009061B1">
        <w:t xml:space="preserve">κάτι το οποίο </w:t>
      </w:r>
      <w:r w:rsidR="009061B1" w:rsidRPr="00E51344">
        <w:t>παραδέχονται ανοιχτά</w:t>
      </w:r>
      <w:r w:rsidR="009061B1">
        <w:t xml:space="preserve"> οι ίδιοι </w:t>
      </w:r>
      <w:r w:rsidR="0004323D">
        <w:t>οι γυναικολόγοι. «</w:t>
      </w:r>
      <w:r w:rsidR="0004323D" w:rsidRPr="00E51344">
        <w:t>Στην πρ</w:t>
      </w:r>
      <w:r w:rsidR="00295750">
        <w:t>αγματικότητα</w:t>
      </w:r>
      <w:r w:rsidR="0004323D">
        <w:t>», μάλιστα, ισχυρίζεται ότι «</w:t>
      </w:r>
      <w:r w:rsidR="0004323D" w:rsidRPr="00E51344">
        <w:t xml:space="preserve">δεν είναι πρόβλημα ηλικίας της γυναίκας, αλλά πρόβλημα υγείας. Πρέπει να δεχτούμε ότι από μια ηλικία και πάνω η γυναίκα δεν είναι σε θέση να αποκτήσει παιδιά. Παρόλα αυτά, οι ιατροί δεν έχουν το κουράγιο να το πουν στη γυναίκα και δέχονται να προχωρήσουν σε </w:t>
      </w:r>
      <w:r w:rsidR="0004323D">
        <w:t>υποβοηθούμενη αναπαραγωγή</w:t>
      </w:r>
      <w:r w:rsidR="0004323D" w:rsidRPr="00E51344">
        <w:t xml:space="preserve"> παρότι γνωρίζουν ότι </w:t>
      </w:r>
      <w:r w:rsidR="0004323D">
        <w:t>ενδεχομένως να μην έχει</w:t>
      </w:r>
      <w:r w:rsidR="0004323D" w:rsidRPr="00E51344">
        <w:t xml:space="preserve"> το επιθυμητό αποτέλεσμα. Και το κάνουν παρόλα αυτά, ιδίως διότι γνωρίζουν ότι σε κάθε περίπτωση </w:t>
      </w:r>
      <w:r w:rsidR="001715BE">
        <w:t>η προσφυγή σε μεθόδους ιατρικά υποβοηθούμενης αναπαραγωγής</w:t>
      </w:r>
      <w:r w:rsidR="0004323D" w:rsidRPr="00E51344">
        <w:t xml:space="preserve"> είναι δωρεάν, </w:t>
      </w:r>
      <w:r w:rsidR="001715BE">
        <w:t xml:space="preserve">καθώς </w:t>
      </w:r>
      <w:r w:rsidR="0004323D" w:rsidRPr="00E51344">
        <w:t xml:space="preserve">καλύπτεται ασφαλιστικά στο ακέραιο. </w:t>
      </w:r>
      <w:r w:rsidR="001715BE">
        <w:t>Πρόκειται για τυπική περίπτωση ‘’ιατρικά υποβοηθούμενης αναπαραγωγής από ευσπλαχνία’’</w:t>
      </w:r>
      <w:r w:rsidR="0004323D" w:rsidRPr="00E51344">
        <w:t xml:space="preserve"> (</w:t>
      </w:r>
      <w:r w:rsidR="0004323D" w:rsidRPr="001715BE">
        <w:rPr>
          <w:i/>
          <w:lang w:val="fr-FR"/>
        </w:rPr>
        <w:t>PMA</w:t>
      </w:r>
      <w:r w:rsidR="0004323D" w:rsidRPr="001715BE">
        <w:rPr>
          <w:i/>
        </w:rPr>
        <w:t xml:space="preserve">  </w:t>
      </w:r>
      <w:r w:rsidR="0004323D" w:rsidRPr="001715BE">
        <w:rPr>
          <w:i/>
          <w:lang w:val="fr-FR"/>
        </w:rPr>
        <w:t>compassionnelle</w:t>
      </w:r>
      <w:r w:rsidR="0004323D" w:rsidRPr="00E51344">
        <w:t xml:space="preserve">). Ουσιαστικά οι ιατροί </w:t>
      </w:r>
      <w:r w:rsidR="001715BE">
        <w:t>εξαπατούν</w:t>
      </w:r>
      <w:r w:rsidR="0004323D" w:rsidRPr="00E51344">
        <w:t xml:space="preserve"> όχι μόν</w:t>
      </w:r>
      <w:r w:rsidR="001715BE">
        <w:t>ο στη γ</w:t>
      </w:r>
      <w:r w:rsidR="008D758E">
        <w:t xml:space="preserve">υναίκα, αλλά και </w:t>
      </w:r>
      <w:r w:rsidR="001715BE">
        <w:t>τα ασφαλιστικά τ</w:t>
      </w:r>
      <w:r w:rsidR="008D758E">
        <w:t xml:space="preserve">αμεία. Πολλώ δε μάλλον, </w:t>
      </w:r>
      <w:r w:rsidR="0004323D" w:rsidRPr="00E51344">
        <w:t>αν λάβει κανείς υπόψη του τη συγκυρία έντονης οικονομικής κρίσης που διανύει η χώρα, όταν μάλιστα πολλές σοβαρές, ανίατες και χρόνιες παθήσεις δεν καλύπτονται ασφαλιστικά από τα ταμεί</w:t>
      </w:r>
      <w:r w:rsidR="001715BE">
        <w:t>α»</w:t>
      </w:r>
      <w:r w:rsidR="00231090">
        <w:rPr>
          <w:rStyle w:val="FootnoteReference"/>
        </w:rPr>
        <w:footnoteReference w:id="147"/>
      </w:r>
      <w:r w:rsidR="00231090">
        <w:t xml:space="preserve">. </w:t>
      </w:r>
    </w:p>
    <w:p w14:paraId="2E096C12" w14:textId="77777777" w:rsidR="0000642A" w:rsidRPr="0000642A" w:rsidRDefault="0000642A" w:rsidP="0000642A">
      <w:pPr>
        <w:pStyle w:val="Heading4"/>
      </w:pPr>
      <w:bookmarkStart w:id="78" w:name="_Toc276574392"/>
      <w:r>
        <w:t>§</w:t>
      </w:r>
      <w:r w:rsidR="008878C5">
        <w:t>4</w:t>
      </w:r>
      <w:r>
        <w:t>. Απουσία δυνατότητας δικαστικής επέκτασης των ηλικιακών ορίων</w:t>
      </w:r>
      <w:bookmarkEnd w:id="78"/>
      <w:r>
        <w:t xml:space="preserve"> </w:t>
      </w:r>
    </w:p>
    <w:p w14:paraId="3A83A7B6" w14:textId="77777777" w:rsidR="0000642A" w:rsidRDefault="0000642A" w:rsidP="0000642A">
      <w:r>
        <w:t>Η ηλικία είναι παράγοντας που έχει άμεση σχέση με τη «</w:t>
      </w:r>
      <w:r w:rsidRPr="0000642A">
        <w:rPr>
          <w:i/>
        </w:rPr>
        <w:t>φυσική ικανότητα αναπαραγωγής</w:t>
      </w:r>
      <w:r>
        <w:t xml:space="preserve">» και, ως τέτοιος, είναι καθαρά ιατρικής φύσης. Συνεπώς, μόνος αρμόδιος για να αποφασίσει σχετικά με την επέκταση των ηλικιακών ορίων είναι ο ιατρός με τη </w:t>
      </w:r>
      <w:r>
        <w:lastRenderedPageBreak/>
        <w:t>διεπιστημονική του ομάδα. Άλλωστε, όπως σημειώθηκε και πιο πάνω, σύμφωνα με μαρτυρίες ιατρών, είναι εξαιρετικά σπάνιες οι περιπτώσεις ιατρικά υποβοηθούμενης αναπαραγωγής άνω του 45</w:t>
      </w:r>
      <w:r w:rsidRPr="00E84ACB">
        <w:rPr>
          <w:vertAlign w:val="superscript"/>
        </w:rPr>
        <w:t>ου</w:t>
      </w:r>
      <w:r>
        <w:t xml:space="preserve"> έτους ηλικίας της γυναίκας</w:t>
      </w:r>
      <w:r>
        <w:rPr>
          <w:rStyle w:val="FootnoteReference"/>
        </w:rPr>
        <w:footnoteReference w:id="148"/>
      </w:r>
      <w:r>
        <w:t xml:space="preserve">. </w:t>
      </w:r>
    </w:p>
    <w:p w14:paraId="67C5BB4B" w14:textId="77777777" w:rsidR="001859F0" w:rsidRPr="0000642A" w:rsidRDefault="001859F0" w:rsidP="0000642A">
      <w:r>
        <w:t xml:space="preserve">Σε κάθε περίπτωση, σε μία έννομη τάξη η οποία δεν προσδιορίζει ρητά και κατά τρόπο συγκεκριμένο τα ηλικιακά όρια πρόσβασης σε μεθόδους ιατρικά υποβοηθούμενης αναπαραγωγής, όπως είναι η ελληνική λ.χ., δε θα είχε κανένα νόημα η ύπαρξη ειδικής πρόβλεψης επέκτασης των ορίων αυτών με δικαστική απόφαση. </w:t>
      </w:r>
    </w:p>
    <w:p w14:paraId="27AF25B5" w14:textId="77777777" w:rsidR="0031618A" w:rsidRPr="004F493E" w:rsidRDefault="0031618A" w:rsidP="0031618A">
      <w:pPr>
        <w:pStyle w:val="Heading4"/>
      </w:pPr>
      <w:bookmarkStart w:id="79" w:name="_Toc276574393"/>
      <w:r>
        <w:t>§</w:t>
      </w:r>
      <w:r w:rsidR="008878C5">
        <w:t>5</w:t>
      </w:r>
      <w:r>
        <w:t xml:space="preserve">. </w:t>
      </w:r>
      <w:r w:rsidRPr="007018F5">
        <w:t>Συνέπειες μη συμμόρφωσης με τα ηλικιακά όρια</w:t>
      </w:r>
      <w:bookmarkEnd w:id="79"/>
    </w:p>
    <w:p w14:paraId="05465518" w14:textId="77777777" w:rsidR="0031618A" w:rsidRDefault="0031618A" w:rsidP="0031618A">
      <w:pPr>
        <w:rPr>
          <w:rFonts w:eastAsia="Calibri"/>
          <w:lang w:eastAsia="en-US"/>
        </w:rPr>
      </w:pPr>
      <w:r>
        <w:t xml:space="preserve">Σε περίπτωση που </w:t>
      </w:r>
      <w:r w:rsidRPr="004933B9">
        <w:t>η υποβοηθούμενη αναπαραγωγή πραγμ</w:t>
      </w:r>
      <w:r>
        <w:t xml:space="preserve">ατοποιηθεί </w:t>
      </w:r>
      <w:r w:rsidR="00BF13E4">
        <w:t xml:space="preserve">κατά παράβαση </w:t>
      </w:r>
      <w:r>
        <w:t>των νομοθετικά προβλεπόμενων ηλικιακών ορίων, οι συνέπειες που επιβάλλονται από το νομοθέτη αφορούν στον ιατρό και την ομάδα του, δεδομένου ότι αυτοί έχουν οριστεί από το νόμο ως οι</w:t>
      </w:r>
      <w:r>
        <w:rPr>
          <w:rFonts w:eastAsia="Calibri"/>
          <w:lang w:eastAsia="en-US"/>
        </w:rPr>
        <w:t xml:space="preserve"> αρμόδιοι να ελέγχουν τη συνδρομή των προϋποθέσεων για την πρόσβαση στην ιατρικά υποβοηθούμενη αναπαραγωγή. Όπως έχει προαναφερθεί, εξάλλου, στο στάδιο αυτό της εφαρμογής της υποβοηθούμενης αναπαραγωγής, ο ιατρός και η διεπιστημονική του ομάδα είναι που επωμίζονται εξ’ ολοκλήρου την ευθύνη της τήρησης της νομοθεσίας. </w:t>
      </w:r>
    </w:p>
    <w:p w14:paraId="763B2001" w14:textId="77777777" w:rsidR="0031618A" w:rsidRPr="00EE4056" w:rsidRDefault="0031618A" w:rsidP="0031618A">
      <w:r>
        <w:rPr>
          <w:rFonts w:eastAsia="Calibri"/>
          <w:lang w:eastAsia="en-US"/>
        </w:rPr>
        <w:t xml:space="preserve">Οι συνέπειες </w:t>
      </w:r>
      <w:r w:rsidRPr="00EE4056">
        <w:rPr>
          <w:rFonts w:eastAsia="Calibri"/>
          <w:lang w:eastAsia="en-US"/>
        </w:rPr>
        <w:t xml:space="preserve">που προβλέπονται σε περίπτωση μη συνδρομής της προϋπόθεσης των ηλικιακών ορίων των υποβοηθούμενων προσώπων μπορεί να είναι διοικητικής ή ποινικής φύσης. </w:t>
      </w:r>
    </w:p>
    <w:p w14:paraId="5547BF99" w14:textId="77777777" w:rsidR="0031618A" w:rsidRPr="00CB7EE5" w:rsidRDefault="0031618A" w:rsidP="00B40EFF">
      <w:pPr>
        <w:pStyle w:val="Heading6"/>
      </w:pPr>
      <w:bookmarkStart w:id="80" w:name="Διοικητική_3"/>
      <w:r w:rsidRPr="00CB7EE5">
        <w:t>Συνέπειες διοικητικής φύσης:</w:t>
      </w:r>
    </w:p>
    <w:p w14:paraId="3C8E2686" w14:textId="4364E355" w:rsidR="0031618A" w:rsidRPr="008C6961" w:rsidRDefault="00452EB8" w:rsidP="0031618A">
      <w:r w:rsidRPr="00EE4056">
        <w:t>Όπως έχει ήδη σημειωθεί</w:t>
      </w:r>
      <w:r>
        <w:t xml:space="preserve"> κατ’ επανάληψη πιο πάνω</w:t>
      </w:r>
      <w:r w:rsidR="00EE4056">
        <w:rPr>
          <w:rStyle w:val="FootnoteReference"/>
        </w:rPr>
        <w:footnoteReference w:id="149"/>
      </w:r>
      <w:r>
        <w:t>, τ</w:t>
      </w:r>
      <w:r w:rsidR="00C20F5B">
        <w:t>ο</w:t>
      </w:r>
      <w:r w:rsidR="00C20F5B" w:rsidRPr="00580B29">
        <w:t xml:space="preserve"> άρθρο </w:t>
      </w:r>
      <w:r w:rsidR="00C20F5B" w:rsidRPr="00580B29">
        <w:rPr>
          <w:b/>
          <w:lang w:val="en-US"/>
        </w:rPr>
        <w:t>L</w:t>
      </w:r>
      <w:r w:rsidR="00C20F5B" w:rsidRPr="00580B29">
        <w:rPr>
          <w:b/>
        </w:rPr>
        <w:t xml:space="preserve">. 6241-1 </w:t>
      </w:r>
      <w:r w:rsidR="00C20F5B">
        <w:rPr>
          <w:b/>
        </w:rPr>
        <w:t xml:space="preserve">ΚΔΥ </w:t>
      </w:r>
      <w:r w:rsidR="00C20F5B">
        <w:t>προβλέπει</w:t>
      </w:r>
      <w:r w:rsidR="00C20F5B" w:rsidRPr="00580B29">
        <w:t xml:space="preserve"> 23 </w:t>
      </w:r>
      <w:r w:rsidR="00C20F5B">
        <w:t>διαφορετικές</w:t>
      </w:r>
      <w:r w:rsidR="00C20F5B" w:rsidRPr="00580B29">
        <w:t xml:space="preserve"> </w:t>
      </w:r>
      <w:r w:rsidR="00C20F5B">
        <w:t>περιπτώσεις, κατά τις</w:t>
      </w:r>
      <w:r w:rsidR="00C20F5B" w:rsidRPr="00580B29">
        <w:t xml:space="preserve"> </w:t>
      </w:r>
      <w:r w:rsidR="00C20F5B">
        <w:t>οποίες</w:t>
      </w:r>
      <w:r w:rsidR="00C20F5B" w:rsidRPr="00580B29">
        <w:t xml:space="preserve"> </w:t>
      </w:r>
      <w:r w:rsidR="00C20F5B" w:rsidRPr="00F77D85">
        <w:t xml:space="preserve">ο </w:t>
      </w:r>
      <w:r w:rsidR="009E06D2">
        <w:t>Γενικός Διευθυντής</w:t>
      </w:r>
      <w:r w:rsidR="00C20F5B" w:rsidRPr="00F77D85">
        <w:t xml:space="preserve"> του Περιφερειακού Οργανισμού Υγείας (</w:t>
      </w:r>
      <w:r w:rsidR="00C20F5B" w:rsidRPr="00F77D85">
        <w:rPr>
          <w:lang w:val="en-US"/>
        </w:rPr>
        <w:t>ARS</w:t>
      </w:r>
      <w:r w:rsidR="00C20F5B" w:rsidRPr="00F77D85">
        <w:t>)</w:t>
      </w:r>
      <w:r w:rsidR="00C20F5B">
        <w:t xml:space="preserve"> δύναται να επιβάλει κύρωση διοικητικής</w:t>
      </w:r>
      <w:r w:rsidR="00C20F5B" w:rsidRPr="00580B29">
        <w:t xml:space="preserve"> </w:t>
      </w:r>
      <w:r w:rsidR="00C20F5B">
        <w:t>φύσης</w:t>
      </w:r>
      <w:r w:rsidR="00C20F5B" w:rsidRPr="00580B29">
        <w:t xml:space="preserve"> </w:t>
      </w:r>
      <w:r w:rsidR="00C20F5B">
        <w:t>στα</w:t>
      </w:r>
      <w:r w:rsidR="00C20F5B" w:rsidRPr="00580B29">
        <w:t xml:space="preserve"> </w:t>
      </w:r>
      <w:r w:rsidR="00C20F5B">
        <w:t>κέντρα</w:t>
      </w:r>
      <w:r w:rsidR="00C20F5B" w:rsidRPr="00580B29">
        <w:t xml:space="preserve"> </w:t>
      </w:r>
      <w:r w:rsidR="00C20F5B">
        <w:t>ιατρικά</w:t>
      </w:r>
      <w:r w:rsidR="00C20F5B" w:rsidRPr="00580B29">
        <w:t xml:space="preserve"> </w:t>
      </w:r>
      <w:r w:rsidR="00C20F5B">
        <w:t>υποβοηθούμενης</w:t>
      </w:r>
      <w:r w:rsidR="00C20F5B" w:rsidRPr="00580B29">
        <w:t xml:space="preserve"> </w:t>
      </w:r>
      <w:r w:rsidR="00C20F5B">
        <w:t>αναπαραγωγής</w:t>
      </w:r>
      <w:r w:rsidR="00C20F5B" w:rsidRPr="00580B29">
        <w:t xml:space="preserve"> </w:t>
      </w:r>
      <w:r w:rsidR="00C20F5B">
        <w:t>και</w:t>
      </w:r>
      <w:r w:rsidR="00C20F5B" w:rsidRPr="00580B29">
        <w:t xml:space="preserve"> </w:t>
      </w:r>
      <w:r w:rsidR="00C20F5B">
        <w:t>τα</w:t>
      </w:r>
      <w:r w:rsidR="00C20F5B" w:rsidRPr="00580B29">
        <w:t xml:space="preserve"> </w:t>
      </w:r>
      <w:r w:rsidR="00C20F5B">
        <w:t>βιολογικά</w:t>
      </w:r>
      <w:r w:rsidR="00C20F5B" w:rsidRPr="00580B29">
        <w:t xml:space="preserve"> </w:t>
      </w:r>
      <w:r w:rsidR="00C20F5B">
        <w:t>τους</w:t>
      </w:r>
      <w:r w:rsidR="00C20F5B" w:rsidRPr="00580B29">
        <w:t xml:space="preserve"> </w:t>
      </w:r>
      <w:r w:rsidR="00C20F5B">
        <w:t>εργαστήρια</w:t>
      </w:r>
      <w:r w:rsidR="00C20F5B" w:rsidRPr="00580B29">
        <w:t xml:space="preserve">. </w:t>
      </w:r>
      <w:r w:rsidR="00C20F5B">
        <w:t>Οι περιπτώσεις αυτές αφορούν σε διάφορους χειρισμούς των ανωτέρω κέντρων ή εργαστηρίων</w:t>
      </w:r>
      <w:r w:rsidR="00C20F5B" w:rsidRPr="008C725C">
        <w:t xml:space="preserve"> </w:t>
      </w:r>
      <w:r w:rsidR="00C20F5B">
        <w:t xml:space="preserve">που παραβιάζουν την ισχύουσα νομοθεσία, όπως είναι, ενδεικτικά, η διενέργεια εξετάσεων (όπως π.χ. η </w:t>
      </w:r>
      <w:r w:rsidR="00C20F5B"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w:t>
      </w:r>
      <w:r w:rsidRPr="00452EB8">
        <w:t>. Παράλλη</w:t>
      </w:r>
      <w:r w:rsidR="00DD0107">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επιβάλλονται στους υπεύθυνους επαγγελματίες υγείας για τις «παραβατικές» σύμφωνα με τα </w:t>
      </w:r>
      <w:r w:rsidRPr="008C6961">
        <w:t xml:space="preserve">ανωτέρω συμπεριφορές. </w:t>
      </w:r>
    </w:p>
    <w:p w14:paraId="3468C9A2" w14:textId="77777777" w:rsidR="0031618A" w:rsidRPr="008C6961" w:rsidRDefault="0031618A" w:rsidP="00B40EFF">
      <w:pPr>
        <w:pStyle w:val="Heading6"/>
      </w:pPr>
      <w:r w:rsidRPr="008C6961">
        <w:t>Συνέπειες ποινικής φύσης:</w:t>
      </w:r>
    </w:p>
    <w:p w14:paraId="330C155B" w14:textId="42ED8D2E" w:rsidR="0031618A" w:rsidRPr="001D59D2" w:rsidRDefault="0031618A" w:rsidP="0031618A">
      <w:r w:rsidRPr="001D59D2">
        <w:t xml:space="preserve">Σύμφωνα με τις διατάξεις του άρθρου </w:t>
      </w:r>
      <w:r w:rsidRPr="001D59D2">
        <w:rPr>
          <w:b/>
          <w:lang w:val="fr-FR"/>
        </w:rPr>
        <w:t>L</w:t>
      </w:r>
      <w:r w:rsidRPr="001D59D2">
        <w:rPr>
          <w:b/>
        </w:rPr>
        <w:t xml:space="preserve">. 2162-5 </w:t>
      </w:r>
      <w:r w:rsidR="005A1087" w:rsidRPr="001D59D2">
        <w:rPr>
          <w:b/>
        </w:rPr>
        <w:t>ΚΔΥ</w:t>
      </w:r>
      <w:r w:rsidRPr="001D59D2">
        <w:t xml:space="preserve">, οι οποίες παραπέμπουν στο άρθρο </w:t>
      </w:r>
      <w:r w:rsidR="002F61A0">
        <w:t>511-24 ΠΚ</w:t>
      </w:r>
      <w:r w:rsidRPr="001D59D2">
        <w:t>, «</w:t>
      </w:r>
      <w:r w:rsidRPr="001D59D2">
        <w:rPr>
          <w:i/>
        </w:rPr>
        <w:t xml:space="preserve">η διενέργεια δραστηριοτήτων ιατρικά υποβοηθούμενης αναπαραγωγής </w:t>
      </w:r>
      <w:r w:rsidRPr="001D59D2">
        <w:rPr>
          <w:i/>
        </w:rPr>
        <w:lastRenderedPageBreak/>
        <w:t xml:space="preserve">για σκοπούς άλλους από εκείνους που προβλέπονται στο άρθρο </w:t>
      </w:r>
      <w:r w:rsidRPr="001D59D2">
        <w:rPr>
          <w:i/>
          <w:lang w:val="fr-FR"/>
        </w:rPr>
        <w:t>L</w:t>
      </w:r>
      <w:r w:rsidRPr="001D59D2">
        <w:rPr>
          <w:i/>
        </w:rPr>
        <w:t xml:space="preserve">. 2141-2 </w:t>
      </w:r>
      <w:r w:rsidR="002E099D" w:rsidRPr="001D59D2">
        <w:rPr>
          <w:i/>
        </w:rPr>
        <w:t xml:space="preserve">ΚΔΥ </w:t>
      </w:r>
      <w:r w:rsidRPr="001D59D2">
        <w:rPr>
          <w:i/>
        </w:rPr>
        <w:t>τιμωρείται με ποινή φυλάκισης πέντε (5) ετών και με χρηματική ποινή 75.000 ευρώ</w:t>
      </w:r>
      <w:r w:rsidRPr="001D59D2">
        <w:t xml:space="preserve">». </w:t>
      </w:r>
    </w:p>
    <w:p w14:paraId="719C252A" w14:textId="77777777" w:rsidR="0031618A" w:rsidRPr="001D59D2" w:rsidRDefault="0031618A" w:rsidP="0031618A">
      <w:r w:rsidRPr="001D59D2">
        <w:t>Η «</w:t>
      </w:r>
      <w:r w:rsidRPr="001D59D2">
        <w:rPr>
          <w:i/>
        </w:rPr>
        <w:t>ηλικία φυσικής ικανότητας αναπαραγωγής</w:t>
      </w:r>
      <w:r w:rsidRPr="001D59D2">
        <w:t>» είναι μία από τις γενικές προϋποθέσεις εφαρμογής που θέτει</w:t>
      </w:r>
      <w:r>
        <w:t xml:space="preserve"> το άρθρο </w:t>
      </w:r>
      <w:r w:rsidRPr="00EC2606">
        <w:rPr>
          <w:lang w:val="fr-FR"/>
        </w:rPr>
        <w:t>L</w:t>
      </w:r>
      <w:r w:rsidRPr="001D59D2">
        <w:t xml:space="preserve">. 2141-2 </w:t>
      </w:r>
      <w:r w:rsidR="005A1087" w:rsidRPr="001D59D2">
        <w:t>ΚΔΥ</w:t>
      </w:r>
      <w:r w:rsidRPr="001D59D2">
        <w:t xml:space="preserve">, άρα κάθε παραβίαση </w:t>
      </w:r>
      <w:r w:rsidR="00BE2180" w:rsidRPr="001D59D2">
        <w:t>των νομοθετικά προβλεπόμενων ηλικιακών ορίων</w:t>
      </w:r>
      <w:r w:rsidRPr="001D59D2">
        <w:t xml:space="preserve"> </w:t>
      </w:r>
      <w:r w:rsidR="00BE2180" w:rsidRPr="001D59D2">
        <w:t>που αφορούν στα υποβοηθούμενα πρόσωπα</w:t>
      </w:r>
      <w:r w:rsidRPr="001D59D2">
        <w:t xml:space="preserve"> εμπίπτει στην απαγόρευση του άρθρου 511-24 ΠΚ. </w:t>
      </w:r>
    </w:p>
    <w:p w14:paraId="0E4AA5AF" w14:textId="77777777" w:rsidR="0031618A" w:rsidRPr="001D59D2" w:rsidRDefault="0031618A" w:rsidP="0031618A">
      <w:r w:rsidRPr="001D59D2">
        <w:t xml:space="preserve">Επίσης, </w:t>
      </w:r>
      <w:r w:rsidR="001D59D2">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w:t>
      </w:r>
      <w:r w:rsidR="00035AB3" w:rsidRPr="001D59D2">
        <w:t>ευτέρου</w:t>
      </w:r>
      <w:r w:rsidRPr="001D59D2">
        <w:t xml:space="preserve">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πράξεις</w:t>
      </w:r>
      <w:r w:rsidR="001D59D2">
        <w:rPr>
          <w:rStyle w:val="FootnoteReference"/>
        </w:rPr>
        <w:footnoteReference w:id="150"/>
      </w:r>
      <w:r w:rsidR="001D59D2">
        <w:t>.</w:t>
      </w:r>
    </w:p>
    <w:p w14:paraId="60C2F3ED" w14:textId="77777777" w:rsidR="002B0FA3" w:rsidRDefault="00C4415A" w:rsidP="002B0FA3">
      <w:pPr>
        <w:pStyle w:val="Heading3"/>
      </w:pPr>
      <w:bookmarkStart w:id="81" w:name="_Toc394082550"/>
      <w:bookmarkStart w:id="82" w:name="_Toc275535597"/>
      <w:bookmarkStart w:id="83" w:name="_Toc276574394"/>
      <w:bookmarkEnd w:id="80"/>
      <w:r>
        <w:t>β</w:t>
      </w:r>
      <w:r w:rsidR="002B0FA3" w:rsidRPr="004933B9">
        <w:t xml:space="preserve">. </w:t>
      </w:r>
      <w:bookmarkEnd w:id="81"/>
      <w:r w:rsidR="00A61029">
        <w:t>Υγεία υποψηφίων υποβοηθούμενων προσώπων</w:t>
      </w:r>
      <w:bookmarkEnd w:id="82"/>
      <w:bookmarkEnd w:id="83"/>
    </w:p>
    <w:p w14:paraId="2E1D8C30" w14:textId="0C3C5F52" w:rsidR="0060412D" w:rsidRPr="0060412D" w:rsidRDefault="00976541" w:rsidP="0060412D">
      <w:r>
        <w:t xml:space="preserve">Το ότι ο γάλλος νομοθέτης προβλέπει ως βασική προϋπόθεση της πρόσβασης στην ιατρικά υποβοηθούμενη αναπαραγωγή τον έλεγχο της υγείας των υποψηφίων υποβοηθούμενων προσώπων δε σημαίνει αυτομάτως, όπως θα δούμε πιο κάτω, ότι τα πρόσωπα αυτά αποκλείονται από τη διαδικασία της ιατρικής υποβοήθησης. Αντιθέτως, η διερεύνηση της κατάστασης της υγείας των υποψηφίων υποβοηθούμενων προσώπων συμβάλλει στην αποτελεσματικότερη υποβοήθησή τους (§1). Το γεγονός αυτό υπαγορεύει και την αυστηρή συμμόρφωση με τις σχετικές νομοθετικές ρυθμίσεις, η παραβίαση των οποίων </w:t>
      </w:r>
      <w:r w:rsidR="00CF3582">
        <w:t xml:space="preserve">τιμωρείται </w:t>
      </w:r>
      <w:r>
        <w:t xml:space="preserve">με αυστηρές ποινές (§2). </w:t>
      </w:r>
    </w:p>
    <w:p w14:paraId="3214C4A2" w14:textId="1D3F7C72" w:rsidR="00164BAC" w:rsidRDefault="00164BAC" w:rsidP="00164BAC">
      <w:pPr>
        <w:pStyle w:val="Heading4"/>
      </w:pPr>
      <w:bookmarkStart w:id="84" w:name="_Toc276574395"/>
      <w:r>
        <w:t xml:space="preserve">§1. Διερεύνηση </w:t>
      </w:r>
      <w:r w:rsidR="00976541">
        <w:t xml:space="preserve">της </w:t>
      </w:r>
      <w:r>
        <w:t xml:space="preserve">κατάστασης </w:t>
      </w:r>
      <w:r w:rsidR="00976541">
        <w:t xml:space="preserve">της </w:t>
      </w:r>
      <w:r>
        <w:t xml:space="preserve">υγείας </w:t>
      </w:r>
      <w:r w:rsidR="00976541">
        <w:t xml:space="preserve">των </w:t>
      </w:r>
      <w:r>
        <w:t>υποψηφίων υποβοηθούμενων προσώπων</w:t>
      </w:r>
      <w:bookmarkEnd w:id="84"/>
      <w:r>
        <w:t xml:space="preserve"> </w:t>
      </w:r>
    </w:p>
    <w:p w14:paraId="61C84627" w14:textId="77777777" w:rsidR="002B0FA3" w:rsidRPr="004933B9" w:rsidRDefault="00053867" w:rsidP="002B0FA3">
      <w:r>
        <w:t>Δεύτερη αναγκαία προϋπόθεση</w:t>
      </w:r>
      <w:r w:rsidR="002B0FA3" w:rsidRPr="004933B9">
        <w:rPr>
          <w:bCs/>
        </w:rPr>
        <w:t xml:space="preserve"> για τ</w:t>
      </w:r>
      <w:r>
        <w:rPr>
          <w:bCs/>
        </w:rPr>
        <w:t xml:space="preserve">ην υποβολή των υποψηφίων υποβοηθούμενων προσώπων </w:t>
      </w:r>
      <w:r w:rsidR="002B0FA3" w:rsidRPr="004933B9">
        <w:rPr>
          <w:bCs/>
        </w:rPr>
        <w:t xml:space="preserve">σε μεθόδους υποβοηθούμενης αναπαραγωγής </w:t>
      </w:r>
      <w:r>
        <w:rPr>
          <w:bCs/>
        </w:rPr>
        <w:t>είναι η διερεύνηση της κατάστασης της υγείας του. Δεν είναι απαραίτητο, όπως θα δούμε πιο κάτω</w:t>
      </w:r>
      <w:r w:rsidR="00270694">
        <w:rPr>
          <w:bCs/>
        </w:rPr>
        <w:t>, τα υποψήφια υποβοηθούμενα πρόσωπα να είναι υγιή</w:t>
      </w:r>
      <w:r>
        <w:rPr>
          <w:bCs/>
        </w:rPr>
        <w:t xml:space="preserve">. Το κρίσιμο είναι να ελεγχθεί η υγεία </w:t>
      </w:r>
      <w:r w:rsidR="00270694">
        <w:rPr>
          <w:bCs/>
        </w:rPr>
        <w:t>τους</w:t>
      </w:r>
      <w:r>
        <w:rPr>
          <w:bCs/>
        </w:rPr>
        <w:t xml:space="preserve"> και να εντοπιστεί, εάν υπάρχει, το πρόβλημα υγ</w:t>
      </w:r>
      <w:r w:rsidR="00270694">
        <w:rPr>
          <w:bCs/>
        </w:rPr>
        <w:t>είας, ώστε να υιοθετηθεί από τη</w:t>
      </w:r>
      <w:r>
        <w:rPr>
          <w:bCs/>
        </w:rPr>
        <w:t xml:space="preserve"> διεπιστημονική ιατρική ομάδα η κατάλληλη και προσαρμοσμένη στις </w:t>
      </w:r>
      <w:r w:rsidRPr="00513C39">
        <w:t xml:space="preserve">ανάγκες του </w:t>
      </w:r>
      <w:r>
        <w:t xml:space="preserve">ζευγαριού </w:t>
      </w:r>
      <w:r w:rsidRPr="00513C39">
        <w:t xml:space="preserve">πορεία </w:t>
      </w:r>
      <w:r>
        <w:t xml:space="preserve">ιατρικά υποβοηθούμενης αναπαραγωγής. </w:t>
      </w:r>
    </w:p>
    <w:p w14:paraId="5B38350F" w14:textId="77777777" w:rsidR="009B40AA" w:rsidRDefault="00BA7C5C" w:rsidP="009B40AA">
      <w:pPr>
        <w:rPr>
          <w:rFonts w:eastAsia="Calibri"/>
          <w:lang w:eastAsia="en-US"/>
        </w:rPr>
      </w:pPr>
      <w:r>
        <w:rPr>
          <w:bCs/>
        </w:rPr>
        <w:t xml:space="preserve">Η διερεύνηση της κατάστασης της υγείας των υποψηφίων </w:t>
      </w:r>
      <w:r w:rsidR="00F8314E">
        <w:rPr>
          <w:bCs/>
        </w:rPr>
        <w:t>μελλοντικών γονέων</w:t>
      </w:r>
      <w:r>
        <w:rPr>
          <w:bCs/>
        </w:rPr>
        <w:t xml:space="preserve"> γίνεται με </w:t>
      </w:r>
      <w:r w:rsidR="009B40AA">
        <w:rPr>
          <w:rFonts w:eastAsia="Calibri"/>
          <w:lang w:eastAsia="en-US"/>
        </w:rPr>
        <w:t xml:space="preserve">τη διεξαγωγή ιατρικών εξετάσεων. </w:t>
      </w:r>
    </w:p>
    <w:p w14:paraId="16587A10" w14:textId="77777777" w:rsidR="009B40AA" w:rsidRPr="00F91668" w:rsidRDefault="00F8314E" w:rsidP="00F91668">
      <w:pPr>
        <w:rPr>
          <w:rFonts w:eastAsia="Calibri"/>
          <w:b/>
          <w:lang w:eastAsia="en-US"/>
        </w:rPr>
      </w:pPr>
      <w:r>
        <w:rPr>
          <w:rFonts w:eastAsia="Calibri"/>
          <w:lang w:eastAsia="en-US"/>
        </w:rPr>
        <w:lastRenderedPageBreak/>
        <w:t>Οι</w:t>
      </w:r>
      <w:r w:rsidR="00F91668">
        <w:rPr>
          <w:rFonts w:eastAsia="Calibri"/>
          <w:lang w:eastAsia="en-US"/>
        </w:rPr>
        <w:t xml:space="preserve"> </w:t>
      </w:r>
      <w:r w:rsidR="009B40AA">
        <w:rPr>
          <w:rFonts w:eastAsia="Calibri"/>
          <w:lang w:eastAsia="en-US"/>
        </w:rPr>
        <w:t xml:space="preserve">κατευθυντήριες οδηγίες σχετικά με τις αναγκαίες ιατρικές εξετάσεις στις οποίες πρέπει να υποβληθούν τα υποβοηθούμενα πρόσωπα </w:t>
      </w:r>
      <w:r>
        <w:rPr>
          <w:rFonts w:eastAsia="Calibri"/>
          <w:lang w:eastAsia="en-US"/>
        </w:rPr>
        <w:t>παρέχονται από τον</w:t>
      </w:r>
      <w:r w:rsidR="00F91668">
        <w:rPr>
          <w:rFonts w:eastAsia="Calibri"/>
          <w:lang w:eastAsia="en-US"/>
        </w:rPr>
        <w:t xml:space="preserve"> </w:t>
      </w:r>
      <w:r>
        <w:rPr>
          <w:rFonts w:eastAsia="Calibri"/>
          <w:b/>
          <w:lang w:eastAsia="en-US"/>
        </w:rPr>
        <w:t>Οδηγό</w:t>
      </w:r>
      <w:r w:rsidR="009B40AA" w:rsidRPr="00F91668">
        <w:rPr>
          <w:rFonts w:eastAsia="Calibri"/>
          <w:b/>
          <w:lang w:eastAsia="en-US"/>
        </w:rPr>
        <w:t xml:space="preserve"> </w:t>
      </w:r>
      <w:r w:rsidR="009B40AA" w:rsidRPr="0020586F">
        <w:rPr>
          <w:rFonts w:eastAsia="Calibri"/>
          <w:b/>
          <w:lang w:eastAsia="en-US"/>
        </w:rPr>
        <w:t>καλών κλινικών και βιολογικών πρακτικών</w:t>
      </w:r>
      <w:r w:rsidR="009B40AA">
        <w:rPr>
          <w:rFonts w:eastAsia="Calibri"/>
          <w:b/>
          <w:lang w:eastAsia="en-US"/>
        </w:rPr>
        <w:t xml:space="preserve"> </w:t>
      </w:r>
      <w:r w:rsidR="0004076A">
        <w:rPr>
          <w:rFonts w:eastAsia="Calibri"/>
          <w:b/>
          <w:lang w:eastAsia="en-US"/>
        </w:rPr>
        <w:t>στην ιατρικά υποβοηθούμενη αναπαραγωγή</w:t>
      </w:r>
      <w:r w:rsidR="00F91668">
        <w:rPr>
          <w:rFonts w:eastAsia="Calibri"/>
          <w:b/>
          <w:lang w:eastAsia="en-US"/>
        </w:rPr>
        <w:t>.</w:t>
      </w:r>
      <w:r w:rsidR="009B40AA">
        <w:rPr>
          <w:rFonts w:eastAsia="Calibri"/>
          <w:lang w:eastAsia="en-US"/>
        </w:rPr>
        <w:t xml:space="preserve"> </w:t>
      </w:r>
      <w:r w:rsidR="00F91668" w:rsidRPr="00F91668">
        <w:rPr>
          <w:rFonts w:eastAsia="Calibri"/>
          <w:lang w:eastAsia="en-US"/>
        </w:rPr>
        <w:t>Ειδικότερα,</w:t>
      </w:r>
      <w:r w:rsidR="00F91668">
        <w:rPr>
          <w:rFonts w:eastAsia="Calibri"/>
          <w:b/>
          <w:lang w:eastAsia="en-US"/>
        </w:rPr>
        <w:t xml:space="preserve"> </w:t>
      </w:r>
      <w:r w:rsidR="009B40AA">
        <w:rPr>
          <w:rFonts w:eastAsia="Calibri"/>
          <w:lang w:eastAsia="en-US"/>
        </w:rPr>
        <w:t xml:space="preserve">στο σημείο </w:t>
      </w:r>
      <w:r w:rsidR="009B40AA" w:rsidRPr="001E701A">
        <w:rPr>
          <w:rFonts w:eastAsia="Calibri"/>
          <w:b/>
          <w:lang w:eastAsia="en-US"/>
        </w:rPr>
        <w:t>ΙΙ.4</w:t>
      </w:r>
      <w:r w:rsidR="009B40AA">
        <w:rPr>
          <w:rFonts w:eastAsia="Calibri"/>
          <w:lang w:eastAsia="en-US"/>
        </w:rPr>
        <w:t xml:space="preserve"> του </w:t>
      </w:r>
      <w:r w:rsidR="009B40AA" w:rsidRPr="00FA1129">
        <w:rPr>
          <w:rFonts w:eastAsia="Calibri"/>
          <w:b/>
          <w:lang w:eastAsia="en-US"/>
        </w:rPr>
        <w:t>Παρ</w:t>
      </w:r>
      <w:r w:rsidR="009B40AA">
        <w:rPr>
          <w:rFonts w:eastAsia="Calibri"/>
          <w:b/>
          <w:lang w:eastAsia="en-US"/>
        </w:rPr>
        <w:t>αρτήματος</w:t>
      </w:r>
      <w:r w:rsidR="009B40AA">
        <w:rPr>
          <w:rFonts w:eastAsia="Calibri"/>
          <w:lang w:eastAsia="en-US"/>
        </w:rPr>
        <w:t xml:space="preserve"> της </w:t>
      </w:r>
      <w:r w:rsidR="009B40AA" w:rsidRPr="00FA1129">
        <w:rPr>
          <w:rFonts w:eastAsia="Calibri"/>
          <w:b/>
          <w:lang w:eastAsia="en-US"/>
        </w:rPr>
        <w:t>Υπουργικής απόφασης της 11</w:t>
      </w:r>
      <w:r w:rsidR="009B40AA" w:rsidRPr="00FA1129">
        <w:rPr>
          <w:rFonts w:eastAsia="Calibri"/>
          <w:b/>
          <w:vertAlign w:val="superscript"/>
          <w:lang w:eastAsia="en-US"/>
        </w:rPr>
        <w:t>ης</w:t>
      </w:r>
      <w:r w:rsidR="009B40AA" w:rsidRPr="00FA1129">
        <w:rPr>
          <w:rFonts w:eastAsia="Calibri"/>
          <w:b/>
          <w:lang w:eastAsia="en-US"/>
        </w:rPr>
        <w:t xml:space="preserve"> Απριλίου 2008 σχετικά με τους κανόνες καλών κλινικών και βιολογικών πρακτικ</w:t>
      </w:r>
      <w:r w:rsidR="009B40AA">
        <w:rPr>
          <w:rFonts w:eastAsia="Calibri"/>
          <w:b/>
          <w:lang w:eastAsia="en-US"/>
        </w:rPr>
        <w:t xml:space="preserve">ών </w:t>
      </w:r>
      <w:r w:rsidR="0004076A">
        <w:rPr>
          <w:rFonts w:eastAsia="Calibri"/>
          <w:b/>
          <w:lang w:eastAsia="en-US"/>
        </w:rPr>
        <w:t>στην ιατρικά υποβοηθούμενη αναπαραγωγή</w:t>
      </w:r>
      <w:r w:rsidR="009B40AA">
        <w:rPr>
          <w:rFonts w:eastAsia="Calibri"/>
          <w:lang w:eastAsia="en-US"/>
        </w:rPr>
        <w:t xml:space="preserve">, </w:t>
      </w:r>
      <w:r w:rsidR="00F91668">
        <w:rPr>
          <w:rFonts w:eastAsia="Calibri"/>
          <w:lang w:eastAsia="en-US"/>
        </w:rPr>
        <w:t>όπως αυτή τ</w:t>
      </w:r>
      <w:r w:rsidR="00F91668" w:rsidRPr="008A27C1">
        <w:rPr>
          <w:rFonts w:eastAsia="Calibri"/>
          <w:lang w:eastAsia="en-US"/>
        </w:rPr>
        <w:t xml:space="preserve">ροποποιήθηκε από </w:t>
      </w:r>
      <w:r w:rsidR="00F91668">
        <w:rPr>
          <w:rFonts w:eastAsia="Calibri"/>
          <w:lang w:eastAsia="en-US"/>
        </w:rPr>
        <w:t xml:space="preserve">την </w:t>
      </w:r>
      <w:r w:rsidR="00F91668" w:rsidRPr="00141F30">
        <w:rPr>
          <w:rFonts w:eastAsia="Calibri"/>
          <w:b/>
          <w:lang w:eastAsia="en-US"/>
        </w:rPr>
        <w:t>Απόφαση της 3</w:t>
      </w:r>
      <w:r w:rsidR="00F91668" w:rsidRPr="00141F30">
        <w:rPr>
          <w:rFonts w:eastAsia="Calibri"/>
          <w:b/>
          <w:vertAlign w:val="superscript"/>
          <w:lang w:eastAsia="en-US"/>
        </w:rPr>
        <w:t>ης</w:t>
      </w:r>
      <w:r w:rsidR="00F91668" w:rsidRPr="00141F30">
        <w:rPr>
          <w:rFonts w:eastAsia="Calibri"/>
          <w:b/>
          <w:lang w:eastAsia="en-US"/>
        </w:rPr>
        <w:t xml:space="preserve"> Αυγούστου 2010</w:t>
      </w:r>
      <w:r w:rsidR="00F91668">
        <w:rPr>
          <w:rStyle w:val="FootnoteReference"/>
          <w:rFonts w:eastAsia="Calibri"/>
          <w:lang w:eastAsia="en-US"/>
        </w:rPr>
        <w:footnoteReference w:id="151"/>
      </w:r>
      <w:r w:rsidR="009B40AA">
        <w:rPr>
          <w:rFonts w:eastAsia="Calibri"/>
          <w:lang w:eastAsia="en-US"/>
        </w:rPr>
        <w:t xml:space="preserve">, ορίζονται οι </w:t>
      </w:r>
      <w:r w:rsidR="009B40AA" w:rsidRPr="00FA1129">
        <w:rPr>
          <w:rFonts w:eastAsia="Calibri"/>
          <w:i/>
          <w:lang w:eastAsia="en-US"/>
        </w:rPr>
        <w:t>Εξετάσεις υγειονομικής ασφάλειας</w:t>
      </w:r>
      <w:r w:rsidR="009B40AA">
        <w:rPr>
          <w:rFonts w:eastAsia="Calibri"/>
          <w:lang w:eastAsia="en-US"/>
        </w:rPr>
        <w:t xml:space="preserve">. </w:t>
      </w:r>
      <w:r w:rsidR="00F91668">
        <w:rPr>
          <w:rFonts w:eastAsia="Calibri"/>
          <w:lang w:eastAsia="en-US"/>
        </w:rPr>
        <w:t>Το</w:t>
      </w:r>
      <w:r w:rsidR="009B40AA">
        <w:rPr>
          <w:rFonts w:eastAsia="Calibri"/>
          <w:lang w:eastAsia="en-US"/>
        </w:rPr>
        <w:t xml:space="preserve"> </w:t>
      </w:r>
      <w:r w:rsidR="009B40AA" w:rsidRPr="00E65C4E">
        <w:rPr>
          <w:rFonts w:eastAsia="Calibri"/>
          <w:b/>
          <w:lang w:eastAsia="en-US"/>
        </w:rPr>
        <w:t>ΙΙ.</w:t>
      </w:r>
      <w:r w:rsidR="009B40AA">
        <w:rPr>
          <w:rFonts w:eastAsia="Calibri"/>
          <w:b/>
          <w:lang w:eastAsia="en-US"/>
        </w:rPr>
        <w:t>4.1</w:t>
      </w:r>
      <w:r w:rsidR="009B40AA" w:rsidRPr="00E65C4E">
        <w:rPr>
          <w:rFonts w:eastAsia="Calibri"/>
          <w:b/>
          <w:lang w:eastAsia="en-US"/>
        </w:rPr>
        <w:t xml:space="preserve"> του Παραρτήματος</w:t>
      </w:r>
      <w:r w:rsidR="009B40AA">
        <w:rPr>
          <w:rFonts w:eastAsia="Calibri"/>
          <w:lang w:eastAsia="en-US"/>
        </w:rPr>
        <w:t xml:space="preserve"> της ανωτέρω </w:t>
      </w:r>
      <w:r w:rsidR="009B40AA" w:rsidRPr="0020586F">
        <w:rPr>
          <w:rFonts w:eastAsia="Calibri"/>
          <w:b/>
          <w:lang w:eastAsia="en-US"/>
        </w:rPr>
        <w:t>Υπουργική</w:t>
      </w:r>
      <w:r w:rsidR="009B40AA">
        <w:rPr>
          <w:rFonts w:eastAsia="Calibri"/>
          <w:b/>
          <w:lang w:eastAsia="en-US"/>
        </w:rPr>
        <w:t>ς</w:t>
      </w:r>
      <w:r w:rsidR="009B40AA" w:rsidRPr="0020586F">
        <w:rPr>
          <w:rFonts w:eastAsia="Calibri"/>
          <w:b/>
          <w:lang w:eastAsia="en-US"/>
        </w:rPr>
        <w:t xml:space="preserve"> απόφαση</w:t>
      </w:r>
      <w:r w:rsidR="009B40AA">
        <w:rPr>
          <w:rFonts w:eastAsia="Calibri"/>
          <w:b/>
          <w:lang w:eastAsia="en-US"/>
        </w:rPr>
        <w:t>ς</w:t>
      </w:r>
      <w:r w:rsidR="009B40AA">
        <w:rPr>
          <w:rFonts w:eastAsia="Calibri"/>
          <w:lang w:eastAsia="en-US"/>
        </w:rPr>
        <w:t xml:space="preserve">, </w:t>
      </w:r>
      <w:r w:rsidR="009B40AA">
        <w:rPr>
          <w:rFonts w:eastAsia="Calibri"/>
        </w:rPr>
        <w:t xml:space="preserve">που τιτλοφορείται </w:t>
      </w:r>
      <w:r w:rsidR="009B40AA">
        <w:rPr>
          <w:rFonts w:eastAsia="Calibri"/>
          <w:b/>
          <w:lang w:eastAsia="en-US"/>
        </w:rPr>
        <w:t>Ενδο</w:t>
      </w:r>
      <w:r w:rsidR="008C6F0A">
        <w:rPr>
          <w:rFonts w:eastAsia="Calibri"/>
          <w:b/>
          <w:lang w:eastAsia="en-US"/>
        </w:rPr>
        <w:t>-συζυγι</w:t>
      </w:r>
      <w:r w:rsidR="009B40AA">
        <w:rPr>
          <w:rFonts w:eastAsia="Calibri"/>
          <w:b/>
          <w:lang w:eastAsia="en-US"/>
        </w:rPr>
        <w:t>κή ιατρικά υποβοηθούμενη αναπαραγωγή και αυτό-συντήρηση</w:t>
      </w:r>
      <w:r w:rsidR="009B40AA" w:rsidRPr="00FA1129">
        <w:rPr>
          <w:rFonts w:eastAsia="Calibri"/>
          <w:b/>
          <w:lang w:eastAsia="en-US"/>
        </w:rPr>
        <w:t xml:space="preserve"> γαμετών και εμβρυακού ιστού</w:t>
      </w:r>
      <w:r w:rsidR="009B40AA">
        <w:rPr>
          <w:rFonts w:eastAsia="Calibri"/>
          <w:b/>
          <w:lang w:eastAsia="en-US"/>
        </w:rPr>
        <w:t>,</w:t>
      </w:r>
      <w:r w:rsidR="009B40AA">
        <w:rPr>
          <w:rFonts w:eastAsia="Calibri"/>
        </w:rPr>
        <w:t xml:space="preserve"> εξειδικεύει και διευκρινίζει τις ιατρικές εξετάσεις στις οποίες οφείλουν να υποβάλλονται τα υποβοηθούμενα πρόσωπα προκειμένου να ελεγχθεί η υγεία τους. </w:t>
      </w:r>
    </w:p>
    <w:p w14:paraId="5B4F63B8" w14:textId="77777777" w:rsidR="009B40AA" w:rsidRDefault="009B40AA" w:rsidP="00CA272C">
      <w:r>
        <w:rPr>
          <w:rFonts w:eastAsia="Calibri"/>
          <w:lang w:eastAsia="en-US"/>
        </w:rPr>
        <w:t>Ειδικότερα, το εξειδικευμένο ιατρικό προσωπικό του κέντρου ιατρικά υποβοηθούμενης αναπαραγωγής διερευνά</w:t>
      </w:r>
      <w:r>
        <w:rPr>
          <w:rStyle w:val="hps"/>
        </w:rPr>
        <w:t xml:space="preserve"> καταρχήν το ενδεχόμενο ύπαρξης βιολογικών δεικτών λοίμωξης από τους ιούς της ανθρώπινης</w:t>
      </w:r>
      <w:r>
        <w:t xml:space="preserve"> </w:t>
      </w:r>
      <w:r>
        <w:rPr>
          <w:rStyle w:val="hps"/>
        </w:rPr>
        <w:t>ανοσοανεπάρκειας (</w:t>
      </w:r>
      <w:r>
        <w:t>ΗΙ</w:t>
      </w:r>
      <w:r>
        <w:rPr>
          <w:lang w:val="en-US"/>
        </w:rPr>
        <w:t>V</w:t>
      </w:r>
      <w:r>
        <w:t>1/</w:t>
      </w:r>
      <w:r>
        <w:rPr>
          <w:lang w:val="en-US"/>
        </w:rPr>
        <w:t>HIV</w:t>
      </w:r>
      <w:r>
        <w:t xml:space="preserve">2), της </w:t>
      </w:r>
      <w:r>
        <w:rPr>
          <w:rStyle w:val="hps"/>
        </w:rPr>
        <w:t>ηπατίτιδας Β (HBV</w:t>
      </w:r>
      <w:r>
        <w:t xml:space="preserve">) </w:t>
      </w:r>
      <w:r>
        <w:rPr>
          <w:rStyle w:val="hps"/>
        </w:rPr>
        <w:t>(αντιγόνο</w:t>
      </w:r>
      <w:r>
        <w:t xml:space="preserve"> </w:t>
      </w:r>
      <w:r>
        <w:rPr>
          <w:rStyle w:val="hps"/>
        </w:rPr>
        <w:t>HBs</w:t>
      </w:r>
      <w:r>
        <w:t xml:space="preserve">, αντισώματα </w:t>
      </w:r>
      <w:r>
        <w:rPr>
          <w:rStyle w:val="hps"/>
        </w:rPr>
        <w:t>anti-HBc</w:t>
      </w:r>
      <w:r>
        <w:t xml:space="preserve"> </w:t>
      </w:r>
      <w:r>
        <w:rPr>
          <w:rStyle w:val="hps"/>
        </w:rPr>
        <w:t>και</w:t>
      </w:r>
      <w:r>
        <w:t xml:space="preserve"> </w:t>
      </w:r>
      <w:r>
        <w:rPr>
          <w:rStyle w:val="hps"/>
        </w:rPr>
        <w:t>anti-HBs</w:t>
      </w:r>
      <w:r>
        <w:t xml:space="preserve">), </w:t>
      </w:r>
      <w:r>
        <w:rPr>
          <w:rStyle w:val="hps"/>
        </w:rPr>
        <w:t>της ηπατίτιδας Γ (HCV)</w:t>
      </w:r>
      <w:r>
        <w:t xml:space="preserve"> </w:t>
      </w:r>
      <w:r>
        <w:rPr>
          <w:rStyle w:val="hps"/>
        </w:rPr>
        <w:t>και</w:t>
      </w:r>
      <w:r>
        <w:t xml:space="preserve"> </w:t>
      </w:r>
      <w:r>
        <w:rPr>
          <w:rStyle w:val="hps"/>
        </w:rPr>
        <w:t>της σύφιλης. Οι εξετάσεις αυτές</w:t>
      </w:r>
      <w:r>
        <w:t xml:space="preserve"> </w:t>
      </w:r>
      <w:r>
        <w:rPr>
          <w:rStyle w:val="hps"/>
        </w:rPr>
        <w:t>πραγματοποιούνται σε</w:t>
      </w:r>
      <w:r>
        <w:t xml:space="preserve"> </w:t>
      </w:r>
      <w:r>
        <w:rPr>
          <w:rStyle w:val="hps"/>
        </w:rPr>
        <w:t>αμφότερα τα υποβοηθούμενα πρόσωπα εντός του χρονικού διαστήματος των</w:t>
      </w:r>
      <w:r>
        <w:t xml:space="preserve"> </w:t>
      </w:r>
      <w:r>
        <w:rPr>
          <w:rStyle w:val="hps"/>
        </w:rPr>
        <w:t>έξι</w:t>
      </w:r>
      <w:r>
        <w:t xml:space="preserve"> (6) μηνών που προηγούνται της προσπάθειας ιατρικά υποβοηθούμενης αναπαραγωγής, εάν είναι η πρώτη φορά που δ</w:t>
      </w:r>
      <w:r w:rsidR="00CA272C">
        <w:t xml:space="preserve">ιενεργούνται οι εξετάσεις αυτές. Εάν μεταξύ της ιατρικά υποβοηθούμενης αναπαραγωγής και της τελευταίας διενέργειας των εν λόγω εξετάσεων έχει μεσολαβήσει περίοδος μεγαλύτερη των </w:t>
      </w:r>
      <w:r>
        <w:t>δώδεκα (12) μηνών</w:t>
      </w:r>
      <w:r w:rsidR="00CA272C">
        <w:t>, οι εξετάσεις</w:t>
      </w:r>
      <w:r w:rsidR="00845D4E">
        <w:t xml:space="preserve"> αυτές</w:t>
      </w:r>
      <w:r w:rsidR="00CA272C">
        <w:t xml:space="preserve"> μπορούν να διενεργηθούν και αργότερα</w:t>
      </w:r>
      <w:r>
        <w:t xml:space="preserve">. Σε περίπτωση που οι πιο πάνω δείκτες είναι θετικοί, η γνώμη ενός εμπειρογνώμονα είναι αναγκαία. </w:t>
      </w:r>
    </w:p>
    <w:p w14:paraId="0FB1749F" w14:textId="77777777" w:rsidR="009B40AA" w:rsidRDefault="00F91668" w:rsidP="009B40AA">
      <w:r>
        <w:t xml:space="preserve">Ειδικότερα, ο Οδηγός καλών κλινικών και βιολογικών πρακτικών </w:t>
      </w:r>
      <w:r w:rsidR="0004076A">
        <w:t>στην ιατρικά υποβοηθούμενη αναπαραγωγή</w:t>
      </w:r>
      <w:r>
        <w:t xml:space="preserve"> </w:t>
      </w:r>
      <w:r w:rsidR="009B40AA">
        <w:rPr>
          <w:rFonts w:eastAsia="Calibri"/>
          <w:lang w:eastAsia="en-US"/>
        </w:rPr>
        <w:t xml:space="preserve">προβλέπει με λεπτομέρεια τη διαδικασία που πρέπει να εφαρμοστεί σε περίπτωση θετικών δεικτών στη σύφιλη ή σε περίπτωση ανοσοανεπάρκειας σε συγκεκριμένες λοιμώξεις, καθώς επίσης και τα θεραπευτικά στάδια που οφείλει να ακολουθήσει ο ιατρός πριν προβεί στην ιατρικά υποβοηθούμενη αναπαραγωγή. </w:t>
      </w:r>
      <w:r w:rsidR="009B40AA">
        <w:rPr>
          <w:rStyle w:val="hps"/>
        </w:rPr>
        <w:t>Λαμβάνοντας υπόψη τα αποτελέσματα των ανωτέρω εξετάσεων, το ιατρικό προσωπικό προβαίνει σε οποιαδήποτε συμπληρωματική εξέταση κρίνει αναγκαία προκειμένου να διερευνήσει την ύπαρξη αντισωμάτων-</w:t>
      </w:r>
      <w:r w:rsidR="009B40AA" w:rsidRPr="00F775DB">
        <w:rPr>
          <w:lang w:val="fr-FR"/>
        </w:rPr>
        <w:t>HTLV</w:t>
      </w:r>
      <w:r w:rsidR="009B40AA" w:rsidRPr="00F775DB">
        <w:t>1</w:t>
      </w:r>
      <w:r w:rsidR="009B40AA">
        <w:t xml:space="preserve">, ειδικότερα όταν τα υποβοηθούμενα πρόσωπα διαμένουν σε περιοχές όπου παρατηρείται αυξημένος αριθμός κρουσμάτων ή οι ερωτικοί τους σύντροφοι ή οι γονείς </w:t>
      </w:r>
      <w:r w:rsidR="003550CD">
        <w:t xml:space="preserve">τους </w:t>
      </w:r>
      <w:r w:rsidR="009B40AA">
        <w:t xml:space="preserve">προέρχονται από τις περιοχές αυτές. Επίσης, ειδικές εξετάσεις </w:t>
      </w:r>
      <w:r w:rsidR="00F71367">
        <w:t>δύνανται να διενεργηθούν</w:t>
      </w:r>
      <w:r w:rsidR="009B40AA">
        <w:t xml:space="preserve"> ανάλογα με την </w:t>
      </w:r>
      <w:r w:rsidR="009B40AA" w:rsidRPr="00C80EE9">
        <w:t>ειδικότερη</w:t>
      </w:r>
      <w:r w:rsidR="009B40AA">
        <w:t xml:space="preserve"> έκθεση </w:t>
      </w:r>
      <w:r w:rsidR="00F71367">
        <w:t xml:space="preserve">των υποβοηθούμενων προσώπων </w:t>
      </w:r>
      <w:r w:rsidR="009B40AA">
        <w:t>σε διάφορες άλλες συνθήκες.</w:t>
      </w:r>
    </w:p>
    <w:p w14:paraId="25D3A505" w14:textId="77777777" w:rsidR="00830394" w:rsidRDefault="00F91668" w:rsidP="00F202A1">
      <w:r w:rsidRPr="003550CD">
        <w:t xml:space="preserve">Συνεπώς, </w:t>
      </w:r>
      <w:r w:rsidR="003550CD">
        <w:t>γίνεται σαφές ότι ο γάλλος</w:t>
      </w:r>
      <w:r w:rsidRPr="003550CD">
        <w:t xml:space="preserve"> νομοθέτης δεν αποκλείει ουσιαστικά την πρόσβαση στην ιατρικά υποβοηθούμενη </w:t>
      </w:r>
      <w:r w:rsidR="003550CD">
        <w:t xml:space="preserve">στα πρόσωπα που αντιμετωπίζουν προβλήματα </w:t>
      </w:r>
      <w:r w:rsidR="003550CD">
        <w:lastRenderedPageBreak/>
        <w:t xml:space="preserve">υγείας. Αντίθετα, </w:t>
      </w:r>
      <w:r w:rsidR="00830394">
        <w:t xml:space="preserve">υπό </w:t>
      </w:r>
      <w:r w:rsidR="004A7EC2">
        <w:t>τον όρο της αυστηρής τήρησης συγκεκριμένων προϋποθέσεων</w:t>
      </w:r>
      <w:r w:rsidR="00830394">
        <w:t xml:space="preserve">, η πρόσβαση στην ιατρικά υποβοηθούμενη αναπαραγωγή </w:t>
      </w:r>
      <w:r w:rsidR="00EC4458">
        <w:t xml:space="preserve">όχι μόνο επιτρέπεται, αλλά επιπρόσθετα </w:t>
      </w:r>
      <w:r w:rsidR="00830394">
        <w:t>αποσκοπεί στη διευκόλυνση του υποβοηθούμενου ζευγαριού να τεκνοποιήσει</w:t>
      </w:r>
      <w:r w:rsidR="004A7EC2">
        <w:t>. Προτεραιότητα του νομοθέτη είναι να προφυλάξει</w:t>
      </w:r>
      <w:r w:rsidR="00EC4458">
        <w:t xml:space="preserve"> τόσο το τέκνο που θα γεννηθεί, όσο και το/τη σύντροφο από ενδεχόμενη μετάδοση της σοβαρής ασθένειας από την οποία πάσχει ένας εκ των δύο ή κα</w:t>
      </w:r>
      <w:r w:rsidR="004A7EC2">
        <w:t xml:space="preserve">ι οι δύο μελλοντικοί γονείς, </w:t>
      </w:r>
      <w:r w:rsidR="00EC4458">
        <w:t>αντιμετωπίζοντας ταυτόχρονα την υπογονιμότητα του ζευγαριού. Ο νομοθέτης μεριμνά, με άλλα λόγια, γ</w:t>
      </w:r>
      <w:r w:rsidR="003550CD">
        <w:t>ια τη διασφάλιση της καταλληλότερης και προσαρμοσμένης στις ανάγκες του ζευγαριού θεραπευτική</w:t>
      </w:r>
      <w:r w:rsidR="00830394">
        <w:t>ς</w:t>
      </w:r>
      <w:r w:rsidR="003550CD">
        <w:t xml:space="preserve"> προσέ</w:t>
      </w:r>
      <w:r w:rsidR="00F4778D">
        <w:t>γγιση</w:t>
      </w:r>
      <w:r w:rsidR="00830394">
        <w:t>ς</w:t>
      </w:r>
      <w:r w:rsidR="00F4778D">
        <w:t xml:space="preserve"> με σεβασμό σε</w:t>
      </w:r>
      <w:r w:rsidR="002B0FA3">
        <w:t xml:space="preserve"> όλα τα αναγκαία θεραπευτικά στάδια που προβλέπει ο νόμος.</w:t>
      </w:r>
      <w:r w:rsidR="00EC4458">
        <w:t xml:space="preserve"> Οι δραστηριότητες της ιατρικά υποβοηθούμενης αναπαραγωγής λαμβάνουν χώρα σε εξειδικευμένα και ειδικά εφοδιασμένα και προσαρμοσμένα στις ειδικότερες ανάγκες των ασθενών κέντρα.</w:t>
      </w:r>
      <w:r w:rsidR="002B0FA3">
        <w:t xml:space="preserve"> Σε αντίθετη περίπτωση, αν δηλαδή δεν ακολουθηθεί το πρωτόκολλο που ορίζει ο νόμος, τότε υπάρχουν συνέπειες για τον ιατρό και την ομάδα του</w:t>
      </w:r>
      <w:r w:rsidR="00EC4458">
        <w:rPr>
          <w:rStyle w:val="FootnoteReference"/>
        </w:rPr>
        <w:footnoteReference w:id="152"/>
      </w:r>
      <w:r w:rsidR="002B0FA3">
        <w:t xml:space="preserve">. </w:t>
      </w:r>
    </w:p>
    <w:p w14:paraId="436E7F91" w14:textId="77777777" w:rsidR="00F61941" w:rsidRDefault="00AE2563" w:rsidP="00F61941">
      <w:r>
        <w:t xml:space="preserve">Ειδικότερα, σύμφωνα με το </w:t>
      </w:r>
      <w:r w:rsidRPr="00AE2563">
        <w:rPr>
          <w:b/>
        </w:rPr>
        <w:t xml:space="preserve">Παράρτημα </w:t>
      </w:r>
      <w:r w:rsidRPr="00AE2563">
        <w:rPr>
          <w:b/>
          <w:lang w:val="en-US"/>
        </w:rPr>
        <w:t xml:space="preserve">IV </w:t>
      </w:r>
      <w:r w:rsidRPr="00AE2563">
        <w:rPr>
          <w:b/>
        </w:rPr>
        <w:t>του Οδηγού καλών κλινικών και βιολογικών πρακτικών στην ιατρικά υποβοηθούμενη αναπαραγωγή</w:t>
      </w:r>
      <w:r>
        <w:t xml:space="preserve">, το οποίο τιτλοφορείται </w:t>
      </w:r>
      <w:r w:rsidRPr="00AE2563">
        <w:rPr>
          <w:i/>
        </w:rPr>
        <w:t>Ειδικότερες διατάξεις σχετικές με την περίθαλψη ζευγαριών σε ιογενή πλαίσιο</w:t>
      </w:r>
      <w:r>
        <w:t xml:space="preserve">, όταν σε ένα υποψήφιο υποβοηθούμενο ζευγάρι ο ένας </w:t>
      </w:r>
      <w:r w:rsidR="000339A5">
        <w:t>εκ των</w:t>
      </w:r>
      <w:r>
        <w:t xml:space="preserve"> δύο </w:t>
      </w:r>
      <w:r w:rsidR="000339A5">
        <w:t>ή και οι δύο εμφανίζουν</w:t>
      </w:r>
      <w:r>
        <w:t xml:space="preserve"> θετικούς δείκτες λοίμωξης </w:t>
      </w:r>
      <w:r>
        <w:rPr>
          <w:rStyle w:val="hps"/>
        </w:rPr>
        <w:t>από τους ιούς της ανθρώπινης</w:t>
      </w:r>
      <w:r>
        <w:t xml:space="preserve"> </w:t>
      </w:r>
      <w:r>
        <w:rPr>
          <w:rStyle w:val="hps"/>
        </w:rPr>
        <w:t>ανοσοανεπάρκειας (</w:t>
      </w:r>
      <w:r>
        <w:t>ΗΙ</w:t>
      </w:r>
      <w:r>
        <w:rPr>
          <w:lang w:val="en-US"/>
        </w:rPr>
        <w:t>V</w:t>
      </w:r>
      <w:r>
        <w:t>1/</w:t>
      </w:r>
      <w:r>
        <w:rPr>
          <w:lang w:val="en-US"/>
        </w:rPr>
        <w:t>HIV</w:t>
      </w:r>
      <w:r>
        <w:t xml:space="preserve">2), της </w:t>
      </w:r>
      <w:r>
        <w:rPr>
          <w:rStyle w:val="hps"/>
        </w:rPr>
        <w:t>ηπατίτιδας Β (HBV</w:t>
      </w:r>
      <w:r>
        <w:t>)</w:t>
      </w:r>
      <w:r w:rsidR="00F61941">
        <w:t xml:space="preserve"> ή/και</w:t>
      </w:r>
      <w:r>
        <w:t xml:space="preserve"> </w:t>
      </w:r>
      <w:r>
        <w:rPr>
          <w:rStyle w:val="hps"/>
        </w:rPr>
        <w:t>της ηπατίτιδας Γ (HCV)</w:t>
      </w:r>
      <w:r w:rsidR="000339A5">
        <w:rPr>
          <w:rStyle w:val="hps"/>
        </w:rPr>
        <w:t xml:space="preserve"> και οι γαμέτες τους</w:t>
      </w:r>
      <w:r w:rsidR="00F61941">
        <w:rPr>
          <w:rStyle w:val="hps"/>
        </w:rPr>
        <w:t xml:space="preserve"> παρουσιάζουν ιογενή κίνδυνο</w:t>
      </w:r>
      <w:r w:rsidR="00F61941">
        <w:t>, η ιατρική τους υποβοήθηση γίνεται κατ’ εφαρμογή ειδικού προστατευτικού πλαισίου</w:t>
      </w:r>
      <w:r w:rsidR="005C12A6">
        <w:rPr>
          <w:rStyle w:val="FootnoteReference"/>
        </w:rPr>
        <w:footnoteReference w:id="153"/>
      </w:r>
      <w:r w:rsidR="00F61941">
        <w:t xml:space="preserve">. Τα κέντρα ή τα εργαστήρια που επιθυμούν να </w:t>
      </w:r>
      <w:r w:rsidR="00874701">
        <w:t>αναπτύξουν</w:t>
      </w:r>
      <w:r w:rsidR="00F61941">
        <w:t xml:space="preserve"> δραστηριότητα ιατρικά υποβοηθούμενης αναπαραγωγής σε ζευγάρια με ιογενή κίνδυνο απευθύνουν στον Οργανισμό Βιοϊατρικής μια δήλωση βούλησης συνοδευόμενη από έναν πλήρη φάκελο που παρουσιάζει τα μέσα που έχουν στη διάθεσή τους. Τα μέσα αυτά πρέπει να επιτρέπουν την κλινική και βιολογική υποβοήθηση και περίθαλψη στις καλύτερες </w:t>
      </w:r>
      <w:r w:rsidR="000339A5">
        <w:t xml:space="preserve">δυνατές </w:t>
      </w:r>
      <w:r w:rsidR="00F61941">
        <w:t xml:space="preserve">συνθήκες ασφάλειας και ποιότητας. </w:t>
      </w:r>
    </w:p>
    <w:p w14:paraId="0120B3D9" w14:textId="77777777" w:rsidR="00FE5996" w:rsidRDefault="00F612EF" w:rsidP="00F612EF">
      <w:r>
        <w:rPr>
          <w:b/>
          <w:lang w:val="en-US"/>
        </w:rPr>
        <w:t>Ο Οδηγός</w:t>
      </w:r>
      <w:r w:rsidRPr="00AE2563">
        <w:rPr>
          <w:b/>
        </w:rPr>
        <w:t xml:space="preserve"> καλών κλινικών και βιολογικών πρακτικών στην ιατρικά υποβοηθούμενη αναπαραγωγή</w:t>
      </w:r>
      <w:r w:rsidRPr="00F612EF">
        <w:rPr>
          <w:b/>
        </w:rPr>
        <w:t xml:space="preserve"> </w:t>
      </w:r>
      <w:r w:rsidRPr="00F612EF">
        <w:t xml:space="preserve">περιγράφει </w:t>
      </w:r>
      <w:r>
        <w:t xml:space="preserve">στο </w:t>
      </w:r>
      <w:r w:rsidRPr="00F612EF">
        <w:rPr>
          <w:b/>
        </w:rPr>
        <w:t>Παράρτημα IV.1</w:t>
      </w:r>
      <w:r>
        <w:rPr>
          <w:b/>
          <w:lang w:val="en-US"/>
        </w:rPr>
        <w:t>,</w:t>
      </w:r>
      <w:r>
        <w:rPr>
          <w:lang w:val="en-US"/>
        </w:rPr>
        <w:t xml:space="preserve"> που τιτλοφορείται </w:t>
      </w:r>
      <w:r w:rsidR="00F61941" w:rsidRPr="00F612EF">
        <w:rPr>
          <w:i/>
          <w:lang w:val="en-US"/>
        </w:rPr>
        <w:t>Οργά</w:t>
      </w:r>
      <w:r w:rsidRPr="00F612EF">
        <w:rPr>
          <w:i/>
          <w:lang w:val="en-US"/>
        </w:rPr>
        <w:t>νωση του χώρου και των</w:t>
      </w:r>
      <w:r w:rsidR="00F61941" w:rsidRPr="00F612EF">
        <w:rPr>
          <w:i/>
          <w:lang w:val="en-US"/>
        </w:rPr>
        <w:t xml:space="preserve"> </w:t>
      </w:r>
      <w:r w:rsidRPr="00F612EF">
        <w:rPr>
          <w:i/>
          <w:lang w:val="en-US"/>
        </w:rPr>
        <w:t>εγκαταστάσεων</w:t>
      </w:r>
      <w:r>
        <w:rPr>
          <w:i/>
          <w:lang w:val="en-US"/>
        </w:rPr>
        <w:t xml:space="preserve">, </w:t>
      </w:r>
      <w:r w:rsidR="00874701">
        <w:rPr>
          <w:lang w:val="en-US"/>
        </w:rPr>
        <w:t>τις</w:t>
      </w:r>
      <w:r w:rsidR="007F75E2">
        <w:rPr>
          <w:lang w:val="en-US"/>
        </w:rPr>
        <w:t xml:space="preserve"> προδιαγραφές που πρέπει να πλη</w:t>
      </w:r>
      <w:r w:rsidR="00874701">
        <w:rPr>
          <w:lang w:val="en-US"/>
        </w:rPr>
        <w:t>ρούν τα κέντρα και τα εργαστήρια που ειδικεύονται στην ιατρικά υποβοηθούμενη αναπαραγωγή σε ιογενές πλαίσιο, δεδομένου ότι και το πρσωπικό του</w:t>
      </w:r>
      <w:r w:rsidR="007F75E2">
        <w:rPr>
          <w:lang w:val="en-US"/>
        </w:rPr>
        <w:t>ς</w:t>
      </w:r>
      <w:r w:rsidR="00874701">
        <w:rPr>
          <w:lang w:val="en-US"/>
        </w:rPr>
        <w:t xml:space="preserve"> πρέπει να είναι εξειδικευμένο και οι εγκαταστάσεις του</w:t>
      </w:r>
      <w:r w:rsidR="007F75E2">
        <w:rPr>
          <w:lang w:val="en-US"/>
        </w:rPr>
        <w:t>ς</w:t>
      </w:r>
      <w:r w:rsidR="00874701">
        <w:rPr>
          <w:lang w:val="en-US"/>
        </w:rPr>
        <w:t xml:space="preserve"> ειδικά διαμορφωμένες και εξοπλισμένες.  </w:t>
      </w:r>
      <w:r w:rsidR="003258B1">
        <w:rPr>
          <w:lang w:val="en-US"/>
        </w:rPr>
        <w:t xml:space="preserve">Ειδικότερα, δε, </w:t>
      </w:r>
      <w:r w:rsidR="007F75E2">
        <w:rPr>
          <w:lang w:val="en-US"/>
        </w:rPr>
        <w:t xml:space="preserve">αναφορικά με </w:t>
      </w:r>
      <w:r w:rsidR="003258B1">
        <w:rPr>
          <w:lang w:val="en-US"/>
        </w:rPr>
        <w:t xml:space="preserve">τη σύνθεση και την εκπαίδευση της ιατρικής ομάδας, </w:t>
      </w:r>
      <w:r w:rsidR="003258B1">
        <w:t xml:space="preserve">στο </w:t>
      </w:r>
      <w:r w:rsidR="003258B1" w:rsidRPr="00F612EF">
        <w:rPr>
          <w:b/>
        </w:rPr>
        <w:t>Παράρτημα IV.</w:t>
      </w:r>
      <w:r w:rsidR="003258B1">
        <w:rPr>
          <w:b/>
        </w:rPr>
        <w:t xml:space="preserve">2 του Οδηγού </w:t>
      </w:r>
      <w:r w:rsidR="003258B1">
        <w:lastRenderedPageBreak/>
        <w:t xml:space="preserve">προβλέπεται ότι στη διεπιστημονική </w:t>
      </w:r>
      <w:r w:rsidR="007F75E2">
        <w:t xml:space="preserve">ιατρική </w:t>
      </w:r>
      <w:r w:rsidR="003258B1">
        <w:t>ομάδα του κέντρου που αναλαμβάνει το υποβοηθούμενο ζευγάρι ενσωματώνονται ένα μικροβιολόγος (ιολόγος), έ</w:t>
      </w:r>
      <w:r w:rsidR="002B0594">
        <w:t>νας ιατρός με ειδικότητα στον ιό</w:t>
      </w:r>
      <w:r w:rsidR="003258B1">
        <w:t xml:space="preserve"> ΗΙ</w:t>
      </w:r>
      <w:r w:rsidR="003258B1">
        <w:rPr>
          <w:lang w:val="en-US"/>
        </w:rPr>
        <w:t>V</w:t>
      </w:r>
      <w:r w:rsidR="003258B1">
        <w:t xml:space="preserve"> και/ή ένας ιατρός με ειδικότητα στην ηπατολογία. Το προσωπικό αυτό εκπαιδεύεται από έμπειρους επαγγελματίες στο χειρισμό γεννητικού υλικού με ιογενή κίνδυνο. </w:t>
      </w:r>
    </w:p>
    <w:p w14:paraId="5EA03AF6" w14:textId="77777777" w:rsidR="00FE5996" w:rsidRDefault="00FE5996" w:rsidP="00F612EF">
      <w:r>
        <w:t xml:space="preserve">Σε ό,τι αφορά, πιο συγκεκριμένα, </w:t>
      </w:r>
      <w:r w:rsidR="00913FC5">
        <w:t>σ</w:t>
      </w:r>
      <w:r>
        <w:t xml:space="preserve">τους </w:t>
      </w:r>
      <w:r w:rsidRPr="00FE5996">
        <w:rPr>
          <w:b/>
        </w:rPr>
        <w:t xml:space="preserve">όρους υποβοήθησης ενός ζευγαριού με κίνδυνο λοίμωξης </w:t>
      </w:r>
      <w:r w:rsidRPr="00FE5996">
        <w:rPr>
          <w:rStyle w:val="hps"/>
          <w:b/>
        </w:rPr>
        <w:t>από τον ιό της ανθρώπινης</w:t>
      </w:r>
      <w:r w:rsidRPr="00FE5996">
        <w:rPr>
          <w:b/>
        </w:rPr>
        <w:t xml:space="preserve"> </w:t>
      </w:r>
      <w:r w:rsidRPr="00FE5996">
        <w:rPr>
          <w:rStyle w:val="hps"/>
          <w:b/>
        </w:rPr>
        <w:t>ανοσοανεπάρκειας (</w:t>
      </w:r>
      <w:r w:rsidRPr="00FE5996">
        <w:rPr>
          <w:b/>
        </w:rPr>
        <w:t>ΗΙ</w:t>
      </w:r>
      <w:r w:rsidRPr="00FE5996">
        <w:rPr>
          <w:b/>
          <w:lang w:val="en-US"/>
        </w:rPr>
        <w:t>V)</w:t>
      </w:r>
      <w:r>
        <w:rPr>
          <w:lang w:val="en-US"/>
        </w:rPr>
        <w:t xml:space="preserve">, το </w:t>
      </w:r>
      <w:r w:rsidRPr="00FE5996">
        <w:rPr>
          <w:b/>
          <w:lang w:val="en-US"/>
        </w:rPr>
        <w:t>Παράρτημα IV.</w:t>
      </w:r>
      <w:r w:rsidRPr="00FE5996">
        <w:rPr>
          <w:b/>
        </w:rPr>
        <w:t>3</w:t>
      </w:r>
      <w:r>
        <w:t xml:space="preserve"> </w:t>
      </w:r>
      <w:r w:rsidRPr="00FE5996">
        <w:rPr>
          <w:b/>
        </w:rPr>
        <w:t>του Οδηγού</w:t>
      </w:r>
      <w:r>
        <w:t xml:space="preserve"> παρέχει όλες τις αναγκαίες διευκρινίσεις:</w:t>
      </w:r>
    </w:p>
    <w:p w14:paraId="4402D2E0" w14:textId="77777777" w:rsidR="007C7250" w:rsidRPr="00DE7694" w:rsidRDefault="00FE5996" w:rsidP="004F3E3A">
      <w:pPr>
        <w:rPr>
          <w:lang w:val="en-US"/>
        </w:rPr>
      </w:pPr>
      <w:r>
        <w:t>Εκτός από την πληροφόρηση που παρέχεται στα υποβοηθούμενα ζευγάρια πριν από κάθε προσπάθεια ιατρικά υποβοηθούμενης αναπαραγωγής, μια ειδικότερη ενημέρωση σχετικά με το ενδιαφέρον και τα όρια των τεχνικών της υποβοηθούμενης αναπαραγωγής παρέχεται στα ζευγάρια που παρουσιάζουν ιογενή κίνδυνο προκειμένου να μειωθεί ο κίνδυνος μετάδοσης του ιού κατά την αν</w:t>
      </w:r>
      <w:r w:rsidR="007614CD">
        <w:t xml:space="preserve">απαραγωγή. Για το λόγο αυτό, </w:t>
      </w:r>
      <w:r>
        <w:t>το ενδιαφερόμενο ζευγάρι ενημερώνεται γ</w:t>
      </w:r>
      <w:r w:rsidR="007614CD">
        <w:t>ια τη σημασία που έχει να αποφεύγεται</w:t>
      </w:r>
      <w:r>
        <w:t xml:space="preserve"> κάθε συμπεριφορά με κίνδυνο μετάδοση</w:t>
      </w:r>
      <w:r w:rsidR="00913FC5">
        <w:t>ς, κατά τη διάρκεια και μετά τη διενέργεια της</w:t>
      </w:r>
      <w:r>
        <w:t xml:space="preserve"> ιατρικά υποβοηθούμενη</w:t>
      </w:r>
      <w:r w:rsidR="00913FC5">
        <w:t>ς</w:t>
      </w:r>
      <w:r>
        <w:t xml:space="preserve"> αναπαραγωγή</w:t>
      </w:r>
      <w:r w:rsidR="00913FC5">
        <w:t>ς</w:t>
      </w:r>
      <w:r>
        <w:t xml:space="preserve">, ιδίως μέσω των ερωτικών επαφών. Αναγκαία προϋπόθεση για την υποβοήθηση και την περίθαλψη των </w:t>
      </w:r>
      <w:r w:rsidR="002B0594">
        <w:t>ενδιαφερόμενων</w:t>
      </w:r>
      <w:r w:rsidR="00885A38">
        <w:t xml:space="preserve"> υποψηφί</w:t>
      </w:r>
      <w:r>
        <w:t xml:space="preserve">ων προσώπων είναι η διαρκής τρίμηνη ιατρική παρακολούθηση, </w:t>
      </w:r>
      <w:r w:rsidR="002B0594">
        <w:t>προκειμένου να εξακριβώνεται ανά πάσα στιγμή η κατάσταση της υγείας τους. Ο Οδηγός ορίζει τις ιατρικές εκείνες προϋποθέσεις που επιβάλλεται να πληρούνται προκειμένου η ιατρική διεπιστημονική ομάδα να προβεί στη</w:t>
      </w:r>
      <w:r w:rsidR="00CC3C21">
        <w:t>ν υποβοήθηση, διαφοροποιώντας τε</w:t>
      </w:r>
      <w:r w:rsidR="002B0594">
        <w:t xml:space="preserve">ς μάλιστα σε κάποιες περιπτώσεις ανάλογα με το αν </w:t>
      </w:r>
      <w:r w:rsidR="00885A38">
        <w:t xml:space="preserve">το υποβοηθούμενο πρόσωπο είναι άνδρας ή </w:t>
      </w:r>
      <w:r w:rsidR="002B0594">
        <w:t>γυναίκα.  Επίσης, η διενέργεια εξετάσεων για τη διάγνωση του ιού ΗΙ</w:t>
      </w:r>
      <w:r w:rsidR="002B0594">
        <w:rPr>
          <w:lang w:val="en-US"/>
        </w:rPr>
        <w:t xml:space="preserve">V προβλέπεται στον Οδηγό και για το </w:t>
      </w:r>
      <w:r w:rsidR="00DE7694">
        <w:rPr>
          <w:lang w:val="en-US"/>
        </w:rPr>
        <w:t xml:space="preserve">υποβοηθούμενο </w:t>
      </w:r>
      <w:r w:rsidR="002B0594">
        <w:rPr>
          <w:lang w:val="en-US"/>
        </w:rPr>
        <w:t xml:space="preserve">πρόσωπο που δεν </w:t>
      </w:r>
      <w:r w:rsidR="00CC3C21">
        <w:rPr>
          <w:lang w:val="en-US"/>
        </w:rPr>
        <w:t>έχει προσβληθεί από τον ιο</w:t>
      </w:r>
      <w:r w:rsidR="002B0594">
        <w:rPr>
          <w:lang w:val="en-US"/>
        </w:rPr>
        <w:t xml:space="preserve">, </w:t>
      </w:r>
      <w:r w:rsidR="00DE7694">
        <w:rPr>
          <w:lang w:val="en-US"/>
        </w:rPr>
        <w:t xml:space="preserve">προκειμένου να διαπιστωθεί εγκαίρως η παραμικρή ανωμαλία. </w:t>
      </w:r>
      <w:r w:rsidR="007C7250">
        <w:rPr>
          <w:lang w:val="en-US"/>
        </w:rPr>
        <w:t xml:space="preserve">Αντίστοιχες είναι οι προβλέψεις του </w:t>
      </w:r>
      <w:r w:rsidR="007C7250" w:rsidRPr="007C7250">
        <w:rPr>
          <w:b/>
          <w:lang w:val="en-US"/>
        </w:rPr>
        <w:t>Οδηγού (Παράρτημα IV.4 και IV.5)</w:t>
      </w:r>
      <w:r w:rsidR="007C7250">
        <w:rPr>
          <w:lang w:val="en-US"/>
        </w:rPr>
        <w:t xml:space="preserve"> σχετικά και με την υποβοήθηση και περίθαλψη σε περίπτωση που τα μελλοντικά υποβοηθούμενα πρόσωπα είναι φορείς των ιών της Ηπατίτιδας Β ή Γ. </w:t>
      </w:r>
    </w:p>
    <w:p w14:paraId="3B60A2B5" w14:textId="77777777" w:rsidR="00F4778D" w:rsidRDefault="00F4778D" w:rsidP="00D9756A">
      <w:r>
        <w:t>Χαρακτηριστικό παράδειγμα</w:t>
      </w:r>
      <w:r w:rsidR="00D9756A">
        <w:t xml:space="preserve"> υποβοήθησης και περίθαλψης ζευγαριών με ιογενή κίνδυνο</w:t>
      </w:r>
      <w:r>
        <w:t xml:space="preserve"> αποτελεί το νοσοκομείο </w:t>
      </w:r>
      <w:r w:rsidRPr="00504C43">
        <w:rPr>
          <w:rStyle w:val="Emphasis"/>
          <w:i w:val="0"/>
        </w:rPr>
        <w:t>Bichat</w:t>
      </w:r>
      <w:r>
        <w:rPr>
          <w:i/>
        </w:rPr>
        <w:t xml:space="preserve"> </w:t>
      </w:r>
      <w:r w:rsidRPr="00F4778D">
        <w:t>στο</w:t>
      </w:r>
      <w:r>
        <w:rPr>
          <w:i/>
        </w:rPr>
        <w:t xml:space="preserve"> </w:t>
      </w:r>
      <w:r w:rsidRPr="007F442D">
        <w:t>Παρίσι</w:t>
      </w:r>
      <w:r w:rsidR="00D9756A">
        <w:t xml:space="preserve">, του οποίου το 30-40% των ασθενών είναι ζευγάρια εκ των οποίων ο ένας τουλάχιστον είναι φορέας </w:t>
      </w:r>
      <w:r w:rsidR="00192284">
        <w:t xml:space="preserve">είτε </w:t>
      </w:r>
      <w:r w:rsidR="00D9756A">
        <w:t>του ιού ΗΙ</w:t>
      </w:r>
      <w:r w:rsidR="00D9756A">
        <w:rPr>
          <w:lang w:val="en-US"/>
        </w:rPr>
        <w:t>V</w:t>
      </w:r>
      <w:r w:rsidR="00192284">
        <w:rPr>
          <w:lang w:val="en-US"/>
        </w:rPr>
        <w:t>, είτε ων ιών της ηπατίτιδας Β ή Γ</w:t>
      </w:r>
      <w:r w:rsidR="00D9756A">
        <w:t xml:space="preserve">. </w:t>
      </w:r>
      <w:r w:rsidR="00E2162D">
        <w:t>Ε</w:t>
      </w:r>
      <w:r>
        <w:t>ιδικότερα,</w:t>
      </w:r>
      <w:r w:rsidR="00E2162D">
        <w:t xml:space="preserve"> σύμφωνα με</w:t>
      </w:r>
      <w:r w:rsidR="00C54046">
        <w:t xml:space="preserve"> τη</w:t>
      </w:r>
      <w:r>
        <w:t xml:space="preserve"> μαρτυρία της ιατρού </w:t>
      </w:r>
      <w:r w:rsidR="00541923">
        <w:t>και επικεφαλής</w:t>
      </w:r>
      <w:r w:rsidR="00C54046">
        <w:t xml:space="preserve"> του τμήματος</w:t>
      </w:r>
      <w:r>
        <w:t xml:space="preserve"> </w:t>
      </w:r>
      <w:r w:rsidRPr="007F442D">
        <w:rPr>
          <w:rStyle w:val="st"/>
        </w:rPr>
        <w:t>Βιολογία</w:t>
      </w:r>
      <w:r w:rsidR="00C54046">
        <w:rPr>
          <w:rStyle w:val="st"/>
        </w:rPr>
        <w:t>ς</w:t>
      </w:r>
      <w:r w:rsidRPr="007F442D">
        <w:rPr>
          <w:rStyle w:val="st"/>
        </w:rPr>
        <w:t xml:space="preserve"> της αναπαραγωγής</w:t>
      </w:r>
      <w:r w:rsidR="00C54046">
        <w:rPr>
          <w:rStyle w:val="st"/>
        </w:rPr>
        <w:t xml:space="preserve"> του εν λόγω νοσοκομείου</w:t>
      </w:r>
      <w:r>
        <w:rPr>
          <w:rStyle w:val="st"/>
        </w:rPr>
        <w:t xml:space="preserve">, </w:t>
      </w:r>
      <w:r w:rsidRPr="007C5B2D">
        <w:rPr>
          <w:rStyle w:val="Emphasis"/>
          <w:i w:val="0"/>
        </w:rPr>
        <w:t>C</w:t>
      </w:r>
      <w:r w:rsidRPr="007F442D">
        <w:rPr>
          <w:rStyle w:val="Emphasis"/>
          <w:i w:val="0"/>
        </w:rPr>
        <w:t>atherine PATRAT</w:t>
      </w:r>
      <w:r>
        <w:rPr>
          <w:rStyle w:val="Emphasis"/>
          <w:i w:val="0"/>
        </w:rPr>
        <w:t xml:space="preserve">, </w:t>
      </w:r>
      <w:r w:rsidR="00E2162D">
        <w:rPr>
          <w:rStyle w:val="Emphasis"/>
          <w:i w:val="0"/>
        </w:rPr>
        <w:t>το φαινόμενο υπο</w:t>
      </w:r>
      <w:r w:rsidR="00C54046">
        <w:rPr>
          <w:rStyle w:val="Emphasis"/>
          <w:i w:val="0"/>
        </w:rPr>
        <w:t>δοχής οροθετικών προσώπων είναι πολύ συχνό. Για το λόγο αυτό</w:t>
      </w:r>
      <w:r w:rsidR="00541923">
        <w:rPr>
          <w:rStyle w:val="Emphasis"/>
          <w:i w:val="0"/>
        </w:rPr>
        <w:t xml:space="preserve">, άλλωστε, </w:t>
      </w:r>
      <w:r w:rsidR="00C54046">
        <w:rPr>
          <w:rStyle w:val="Emphasis"/>
          <w:i w:val="0"/>
        </w:rPr>
        <w:t xml:space="preserve">το ιατρικό προσωπικό είναι διεπιστημονικό και είναι σε θέση να έχει σφαιρική άποψη </w:t>
      </w:r>
      <w:r w:rsidR="00190FE9">
        <w:rPr>
          <w:rStyle w:val="Emphasis"/>
          <w:i w:val="0"/>
        </w:rPr>
        <w:t>γι</w:t>
      </w:r>
      <w:r w:rsidR="00C54046">
        <w:rPr>
          <w:rStyle w:val="Emphasis"/>
          <w:i w:val="0"/>
        </w:rPr>
        <w:t xml:space="preserve">α κάθε κίνδυνο μόλυνσης. Σε κάθε περίπτωση, η ιατρός επιβεβαιώνει ότι, </w:t>
      </w:r>
      <w:r w:rsidR="00C54046" w:rsidRPr="00207743">
        <w:t>ανά πάσα στιγμή</w:t>
      </w:r>
      <w:r w:rsidR="00C54046">
        <w:t xml:space="preserve">, </w:t>
      </w:r>
      <w:r w:rsidR="00C54046">
        <w:rPr>
          <w:rStyle w:val="Emphasis"/>
          <w:i w:val="0"/>
        </w:rPr>
        <w:t xml:space="preserve">αν </w:t>
      </w:r>
      <w:r w:rsidR="00C54046">
        <w:rPr>
          <w:rStyle w:val="Emphasis"/>
          <w:i w:val="0"/>
        </w:rPr>
        <w:lastRenderedPageBreak/>
        <w:t>προκύψει ανάγκη</w:t>
      </w:r>
      <w:r w:rsidR="00C54046">
        <w:t xml:space="preserve">, </w:t>
      </w:r>
      <w:r w:rsidR="00C54046" w:rsidRPr="00207743">
        <w:t>το κέντρο μπορεί να ζητήσει γνώμη και από άλλες ειδικότητες ιατρών του νοσοκομείου</w:t>
      </w:r>
      <w:r>
        <w:rPr>
          <w:rStyle w:val="FootnoteReference"/>
          <w:b/>
        </w:rPr>
        <w:footnoteReference w:id="154"/>
      </w:r>
      <w:r w:rsidR="00C54046">
        <w:t xml:space="preserve">. </w:t>
      </w:r>
    </w:p>
    <w:p w14:paraId="054ED09A" w14:textId="77777777" w:rsidR="008A1BFF" w:rsidRDefault="00F202A1" w:rsidP="00FA240D">
      <w:r>
        <w:t>Όπως προκύπτει από την Ετήσια Έκθεση του Οργανισμού Βιοϊατρικής, η δραστηριότητα της ιατρικά υποβηθούμενης αναπαραγωγής σε οροθετικά άτομα παρουσιάζει το 2012 (753 προσπάθειες) σχετική μείωση συγκριτικά με το 2011 (983 προσπάθειες). Μια μείωση η οποία συνδέεται, σ</w:t>
      </w:r>
      <w:r w:rsidR="008A1BFF">
        <w:t>ύμφωνα με τον Οργανισμό Βιοϊατρικής</w:t>
      </w:r>
      <w:r>
        <w:t>, με τις πρόσφατες θεραπευτικές εξελίξεις και προόδους</w:t>
      </w:r>
      <w:r w:rsidR="00C93F5A">
        <w:t>, που έχουν ως συνέπεια την αποτελεσματικότερη αντιμετώπιση της υπογονιμότητας των ζευγαριών πο</w:t>
      </w:r>
      <w:r w:rsidR="00FA240D">
        <w:t xml:space="preserve">υ πάσχουν από σοβαρές ασθένειες. </w:t>
      </w:r>
    </w:p>
    <w:p w14:paraId="4E575B97" w14:textId="74397A2E" w:rsidR="008A1018" w:rsidRDefault="00FA240D" w:rsidP="00D75C4D">
      <w:r>
        <w:t>Συνολικά, 114 τέκνα γεννήθηκαν κατόπιν προσφυγής σε μεθόδους ιατρικά υπ</w:t>
      </w:r>
      <w:r w:rsidR="00541923">
        <w:t>οβηθούμενης αναπαραγωγής σε οροθ</w:t>
      </w:r>
      <w:r>
        <w:t xml:space="preserve">ετικά άτομα, ενώ σε κανένα εξ’ αυτών δεν είχε μεταδοθεί ο ιός </w:t>
      </w:r>
      <w:r w:rsidR="009B3C64">
        <w:t>(Πίνακας 2</w:t>
      </w:r>
      <w:r w:rsidR="00C93F5A">
        <w:t>)</w:t>
      </w:r>
      <w:r>
        <w:rPr>
          <w:rStyle w:val="FootnoteReference"/>
        </w:rPr>
        <w:footnoteReference w:id="155"/>
      </w:r>
      <w:r w:rsidR="00C93F5A">
        <w:t xml:space="preserve">. </w:t>
      </w:r>
    </w:p>
    <w:p w14:paraId="08619576" w14:textId="77777777" w:rsidR="00F202A1" w:rsidRPr="00F00A64" w:rsidRDefault="009B3C64" w:rsidP="00793036">
      <w:pPr>
        <w:spacing w:before="240" w:after="240"/>
        <w:ind w:firstLine="0"/>
      </w:pPr>
      <w:r>
        <w:rPr>
          <w:b/>
        </w:rPr>
        <w:t>Πίνακας 2</w:t>
      </w:r>
      <w:r w:rsidR="00C93F5A" w:rsidRPr="00D341ED">
        <w:rPr>
          <w:b/>
        </w:rPr>
        <w:t xml:space="preserve">. </w:t>
      </w:r>
      <w:r w:rsidR="0027095F">
        <w:rPr>
          <w:b/>
        </w:rPr>
        <w:t>Ιατρικά Υποβοηθούμενη Αναπαραγωγή σε φορείς</w:t>
      </w:r>
      <w:r w:rsidR="00B73FF4">
        <w:rPr>
          <w:b/>
        </w:rPr>
        <w:t xml:space="preserve"> </w:t>
      </w:r>
      <w:r w:rsidR="000C4AAC">
        <w:rPr>
          <w:b/>
        </w:rPr>
        <w:t xml:space="preserve">του </w:t>
      </w:r>
      <w:r w:rsidR="00B73FF4">
        <w:rPr>
          <w:b/>
        </w:rPr>
        <w:t>ιου</w:t>
      </w:r>
      <w:r w:rsidR="00D341ED" w:rsidRPr="00B73FF4">
        <w:rPr>
          <w:b/>
        </w:rPr>
        <w:t xml:space="preserve"> </w:t>
      </w:r>
      <w:r w:rsidR="00B73FF4" w:rsidRPr="00B73FF4">
        <w:rPr>
          <w:b/>
        </w:rPr>
        <w:t>ΗΙ</w:t>
      </w:r>
      <w:r w:rsidR="00B73FF4" w:rsidRPr="00B73FF4">
        <w:rPr>
          <w:b/>
          <w:lang w:val="en-US"/>
        </w:rPr>
        <w:t>V</w:t>
      </w:r>
      <w:r w:rsidR="00B73FF4" w:rsidRPr="00B73FF4">
        <w:rPr>
          <w:b/>
        </w:rPr>
        <w:t>1/</w:t>
      </w:r>
      <w:r w:rsidR="00B73FF4" w:rsidRPr="00B73FF4">
        <w:rPr>
          <w:b/>
          <w:lang w:val="en-US"/>
        </w:rPr>
        <w:t>HIV</w:t>
      </w:r>
      <w:r w:rsidR="00B73FF4" w:rsidRPr="00B73FF4">
        <w:rPr>
          <w:b/>
        </w:rPr>
        <w:t>2</w:t>
      </w:r>
      <w:r w:rsidR="00AC2C2D">
        <w:rPr>
          <w:b/>
        </w:rPr>
        <w:t xml:space="preserve"> 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1984"/>
        <w:gridCol w:w="1985"/>
        <w:gridCol w:w="2659"/>
      </w:tblGrid>
      <w:tr w:rsidR="00C93F5A" w14:paraId="707A2F1A" w14:textId="77777777" w:rsidTr="004E62D4">
        <w:tc>
          <w:tcPr>
            <w:tcW w:w="2802" w:type="dxa"/>
            <w:shd w:val="pct15" w:color="auto" w:fill="auto"/>
          </w:tcPr>
          <w:p w14:paraId="22AF8F09" w14:textId="77777777" w:rsidR="00C93F5A" w:rsidRPr="004F3C1E" w:rsidRDefault="00C93F5A" w:rsidP="004F3C1E">
            <w:pPr>
              <w:spacing w:before="40" w:after="40" w:line="240" w:lineRule="auto"/>
              <w:ind w:firstLine="0"/>
              <w:rPr>
                <w:rFonts w:eastAsia="Calibri"/>
                <w:sz w:val="22"/>
                <w:szCs w:val="22"/>
              </w:rPr>
            </w:pPr>
          </w:p>
        </w:tc>
        <w:tc>
          <w:tcPr>
            <w:tcW w:w="1984" w:type="dxa"/>
            <w:shd w:val="pct15" w:color="auto" w:fill="auto"/>
          </w:tcPr>
          <w:p w14:paraId="440F0477" w14:textId="77777777" w:rsidR="00C93F5A" w:rsidRPr="004F3C1E" w:rsidRDefault="00C93F5A" w:rsidP="004F3C1E">
            <w:pPr>
              <w:spacing w:before="40" w:after="40" w:line="240" w:lineRule="auto"/>
              <w:ind w:firstLine="0"/>
              <w:rPr>
                <w:rFonts w:eastAsia="Calibri"/>
                <w:sz w:val="22"/>
                <w:szCs w:val="22"/>
              </w:rPr>
            </w:pPr>
            <w:r w:rsidRPr="004F3C1E">
              <w:rPr>
                <w:rFonts w:eastAsia="Calibri"/>
                <w:b/>
                <w:sz w:val="22"/>
                <w:szCs w:val="22"/>
              </w:rPr>
              <w:t xml:space="preserve">Άνδρας </w:t>
            </w:r>
            <w:r w:rsidR="00B73FF4" w:rsidRPr="004F3C1E">
              <w:rPr>
                <w:rFonts w:eastAsia="Calibri"/>
                <w:b/>
                <w:sz w:val="22"/>
                <w:szCs w:val="22"/>
              </w:rPr>
              <w:t>ΗΙ</w:t>
            </w:r>
            <w:r w:rsidR="00B73FF4" w:rsidRPr="004F3C1E">
              <w:rPr>
                <w:rFonts w:eastAsia="Calibri"/>
                <w:b/>
                <w:sz w:val="22"/>
                <w:szCs w:val="22"/>
                <w:lang w:val="en-US"/>
              </w:rPr>
              <w:t>V</w:t>
            </w:r>
            <w:r w:rsidR="00B73FF4" w:rsidRPr="004F3C1E">
              <w:rPr>
                <w:rFonts w:eastAsia="Calibri"/>
                <w:b/>
                <w:sz w:val="22"/>
                <w:szCs w:val="22"/>
              </w:rPr>
              <w:t>1/</w:t>
            </w:r>
            <w:r w:rsidR="00B73FF4" w:rsidRPr="004F3C1E">
              <w:rPr>
                <w:rFonts w:eastAsia="Calibri"/>
                <w:b/>
                <w:sz w:val="22"/>
                <w:szCs w:val="22"/>
                <w:lang w:val="en-US"/>
              </w:rPr>
              <w:t>HIV</w:t>
            </w:r>
            <w:r w:rsidR="00B73FF4" w:rsidRPr="004F3C1E">
              <w:rPr>
                <w:rFonts w:eastAsia="Calibri"/>
                <w:b/>
                <w:sz w:val="22"/>
                <w:szCs w:val="22"/>
              </w:rPr>
              <w:t>2</w:t>
            </w:r>
          </w:p>
        </w:tc>
        <w:tc>
          <w:tcPr>
            <w:tcW w:w="1985" w:type="dxa"/>
            <w:shd w:val="pct15" w:color="auto" w:fill="auto"/>
          </w:tcPr>
          <w:p w14:paraId="0F2B2BEA" w14:textId="77777777" w:rsidR="00C93F5A" w:rsidRPr="004F3C1E" w:rsidRDefault="00C93F5A" w:rsidP="004F3C1E">
            <w:pPr>
              <w:spacing w:before="40" w:after="40" w:line="240" w:lineRule="auto"/>
              <w:ind w:firstLine="0"/>
              <w:jc w:val="center"/>
              <w:rPr>
                <w:rFonts w:eastAsia="Calibri"/>
                <w:b/>
                <w:sz w:val="22"/>
                <w:szCs w:val="22"/>
              </w:rPr>
            </w:pPr>
            <w:r w:rsidRPr="004F3C1E">
              <w:rPr>
                <w:rFonts w:eastAsia="Calibri"/>
                <w:b/>
                <w:sz w:val="22"/>
                <w:szCs w:val="22"/>
              </w:rPr>
              <w:t xml:space="preserve">Γυναίκα </w:t>
            </w:r>
            <w:r w:rsidR="00B73FF4" w:rsidRPr="004F3C1E">
              <w:rPr>
                <w:rFonts w:eastAsia="Calibri"/>
                <w:b/>
                <w:sz w:val="22"/>
                <w:szCs w:val="22"/>
              </w:rPr>
              <w:t>ΗΙ</w:t>
            </w:r>
            <w:r w:rsidR="00B73FF4" w:rsidRPr="004F3C1E">
              <w:rPr>
                <w:rFonts w:eastAsia="Calibri"/>
                <w:b/>
                <w:sz w:val="22"/>
                <w:szCs w:val="22"/>
                <w:lang w:val="en-US"/>
              </w:rPr>
              <w:t>V</w:t>
            </w:r>
            <w:r w:rsidR="00B73FF4" w:rsidRPr="004F3C1E">
              <w:rPr>
                <w:rFonts w:eastAsia="Calibri"/>
                <w:b/>
                <w:sz w:val="22"/>
                <w:szCs w:val="22"/>
              </w:rPr>
              <w:t>1/</w:t>
            </w:r>
            <w:r w:rsidR="00B73FF4" w:rsidRPr="004F3C1E">
              <w:rPr>
                <w:rFonts w:eastAsia="Calibri"/>
                <w:b/>
                <w:sz w:val="22"/>
                <w:szCs w:val="22"/>
                <w:lang w:val="en-US"/>
              </w:rPr>
              <w:t>HIV</w:t>
            </w:r>
            <w:r w:rsidR="00B73FF4" w:rsidRPr="004F3C1E">
              <w:rPr>
                <w:rFonts w:eastAsia="Calibri"/>
                <w:b/>
                <w:sz w:val="22"/>
                <w:szCs w:val="22"/>
              </w:rPr>
              <w:t>2</w:t>
            </w:r>
          </w:p>
        </w:tc>
        <w:tc>
          <w:tcPr>
            <w:tcW w:w="2659" w:type="dxa"/>
            <w:shd w:val="pct15" w:color="auto" w:fill="auto"/>
          </w:tcPr>
          <w:p w14:paraId="06406BF4" w14:textId="77777777" w:rsidR="00C93F5A" w:rsidRPr="004F3C1E" w:rsidRDefault="00C93F5A" w:rsidP="004F3C1E">
            <w:pPr>
              <w:spacing w:before="40" w:after="40" w:line="240" w:lineRule="auto"/>
              <w:ind w:firstLine="0"/>
              <w:jc w:val="center"/>
              <w:rPr>
                <w:rFonts w:eastAsia="Calibri"/>
                <w:b/>
                <w:sz w:val="22"/>
                <w:szCs w:val="22"/>
              </w:rPr>
            </w:pPr>
            <w:r w:rsidRPr="004F3C1E">
              <w:rPr>
                <w:rFonts w:eastAsia="Calibri"/>
                <w:b/>
                <w:sz w:val="22"/>
                <w:szCs w:val="22"/>
              </w:rPr>
              <w:t xml:space="preserve">Άνδρας και Γυναίκα </w:t>
            </w:r>
            <w:r w:rsidR="00B73FF4" w:rsidRPr="004F3C1E">
              <w:rPr>
                <w:rFonts w:eastAsia="Calibri"/>
                <w:b/>
                <w:sz w:val="22"/>
                <w:szCs w:val="22"/>
              </w:rPr>
              <w:t>ΗΙ</w:t>
            </w:r>
            <w:r w:rsidR="00B73FF4" w:rsidRPr="004F3C1E">
              <w:rPr>
                <w:rFonts w:eastAsia="Calibri"/>
                <w:b/>
                <w:sz w:val="22"/>
                <w:szCs w:val="22"/>
                <w:lang w:val="en-US"/>
              </w:rPr>
              <w:t>V</w:t>
            </w:r>
            <w:r w:rsidR="00B73FF4" w:rsidRPr="004F3C1E">
              <w:rPr>
                <w:rFonts w:eastAsia="Calibri"/>
                <w:b/>
                <w:sz w:val="22"/>
                <w:szCs w:val="22"/>
              </w:rPr>
              <w:t>1/</w:t>
            </w:r>
            <w:r w:rsidR="00B73FF4" w:rsidRPr="004F3C1E">
              <w:rPr>
                <w:rFonts w:eastAsia="Calibri"/>
                <w:b/>
                <w:sz w:val="22"/>
                <w:szCs w:val="22"/>
                <w:lang w:val="en-US"/>
              </w:rPr>
              <w:t>HIV</w:t>
            </w:r>
            <w:r w:rsidR="00B73FF4" w:rsidRPr="004F3C1E">
              <w:rPr>
                <w:rFonts w:eastAsia="Calibri"/>
                <w:b/>
                <w:sz w:val="22"/>
                <w:szCs w:val="22"/>
              </w:rPr>
              <w:t>2</w:t>
            </w:r>
          </w:p>
        </w:tc>
      </w:tr>
      <w:tr w:rsidR="00C93F5A" w14:paraId="731EF136" w14:textId="77777777" w:rsidTr="004F3C1E">
        <w:tc>
          <w:tcPr>
            <w:tcW w:w="2802" w:type="dxa"/>
            <w:shd w:val="clear" w:color="auto" w:fill="auto"/>
          </w:tcPr>
          <w:p w14:paraId="1A6DF2E1" w14:textId="77777777" w:rsidR="00C93F5A" w:rsidRPr="004F3C1E" w:rsidRDefault="00C93F5A" w:rsidP="004F3C1E">
            <w:pPr>
              <w:spacing w:before="40" w:after="40" w:line="240" w:lineRule="auto"/>
              <w:ind w:firstLine="0"/>
              <w:rPr>
                <w:rFonts w:eastAsia="Calibri"/>
                <w:b/>
                <w:sz w:val="22"/>
                <w:szCs w:val="22"/>
              </w:rPr>
            </w:pPr>
            <w:r w:rsidRPr="004F3C1E">
              <w:rPr>
                <w:rFonts w:eastAsia="Calibri"/>
                <w:b/>
                <w:sz w:val="22"/>
                <w:szCs w:val="22"/>
              </w:rPr>
              <w:t>Προσπάθειες*</w:t>
            </w:r>
          </w:p>
        </w:tc>
        <w:tc>
          <w:tcPr>
            <w:tcW w:w="1984" w:type="dxa"/>
            <w:shd w:val="clear" w:color="auto" w:fill="auto"/>
          </w:tcPr>
          <w:p w14:paraId="070B7417"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385</w:t>
            </w:r>
          </w:p>
        </w:tc>
        <w:tc>
          <w:tcPr>
            <w:tcW w:w="1985" w:type="dxa"/>
            <w:shd w:val="clear" w:color="auto" w:fill="auto"/>
          </w:tcPr>
          <w:p w14:paraId="5D713B5E"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302</w:t>
            </w:r>
          </w:p>
        </w:tc>
        <w:tc>
          <w:tcPr>
            <w:tcW w:w="2659" w:type="dxa"/>
            <w:shd w:val="clear" w:color="auto" w:fill="auto"/>
          </w:tcPr>
          <w:p w14:paraId="5BFF7B02"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66</w:t>
            </w:r>
          </w:p>
        </w:tc>
      </w:tr>
      <w:tr w:rsidR="00C93F5A" w14:paraId="6DFEE8EB" w14:textId="77777777" w:rsidTr="004F3C1E">
        <w:tc>
          <w:tcPr>
            <w:tcW w:w="2802" w:type="dxa"/>
            <w:shd w:val="clear" w:color="auto" w:fill="auto"/>
          </w:tcPr>
          <w:p w14:paraId="05189DA1" w14:textId="77777777" w:rsidR="00C93F5A" w:rsidRPr="004F3C1E" w:rsidRDefault="00C93F5A" w:rsidP="004F3C1E">
            <w:pPr>
              <w:spacing w:before="40" w:after="40" w:line="240" w:lineRule="auto"/>
              <w:ind w:firstLine="0"/>
              <w:rPr>
                <w:rFonts w:eastAsia="Calibri"/>
                <w:b/>
                <w:sz w:val="22"/>
                <w:szCs w:val="22"/>
              </w:rPr>
            </w:pPr>
            <w:r w:rsidRPr="004F3C1E">
              <w:rPr>
                <w:rFonts w:eastAsia="Calibri"/>
                <w:b/>
                <w:sz w:val="22"/>
                <w:szCs w:val="22"/>
              </w:rPr>
              <w:t xml:space="preserve">Κυήσεις εν εξελίξει </w:t>
            </w:r>
          </w:p>
        </w:tc>
        <w:tc>
          <w:tcPr>
            <w:tcW w:w="1984" w:type="dxa"/>
            <w:shd w:val="clear" w:color="auto" w:fill="auto"/>
          </w:tcPr>
          <w:p w14:paraId="1C63EA74"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80</w:t>
            </w:r>
          </w:p>
        </w:tc>
        <w:tc>
          <w:tcPr>
            <w:tcW w:w="1985" w:type="dxa"/>
            <w:shd w:val="clear" w:color="auto" w:fill="auto"/>
          </w:tcPr>
          <w:p w14:paraId="40262A20"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34</w:t>
            </w:r>
          </w:p>
        </w:tc>
        <w:tc>
          <w:tcPr>
            <w:tcW w:w="2659" w:type="dxa"/>
            <w:shd w:val="clear" w:color="auto" w:fill="auto"/>
          </w:tcPr>
          <w:p w14:paraId="132ADA21"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6</w:t>
            </w:r>
          </w:p>
        </w:tc>
      </w:tr>
      <w:tr w:rsidR="00C93F5A" w14:paraId="6AC60793" w14:textId="77777777" w:rsidTr="004E62D4">
        <w:tc>
          <w:tcPr>
            <w:tcW w:w="2802" w:type="dxa"/>
            <w:tcBorders>
              <w:bottom w:val="single" w:sz="4" w:space="0" w:color="auto"/>
            </w:tcBorders>
            <w:shd w:val="clear" w:color="auto" w:fill="auto"/>
          </w:tcPr>
          <w:p w14:paraId="673A83C4" w14:textId="77777777" w:rsidR="00C93F5A" w:rsidRPr="004F3C1E" w:rsidRDefault="00C93F5A" w:rsidP="004F3C1E">
            <w:pPr>
              <w:spacing w:before="40" w:after="40" w:line="240" w:lineRule="auto"/>
              <w:ind w:firstLine="0"/>
              <w:rPr>
                <w:rFonts w:eastAsia="Calibri"/>
                <w:b/>
                <w:sz w:val="22"/>
                <w:szCs w:val="22"/>
              </w:rPr>
            </w:pPr>
            <w:r w:rsidRPr="004F3C1E">
              <w:rPr>
                <w:rFonts w:eastAsia="Calibri"/>
                <w:b/>
                <w:sz w:val="22"/>
                <w:szCs w:val="22"/>
              </w:rPr>
              <w:t xml:space="preserve">Τοκετοί </w:t>
            </w:r>
          </w:p>
        </w:tc>
        <w:tc>
          <w:tcPr>
            <w:tcW w:w="1984" w:type="dxa"/>
            <w:tcBorders>
              <w:bottom w:val="single" w:sz="4" w:space="0" w:color="auto"/>
            </w:tcBorders>
            <w:shd w:val="clear" w:color="auto" w:fill="auto"/>
          </w:tcPr>
          <w:p w14:paraId="4ADDF4E8"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64</w:t>
            </w:r>
          </w:p>
        </w:tc>
        <w:tc>
          <w:tcPr>
            <w:tcW w:w="1985" w:type="dxa"/>
            <w:tcBorders>
              <w:bottom w:val="single" w:sz="4" w:space="0" w:color="auto"/>
            </w:tcBorders>
            <w:shd w:val="clear" w:color="auto" w:fill="auto"/>
          </w:tcPr>
          <w:p w14:paraId="4009480A"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31</w:t>
            </w:r>
          </w:p>
        </w:tc>
        <w:tc>
          <w:tcPr>
            <w:tcW w:w="2659" w:type="dxa"/>
            <w:tcBorders>
              <w:bottom w:val="single" w:sz="4" w:space="0" w:color="auto"/>
            </w:tcBorders>
            <w:shd w:val="clear" w:color="auto" w:fill="auto"/>
          </w:tcPr>
          <w:p w14:paraId="3F1D86B8"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4</w:t>
            </w:r>
          </w:p>
        </w:tc>
      </w:tr>
      <w:tr w:rsidR="00C93F5A" w14:paraId="29BCD814" w14:textId="77777777" w:rsidTr="004E62D4">
        <w:trPr>
          <w:trHeight w:val="317"/>
        </w:trPr>
        <w:tc>
          <w:tcPr>
            <w:tcW w:w="2802" w:type="dxa"/>
            <w:shd w:val="pct15" w:color="auto" w:fill="auto"/>
          </w:tcPr>
          <w:p w14:paraId="4A1D7E39" w14:textId="77777777" w:rsidR="00C93F5A" w:rsidRPr="004F3C1E" w:rsidRDefault="00C93F5A" w:rsidP="004F3C1E">
            <w:pPr>
              <w:spacing w:before="40" w:after="40" w:line="240" w:lineRule="auto"/>
              <w:ind w:firstLine="0"/>
              <w:rPr>
                <w:rFonts w:eastAsia="Calibri"/>
                <w:b/>
                <w:sz w:val="22"/>
                <w:szCs w:val="22"/>
              </w:rPr>
            </w:pPr>
            <w:r w:rsidRPr="004F3C1E">
              <w:rPr>
                <w:rFonts w:eastAsia="Calibri"/>
                <w:b/>
                <w:sz w:val="22"/>
                <w:szCs w:val="22"/>
              </w:rPr>
              <w:t xml:space="preserve">Τέκνα γεννηθέντα ζωντανά </w:t>
            </w:r>
          </w:p>
        </w:tc>
        <w:tc>
          <w:tcPr>
            <w:tcW w:w="1984" w:type="dxa"/>
            <w:shd w:val="pct15" w:color="auto" w:fill="auto"/>
          </w:tcPr>
          <w:p w14:paraId="6880393B"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79</w:t>
            </w:r>
          </w:p>
        </w:tc>
        <w:tc>
          <w:tcPr>
            <w:tcW w:w="1985" w:type="dxa"/>
            <w:shd w:val="pct15" w:color="auto" w:fill="auto"/>
          </w:tcPr>
          <w:p w14:paraId="1A207530"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30</w:t>
            </w:r>
          </w:p>
        </w:tc>
        <w:tc>
          <w:tcPr>
            <w:tcW w:w="2659" w:type="dxa"/>
            <w:shd w:val="pct15" w:color="auto" w:fill="auto"/>
          </w:tcPr>
          <w:p w14:paraId="6A3C635D" w14:textId="77777777" w:rsidR="00C93F5A" w:rsidRPr="004F3C1E" w:rsidRDefault="00C93F5A" w:rsidP="004F3C1E">
            <w:pPr>
              <w:spacing w:before="40" w:after="40" w:line="240" w:lineRule="auto"/>
              <w:ind w:firstLine="0"/>
              <w:jc w:val="center"/>
              <w:rPr>
                <w:rFonts w:eastAsia="Calibri"/>
                <w:sz w:val="22"/>
                <w:szCs w:val="22"/>
              </w:rPr>
            </w:pPr>
            <w:r w:rsidRPr="004F3C1E">
              <w:rPr>
                <w:rFonts w:eastAsia="Calibri"/>
                <w:sz w:val="22"/>
                <w:szCs w:val="22"/>
              </w:rPr>
              <w:t>5</w:t>
            </w:r>
          </w:p>
        </w:tc>
      </w:tr>
      <w:tr w:rsidR="00C93F5A" w14:paraId="20B56247" w14:textId="77777777" w:rsidTr="004F3C1E">
        <w:trPr>
          <w:trHeight w:val="293"/>
        </w:trPr>
        <w:tc>
          <w:tcPr>
            <w:tcW w:w="9430" w:type="dxa"/>
            <w:gridSpan w:val="4"/>
            <w:shd w:val="clear" w:color="auto" w:fill="auto"/>
          </w:tcPr>
          <w:p w14:paraId="4CBA4351" w14:textId="627FE5EC" w:rsidR="00C93F5A" w:rsidRPr="004F3C1E" w:rsidRDefault="00C93F5A" w:rsidP="004F3C1E">
            <w:pPr>
              <w:spacing w:before="40" w:after="40" w:line="240" w:lineRule="auto"/>
              <w:ind w:firstLine="0"/>
              <w:rPr>
                <w:rFonts w:eastAsia="Calibri"/>
                <w:sz w:val="20"/>
                <w:szCs w:val="20"/>
              </w:rPr>
            </w:pPr>
            <w:r w:rsidRPr="004F3C1E">
              <w:rPr>
                <w:rFonts w:eastAsia="Calibri"/>
                <w:sz w:val="20"/>
                <w:szCs w:val="20"/>
              </w:rPr>
              <w:t>* Προσπάθειες: γονι</w:t>
            </w:r>
            <w:r w:rsidR="002113F1">
              <w:rPr>
                <w:rFonts w:eastAsia="Calibri"/>
                <w:sz w:val="20"/>
                <w:szCs w:val="20"/>
              </w:rPr>
              <w:t>μοποιήσεις, διεγέρσεις και αποψύ</w:t>
            </w:r>
            <w:r w:rsidRPr="004F3C1E">
              <w:rPr>
                <w:rFonts w:eastAsia="Calibri"/>
                <w:sz w:val="20"/>
                <w:szCs w:val="20"/>
              </w:rPr>
              <w:t>ξεις</w:t>
            </w:r>
          </w:p>
        </w:tc>
      </w:tr>
    </w:tbl>
    <w:p w14:paraId="69880E30" w14:textId="77777777" w:rsidR="00192284" w:rsidRDefault="00D25F07" w:rsidP="00793036">
      <w:pPr>
        <w:spacing w:before="240"/>
      </w:pPr>
      <w:r>
        <w:t>Σε ότι αφορά στην κατανομή της παροχής των υπηρεσιών αυτών υγείας στη γαλλική επικράτε</w:t>
      </w:r>
      <w:r w:rsidR="00D9331E">
        <w:t>ια, η Έκθεση του Οργανισμού Βιοϊ</w:t>
      </w:r>
      <w:r>
        <w:t>ατρικής επι</w:t>
      </w:r>
      <w:r w:rsidR="00D9331E">
        <w:t>σημαίνει ότι είναι ανισομερής. Μέθοδοι ιατρικά υποβοηθούμενης αναπαραγωγής διενεργούνται σε πρόσωπα με ιογενή κίνδυνο</w:t>
      </w:r>
      <w:r>
        <w:t xml:space="preserve"> σε 11 περ</w:t>
      </w:r>
      <w:r w:rsidR="00D9331E">
        <w:t xml:space="preserve">ιοχές της Γαλλίας, δραστηριότητα </w:t>
      </w:r>
      <w:r w:rsidR="000C4AAC">
        <w:t>η οποία</w:t>
      </w:r>
      <w:r w:rsidR="00D9331E">
        <w:t xml:space="preserve"> εκπροσωπεί </w:t>
      </w:r>
      <w:r>
        <w:t xml:space="preserve">λιγότερο από </w:t>
      </w:r>
      <w:r w:rsidR="00D9331E">
        <w:t xml:space="preserve">το </w:t>
      </w:r>
      <w:r>
        <w:t>1% των προ</w:t>
      </w:r>
      <w:r w:rsidR="00D9331E">
        <w:t>σ</w:t>
      </w:r>
      <w:r>
        <w:t>παθειών ομόλογης αναπαραγωγής</w:t>
      </w:r>
      <w:r>
        <w:rPr>
          <w:rStyle w:val="FootnoteReference"/>
        </w:rPr>
        <w:footnoteReference w:id="156"/>
      </w:r>
      <w:r>
        <w:t xml:space="preserve">. </w:t>
      </w:r>
    </w:p>
    <w:p w14:paraId="305796D9" w14:textId="2530D94C" w:rsidR="000C4AAC" w:rsidRDefault="000C4AAC" w:rsidP="00793036">
      <w:r>
        <w:t>Α</w:t>
      </w:r>
      <w:r w:rsidR="00C81876">
        <w:t>ναφορικά</w:t>
      </w:r>
      <w:r>
        <w:t>, δε,</w:t>
      </w:r>
      <w:r w:rsidR="00C81876">
        <w:t xml:space="preserve"> με τα ζευγάρια εκ των οποίων ένας τουλάχιστον εκ των δύο είναι φορέας του ιού της Υπατίτιδας Β΄ ή Γ΄, το 2012, 1.063 προσπάθειες διενεργήθηκαν προκειμένου να αντιμετωπιστεί η υπογονιμότητα των ζευγαριων αυτών</w:t>
      </w:r>
      <w:r w:rsidR="00713711">
        <w:t>. Από τις 1.063 αυτές προσπάθειες</w:t>
      </w:r>
      <w:r w:rsidR="009B3C64">
        <w:t xml:space="preserve"> προέκυψαν 116 τέκνα (Πίνακας 3</w:t>
      </w:r>
      <w:r w:rsidR="00713711">
        <w:t>)</w:t>
      </w:r>
      <w:r w:rsidR="00E81A18">
        <w:rPr>
          <w:rStyle w:val="FootnoteReference"/>
        </w:rPr>
        <w:footnoteReference w:id="157"/>
      </w:r>
      <w:r w:rsidR="00713711">
        <w:t xml:space="preserve">. </w:t>
      </w:r>
    </w:p>
    <w:p w14:paraId="72E89EAE" w14:textId="77777777" w:rsidR="00793036" w:rsidRDefault="00793036" w:rsidP="00793036"/>
    <w:p w14:paraId="611C7836" w14:textId="77777777" w:rsidR="00793036" w:rsidRDefault="00793036" w:rsidP="00793036"/>
    <w:p w14:paraId="2B42C838" w14:textId="77777777" w:rsidR="00B73FF4" w:rsidRPr="00D341ED" w:rsidRDefault="00B73FF4" w:rsidP="00793036">
      <w:pPr>
        <w:spacing w:before="240" w:after="240"/>
        <w:ind w:firstLine="0"/>
        <w:rPr>
          <w:b/>
        </w:rPr>
      </w:pPr>
      <w:r w:rsidRPr="00D341ED">
        <w:rPr>
          <w:b/>
        </w:rPr>
        <w:lastRenderedPageBreak/>
        <w:t xml:space="preserve">Πίνακας </w:t>
      </w:r>
      <w:r w:rsidR="009B3C64">
        <w:rPr>
          <w:b/>
        </w:rPr>
        <w:t>3</w:t>
      </w:r>
      <w:r w:rsidRPr="00D341ED">
        <w:rPr>
          <w:b/>
        </w:rPr>
        <w:t xml:space="preserve">. </w:t>
      </w:r>
      <w:r w:rsidR="000C4AAC">
        <w:rPr>
          <w:b/>
        </w:rPr>
        <w:t xml:space="preserve">Ιατρικά Υποβοηθούμενη Αναπαραγωγή σε φορείς του </w:t>
      </w:r>
      <w:r>
        <w:rPr>
          <w:b/>
        </w:rPr>
        <w:t xml:space="preserve">ιου </w:t>
      </w:r>
      <w:r w:rsidRPr="00B73FF4">
        <w:rPr>
          <w:rStyle w:val="hps"/>
          <w:b/>
        </w:rPr>
        <w:t>HBV</w:t>
      </w:r>
      <w:r w:rsidRPr="00B73FF4">
        <w:rPr>
          <w:b/>
        </w:rPr>
        <w:t>/</w:t>
      </w:r>
      <w:r w:rsidRPr="00B73FF4">
        <w:rPr>
          <w:rStyle w:val="hps"/>
          <w:b/>
        </w:rPr>
        <w:t>HCV</w:t>
      </w:r>
      <w:r w:rsidR="00B57EC3">
        <w:rPr>
          <w:rStyle w:val="hps"/>
          <w:b/>
        </w:rPr>
        <w:t xml:space="preserve"> 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628"/>
      </w:tblGrid>
      <w:tr w:rsidR="00B57EC3" w14:paraId="5844639A" w14:textId="77777777" w:rsidTr="000C4AAC">
        <w:tc>
          <w:tcPr>
            <w:tcW w:w="2802" w:type="dxa"/>
            <w:shd w:val="pct15" w:color="auto" w:fill="auto"/>
          </w:tcPr>
          <w:p w14:paraId="3C07C776" w14:textId="77777777" w:rsidR="00B57EC3" w:rsidRPr="004F3C1E" w:rsidRDefault="00B57EC3" w:rsidP="004F3C1E">
            <w:pPr>
              <w:spacing w:before="40" w:after="40" w:line="240" w:lineRule="auto"/>
              <w:ind w:firstLine="0"/>
              <w:rPr>
                <w:rFonts w:eastAsia="Calibri"/>
                <w:sz w:val="22"/>
                <w:szCs w:val="22"/>
              </w:rPr>
            </w:pPr>
          </w:p>
        </w:tc>
        <w:tc>
          <w:tcPr>
            <w:tcW w:w="6628" w:type="dxa"/>
            <w:shd w:val="pct15" w:color="auto" w:fill="auto"/>
          </w:tcPr>
          <w:p w14:paraId="117BDFC6" w14:textId="77777777" w:rsidR="00B57EC3" w:rsidRPr="004F3C1E" w:rsidRDefault="00B57EC3" w:rsidP="004F3C1E">
            <w:pPr>
              <w:spacing w:before="40" w:after="40" w:line="240" w:lineRule="auto"/>
              <w:ind w:firstLine="0"/>
              <w:jc w:val="center"/>
              <w:rPr>
                <w:rFonts w:eastAsia="Calibri"/>
                <w:b/>
                <w:sz w:val="22"/>
                <w:szCs w:val="22"/>
              </w:rPr>
            </w:pPr>
            <w:r w:rsidRPr="004F3C1E">
              <w:rPr>
                <w:rFonts w:eastAsia="Calibri"/>
                <w:b/>
                <w:sz w:val="22"/>
                <w:szCs w:val="22"/>
              </w:rPr>
              <w:t xml:space="preserve">Ζευγάρια εκ των οποίων τουλάχιστον ένας εκ των δύο είναι φορέας του ιού </w:t>
            </w:r>
            <w:r w:rsidRPr="004F3C1E">
              <w:rPr>
                <w:rStyle w:val="hps"/>
                <w:rFonts w:eastAsia="Calibri"/>
                <w:b/>
                <w:sz w:val="22"/>
                <w:szCs w:val="22"/>
              </w:rPr>
              <w:t>HBV</w:t>
            </w:r>
            <w:r w:rsidRPr="004F3C1E">
              <w:rPr>
                <w:rFonts w:eastAsia="Calibri"/>
                <w:b/>
                <w:sz w:val="22"/>
                <w:szCs w:val="22"/>
              </w:rPr>
              <w:t>/</w:t>
            </w:r>
            <w:r w:rsidRPr="004F3C1E">
              <w:rPr>
                <w:rStyle w:val="hps"/>
                <w:rFonts w:eastAsia="Calibri"/>
                <w:b/>
                <w:sz w:val="22"/>
                <w:szCs w:val="22"/>
              </w:rPr>
              <w:t>HCV</w:t>
            </w:r>
          </w:p>
        </w:tc>
      </w:tr>
      <w:tr w:rsidR="00B57EC3" w14:paraId="2CE16AE1" w14:textId="77777777" w:rsidTr="004F3C1E">
        <w:tc>
          <w:tcPr>
            <w:tcW w:w="2802" w:type="dxa"/>
            <w:shd w:val="clear" w:color="auto" w:fill="auto"/>
          </w:tcPr>
          <w:p w14:paraId="52ADFF62" w14:textId="77777777" w:rsidR="00B57EC3" w:rsidRPr="004F3C1E" w:rsidRDefault="00B57EC3" w:rsidP="004F3C1E">
            <w:pPr>
              <w:spacing w:before="40" w:after="40" w:line="240" w:lineRule="auto"/>
              <w:ind w:firstLine="0"/>
              <w:rPr>
                <w:rFonts w:eastAsia="Calibri"/>
                <w:b/>
                <w:sz w:val="22"/>
                <w:szCs w:val="22"/>
              </w:rPr>
            </w:pPr>
            <w:r w:rsidRPr="004F3C1E">
              <w:rPr>
                <w:rFonts w:eastAsia="Calibri"/>
                <w:b/>
                <w:sz w:val="22"/>
                <w:szCs w:val="22"/>
              </w:rPr>
              <w:t>Προσπάθειες*</w:t>
            </w:r>
          </w:p>
        </w:tc>
        <w:tc>
          <w:tcPr>
            <w:tcW w:w="6628" w:type="dxa"/>
            <w:shd w:val="clear" w:color="auto" w:fill="auto"/>
          </w:tcPr>
          <w:p w14:paraId="782B36C7" w14:textId="77777777" w:rsidR="00B57EC3" w:rsidRPr="004F3C1E" w:rsidRDefault="00B57EC3" w:rsidP="004F3C1E">
            <w:pPr>
              <w:spacing w:before="40" w:after="40" w:line="240" w:lineRule="auto"/>
              <w:ind w:firstLine="0"/>
              <w:jc w:val="center"/>
              <w:rPr>
                <w:rFonts w:eastAsia="Calibri"/>
                <w:sz w:val="22"/>
                <w:szCs w:val="22"/>
              </w:rPr>
            </w:pPr>
            <w:r w:rsidRPr="004F3C1E">
              <w:rPr>
                <w:rFonts w:eastAsia="Calibri"/>
                <w:sz w:val="22"/>
                <w:szCs w:val="22"/>
              </w:rPr>
              <w:t>1.063</w:t>
            </w:r>
          </w:p>
        </w:tc>
      </w:tr>
      <w:tr w:rsidR="00B57EC3" w14:paraId="0BC926E0" w14:textId="77777777" w:rsidTr="004F3C1E">
        <w:tc>
          <w:tcPr>
            <w:tcW w:w="2802" w:type="dxa"/>
            <w:shd w:val="clear" w:color="auto" w:fill="auto"/>
          </w:tcPr>
          <w:p w14:paraId="5ECDF382" w14:textId="77777777" w:rsidR="00B57EC3" w:rsidRPr="004F3C1E" w:rsidRDefault="00B57EC3" w:rsidP="004F3C1E">
            <w:pPr>
              <w:spacing w:before="40" w:after="40" w:line="240" w:lineRule="auto"/>
              <w:ind w:firstLine="0"/>
              <w:rPr>
                <w:rFonts w:eastAsia="Calibri"/>
                <w:b/>
                <w:sz w:val="22"/>
                <w:szCs w:val="22"/>
              </w:rPr>
            </w:pPr>
            <w:r w:rsidRPr="004F3C1E">
              <w:rPr>
                <w:rFonts w:eastAsia="Calibri"/>
                <w:b/>
                <w:sz w:val="22"/>
                <w:szCs w:val="22"/>
              </w:rPr>
              <w:t xml:space="preserve">Κυήσεις εν εξελίξει </w:t>
            </w:r>
          </w:p>
        </w:tc>
        <w:tc>
          <w:tcPr>
            <w:tcW w:w="6628" w:type="dxa"/>
            <w:shd w:val="clear" w:color="auto" w:fill="auto"/>
          </w:tcPr>
          <w:p w14:paraId="1E039DCB" w14:textId="77777777" w:rsidR="00B57EC3" w:rsidRPr="004F3C1E" w:rsidRDefault="00B57EC3" w:rsidP="004F3C1E">
            <w:pPr>
              <w:spacing w:before="40" w:after="40" w:line="240" w:lineRule="auto"/>
              <w:ind w:firstLine="0"/>
              <w:jc w:val="center"/>
              <w:rPr>
                <w:rFonts w:eastAsia="Calibri"/>
                <w:sz w:val="22"/>
                <w:szCs w:val="22"/>
              </w:rPr>
            </w:pPr>
            <w:r w:rsidRPr="004F3C1E">
              <w:rPr>
                <w:rFonts w:eastAsia="Calibri"/>
                <w:sz w:val="22"/>
                <w:szCs w:val="22"/>
              </w:rPr>
              <w:t>118</w:t>
            </w:r>
          </w:p>
        </w:tc>
      </w:tr>
      <w:tr w:rsidR="00B57EC3" w14:paraId="5024E910" w14:textId="77777777" w:rsidTr="000C4AAC">
        <w:tc>
          <w:tcPr>
            <w:tcW w:w="2802" w:type="dxa"/>
            <w:tcBorders>
              <w:bottom w:val="single" w:sz="4" w:space="0" w:color="auto"/>
            </w:tcBorders>
            <w:shd w:val="clear" w:color="auto" w:fill="auto"/>
          </w:tcPr>
          <w:p w14:paraId="3EE526B5" w14:textId="77777777" w:rsidR="00B57EC3" w:rsidRPr="004F3C1E" w:rsidRDefault="00B57EC3" w:rsidP="004F3C1E">
            <w:pPr>
              <w:spacing w:before="40" w:after="40" w:line="240" w:lineRule="auto"/>
              <w:ind w:firstLine="0"/>
              <w:rPr>
                <w:rFonts w:eastAsia="Calibri"/>
                <w:b/>
                <w:sz w:val="22"/>
                <w:szCs w:val="22"/>
              </w:rPr>
            </w:pPr>
            <w:r w:rsidRPr="004F3C1E">
              <w:rPr>
                <w:rFonts w:eastAsia="Calibri"/>
                <w:b/>
                <w:sz w:val="22"/>
                <w:szCs w:val="22"/>
              </w:rPr>
              <w:t xml:space="preserve">Τοκετοί </w:t>
            </w:r>
          </w:p>
        </w:tc>
        <w:tc>
          <w:tcPr>
            <w:tcW w:w="6628" w:type="dxa"/>
            <w:tcBorders>
              <w:bottom w:val="single" w:sz="4" w:space="0" w:color="auto"/>
            </w:tcBorders>
            <w:shd w:val="clear" w:color="auto" w:fill="auto"/>
          </w:tcPr>
          <w:p w14:paraId="780AC498" w14:textId="77777777" w:rsidR="00B57EC3" w:rsidRPr="004F3C1E" w:rsidRDefault="00B57EC3" w:rsidP="004F3C1E">
            <w:pPr>
              <w:spacing w:before="40" w:after="40" w:line="240" w:lineRule="auto"/>
              <w:ind w:firstLine="0"/>
              <w:jc w:val="center"/>
              <w:rPr>
                <w:rFonts w:eastAsia="Calibri"/>
                <w:sz w:val="22"/>
                <w:szCs w:val="22"/>
              </w:rPr>
            </w:pPr>
            <w:r w:rsidRPr="004F3C1E">
              <w:rPr>
                <w:rFonts w:eastAsia="Calibri"/>
                <w:sz w:val="22"/>
                <w:szCs w:val="22"/>
              </w:rPr>
              <w:t>111</w:t>
            </w:r>
          </w:p>
        </w:tc>
      </w:tr>
      <w:tr w:rsidR="00B57EC3" w14:paraId="49DA96D0" w14:textId="77777777" w:rsidTr="000C4AAC">
        <w:trPr>
          <w:trHeight w:val="317"/>
        </w:trPr>
        <w:tc>
          <w:tcPr>
            <w:tcW w:w="2802" w:type="dxa"/>
            <w:shd w:val="pct15" w:color="auto" w:fill="auto"/>
          </w:tcPr>
          <w:p w14:paraId="330DEFBE" w14:textId="77777777" w:rsidR="00B57EC3" w:rsidRPr="004F3C1E" w:rsidRDefault="00B57EC3" w:rsidP="004F3C1E">
            <w:pPr>
              <w:spacing w:before="40" w:after="40" w:line="240" w:lineRule="auto"/>
              <w:ind w:firstLine="0"/>
              <w:rPr>
                <w:rFonts w:eastAsia="Calibri"/>
                <w:b/>
                <w:sz w:val="22"/>
                <w:szCs w:val="22"/>
              </w:rPr>
            </w:pPr>
            <w:r w:rsidRPr="004F3C1E">
              <w:rPr>
                <w:rFonts w:eastAsia="Calibri"/>
                <w:b/>
                <w:sz w:val="22"/>
                <w:szCs w:val="22"/>
              </w:rPr>
              <w:t xml:space="preserve">Τέκνα γεννηθέντα ζωντανά </w:t>
            </w:r>
          </w:p>
        </w:tc>
        <w:tc>
          <w:tcPr>
            <w:tcW w:w="6628" w:type="dxa"/>
            <w:shd w:val="pct15" w:color="auto" w:fill="auto"/>
          </w:tcPr>
          <w:p w14:paraId="38B31933" w14:textId="77777777" w:rsidR="00B57EC3" w:rsidRPr="004F3C1E" w:rsidRDefault="00B57EC3" w:rsidP="004F3C1E">
            <w:pPr>
              <w:spacing w:before="40" w:after="40" w:line="240" w:lineRule="auto"/>
              <w:ind w:firstLine="0"/>
              <w:jc w:val="center"/>
              <w:rPr>
                <w:rFonts w:eastAsia="Calibri"/>
                <w:sz w:val="22"/>
                <w:szCs w:val="22"/>
              </w:rPr>
            </w:pPr>
            <w:r w:rsidRPr="004F3C1E">
              <w:rPr>
                <w:rFonts w:eastAsia="Calibri"/>
                <w:sz w:val="22"/>
                <w:szCs w:val="22"/>
              </w:rPr>
              <w:t>116</w:t>
            </w:r>
          </w:p>
        </w:tc>
      </w:tr>
      <w:tr w:rsidR="00B73FF4" w14:paraId="4B07AEA6" w14:textId="77777777" w:rsidTr="004F3C1E">
        <w:trPr>
          <w:trHeight w:val="293"/>
        </w:trPr>
        <w:tc>
          <w:tcPr>
            <w:tcW w:w="9430" w:type="dxa"/>
            <w:gridSpan w:val="2"/>
            <w:shd w:val="clear" w:color="auto" w:fill="auto"/>
          </w:tcPr>
          <w:p w14:paraId="61D888DF" w14:textId="2F62D5A2" w:rsidR="00B73FF4" w:rsidRPr="004F3C1E" w:rsidRDefault="00B73FF4" w:rsidP="004F3C1E">
            <w:pPr>
              <w:spacing w:before="40" w:after="40" w:line="240" w:lineRule="auto"/>
              <w:ind w:firstLine="0"/>
              <w:rPr>
                <w:rFonts w:eastAsia="Calibri"/>
                <w:sz w:val="20"/>
                <w:szCs w:val="20"/>
              </w:rPr>
            </w:pPr>
            <w:r w:rsidRPr="004F3C1E">
              <w:rPr>
                <w:rFonts w:eastAsia="Calibri"/>
                <w:sz w:val="20"/>
                <w:szCs w:val="20"/>
              </w:rPr>
              <w:t>* Προσπάθειες: γονι</w:t>
            </w:r>
            <w:r w:rsidR="002113F1">
              <w:rPr>
                <w:rFonts w:eastAsia="Calibri"/>
                <w:sz w:val="20"/>
                <w:szCs w:val="20"/>
              </w:rPr>
              <w:t>μοποιήσεις, διεγέρσεις και αποψύ</w:t>
            </w:r>
            <w:r w:rsidRPr="004F3C1E">
              <w:rPr>
                <w:rFonts w:eastAsia="Calibri"/>
                <w:sz w:val="20"/>
                <w:szCs w:val="20"/>
              </w:rPr>
              <w:t>ξεις</w:t>
            </w:r>
          </w:p>
        </w:tc>
      </w:tr>
    </w:tbl>
    <w:p w14:paraId="78B82369" w14:textId="77777777" w:rsidR="00CB7D04" w:rsidRDefault="00CB7D04" w:rsidP="00793036">
      <w:pPr>
        <w:spacing w:before="240"/>
      </w:pPr>
      <w:bookmarkStart w:id="85" w:name="_Toc394082552"/>
      <w:bookmarkStart w:id="86" w:name="_Ref393644049"/>
      <w:bookmarkStart w:id="87" w:name="_Toc394082551"/>
      <w:r>
        <w:t xml:space="preserve">Αναφορικά με το ζήτημα της διενέργειας διαγνωστικών εξετάσεων ή άλλων χειρισμών σχετικών με την ιατρικά υποβοηθούμενη αναπαραγωγή, ενδιαφέρον παρουσιάζει, τέλος, η νομολογία του Ανώτατου Ακυρωτικού Δικαστηρίου σχετικά με την πλημμελή εκπλήρωση των συμβατικών υποχρεώσεων των κέντρων ιατρικά υποβοηθούμενης αναπαραγωγής ή </w:t>
      </w:r>
      <w:r w:rsidR="00311045">
        <w:t xml:space="preserve">των </w:t>
      </w:r>
      <w:r>
        <w:t>διαγνωστικών εργαστηρίων</w:t>
      </w:r>
      <w:r w:rsidR="00311045">
        <w:t xml:space="preserve"> που δραστηριοποιούνται στο πεδίο της υποβοηθούμενης αναπαραγωγής</w:t>
      </w:r>
      <w:r>
        <w:t xml:space="preserve">. Με την από 17 Σεπτεμβρίου 2003 απόφασή του, το </w:t>
      </w:r>
      <w:r w:rsidR="00311045">
        <w:t>Πρώτο</w:t>
      </w:r>
      <w:r>
        <w:t xml:space="preserve"> Πολιτικό Τμήμα του Ανώτατου Ακυρωτικού Δικαστηρίου της Γαλλίας έκρινε ότι, σε περίπτωση πλημμελούς εκπλήρωσης συμβατικής παροχής </w:t>
      </w:r>
      <w:r w:rsidR="00311045">
        <w:t>που έχει αναληφθεί από διαγνωστικό ε</w:t>
      </w:r>
      <w:r>
        <w:t>ργαστ</w:t>
      </w:r>
      <w:r w:rsidR="00311045">
        <w:t>ήριο απέναντι σε</w:t>
      </w:r>
      <w:r>
        <w:t xml:space="preserve"> υποβοηθούμενο ζευγάρι, αυτό το τελευταίο όχι μόνο </w:t>
      </w:r>
      <w:r w:rsidR="00311045">
        <w:t>απαλλάσσεται από τη συμβατική του υποχρέωση να καταβάλει αμοιβή στο εργαστήριο</w:t>
      </w:r>
      <w:r>
        <w:t>, αλλά αντιθέτως δικαιούται να λαβει αποζημίωση για τη ζημία που υπέστη</w:t>
      </w:r>
      <w:r>
        <w:rPr>
          <w:rStyle w:val="FootnoteReference"/>
        </w:rPr>
        <w:footnoteReference w:id="158"/>
      </w:r>
      <w:r>
        <w:t xml:space="preserve">. </w:t>
      </w:r>
    </w:p>
    <w:p w14:paraId="4B3370BA" w14:textId="77777777" w:rsidR="00365A1C" w:rsidRDefault="001D346A" w:rsidP="0051147A">
      <w:r>
        <w:t xml:space="preserve">Ειδικότερα, </w:t>
      </w:r>
      <w:r w:rsidR="0051147A">
        <w:t xml:space="preserve">σε ό,τι αφορά στα πραγματικά περιστατικά της υπόθεσης, ο σύντροφος μιας ασθενούς και υποψήφιας υποβοηθούμενης μητέρας προσέφυγε στο Δικαστήριο και απαλλάχθηκε, λόγω πλημμελούς εκπλήρωσης των συμβατικά συμφωνηθέντων υπηρεσιών, από την </w:t>
      </w:r>
      <w:r w:rsidR="00C618E3">
        <w:t xml:space="preserve">καταβολή της </w:t>
      </w:r>
      <w:r w:rsidR="0051147A">
        <w:t>αμοιβή</w:t>
      </w:r>
      <w:r w:rsidR="00C618E3">
        <w:t>ς που όφειλε στο ε</w:t>
      </w:r>
      <w:r w:rsidR="0051147A">
        <w:t>ργαστήριο που διεξήγαγε τις διαγνωστικές εξετάσεις που ήταν αναγκαίες για την ιατρική υποβοήθηση</w:t>
      </w:r>
      <w:r w:rsidR="006F61DA">
        <w:t xml:space="preserve"> του ζευγαριού</w:t>
      </w:r>
      <w:r w:rsidR="0051147A">
        <w:t xml:space="preserve"> στην αναπαραγωγή</w:t>
      </w:r>
      <w:r w:rsidR="005918D5">
        <w:rPr>
          <w:rStyle w:val="FootnoteReference"/>
        </w:rPr>
        <w:footnoteReference w:id="159"/>
      </w:r>
      <w:r w:rsidR="006F61DA">
        <w:t>. Επιπλέον, το Δικαστήριο έκρινε ότι το ε</w:t>
      </w:r>
      <w:r w:rsidR="0051147A">
        <w:t>ργαστήριο βιολογικών αναλύσεων όφειλε να πληρώσει στο ζευγάρι τόκους υπερημερίας. Ο κ. Χ, λοιπόν</w:t>
      </w:r>
      <w:r w:rsidR="006F61DA">
        <w:t>, που εκμεταλλευόταν το εν λόγω ε</w:t>
      </w:r>
      <w:r w:rsidR="0051147A">
        <w:t xml:space="preserve">ργαστήριο, </w:t>
      </w:r>
      <w:r w:rsidR="00365A1C">
        <w:t xml:space="preserve">κατέθεσε αίτηση αναίρεσης στο Ανώτατο Ακυρωτικό Δικαστήριο κατηγορώντας το Εφετείο των </w:t>
      </w:r>
      <w:r w:rsidR="0051147A">
        <w:t>Παρισίων</w:t>
      </w:r>
      <w:r w:rsidR="00365A1C">
        <w:t xml:space="preserve"> ότι με την από 30 Μαΐου 2000 απόφασή του τον καταδίκασε για τη δυσλειτουργία του εργαστηρίου του, χωρίς να έχει πράγματι ευθύνη για την απ</w:t>
      </w:r>
      <w:r w:rsidR="0051147A">
        <w:t>οτυχημένη προσπάθεια. Ισχυρίστηκε</w:t>
      </w:r>
      <w:r w:rsidR="00365A1C">
        <w:t xml:space="preserve">, δε, ότι ένας ιατρός μπορεί να στερηθεί της αμοιβής του μόνο εάν γνωρίζει ότι η ιατρική πράξη που θα επιχειρήσει, με τα σημερινά δεδομένα της επιστήμης, δε θα έχει αποτελέσματα ή μόνο εάν το αρνητικό αποτέλεσμα </w:t>
      </w:r>
      <w:r w:rsidR="006F61DA">
        <w:lastRenderedPageBreak/>
        <w:t>συνιστά</w:t>
      </w:r>
      <w:r w:rsidR="00365A1C">
        <w:t xml:space="preserve"> το βέβαιο και άμεσο αποτέλεσμα δικής του συμπεριφορά. Εν προκειμένω, </w:t>
      </w:r>
      <w:r w:rsidR="006F61DA">
        <w:t>ο κ. Χ υποστήριξ</w:t>
      </w:r>
      <w:r w:rsidR="0051147A">
        <w:t xml:space="preserve">ε ότι </w:t>
      </w:r>
      <w:r w:rsidR="00365A1C">
        <w:t xml:space="preserve">το επίδικο περιστατικό </w:t>
      </w:r>
      <w:r w:rsidR="0051147A">
        <w:t>δεν ενέπιπτε</w:t>
      </w:r>
      <w:r w:rsidR="00365A1C">
        <w:t xml:space="preserve"> σε καμία από τις δύο περιπτώσεις.</w:t>
      </w:r>
    </w:p>
    <w:p w14:paraId="0F785F13" w14:textId="77777777" w:rsidR="00F30885" w:rsidRDefault="00D62AD3" w:rsidP="00F3229B">
      <w:pPr>
        <w:tabs>
          <w:tab w:val="left" w:pos="411"/>
        </w:tabs>
      </w:pPr>
      <w:r>
        <w:t>Το</w:t>
      </w:r>
      <w:r w:rsidRPr="00156E10">
        <w:t xml:space="preserve"> </w:t>
      </w:r>
      <w:r>
        <w:t>Ανώτατο</w:t>
      </w:r>
      <w:r w:rsidRPr="00156E10">
        <w:t xml:space="preserve"> </w:t>
      </w:r>
      <w:r>
        <w:t>Ακυρωτικό</w:t>
      </w:r>
      <w:r w:rsidRPr="00156E10">
        <w:t xml:space="preserve"> </w:t>
      </w:r>
      <w:r>
        <w:t>Δικαστήριο</w:t>
      </w:r>
      <w:r w:rsidRPr="00156E10">
        <w:t xml:space="preserve"> </w:t>
      </w:r>
      <w:r>
        <w:t>απέρριψε</w:t>
      </w:r>
      <w:r w:rsidRPr="00156E10">
        <w:t xml:space="preserve"> </w:t>
      </w:r>
      <w:r>
        <w:t>την</w:t>
      </w:r>
      <w:r w:rsidRPr="00156E10">
        <w:t xml:space="preserve"> </w:t>
      </w:r>
      <w:r>
        <w:t>αίτηση</w:t>
      </w:r>
      <w:r w:rsidRPr="00156E10">
        <w:t xml:space="preserve"> </w:t>
      </w:r>
      <w:r>
        <w:t>αναίρεσης</w:t>
      </w:r>
      <w:r w:rsidRPr="00156E10">
        <w:t xml:space="preserve"> </w:t>
      </w:r>
      <w:r>
        <w:t>του</w:t>
      </w:r>
      <w:r w:rsidRPr="00156E10">
        <w:t xml:space="preserve"> </w:t>
      </w:r>
      <w:r>
        <w:t>κ</w:t>
      </w:r>
      <w:r w:rsidRPr="00156E10">
        <w:t xml:space="preserve">. </w:t>
      </w:r>
      <w:r w:rsidR="006F61DA">
        <w:t xml:space="preserve">Χ, </w:t>
      </w:r>
      <w:r>
        <w:t xml:space="preserve">αναγνωρίζοντας το δίκαιο αίτημα του συντρόφου της πρώην ασθενούς του εν λόγω </w:t>
      </w:r>
      <w:r w:rsidR="006F61DA">
        <w:t>εργαστηρίυ</w:t>
      </w:r>
      <w:r>
        <w:t xml:space="preserve"> και υποψή</w:t>
      </w:r>
      <w:r w:rsidR="0051147A">
        <w:t>φιας υποβοηθούμενης μητέρας και καταδικάζοντας ταυτόχρονα</w:t>
      </w:r>
      <w:r>
        <w:t xml:space="preserve"> τον κ. Χ σε καταβολή 3.000 ευρώ. </w:t>
      </w:r>
      <w:r w:rsidR="0051147A">
        <w:t>Πιο συγκεκριμένα</w:t>
      </w:r>
      <w:r>
        <w:t xml:space="preserve">, το Ανώτατο </w:t>
      </w:r>
      <w:r w:rsidR="0051147A">
        <w:t>πολιτικό δ</w:t>
      </w:r>
      <w:r>
        <w:t>ικαστήριο αναγνώρισε, παραπέμποντας σε αποσπάσματα της έκθεσης ελέγχου</w:t>
      </w:r>
      <w:r w:rsidR="0051147A">
        <w:t xml:space="preserve"> του </w:t>
      </w:r>
      <w:r w:rsidR="006F61DA">
        <w:t>διαγνωστικού εργαστηρίου</w:t>
      </w:r>
      <w:r>
        <w:t xml:space="preserve">, ότι στο εν λόγω Κέντρο η εμφύτευση των εμβρύων γινόταν κατά τρόπο παράνομο χωρίς να λαμβάνονται υπόψη ούτε οι ενδεχόμενοι κίνδυνοι αναφυλακτικού σοκ, ούτε η απουσία μητρώων πιστοποιητικών </w:t>
      </w:r>
      <w:r w:rsidR="0051147A">
        <w:t>ιατρικά υποβοηθούμενης αναπαραγωγής</w:t>
      </w:r>
      <w:r>
        <w:t xml:space="preserve"> ή συντήρησης των εμβρύων και ότι, εν κατακλείδι, οι τεχνι</w:t>
      </w:r>
      <w:r w:rsidR="0051147A">
        <w:t>κές της ιατρικά υποβοηθούμενης αναπαραγωγής</w:t>
      </w:r>
      <w:r>
        <w:t xml:space="preserve"> διενεργούνταν κατά προσέγγιση, χωρίς πρωτόκολλο ή συγκεκριμένη διαδικασία. Σύμφωνα, δε, με την από 2 Φεβρουαρίου 1996 έκθεση των ασφαλιστικών ταμείων </w:t>
      </w:r>
      <w:r w:rsidRPr="00156E10">
        <w:rPr>
          <w:lang w:val="fr-FR"/>
        </w:rPr>
        <w:t>DASS</w:t>
      </w:r>
      <w:r w:rsidRPr="0070752B">
        <w:t xml:space="preserve"> </w:t>
      </w:r>
      <w:r>
        <w:t>και</w:t>
      </w:r>
      <w:r w:rsidRPr="0070752B">
        <w:t xml:space="preserve"> </w:t>
      </w:r>
      <w:r w:rsidRPr="00156E10">
        <w:rPr>
          <w:lang w:val="fr-FR"/>
        </w:rPr>
        <w:t>CPAM</w:t>
      </w:r>
      <w:r w:rsidR="006F61DA">
        <w:rPr>
          <w:rStyle w:val="FootnoteReference"/>
          <w:lang w:val="fr-FR"/>
        </w:rPr>
        <w:footnoteReference w:id="160"/>
      </w:r>
      <w:r>
        <w:t>, η οποία και καταρτίστηκε μετά από επίσκεψη στην κλινική με την οποία συνεργαζόταν το Εργαστήριο, το μηχάνημα υπερήχων έπαθε βλάβη την ημέρα λήψης ωαρίων από</w:t>
      </w:r>
      <w:r w:rsidR="0051147A">
        <w:t xml:space="preserve"> την</w:t>
      </w:r>
      <w:r>
        <w:t xml:space="preserve"> </w:t>
      </w:r>
      <w:r w:rsidR="0051147A">
        <w:t xml:space="preserve">υποψήφια υποβοηθούμενη μητέρα </w:t>
      </w:r>
      <w:r>
        <w:t xml:space="preserve">και </w:t>
      </w:r>
      <w:r w:rsidR="006F61DA">
        <w:t>παρότι</w:t>
      </w:r>
      <w:r>
        <w:t xml:space="preserve"> η διέγερση των ωοθηκών πρέπει να διενεργείται μ</w:t>
      </w:r>
      <w:r w:rsidR="00F3229B">
        <w:t>ε ταυτόχρονο έλεγχο με υπέρηχο.</w:t>
      </w:r>
    </w:p>
    <w:p w14:paraId="17E404AB" w14:textId="77777777" w:rsidR="00C55664" w:rsidRPr="004F493E" w:rsidRDefault="00C55664" w:rsidP="00C55664">
      <w:pPr>
        <w:pStyle w:val="Heading4"/>
      </w:pPr>
      <w:bookmarkStart w:id="88" w:name="_Toc276574396"/>
      <w:r>
        <w:t>§</w:t>
      </w:r>
      <w:r w:rsidR="00164BAC">
        <w:t>2</w:t>
      </w:r>
      <w:r>
        <w:t xml:space="preserve">. </w:t>
      </w:r>
      <w:r w:rsidRPr="007018F5">
        <w:t xml:space="preserve">Συνέπειες μη συμμόρφωσης με </w:t>
      </w:r>
      <w:r w:rsidR="00CC4E62">
        <w:t>προϋποθέσεις σχετικά με την υγεία του υποβοηθούμενου ζευγαριού</w:t>
      </w:r>
      <w:bookmarkEnd w:id="88"/>
    </w:p>
    <w:p w14:paraId="2193C068" w14:textId="77777777" w:rsidR="00C55664" w:rsidRDefault="00C55664" w:rsidP="00C55664">
      <w:pPr>
        <w:rPr>
          <w:rFonts w:eastAsia="Calibri"/>
          <w:lang w:eastAsia="en-US"/>
        </w:rPr>
      </w:pPr>
      <w:r>
        <w:t xml:space="preserve">Σε περίπτωση που </w:t>
      </w:r>
      <w:r w:rsidRPr="004933B9">
        <w:t>η υποβοηθούμενη αναπαραγωγή πραγμ</w:t>
      </w:r>
      <w:r>
        <w:t xml:space="preserve">ατοποιηθεί </w:t>
      </w:r>
      <w:r w:rsidR="00BF13E4">
        <w:t>κατά παράβαση</w:t>
      </w:r>
      <w:r>
        <w:t xml:space="preserve"> των </w:t>
      </w:r>
      <w:r w:rsidR="00730FC1">
        <w:t xml:space="preserve">ανωτέρω </w:t>
      </w:r>
      <w:r w:rsidR="00CC4E62">
        <w:t>προβλεπόμενων προϋποθέσεων σχετικά με την κατάσταση της υγείας των υποψηφίων υποβοηθούμενων προσώπων</w:t>
      </w:r>
      <w:r>
        <w:t>, οι συνέπειες που επιβάλλονται από το νομοθέτη αφορούν στον ιατρό και την ομάδα του, δεδομένου ότι αυτοί έχουν οριστεί από το νόμο ως οι</w:t>
      </w:r>
      <w:r>
        <w:rPr>
          <w:rFonts w:eastAsia="Calibri"/>
          <w:lang w:eastAsia="en-US"/>
        </w:rPr>
        <w:t xml:space="preserve"> αρμόδιοι να ελέγχουν τη συνδρομή των προϋποθέσεων για την πρόσβαση στην ιατρικά υποβοηθούμενη αναπαραγωγή. </w:t>
      </w:r>
    </w:p>
    <w:p w14:paraId="3C4916AB" w14:textId="77777777" w:rsidR="00C55664" w:rsidRPr="004933B9" w:rsidRDefault="00C55664" w:rsidP="00C55664">
      <w:r>
        <w:rPr>
          <w:rFonts w:eastAsia="Calibri"/>
          <w:lang w:eastAsia="en-US"/>
        </w:rPr>
        <w:t xml:space="preserve">Οι συνέπειες που προβλέπονται σε περίπτωση μη συνδρομής της προϋπόθεσης των ηλικιακών ορίων των υποβοηθούμενων προσώπων μπορεί να είναι διοικητικής ή ποινικής φύσης. </w:t>
      </w:r>
    </w:p>
    <w:p w14:paraId="5AF7837F" w14:textId="77777777" w:rsidR="00C55664" w:rsidRPr="005617D4" w:rsidRDefault="00C55664" w:rsidP="00B40EFF">
      <w:pPr>
        <w:pStyle w:val="Heading6"/>
      </w:pPr>
      <w:bookmarkStart w:id="89" w:name="Διοικητική_4"/>
      <w:r w:rsidRPr="005617D4">
        <w:t>Συνέπειες διοικητικής φύσης:</w:t>
      </w:r>
    </w:p>
    <w:p w14:paraId="647C961F" w14:textId="2C4A8F36" w:rsidR="00C51393" w:rsidRPr="008C6961" w:rsidRDefault="00C51393" w:rsidP="00C51393">
      <w:r w:rsidRPr="00EE4056">
        <w:t>Όπως έχει ήδη σημειωθεί</w:t>
      </w:r>
      <w:r>
        <w:t xml:space="preserve"> κατ’ επανάληψη πιο πάνω</w:t>
      </w:r>
      <w:r>
        <w:rPr>
          <w:rStyle w:val="FootnoteReference"/>
        </w:rPr>
        <w:footnoteReference w:id="161"/>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 xml:space="preserve">Οι </w:t>
      </w:r>
      <w:r>
        <w:lastRenderedPageBreak/>
        <w:t>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rsidR="00DD0107">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επιβάλλονται στους υπεύθυνους επαγγελματίες υγείας για τις «παραβατικές» σύμφωνα με τα </w:t>
      </w:r>
      <w:r w:rsidRPr="008C6961">
        <w:t xml:space="preserve">ανωτέρω συμπεριφορές. </w:t>
      </w:r>
    </w:p>
    <w:bookmarkEnd w:id="89"/>
    <w:p w14:paraId="1A980E30" w14:textId="77777777" w:rsidR="00C55664" w:rsidRPr="00C51393" w:rsidRDefault="00C55664" w:rsidP="00B40EFF">
      <w:pPr>
        <w:pStyle w:val="Heading6"/>
      </w:pPr>
      <w:r w:rsidRPr="00C51393">
        <w:t>Συνέπειες ποινικής φύσης:</w:t>
      </w:r>
    </w:p>
    <w:p w14:paraId="566502A1" w14:textId="6BF8D665" w:rsidR="00C55664" w:rsidRPr="00C51393" w:rsidRDefault="00C55664" w:rsidP="00C55664">
      <w:r w:rsidRPr="00C51393">
        <w:t xml:space="preserve">Σύμφωνα με τις διατάξεις του άρθρου </w:t>
      </w:r>
      <w:r w:rsidRPr="00C51393">
        <w:rPr>
          <w:b/>
          <w:lang w:val="fr-FR"/>
        </w:rPr>
        <w:t>L</w:t>
      </w:r>
      <w:r w:rsidRPr="00C51393">
        <w:rPr>
          <w:b/>
        </w:rPr>
        <w:t xml:space="preserve">. 2162-5 </w:t>
      </w:r>
      <w:r w:rsidR="005A1087" w:rsidRPr="00C51393">
        <w:rPr>
          <w:b/>
        </w:rPr>
        <w:t>ΚΔΥ</w:t>
      </w:r>
      <w:r w:rsidRPr="00C51393">
        <w:t xml:space="preserve">, οι οποίες παραπέμπουν στο άρθρο </w:t>
      </w:r>
      <w:r w:rsidR="002F61A0">
        <w:t>511-24 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xml:space="preserve">. 2141-2 </w:t>
      </w:r>
      <w:r w:rsidR="002E099D" w:rsidRPr="00C51393">
        <w:rPr>
          <w:i/>
        </w:rPr>
        <w:t xml:space="preserve">ΚΔΥ </w:t>
      </w:r>
      <w:r w:rsidRPr="00C51393">
        <w:rPr>
          <w:i/>
        </w:rPr>
        <w:t>τιμωρείται με ποινή φυλάκισης πέντε (5) ετών και με χρηματική ποινή 75.000 ευρώ</w:t>
      </w:r>
      <w:r w:rsidRPr="00C51393">
        <w:t xml:space="preserve">». </w:t>
      </w:r>
    </w:p>
    <w:p w14:paraId="7C22C75B" w14:textId="4339D7E8" w:rsidR="00C55664" w:rsidRDefault="00C55664" w:rsidP="00730FC1">
      <w:r w:rsidRPr="00C51393">
        <w:t>Η υγεία του υποψήφιου υποβοηθούμενου ζευγαριού συνδέεται άμεσα με την ικανότητα φυσικής</w:t>
      </w:r>
      <w:r>
        <w:t xml:space="preserve"> αναπαραγωγής, συνεπώς και ο έλεγχος της υγείας τους εμπίπτει στις διατάξεις του άρθρου </w:t>
      </w:r>
      <w:r w:rsidRPr="00B132A4">
        <w:rPr>
          <w:lang w:val="fr-FR"/>
        </w:rPr>
        <w:t>L</w:t>
      </w:r>
      <w:r w:rsidRPr="00B132A4">
        <w:t xml:space="preserve">. 2141-2 </w:t>
      </w:r>
      <w:r w:rsidR="002E099D">
        <w:t xml:space="preserve">ΚΔΥ </w:t>
      </w:r>
      <w:r>
        <w:t xml:space="preserve">και την κύρωση που προβλέπει το άρθρο </w:t>
      </w:r>
      <w:r w:rsidR="002F61A0">
        <w:t>511-24 ΠΚ</w:t>
      </w:r>
      <w:r>
        <w:t xml:space="preserve">. </w:t>
      </w:r>
    </w:p>
    <w:p w14:paraId="5D46EB56" w14:textId="77777777" w:rsidR="00C55664" w:rsidRPr="007C071F" w:rsidRDefault="00C51393" w:rsidP="0054586C">
      <w:pPr>
        <w:rPr>
          <w:lang w:val="en-US"/>
        </w:rPr>
      </w:pPr>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πράξεις</w:t>
      </w:r>
      <w:r>
        <w:rPr>
          <w:rStyle w:val="FootnoteReference"/>
        </w:rPr>
        <w:footnoteReference w:id="162"/>
      </w:r>
      <w:r>
        <w:t>.</w:t>
      </w:r>
    </w:p>
    <w:p w14:paraId="04BF370F" w14:textId="77777777" w:rsidR="008878C5" w:rsidRPr="004933B9" w:rsidRDefault="008878C5" w:rsidP="008878C5">
      <w:pPr>
        <w:pStyle w:val="Heading3"/>
      </w:pPr>
      <w:bookmarkStart w:id="90" w:name="_Ref272771990"/>
      <w:bookmarkStart w:id="91" w:name="_Toc275535598"/>
      <w:bookmarkStart w:id="92" w:name="_Toc276574397"/>
      <w:r>
        <w:t>γ</w:t>
      </w:r>
      <w:r w:rsidRPr="004933B9">
        <w:t xml:space="preserve">. </w:t>
      </w:r>
      <w:r>
        <w:t>Ενημέρωση υποψηφίων υποβοηθούμενων προσώπων</w:t>
      </w:r>
      <w:bookmarkEnd w:id="90"/>
      <w:bookmarkEnd w:id="91"/>
      <w:bookmarkEnd w:id="92"/>
      <w:r>
        <w:t xml:space="preserve"> </w:t>
      </w:r>
      <w:bookmarkEnd w:id="85"/>
    </w:p>
    <w:p w14:paraId="36AFF4BF" w14:textId="77777777" w:rsidR="00060163" w:rsidRDefault="00060163" w:rsidP="008878C5">
      <w:r>
        <w:t>Μία από τις γενικές προϋποθέσεις πρόσβασης στην ιατρικά υποβοηθούμενη αναπαραγωγή είναι, όπως έχε</w:t>
      </w:r>
      <w:r w:rsidR="00FD1879">
        <w:t>ι ήδη αναφερθεί, η συναίνεση ή</w:t>
      </w:r>
      <w:r>
        <w:t>, για να είμαστε ακριβείς, η «ενημερωμένη συναίνεση». Για να φτάσουμε όμως στο στάδιο της παρ</w:t>
      </w:r>
      <w:r w:rsidR="009B6051">
        <w:t>οχής συναίνεσης από τους υποψηφί</w:t>
      </w:r>
      <w:r>
        <w:t xml:space="preserve">ους γονείς, αναγκαίο προστάδιο συνιστά η ενημέρωσή τους από </w:t>
      </w:r>
      <w:r w:rsidR="00FD1879">
        <w:t xml:space="preserve">τον ιατρό και την ομάδα του. Η ενημέρωση αυτή καλύπτει το σύνολο των παραμέτρων που αφορούν στην ιατρικά υποβοηθούμενη αναπαραγωγή, όπως, ενδεικτικά, τους πιθανούς κινδύνους για την υγεία του τέκνου που θα γεννηθεί ή της γυναίκας που θα το κυοφορήσει, τις τεχνικές που μπορούν να εφαρμοστούν ή, ακόμη, τα ποσοστά επιτυχίας κάθε μεθόδου, σε συνάρτηση με την ηλικία ή άλλα χαρακτηριστικά του ζευγαριού και παράγοντες που μπορούν </w:t>
      </w:r>
      <w:r w:rsidR="00430A14">
        <w:t xml:space="preserve">ενδεχομένως </w:t>
      </w:r>
      <w:r w:rsidR="00FD1879">
        <w:t xml:space="preserve">να επηρεάσουν </w:t>
      </w:r>
      <w:r w:rsidR="00430A14">
        <w:t>μια μελλοντική</w:t>
      </w:r>
      <w:r w:rsidR="00FD1879">
        <w:t xml:space="preserve"> κύηση. </w:t>
      </w:r>
    </w:p>
    <w:p w14:paraId="174D0301" w14:textId="77777777" w:rsidR="00331590" w:rsidRDefault="004666EA" w:rsidP="00331590">
      <w:r>
        <w:lastRenderedPageBreak/>
        <w:t xml:space="preserve">Στόχος επομένως των συνεντεύξεων μεταξύ της ιατρικής ομάδας και των υποβοηθούμενων προσώπων είναι η διασφάλιση της ποιότητας του αιτήματος του ζευγαριού, ενός αιτήματος ώριμου και συνειδητοποιημένου.  </w:t>
      </w:r>
    </w:p>
    <w:p w14:paraId="09ACEFF2" w14:textId="599F522C" w:rsidR="00655812" w:rsidRDefault="00331590" w:rsidP="00331590">
      <w:pPr>
        <w:rPr>
          <w:rFonts w:eastAsia="Calibri"/>
        </w:rPr>
      </w:pPr>
      <w:r>
        <w:t>Καταρχάς, σημειώνεται ότι το περιεχόμεν</w:t>
      </w:r>
      <w:r w:rsidR="003A008A">
        <w:t>ο της πληροφόρησης των υποβοη</w:t>
      </w:r>
      <w:r>
        <w:t xml:space="preserve">θούμενων προσώπων διαφέρει ανάλογα με τον αν πρόκειται για </w:t>
      </w:r>
      <w:r w:rsidR="003A008A">
        <w:t>ομόλογη («ενδο-συζυγική») αναπαραγωγή (§1) ή για αναπαραγωγή με δωρεά τ</w:t>
      </w:r>
      <w:r w:rsidR="00655812">
        <w:t>ρίτου δότη ή λήψη εμβρύων (§2). Σε περίπτωση που ο ιατρός και η ομάδα του προβούν στη διενέργεια της ιατρικά υποβοηθούμενης αναπαραγωγής χωρίς την αναγκαία ενημέρωση των υποψηφίων υποβοηθούμενων προσώπων, οι έννομες συνέπειες που δημιουργούνται είναι σοβαρές και αφορούν όχι μόνο στο Κέντρο ιατρικά υποβοηθούμενης αναπαραγωγής και τους επαγγελματίες υγείας, αλλά και για τους μελλοντικούς γονείς και το τέκνο που θα γεννηθεί (§3). Τέλος, συμπληρωματικά προς τα δικαιώματα των υποβοηθούμενων προσώπων, επιχειρείται στην παρούσα ενότητα και μία προσέγγιση των δικαιωμάτων των επαγγελματιών υγείας, και δη του θεράποντος ιατρού, ο οποίος, εάν</w:t>
      </w:r>
      <w:r w:rsidR="00655812" w:rsidRPr="004933B9">
        <w:t xml:space="preserve"> θεωρεί ότι δεν πρέπει να υιοθετηθούν μέθοδοι υποβοηθούμενης αναπαραγωγής, </w:t>
      </w:r>
      <w:r w:rsidR="00655812">
        <w:t>διατηρεί το δικαίωμά του</w:t>
      </w:r>
      <w:r w:rsidR="00655812" w:rsidRPr="004933B9">
        <w:t xml:space="preserve"> να αρνηθεί </w:t>
      </w:r>
      <w:r w:rsidR="00655812">
        <w:t>την εφαρμογή της (</w:t>
      </w:r>
      <w:r w:rsidR="00CF3582">
        <w:rPr>
          <w:rFonts w:eastAsia="Calibri"/>
        </w:rPr>
        <w:t>§4</w:t>
      </w:r>
      <w:r w:rsidR="00655812">
        <w:rPr>
          <w:rFonts w:eastAsia="Calibri"/>
        </w:rPr>
        <w:t>)</w:t>
      </w:r>
      <w:r w:rsidR="00CF3582">
        <w:rPr>
          <w:rFonts w:eastAsia="Calibri"/>
        </w:rPr>
        <w:t xml:space="preserve">. </w:t>
      </w:r>
    </w:p>
    <w:p w14:paraId="3BF58BAE" w14:textId="77777777" w:rsidR="00430A14" w:rsidRDefault="00430A14" w:rsidP="00430A14">
      <w:pPr>
        <w:pStyle w:val="Heading4"/>
      </w:pPr>
      <w:bookmarkStart w:id="93" w:name="_Toc276574398"/>
      <w:r>
        <w:t>§1. Περιεχόμενο ενημέρωσης υποψηφίων υποβοηθούμενων προσώπων</w:t>
      </w:r>
      <w:r w:rsidR="001B585E">
        <w:t xml:space="preserve"> σε ενδο</w:t>
      </w:r>
      <w:r w:rsidR="008C6F0A">
        <w:t>-συζυγι</w:t>
      </w:r>
      <w:r w:rsidR="0044585C">
        <w:t>κή αναπαραγωγή</w:t>
      </w:r>
      <w:bookmarkEnd w:id="93"/>
      <w:r w:rsidR="0044585C">
        <w:t xml:space="preserve"> </w:t>
      </w:r>
      <w:r>
        <w:t xml:space="preserve"> </w:t>
      </w:r>
    </w:p>
    <w:p w14:paraId="55FC76C4" w14:textId="77777777" w:rsidR="007C071F" w:rsidRPr="00385AF7" w:rsidRDefault="000723E2" w:rsidP="007C071F">
      <w:pPr>
        <w:rPr>
          <w:rFonts w:eastAsia="Calibri"/>
          <w:lang w:eastAsia="en-US"/>
        </w:rPr>
      </w:pPr>
      <w:r>
        <w:t xml:space="preserve">Ο γάλλος νομοθέτης προβλέπει στο </w:t>
      </w:r>
      <w:r w:rsidRPr="000723E2">
        <w:rPr>
          <w:b/>
        </w:rPr>
        <w:t>ά</w:t>
      </w:r>
      <w:r w:rsidR="007C071F" w:rsidRPr="000723E2">
        <w:rPr>
          <w:rFonts w:eastAsia="Calibri"/>
          <w:b/>
        </w:rPr>
        <w:t>ρθρο</w:t>
      </w:r>
      <w:r w:rsidR="007C071F" w:rsidRPr="000723E2">
        <w:rPr>
          <w:rFonts w:eastAsia="Calibri"/>
          <w:b/>
          <w:lang w:eastAsia="en-US"/>
        </w:rPr>
        <w:t xml:space="preserve"> </w:t>
      </w:r>
      <w:r w:rsidR="007C071F" w:rsidRPr="000723E2">
        <w:rPr>
          <w:rFonts w:eastAsia="Calibri"/>
          <w:b/>
          <w:lang w:val="fr-FR" w:eastAsia="en-US"/>
        </w:rPr>
        <w:t>L</w:t>
      </w:r>
      <w:r w:rsidR="007C071F" w:rsidRPr="000723E2">
        <w:rPr>
          <w:rFonts w:eastAsia="Calibri"/>
          <w:b/>
          <w:lang w:eastAsia="en-US"/>
        </w:rPr>
        <w:t>. 2141-10</w:t>
      </w:r>
      <w:r w:rsidR="006631F4">
        <w:rPr>
          <w:rFonts w:eastAsia="Calibri"/>
          <w:b/>
          <w:lang w:eastAsia="en-US"/>
        </w:rPr>
        <w:t>, παρ. 1 και 2,</w:t>
      </w:r>
      <w:r w:rsidR="007C071F" w:rsidRPr="000723E2">
        <w:rPr>
          <w:rFonts w:eastAsia="Calibri"/>
          <w:b/>
          <w:lang w:eastAsia="en-US"/>
        </w:rPr>
        <w:t xml:space="preserve"> </w:t>
      </w:r>
      <w:r w:rsidR="002E099D">
        <w:rPr>
          <w:rFonts w:eastAsia="Calibri"/>
          <w:b/>
          <w:lang w:eastAsia="en-US"/>
        </w:rPr>
        <w:t xml:space="preserve">ΚΔΥ </w:t>
      </w:r>
      <w:r>
        <w:rPr>
          <w:rFonts w:eastAsia="Calibri"/>
          <w:lang w:eastAsia="en-US"/>
        </w:rPr>
        <w:t>ότι</w:t>
      </w:r>
      <w:r w:rsidR="007C071F">
        <w:rPr>
          <w:rFonts w:eastAsia="Calibri"/>
          <w:lang w:eastAsia="en-US"/>
        </w:rPr>
        <w:t>:</w:t>
      </w:r>
    </w:p>
    <w:p w14:paraId="5165195D" w14:textId="77777777" w:rsidR="007C071F" w:rsidRPr="007C071F" w:rsidRDefault="007C071F" w:rsidP="007C071F">
      <w:pPr>
        <w:rPr>
          <w:i/>
        </w:rPr>
      </w:pPr>
      <w:r>
        <w:t>«</w:t>
      </w:r>
      <w:r w:rsidRPr="007C071F">
        <w:rPr>
          <w:i/>
        </w:rPr>
        <w:t xml:space="preserve">Προγενέστερα της θέσης σε εφαρμογή της ιατρικά υποβοηθούμενης αναπαραγωγής πρέπει να πραγματοποιηθούν </w:t>
      </w:r>
      <w:r w:rsidR="00CC3C21">
        <w:rPr>
          <w:i/>
        </w:rPr>
        <w:t>ειδικές συνεντεύξεις των υποψηφί</w:t>
      </w:r>
      <w:r w:rsidRPr="007C071F">
        <w:rPr>
          <w:i/>
        </w:rPr>
        <w:t xml:space="preserve">ων υποβοηθούμενων προσώπων με τα μέλη της ιατρικής κλινικο-βιολογικής διεπιστημονικής ομάδας, η οποία με τη σειρά της μπορεί να κάνει έκκληση, αν χρειαστεί, στην κοινωνική υπηρεσία που προβλέπεται στον τίτλο </w:t>
      </w:r>
      <w:r w:rsidRPr="007C071F">
        <w:rPr>
          <w:i/>
          <w:lang w:val="fr-FR"/>
        </w:rPr>
        <w:t>VI</w:t>
      </w:r>
      <w:r w:rsidRPr="007C071F">
        <w:rPr>
          <w:i/>
        </w:rPr>
        <w:t xml:space="preserve"> του Κώδικα Οικογένειας και Κοινωνικής Βοήθειας. </w:t>
      </w:r>
    </w:p>
    <w:p w14:paraId="2E8AEEA9" w14:textId="77777777" w:rsidR="007C071F" w:rsidRPr="007C071F" w:rsidRDefault="007C071F" w:rsidP="007C071F">
      <w:pPr>
        <w:rPr>
          <w:i/>
        </w:rPr>
      </w:pPr>
      <w:r w:rsidRPr="007C071F">
        <w:rPr>
          <w:i/>
        </w:rPr>
        <w:t>Τα μέλη της ιατρικής ομάδας οφείλουν ιδίως να:</w:t>
      </w:r>
    </w:p>
    <w:p w14:paraId="22F29620" w14:textId="77777777" w:rsidR="007C071F" w:rsidRPr="007C071F" w:rsidRDefault="007C071F" w:rsidP="007C071F">
      <w:pPr>
        <w:rPr>
          <w:i/>
        </w:rPr>
      </w:pPr>
      <w:r w:rsidRPr="007C071F">
        <w:rPr>
          <w:i/>
        </w:rPr>
        <w:t xml:space="preserve">1. Βεβαιωθούν για τα </w:t>
      </w:r>
      <w:r w:rsidRPr="007C071F">
        <w:rPr>
          <w:b/>
          <w:i/>
        </w:rPr>
        <w:t>κίνητρα</w:t>
      </w:r>
      <w:r w:rsidRPr="007C071F">
        <w:rPr>
          <w:i/>
        </w:rPr>
        <w:t xml:space="preserve"> </w:t>
      </w:r>
      <w:r w:rsidRPr="007C071F">
        <w:rPr>
          <w:b/>
          <w:i/>
        </w:rPr>
        <w:t>του άνδρα και της γυναίκας</w:t>
      </w:r>
      <w:r w:rsidRPr="007C071F">
        <w:rPr>
          <w:i/>
        </w:rPr>
        <w:t xml:space="preserve"> που συνθέτουν το υποψήφιο υποβοηθούμενο ζευγάρι και να τους υπενθυμίσουν τις δυνατότητες που προβλέπονται από το νομοθέτη </w:t>
      </w:r>
      <w:r w:rsidRPr="007C071F">
        <w:rPr>
          <w:b/>
          <w:i/>
        </w:rPr>
        <w:t>σχετικά με την υιοθεσία</w:t>
      </w:r>
      <w:r w:rsidRPr="007C071F">
        <w:rPr>
          <w:i/>
        </w:rPr>
        <w:t xml:space="preserve">. </w:t>
      </w:r>
    </w:p>
    <w:p w14:paraId="4F75FD1A" w14:textId="77777777" w:rsidR="007C071F" w:rsidRPr="007C071F" w:rsidRDefault="007C071F" w:rsidP="007C071F">
      <w:pPr>
        <w:rPr>
          <w:i/>
        </w:rPr>
      </w:pPr>
      <w:r w:rsidRPr="007C071F">
        <w:rPr>
          <w:i/>
        </w:rPr>
        <w:t xml:space="preserve">2. Ενημερώσουν τα υποψήφια υποβοηθούμενα πρόσωπα για τις </w:t>
      </w:r>
      <w:r w:rsidRPr="007C071F">
        <w:rPr>
          <w:b/>
          <w:i/>
        </w:rPr>
        <w:t>πιθανότητες επιτυχίας και αποτυχίας</w:t>
      </w:r>
      <w:r w:rsidRPr="007C071F">
        <w:rPr>
          <w:i/>
        </w:rPr>
        <w:t xml:space="preserve"> των μεθόδων της ιατρικά υποβοηθούμενης αναπαραγωγής, τις παρενέργειες και τους βραχυπρόθεσμους και μακροπρόθεσμους κινδύνους τους, καθώς επίσης και για τις δοκιμασίες και τους περιορισμούς που συνεπάγονται. </w:t>
      </w:r>
    </w:p>
    <w:p w14:paraId="7C7BA01D" w14:textId="77777777" w:rsidR="007C071F" w:rsidRPr="007C071F" w:rsidRDefault="007C071F" w:rsidP="007C071F">
      <w:pPr>
        <w:rPr>
          <w:i/>
        </w:rPr>
      </w:pPr>
      <w:r w:rsidRPr="007C071F">
        <w:rPr>
          <w:i/>
        </w:rPr>
        <w:t>2</w:t>
      </w:r>
      <w:r w:rsidRPr="007C071F">
        <w:rPr>
          <w:i/>
          <w:lang w:val="fr-FR"/>
        </w:rPr>
        <w:t>bis</w:t>
      </w:r>
      <w:r w:rsidRPr="007C071F">
        <w:rPr>
          <w:i/>
        </w:rPr>
        <w:t xml:space="preserve">. Ενημερώσουν τα υποψήφια υποβοηθούμενα πρόσωπα για την αδυναμία πραγματοποίησης μεταφοράς συντηρημένων εμβρύων </w:t>
      </w:r>
      <w:r w:rsidRPr="007C071F">
        <w:rPr>
          <w:b/>
          <w:i/>
        </w:rPr>
        <w:t>σε περίπτωση χωρισμού του ζευγαριού ή θανάτου ενός εκ των δύο.</w:t>
      </w:r>
      <w:r w:rsidRPr="007C071F">
        <w:rPr>
          <w:i/>
        </w:rPr>
        <w:t xml:space="preserve"> </w:t>
      </w:r>
    </w:p>
    <w:p w14:paraId="2DBA784A" w14:textId="77777777" w:rsidR="007C071F" w:rsidRPr="007C071F" w:rsidRDefault="007C071F" w:rsidP="007C071F">
      <w:pPr>
        <w:rPr>
          <w:i/>
        </w:rPr>
      </w:pPr>
      <w:r w:rsidRPr="007C071F">
        <w:rPr>
          <w:i/>
        </w:rPr>
        <w:t xml:space="preserve">3. Δώσουν στο ζευγάρι έναν </w:t>
      </w:r>
      <w:r w:rsidRPr="007C071F">
        <w:rPr>
          <w:b/>
          <w:i/>
        </w:rPr>
        <w:t>ενημερωτικό φάκελο-οδηγό</w:t>
      </w:r>
      <w:r w:rsidRPr="007C071F">
        <w:rPr>
          <w:i/>
        </w:rPr>
        <w:t xml:space="preserve"> που περιέχει ιδίως:</w:t>
      </w:r>
    </w:p>
    <w:p w14:paraId="65A57D2E" w14:textId="77777777" w:rsidR="007C071F" w:rsidRPr="007C071F" w:rsidRDefault="007C071F" w:rsidP="007C071F">
      <w:pPr>
        <w:rPr>
          <w:i/>
        </w:rPr>
      </w:pPr>
      <w:r w:rsidRPr="007C071F">
        <w:rPr>
          <w:i/>
        </w:rPr>
        <w:lastRenderedPageBreak/>
        <w:t xml:space="preserve">α. Υπενθύμιση των </w:t>
      </w:r>
      <w:r w:rsidRPr="007C071F">
        <w:rPr>
          <w:b/>
          <w:i/>
        </w:rPr>
        <w:t>νομοθετικών και κανονιστικών διατάξεων</w:t>
      </w:r>
      <w:r w:rsidRPr="007C071F">
        <w:rPr>
          <w:i/>
        </w:rPr>
        <w:t xml:space="preserve"> σχετικά με την ιατρικά υποβοηθούμενη αναπαραγωγή. </w:t>
      </w:r>
    </w:p>
    <w:p w14:paraId="18C046CC" w14:textId="77777777" w:rsidR="007C071F" w:rsidRPr="007C071F" w:rsidRDefault="007C071F" w:rsidP="007C071F">
      <w:pPr>
        <w:rPr>
          <w:i/>
        </w:rPr>
      </w:pPr>
      <w:r w:rsidRPr="007C071F">
        <w:rPr>
          <w:i/>
        </w:rPr>
        <w:t xml:space="preserve">β. Περιγραφή των </w:t>
      </w:r>
      <w:r w:rsidRPr="007C071F">
        <w:rPr>
          <w:b/>
          <w:i/>
        </w:rPr>
        <w:t xml:space="preserve">μεθόδων </w:t>
      </w:r>
      <w:r w:rsidRPr="007C071F">
        <w:rPr>
          <w:i/>
        </w:rPr>
        <w:t xml:space="preserve">της ιατρικά υποβοηθούμενης αναπαραγωγής. </w:t>
      </w:r>
    </w:p>
    <w:p w14:paraId="2368C7F8" w14:textId="77777777" w:rsidR="007C071F" w:rsidRDefault="008B42BC" w:rsidP="007C071F">
      <w:pPr>
        <w:rPr>
          <w:rFonts w:eastAsia="Calibri"/>
          <w:b/>
          <w:lang w:eastAsia="en-US"/>
        </w:rPr>
      </w:pPr>
      <w:r>
        <w:rPr>
          <w:i/>
        </w:rPr>
        <w:t>γ. Υπενθύμιση του νομοθετικού και κανονιστικού</w:t>
      </w:r>
      <w:r w:rsidR="007C071F" w:rsidRPr="007C071F">
        <w:rPr>
          <w:i/>
        </w:rPr>
        <w:t xml:space="preserve"> </w:t>
      </w:r>
      <w:r>
        <w:rPr>
          <w:b/>
          <w:i/>
        </w:rPr>
        <w:t>πλαισίου</w:t>
      </w:r>
      <w:r w:rsidR="007C071F" w:rsidRPr="007C071F">
        <w:rPr>
          <w:b/>
          <w:i/>
        </w:rPr>
        <w:t xml:space="preserve"> σχετικά με την υιοθεσία</w:t>
      </w:r>
      <w:r w:rsidR="007C071F" w:rsidRPr="007C071F">
        <w:rPr>
          <w:i/>
        </w:rPr>
        <w:t xml:space="preserve">, καθώς επίσης και διευθύνσεις σωματείων και οργανισμών δυνάμενων να </w:t>
      </w:r>
      <w:r>
        <w:rPr>
          <w:i/>
        </w:rPr>
        <w:t>συμπληρώσουν</w:t>
      </w:r>
      <w:r w:rsidR="006631F4">
        <w:rPr>
          <w:i/>
        </w:rPr>
        <w:t xml:space="preserve"> την πληροφόρησή τους σχετικά με το συγκεκριμένο ζήτημα</w:t>
      </w:r>
      <w:r w:rsidR="007C071F">
        <w:t>».</w:t>
      </w:r>
    </w:p>
    <w:p w14:paraId="05CC2FFE" w14:textId="77777777" w:rsidR="006631F4" w:rsidRPr="006631F4" w:rsidRDefault="00812022" w:rsidP="006631F4">
      <w:pPr>
        <w:rPr>
          <w:rFonts w:eastAsia="Calibri"/>
        </w:rPr>
      </w:pPr>
      <w:r>
        <w:rPr>
          <w:rFonts w:eastAsia="Calibri"/>
          <w:lang w:eastAsia="en-US"/>
        </w:rPr>
        <w:t>Παράλληλα, το κεφάλαιο</w:t>
      </w:r>
      <w:r w:rsidR="006631F4">
        <w:rPr>
          <w:rFonts w:eastAsia="Calibri"/>
          <w:lang w:eastAsia="en-US"/>
        </w:rPr>
        <w:t xml:space="preserve"> </w:t>
      </w:r>
      <w:r w:rsidR="006631F4" w:rsidRPr="008D667A">
        <w:rPr>
          <w:rFonts w:eastAsia="Calibri"/>
          <w:b/>
        </w:rPr>
        <w:t xml:space="preserve">ΙΙ. 1 </w:t>
      </w:r>
      <w:r w:rsidR="008D667A" w:rsidRPr="008D667A">
        <w:rPr>
          <w:rFonts w:eastAsia="Calibri"/>
          <w:b/>
        </w:rPr>
        <w:t xml:space="preserve">- </w:t>
      </w:r>
      <w:r w:rsidR="006631F4" w:rsidRPr="00812022">
        <w:rPr>
          <w:rFonts w:eastAsia="Calibri"/>
          <w:b/>
          <w:i/>
        </w:rPr>
        <w:t>Συνεντεύξεις των ενδιαφερόμενων προσώπων με την ιατρική διεπιστημονική ομάδα</w:t>
      </w:r>
      <w:r w:rsidR="006631F4">
        <w:rPr>
          <w:rFonts w:eastAsia="Calibri"/>
        </w:rPr>
        <w:t xml:space="preserve"> του </w:t>
      </w:r>
      <w:r w:rsidR="006631F4" w:rsidRPr="006631F4">
        <w:rPr>
          <w:rFonts w:eastAsia="Calibri"/>
          <w:b/>
        </w:rPr>
        <w:t xml:space="preserve">Οδηγού </w:t>
      </w:r>
      <w:r w:rsidR="006631F4" w:rsidRPr="006631F4">
        <w:rPr>
          <w:rFonts w:eastAsia="Calibri"/>
          <w:b/>
          <w:lang w:eastAsia="en-US"/>
        </w:rPr>
        <w:t xml:space="preserve">καλών κλινικών και βιολογικών πρακτικών </w:t>
      </w:r>
      <w:r w:rsidR="0004076A">
        <w:rPr>
          <w:rFonts w:eastAsia="Calibri"/>
          <w:b/>
          <w:lang w:eastAsia="en-US"/>
        </w:rPr>
        <w:t>στην ιατρικά υποβοηθούμενη αναπαραγωγή</w:t>
      </w:r>
      <w:r w:rsidR="006631F4">
        <w:rPr>
          <w:rFonts w:eastAsia="Calibri"/>
        </w:rPr>
        <w:t xml:space="preserve"> και, ειδικότερα, η υποενότητα </w:t>
      </w:r>
      <w:r w:rsidR="006631F4" w:rsidRPr="006631F4">
        <w:rPr>
          <w:rFonts w:eastAsia="Calibri"/>
          <w:b/>
        </w:rPr>
        <w:t>ΙΙ.1.1</w:t>
      </w:r>
      <w:r>
        <w:rPr>
          <w:rFonts w:eastAsia="Calibri"/>
          <w:b/>
        </w:rPr>
        <w:t xml:space="preserve">, </w:t>
      </w:r>
      <w:r w:rsidR="006631F4" w:rsidRPr="006631F4">
        <w:rPr>
          <w:rFonts w:eastAsia="Calibri"/>
        </w:rPr>
        <w:t>που τιτλοφορείται</w:t>
      </w:r>
      <w:r w:rsidR="006631F4">
        <w:rPr>
          <w:rFonts w:eastAsia="Calibri"/>
          <w:b/>
        </w:rPr>
        <w:t xml:space="preserve"> </w:t>
      </w:r>
      <w:r w:rsidR="006631F4" w:rsidRPr="00812022">
        <w:rPr>
          <w:rFonts w:eastAsia="Calibri"/>
          <w:b/>
          <w:i/>
        </w:rPr>
        <w:t>Πληροφόρηση του ζευγαριού ή των ενδιαφερόμενων προσώπων</w:t>
      </w:r>
      <w:r>
        <w:rPr>
          <w:rFonts w:eastAsia="Calibri"/>
          <w:b/>
        </w:rPr>
        <w:t xml:space="preserve">, </w:t>
      </w:r>
      <w:r w:rsidR="006631F4" w:rsidRPr="006631F4">
        <w:rPr>
          <w:rFonts w:eastAsia="Calibri"/>
        </w:rPr>
        <w:t>ορίζει τα ακόλουθα:</w:t>
      </w:r>
    </w:p>
    <w:p w14:paraId="0559CDE9" w14:textId="77777777" w:rsidR="007C071F" w:rsidRPr="008D667A" w:rsidRDefault="000F5393" w:rsidP="006631F4">
      <w:pPr>
        <w:rPr>
          <w:rFonts w:eastAsia="Calibri"/>
          <w:i/>
        </w:rPr>
      </w:pPr>
      <w:r>
        <w:rPr>
          <w:rFonts w:eastAsia="Calibri"/>
          <w:b/>
        </w:rPr>
        <w:t>«</w:t>
      </w:r>
      <w:r w:rsidR="007C071F" w:rsidRPr="008D667A">
        <w:rPr>
          <w:rFonts w:eastAsia="Calibri"/>
          <w:b/>
          <w:i/>
        </w:rPr>
        <w:t>Η πληροφόρηση</w:t>
      </w:r>
      <w:r w:rsidR="007C071F" w:rsidRPr="008D667A">
        <w:rPr>
          <w:rFonts w:eastAsia="Calibri"/>
          <w:i/>
        </w:rPr>
        <w:t xml:space="preserve"> που παρέχεται κατά τη διάρκεια των συνεντεύξεων στα ενδιαφερόμενα υποβοηθούμενα πρόσωπα είναι </w:t>
      </w:r>
      <w:r w:rsidR="007C071F" w:rsidRPr="008D667A">
        <w:rPr>
          <w:rFonts w:eastAsia="Calibri"/>
          <w:b/>
          <w:i/>
        </w:rPr>
        <w:t>ακριβής, σαφής, κατάλληλη και αφορά σε όλα τα στάδια της διαδικασίας</w:t>
      </w:r>
      <w:r w:rsidR="007C071F" w:rsidRPr="008D667A">
        <w:rPr>
          <w:rFonts w:eastAsia="Calibri"/>
          <w:i/>
        </w:rPr>
        <w:t xml:space="preserve">, προκειμένου να τους επιτρέπει να λαμβάνουν μέρος στη λήψη των σχετικών αποφάσεων. Η διεπιστημονική ομάδα βεβαιώνεται ότι οι πληροφορίες έγιναν κατανοητές, ότι τα υποβοηθούμενα πρόσωπα διατύπωσαν </w:t>
      </w:r>
      <w:r w:rsidR="00812022">
        <w:rPr>
          <w:rFonts w:eastAsia="Calibri"/>
          <w:i/>
        </w:rPr>
        <w:t>τα ερωτήματα που τους δημιουργήθηκαν</w:t>
      </w:r>
      <w:r w:rsidR="007C071F" w:rsidRPr="008D667A">
        <w:rPr>
          <w:rFonts w:eastAsia="Calibri"/>
          <w:i/>
        </w:rPr>
        <w:t xml:space="preserve"> και ότι απέσπασαν απαντήσεις </w:t>
      </w:r>
      <w:r w:rsidR="00875DF5">
        <w:rPr>
          <w:rFonts w:eastAsia="Calibri"/>
          <w:i/>
        </w:rPr>
        <w:t>σε αυτά</w:t>
      </w:r>
      <w:r w:rsidR="007C071F" w:rsidRPr="008D667A">
        <w:rPr>
          <w:rFonts w:eastAsia="Calibri"/>
          <w:i/>
        </w:rPr>
        <w:t xml:space="preserve">. Μπορεί να κληθεί, αν κριθεί αναγκαίο, διερμηνέας. </w:t>
      </w:r>
    </w:p>
    <w:p w14:paraId="613D24AE" w14:textId="77777777" w:rsidR="007C071F" w:rsidRPr="008D667A" w:rsidRDefault="007C071F" w:rsidP="007C071F">
      <w:pPr>
        <w:rPr>
          <w:rFonts w:eastAsia="Calibri"/>
          <w:i/>
        </w:rPr>
      </w:pPr>
      <w:r w:rsidRPr="008D667A">
        <w:rPr>
          <w:rFonts w:eastAsia="Calibri"/>
          <w:i/>
        </w:rPr>
        <w:t xml:space="preserve">Κάθε τεχνική παρουσιάζεται μαζί με τα </w:t>
      </w:r>
      <w:r w:rsidRPr="008D667A">
        <w:rPr>
          <w:rFonts w:eastAsia="Calibri"/>
          <w:b/>
          <w:i/>
        </w:rPr>
        <w:t>ποσοστά επιτυχίας και αποτυχίας της</w:t>
      </w:r>
      <w:r w:rsidRPr="008D667A">
        <w:rPr>
          <w:rFonts w:eastAsia="Calibri"/>
          <w:i/>
        </w:rPr>
        <w:t>, τις δοκιμασίες και τους περιορισμούς που συνεπάγεται, ιδίως σε επίπεδο υλικό, οικο</w:t>
      </w:r>
      <w:r w:rsidR="00331590">
        <w:rPr>
          <w:rFonts w:eastAsia="Calibri"/>
          <w:i/>
        </w:rPr>
        <w:t xml:space="preserve">νομικό ή ψυχολογικό. Εκτίθενται, </w:t>
      </w:r>
      <w:r w:rsidRPr="008D667A">
        <w:rPr>
          <w:rFonts w:eastAsia="Calibri"/>
          <w:i/>
        </w:rPr>
        <w:t>επίσης</w:t>
      </w:r>
      <w:r w:rsidR="00331590">
        <w:rPr>
          <w:rFonts w:eastAsia="Calibri"/>
          <w:i/>
        </w:rPr>
        <w:t>,</w:t>
      </w:r>
      <w:r w:rsidRPr="008D667A">
        <w:rPr>
          <w:rFonts w:eastAsia="Calibri"/>
          <w:i/>
        </w:rPr>
        <w:t xml:space="preserve"> </w:t>
      </w:r>
      <w:r w:rsidRPr="008D667A">
        <w:rPr>
          <w:rFonts w:eastAsia="Calibri"/>
          <w:b/>
          <w:i/>
        </w:rPr>
        <w:t>οι παρενέργειες και οι ενδεχόμενοι, βραχυπρόθεσμοι και μακροπρόθεσμοι, κίνδυνοι</w:t>
      </w:r>
      <w:r w:rsidRPr="008D667A">
        <w:rPr>
          <w:rFonts w:eastAsia="Calibri"/>
          <w:i/>
        </w:rPr>
        <w:t xml:space="preserve">, που σχετίζονται ιδίως με τη διέγερση των ωοθηκών, τους χειρουργικούς χειρισμούς και τις βιολογικές τεχνικές που χρησιμοποιούνται. </w:t>
      </w:r>
    </w:p>
    <w:p w14:paraId="01B51A88" w14:textId="77777777" w:rsidR="007C071F" w:rsidRPr="008D667A" w:rsidRDefault="007C071F" w:rsidP="007C071F">
      <w:pPr>
        <w:rPr>
          <w:rStyle w:val="Hyperlink"/>
          <w:rFonts w:eastAsia="Calibri"/>
          <w:i/>
        </w:rPr>
      </w:pPr>
      <w:r w:rsidRPr="008D667A">
        <w:rPr>
          <w:rFonts w:eastAsia="Calibri"/>
          <w:i/>
        </w:rPr>
        <w:t xml:space="preserve">Στο ζευγάρι παρέχεται επίσης πληροφόρηση σχετικά με τις πιθανότητες επιτυχίας σε επίπεδο γεννήσεων, τον κίνδυνο πολλαπλών κυήσεων με πιθανές επιπλοκές και την τεχνογνωσία αναφορικά με την υγεία των τέκνων που γεννιούνται με ιατρικά υποβοηθούμενη αναπαραγωγή. Το ενδεχόμενο διακοπής της παρακολούθησης συζητείται εξαρχής. </w:t>
      </w:r>
    </w:p>
    <w:p w14:paraId="1BC7756D" w14:textId="77777777" w:rsidR="007C071F" w:rsidRPr="008D667A" w:rsidRDefault="00331590" w:rsidP="007C071F">
      <w:pPr>
        <w:rPr>
          <w:i/>
        </w:rPr>
      </w:pPr>
      <w:r>
        <w:rPr>
          <w:i/>
        </w:rPr>
        <w:t xml:space="preserve">Η πληροφόρηση αφορά, επίσης, </w:t>
      </w:r>
      <w:r w:rsidR="007C071F" w:rsidRPr="008D667A">
        <w:rPr>
          <w:i/>
        </w:rPr>
        <w:t xml:space="preserve">στη </w:t>
      </w:r>
      <w:r w:rsidR="007C071F" w:rsidRPr="008D667A">
        <w:rPr>
          <w:b/>
          <w:i/>
        </w:rPr>
        <w:t>νομική υποχρέωση του Οργανισμού Βιοϊατρικής να αξιολογήσει τις ενδεχόμενες επιπτώσεις</w:t>
      </w:r>
      <w:r w:rsidR="007C071F" w:rsidRPr="008D667A">
        <w:rPr>
          <w:i/>
        </w:rPr>
        <w:t xml:space="preserve"> της ιατρικά υποβοηθούμενης αναπαραγωγής  στην υγεία των υποβοηθούμενων προσώπων και τα παιδιά που θα γεννηθούν από την εφαρμογή μεθόδων ιατρικά υποβοηθούμενης αναπαραγωγής. Ο ιατρός ενθαρρύνει το ζευγάρι να συμμετάσχει σε </w:t>
      </w:r>
      <w:r w:rsidR="007C071F" w:rsidRPr="008D667A">
        <w:rPr>
          <w:b/>
          <w:i/>
        </w:rPr>
        <w:t>επιδημιολογικές έρευνες</w:t>
      </w:r>
      <w:r w:rsidR="007C071F" w:rsidRPr="008D667A">
        <w:rPr>
          <w:i/>
        </w:rPr>
        <w:t xml:space="preserve"> που ενδεχομένως του προταθούν. </w:t>
      </w:r>
    </w:p>
    <w:p w14:paraId="4DF09BE8" w14:textId="77777777" w:rsidR="007C071F" w:rsidRPr="008D667A" w:rsidRDefault="007C071F" w:rsidP="007C071F">
      <w:pPr>
        <w:rPr>
          <w:b/>
          <w:i/>
        </w:rPr>
      </w:pPr>
      <w:r w:rsidRPr="008D667A">
        <w:rPr>
          <w:i/>
        </w:rPr>
        <w:t xml:space="preserve">Το ζευγάρι ενημερώνεται σχετικά με το ενδεχόμενο να συλλάβει </w:t>
      </w:r>
      <w:r w:rsidR="00560F64">
        <w:rPr>
          <w:i/>
        </w:rPr>
        <w:t>με φυσικό τρόπο</w:t>
      </w:r>
      <w:r w:rsidRPr="008D667A">
        <w:rPr>
          <w:i/>
        </w:rPr>
        <w:t xml:space="preserve"> ή, ενδεχομένως, κατόπιν εγχείρησης στις σάλπιγγες ή το ουροποιογεννητικό σύστημα του άνδρα. </w:t>
      </w:r>
      <w:r w:rsidRPr="008D667A">
        <w:rPr>
          <w:b/>
          <w:i/>
        </w:rPr>
        <w:t xml:space="preserve">Παρέχονται ακόμη πληροφορίες σχετικά με την υιοθεσία. </w:t>
      </w:r>
    </w:p>
    <w:p w14:paraId="229A04CD" w14:textId="77777777" w:rsidR="007C071F" w:rsidRDefault="007C071F" w:rsidP="007C071F">
      <w:r w:rsidRPr="008D667A">
        <w:rPr>
          <w:i/>
        </w:rPr>
        <w:t xml:space="preserve">Η πληροφόρηση ολοκληρώνεται με την παροχή ενός </w:t>
      </w:r>
      <w:r w:rsidRPr="008D667A">
        <w:rPr>
          <w:b/>
          <w:i/>
        </w:rPr>
        <w:t>ενημερωτικού φακέλου-οδηγού</w:t>
      </w:r>
      <w:r w:rsidR="000F5393">
        <w:rPr>
          <w:b/>
        </w:rPr>
        <w:t>»</w:t>
      </w:r>
      <w:r>
        <w:t xml:space="preserve">. </w:t>
      </w:r>
    </w:p>
    <w:p w14:paraId="09B6E712" w14:textId="77777777" w:rsidR="0044585C" w:rsidRDefault="0044585C" w:rsidP="0044585C">
      <w:pPr>
        <w:pStyle w:val="Heading4"/>
      </w:pPr>
      <w:bookmarkStart w:id="94" w:name="_Toc276574399"/>
      <w:r>
        <w:lastRenderedPageBreak/>
        <w:t>§2. Περιεχόμενο ενημέρωσης υποψηφίων υποβοηθούμενων προσώπων σε ανα</w:t>
      </w:r>
      <w:r w:rsidR="007C07CD">
        <w:t xml:space="preserve">παραγωγή με </w:t>
      </w:r>
      <w:r w:rsidR="001C4F0C">
        <w:t>τρίτο</w:t>
      </w:r>
      <w:r w:rsidR="007C07CD">
        <w:t xml:space="preserve"> δότη ή λήψη εμβρύων</w:t>
      </w:r>
      <w:bookmarkEnd w:id="94"/>
      <w:r w:rsidR="007C07CD">
        <w:t xml:space="preserve"> </w:t>
      </w:r>
    </w:p>
    <w:p w14:paraId="48CB52AA" w14:textId="77777777" w:rsidR="007C071F" w:rsidRDefault="0090570E" w:rsidP="00D14C9C">
      <w:pPr>
        <w:rPr>
          <w:b/>
        </w:rPr>
      </w:pPr>
      <w:r>
        <w:t xml:space="preserve">Σε περίπτωση ιατρικά υποβοηθούμενης αναπαραγωγής με </w:t>
      </w:r>
      <w:r w:rsidR="001C4F0C">
        <w:t>τρίτο</w:t>
      </w:r>
      <w:r>
        <w:t xml:space="preserve"> δότη, η ενημέρωση των υποψηφίων δεν περιορίζεται μόνο στην πληροφόρηση που παρέχει ο ιατρός και η ομάδα του.</w:t>
      </w:r>
      <w:r w:rsidRPr="0090570E">
        <w:rPr>
          <w:b/>
        </w:rPr>
        <w:t xml:space="preserve"> </w:t>
      </w:r>
      <w:r w:rsidRPr="00115A5B">
        <w:rPr>
          <w:b/>
        </w:rPr>
        <w:t xml:space="preserve">Ειδικότερα, σε ότι αφορά </w:t>
      </w:r>
      <w:r w:rsidR="00331590">
        <w:rPr>
          <w:b/>
        </w:rPr>
        <w:t>σ</w:t>
      </w:r>
      <w:r>
        <w:rPr>
          <w:b/>
        </w:rPr>
        <w:t>την ιατρικά υποβοηθούμενη αναπαραγωγή</w:t>
      </w:r>
      <w:r w:rsidRPr="00115A5B">
        <w:rPr>
          <w:b/>
        </w:rPr>
        <w:t xml:space="preserve"> με τρίτο δ</w:t>
      </w:r>
      <w:r>
        <w:rPr>
          <w:b/>
        </w:rPr>
        <w:t>ότη</w:t>
      </w:r>
      <w:r w:rsidRPr="00AC4720">
        <w:t>, η ενημέρωση που λαμβάνει το υπ</w:t>
      </w:r>
      <w:r w:rsidR="00331590">
        <w:t>οβοηθούμενο ζευγάρι αφορά και στις</w:t>
      </w:r>
      <w:r w:rsidRPr="00AC4720">
        <w:t xml:space="preserve"> νομικές πτυχές </w:t>
      </w:r>
      <w:r>
        <w:t>της ιατρικά υποβοηθούμενης αναπαραγωγής.</w:t>
      </w:r>
      <w:r w:rsidR="00D14C9C">
        <w:t xml:space="preserve"> Πιο συγκεκριμένα, δυνάμει των διατάξεων του άρθρου </w:t>
      </w:r>
      <w:r>
        <w:rPr>
          <w:rFonts w:eastAsia="Calibri"/>
          <w:lang w:val="en-US" w:eastAsia="en-US"/>
        </w:rPr>
        <w:t xml:space="preserve">L. 2141-10, </w:t>
      </w:r>
      <w:r w:rsidR="00D14C9C">
        <w:rPr>
          <w:rFonts w:eastAsia="Calibri"/>
          <w:lang w:eastAsia="en-US"/>
        </w:rPr>
        <w:t>παρ. 7</w:t>
      </w:r>
      <w:r>
        <w:rPr>
          <w:rFonts w:eastAsia="Calibri"/>
          <w:lang w:eastAsia="en-US"/>
        </w:rPr>
        <w:t xml:space="preserve">, </w:t>
      </w:r>
      <w:r w:rsidR="005A1087">
        <w:rPr>
          <w:rFonts w:eastAsia="Calibri"/>
          <w:lang w:eastAsia="en-US"/>
        </w:rPr>
        <w:t>ΚΔΥ</w:t>
      </w:r>
      <w:r w:rsidR="00D14C9C">
        <w:rPr>
          <w:rFonts w:eastAsia="Calibri"/>
          <w:lang w:eastAsia="en-US"/>
        </w:rPr>
        <w:t>, «</w:t>
      </w:r>
      <w:r w:rsidR="00D14C9C" w:rsidRPr="00D14C9C">
        <w:rPr>
          <w:rFonts w:eastAsia="Calibri"/>
          <w:i/>
          <w:lang w:eastAsia="en-US"/>
        </w:rPr>
        <w:t>οι σύζυγοι, οι σύντροφοι που έχουν συνάψει αστικό σύμφωνο αλληλεγγύης (</w:t>
      </w:r>
      <w:r w:rsidR="00D14C9C" w:rsidRPr="00D14C9C">
        <w:rPr>
          <w:rFonts w:eastAsia="Calibri"/>
          <w:i/>
          <w:lang w:val="en-US" w:eastAsia="en-US"/>
        </w:rPr>
        <w:t>PACS</w:t>
      </w:r>
      <w:r w:rsidR="00D14C9C" w:rsidRPr="00D14C9C">
        <w:rPr>
          <w:rFonts w:eastAsia="Calibri"/>
          <w:i/>
          <w:lang w:eastAsia="en-US"/>
        </w:rPr>
        <w:t xml:space="preserve">) </w:t>
      </w:r>
      <w:r w:rsidR="00D21637">
        <w:rPr>
          <w:rFonts w:eastAsia="Calibri"/>
          <w:i/>
          <w:lang w:eastAsia="en-US"/>
        </w:rPr>
        <w:t>ή όσοι συζούν σε ελεύθερη ένωση</w:t>
      </w:r>
      <w:r w:rsidR="00D14C9C" w:rsidRPr="00D14C9C">
        <w:rPr>
          <w:rFonts w:eastAsia="Calibri"/>
          <w:i/>
          <w:lang w:eastAsia="en-US"/>
        </w:rPr>
        <w:t xml:space="preserve"> και χρειάζεται να προσφύγουν σε μεθόδους ιατρικά υποβοηθούμενης αναπαραγωγής με </w:t>
      </w:r>
      <w:r w:rsidR="001C4F0C">
        <w:rPr>
          <w:rFonts w:eastAsia="Calibri"/>
          <w:i/>
          <w:lang w:eastAsia="en-US"/>
        </w:rPr>
        <w:t>τρίτο</w:t>
      </w:r>
      <w:r w:rsidR="00D14C9C" w:rsidRPr="00D14C9C">
        <w:rPr>
          <w:rFonts w:eastAsia="Calibri"/>
          <w:i/>
          <w:lang w:eastAsia="en-US"/>
        </w:rPr>
        <w:t xml:space="preserve"> δότη προκειμένου να τεκνοποιήσουν, υποχρεούνται να παράσχουν τη συναίνεσή τους, υπό τις προβλεπόμενες από τον Αστικό Κώδικα προϋποθέσεις, σε δικαστή ή σε συμβολαιογράφο</w:t>
      </w:r>
      <w:r w:rsidR="00D14C9C">
        <w:rPr>
          <w:rFonts w:eastAsia="Calibri"/>
          <w:lang w:eastAsia="en-US"/>
        </w:rPr>
        <w:t xml:space="preserve">». Την ίδια πρόβλεψη για την παροχή συναίνεσης σε δικαστή ή συμβολαιογράφο περιλαμβάνει και ο Αστικός Κώδικας, ο οποίος στο άρθρο </w:t>
      </w:r>
      <w:r w:rsidR="00D14C9C">
        <w:t>311-20, παρ. 1, ΑΚ ορίζει ότι «</w:t>
      </w:r>
      <w:r w:rsidR="00D14C9C" w:rsidRPr="00D14C9C">
        <w:rPr>
          <w:i/>
        </w:rPr>
        <w:t>ο</w:t>
      </w:r>
      <w:r w:rsidR="007C071F" w:rsidRPr="00D14C9C">
        <w:rPr>
          <w:i/>
        </w:rPr>
        <w:t>ι</w:t>
      </w:r>
      <w:r w:rsidR="007C071F" w:rsidRPr="0094242E">
        <w:rPr>
          <w:i/>
        </w:rPr>
        <w:t xml:space="preserve"> σύζυγοι ή οι σύντροφοι οι οποίοι, προκειμένου να τεκνοποιήσουν, καταφεύγουν σε ιατρική υποβοήθηση με παρέμβαση τρίτου δότη, </w:t>
      </w:r>
      <w:r w:rsidR="00D63755" w:rsidRPr="0094242E">
        <w:rPr>
          <w:i/>
        </w:rPr>
        <w:t>οφείλουν να παρέχουν</w:t>
      </w:r>
      <w:r w:rsidR="00D63755" w:rsidRPr="00D63755">
        <w:rPr>
          <w:i/>
        </w:rPr>
        <w:t xml:space="preserve"> </w:t>
      </w:r>
      <w:r w:rsidR="00D63755" w:rsidRPr="0094242E">
        <w:rPr>
          <w:i/>
        </w:rPr>
        <w:t>τη συναίνεσή τους</w:t>
      </w:r>
      <w:r w:rsidR="00D63755" w:rsidRPr="00D63755">
        <w:rPr>
          <w:i/>
        </w:rPr>
        <w:t xml:space="preserve"> </w:t>
      </w:r>
      <w:r w:rsidR="00D63755" w:rsidRPr="0094242E">
        <w:rPr>
          <w:i/>
        </w:rPr>
        <w:t>προγενέστερα</w:t>
      </w:r>
      <w:r w:rsidR="007C071F" w:rsidRPr="0094242E">
        <w:rPr>
          <w:i/>
        </w:rPr>
        <w:t xml:space="preserve">, υπό συνθήκες που εγγυώνται τη μυστικότητα, σε δικαστή ή συμβολαιογράφο, </w:t>
      </w:r>
      <w:r w:rsidR="007C071F" w:rsidRPr="0094242E">
        <w:rPr>
          <w:b/>
          <w:i/>
        </w:rPr>
        <w:t>οι οποίοι τους ενημερώνουν για την πράξη τους σε σχέση με τις σχέσεις συγγένειας που θα δημιουργηθούν</w:t>
      </w:r>
      <w:r w:rsidR="007C071F" w:rsidRPr="00CE67D5">
        <w:rPr>
          <w:b/>
        </w:rPr>
        <w:t xml:space="preserve">». </w:t>
      </w:r>
    </w:p>
    <w:p w14:paraId="3B2F1548" w14:textId="77777777" w:rsidR="007C071F" w:rsidRPr="00AC4720" w:rsidRDefault="002247A7" w:rsidP="0094242E">
      <w:r>
        <w:t>Στις περ</w:t>
      </w:r>
      <w:r w:rsidR="00331590">
        <w:t xml:space="preserve">ιπτώσεις, </w:t>
      </w:r>
      <w:r>
        <w:t>λοιπόν</w:t>
      </w:r>
      <w:r w:rsidR="00331590">
        <w:t>,</w:t>
      </w:r>
      <w:r>
        <w:t xml:space="preserve"> κατά τις οποίες η συναίνεση παρέχεται ενώπιον των λειτουργών αυτών, ο νομοθέτης προβλέπει συμπληρωματική ενημέρωση του υποψηφίου υποβοηθούμενου ζευγαριού από το δικαστή ή το συμβολαιογράφο σχετικά με τις νομικές πτυχές της ιατρικά υποβοηθούμενης αναπαραγωγής. Ειδικότερα, όπως ορίζει το ά</w:t>
      </w:r>
      <w:r w:rsidR="007C071F" w:rsidRPr="00AC4720">
        <w:t>ρθρο 1157-3 ΚΠολΔ:</w:t>
      </w:r>
    </w:p>
    <w:p w14:paraId="1850369D" w14:textId="77777777" w:rsidR="007C071F" w:rsidRPr="0094242E" w:rsidRDefault="007C071F" w:rsidP="0094242E">
      <w:pPr>
        <w:rPr>
          <w:i/>
        </w:rPr>
      </w:pPr>
      <w:r w:rsidRPr="00DC7733">
        <w:t>«</w:t>
      </w:r>
      <w:r w:rsidRPr="0094242E">
        <w:rPr>
          <w:i/>
        </w:rPr>
        <w:t>Προτού λάβει τη συναίνεσή τους, ο δικαστής ή ο συμβολαιογράφος ενημερώνει εκείνους που πρόκειται να την παράσχουν σχετικά με:</w:t>
      </w:r>
    </w:p>
    <w:p w14:paraId="584BD523" w14:textId="77777777" w:rsidR="0094242E" w:rsidRPr="0094242E" w:rsidRDefault="007C071F" w:rsidP="00E5410F">
      <w:pPr>
        <w:numPr>
          <w:ilvl w:val="0"/>
          <w:numId w:val="14"/>
        </w:numPr>
        <w:tabs>
          <w:tab w:val="left" w:pos="567"/>
        </w:tabs>
        <w:ind w:left="0" w:firstLine="0"/>
        <w:rPr>
          <w:i/>
        </w:rPr>
      </w:pPr>
      <w:r w:rsidRPr="0094242E">
        <w:rPr>
          <w:i/>
        </w:rPr>
        <w:t xml:space="preserve">την αδυναμία να ιδρυθεί οιαδήποτε νομική σχέση μεταξύ του τέκνου που γεννιέται με ιατρικά υποβοηθούμενη αναπαραγωγή και του προσώπου που κάνει δωρεά γεννητικού υλικού, καθώς επίσης και για την αδυναμία να στραφούν νομικά εναντίον του. </w:t>
      </w:r>
    </w:p>
    <w:p w14:paraId="703C9114" w14:textId="77777777" w:rsidR="0094242E" w:rsidRPr="0094242E" w:rsidRDefault="007C071F" w:rsidP="00E5410F">
      <w:pPr>
        <w:numPr>
          <w:ilvl w:val="0"/>
          <w:numId w:val="14"/>
        </w:numPr>
        <w:tabs>
          <w:tab w:val="left" w:pos="567"/>
        </w:tabs>
        <w:ind w:left="0" w:firstLine="0"/>
        <w:rPr>
          <w:i/>
        </w:rPr>
      </w:pPr>
      <w:r w:rsidRPr="0094242E">
        <w:rPr>
          <w:i/>
        </w:rPr>
        <w:t>την απαγόρευση να καταθέσουν αγωγή με σκοπό την ίδρυση ή την αμφισβήτηση της πατρότητας στο όνομα του τέκνου, εκτός κι αν υποστηριχθεί ότι το τέκνο δε γεννήθηκε με ιατρικά υποβοηθούμενη αναπαραγωγή ή ότι η συναίνεση δεν είχε νομική ισχύ.</w:t>
      </w:r>
    </w:p>
    <w:p w14:paraId="5E96A5A6" w14:textId="77777777" w:rsidR="0094242E" w:rsidRPr="0094242E" w:rsidRDefault="007C071F" w:rsidP="00E5410F">
      <w:pPr>
        <w:numPr>
          <w:ilvl w:val="0"/>
          <w:numId w:val="14"/>
        </w:numPr>
        <w:tabs>
          <w:tab w:val="left" w:pos="567"/>
        </w:tabs>
        <w:ind w:left="0" w:firstLine="0"/>
        <w:rPr>
          <w:i/>
        </w:rPr>
      </w:pPr>
      <w:r w:rsidRPr="0094242E">
        <w:rPr>
          <w:i/>
        </w:rPr>
        <w:t>τις περιπτώσεις κατά τις οποίες η συναίνεση δεν έχει νομική ισχύ.</w:t>
      </w:r>
    </w:p>
    <w:p w14:paraId="545DB509" w14:textId="77777777" w:rsidR="007C071F" w:rsidRPr="0094242E" w:rsidRDefault="007C071F" w:rsidP="00E5410F">
      <w:pPr>
        <w:numPr>
          <w:ilvl w:val="0"/>
          <w:numId w:val="14"/>
        </w:numPr>
        <w:tabs>
          <w:tab w:val="left" w:pos="567"/>
        </w:tabs>
        <w:ind w:left="0" w:firstLine="0"/>
        <w:rPr>
          <w:i/>
        </w:rPr>
      </w:pPr>
      <w:r w:rsidRPr="0094242E">
        <w:rPr>
          <w:i/>
        </w:rPr>
        <w:t>την πιθανότητα δικαστικής αναγνώρισης της πατρότητας εκτός γάμου εκείνου, ο οποίος, αφού συναίνεσε στην ιατρικά υποβοηθούμενη αναπαραγωγή, δεν αναγνωρίζει το τέκνο που γεννήθηκε με ιατρικά υποβοηθούμενη αναπαραγωγή και τη δυνατότητα κατάθεσης εναντίον του αγωγής για αδικοπρακτική ευθύνη.</w:t>
      </w:r>
    </w:p>
    <w:p w14:paraId="29F6EB0B" w14:textId="77777777" w:rsidR="007C071F" w:rsidRDefault="007C071F" w:rsidP="0094242E">
      <w:r w:rsidRPr="0094242E">
        <w:rPr>
          <w:i/>
        </w:rPr>
        <w:lastRenderedPageBreak/>
        <w:t>Η πράξη του άρθρου 1157-2 [συναίνεση που παρέχουν τα υποβοηθούμενα πρόσωπα στο δικαστή ή το συμβολαιογράφο] αναφέρει ότι η πληροφόρηση αυτή έλαβε χώρα</w:t>
      </w:r>
      <w:r w:rsidRPr="00DC7733">
        <w:t>».</w:t>
      </w:r>
    </w:p>
    <w:p w14:paraId="00A3D77F" w14:textId="77777777" w:rsidR="006C703F" w:rsidRDefault="006C703F" w:rsidP="00B7487C">
      <w:r>
        <w:t xml:space="preserve">Την ίδια υποχρέωση ενημέρωσης του υποβοηθούμενης ζευγαριού φέρει ο δικαστής και στην περίπτωση της διάταξης του άρθρου </w:t>
      </w:r>
      <w:r>
        <w:rPr>
          <w:lang w:val="en-US"/>
        </w:rPr>
        <w:t xml:space="preserve">L. 2141-6, </w:t>
      </w:r>
      <w:r>
        <w:t xml:space="preserve">παρ. 2, </w:t>
      </w:r>
      <w:r w:rsidR="005A1087">
        <w:t>ΚΔΥ</w:t>
      </w:r>
      <w:r>
        <w:t>, η οποία προβλέπει την παροχή συναίνεσης ενώπιον δικαστή όταν η ιατρική υποβοήθηση στην αναπαραγωγή συνίσταται στη λήψη εμβρύων</w:t>
      </w:r>
      <w:r>
        <w:rPr>
          <w:rStyle w:val="FootnoteReference"/>
        </w:rPr>
        <w:footnoteReference w:id="163"/>
      </w:r>
      <w:r>
        <w:t xml:space="preserve">. </w:t>
      </w:r>
    </w:p>
    <w:p w14:paraId="288ED617" w14:textId="77777777" w:rsidR="007C071F" w:rsidRDefault="00430A14" w:rsidP="00430A14">
      <w:pPr>
        <w:pStyle w:val="Heading4"/>
      </w:pPr>
      <w:bookmarkStart w:id="95" w:name="_Toc276574400"/>
      <w:r>
        <w:t>§</w:t>
      </w:r>
      <w:r w:rsidR="0044585C">
        <w:t>3</w:t>
      </w:r>
      <w:r>
        <w:t>. Συνέπειες μη συμμόρφωσης με την υποχρέωση ενημέρωσης</w:t>
      </w:r>
      <w:bookmarkEnd w:id="95"/>
    </w:p>
    <w:p w14:paraId="0AB7F79E" w14:textId="77777777" w:rsidR="008878C5" w:rsidRDefault="00F21166" w:rsidP="008878C5">
      <w:r>
        <w:t>Σε περίπτωση που, κατά παράβαση των ανωτέρω προβλεπόμενων διατάξεων, ο ιατρός και η ομάδα του δεν προβούν στην αναγκαία ενημέρωση των</w:t>
      </w:r>
      <w:r w:rsidR="00CC3C21">
        <w:t xml:space="preserve"> υποψηφί</w:t>
      </w:r>
      <w:r>
        <w:t>ων υποβοηθούμενων προσώπων, έννομες συνέπειες μπορεί να υπάρξουν όχι μόνο για το Κέντρο ιατρικά υποβοηθούμενης αναπαραγωγής και τους επαγγελματίες υγείας</w:t>
      </w:r>
      <w:r w:rsidR="0066633A">
        <w:t xml:space="preserve"> (</w:t>
      </w:r>
      <w:r w:rsidR="003B3C71">
        <w:t>i)</w:t>
      </w:r>
      <w:r>
        <w:t>, αλλά και για τους μελλοντικούς γονείς και το τέκνο που θα γεννηθεί</w:t>
      </w:r>
      <w:r w:rsidR="0066633A">
        <w:t xml:space="preserve"> (ii</w:t>
      </w:r>
      <w:r w:rsidR="003B3C71">
        <w:t>)</w:t>
      </w:r>
      <w:r>
        <w:t xml:space="preserve">. </w:t>
      </w:r>
    </w:p>
    <w:p w14:paraId="4EA31D69" w14:textId="77777777" w:rsidR="003B3C71" w:rsidRDefault="0034060A" w:rsidP="0034060A">
      <w:pPr>
        <w:pStyle w:val="Heading5"/>
      </w:pPr>
      <w:r>
        <w:rPr>
          <w:lang w:val="en-US"/>
        </w:rPr>
        <w:t xml:space="preserve">i. </w:t>
      </w:r>
      <w:r w:rsidR="003B3C71" w:rsidRPr="003B3C71">
        <w:t>Έννομες συνέπειες έναντι του Κέντρου ιατρ</w:t>
      </w:r>
      <w:r w:rsidR="004D5CDF">
        <w:t>ικά υποβοηθούμενης αναπαραγωγής, του ιατρού και της διεπιστημονικής του ομάδας</w:t>
      </w:r>
    </w:p>
    <w:p w14:paraId="62AC1F65" w14:textId="77777777" w:rsidR="003B3C71" w:rsidRPr="00D64E6D" w:rsidRDefault="003B3C71" w:rsidP="003B3C71">
      <w:pPr>
        <w:rPr>
          <w:rFonts w:eastAsia="Calibri"/>
          <w:lang w:eastAsia="en-US"/>
        </w:rPr>
      </w:pPr>
      <w:r>
        <w:rPr>
          <w:rFonts w:eastAsia="Calibri"/>
          <w:lang w:eastAsia="en-US"/>
        </w:rPr>
        <w:t>Δεδομένου ότι</w:t>
      </w:r>
      <w:r w:rsidRPr="008057CD">
        <w:rPr>
          <w:rFonts w:eastAsia="Calibri"/>
          <w:lang w:eastAsia="en-US"/>
        </w:rPr>
        <w:t xml:space="preserve"> η ενημέρωση </w:t>
      </w:r>
      <w:r>
        <w:rPr>
          <w:rFonts w:eastAsia="Calibri"/>
          <w:lang w:eastAsia="en-US"/>
        </w:rPr>
        <w:t>που παρέχει η ιατρική ομάδα του κέντρου ιατρικά υποβοηθούμενης αναπαραγωγής αποτελεί θεμελιώδες προαπαιτούμενο της</w:t>
      </w:r>
      <w:r w:rsidRPr="008057CD">
        <w:rPr>
          <w:rFonts w:eastAsia="Calibri"/>
          <w:lang w:eastAsia="en-US"/>
        </w:rPr>
        <w:t xml:space="preserve"> υποχρέωσης </w:t>
      </w:r>
      <w:r>
        <w:rPr>
          <w:rFonts w:eastAsia="Calibri"/>
          <w:lang w:eastAsia="en-US"/>
        </w:rPr>
        <w:t xml:space="preserve">λήψης της </w:t>
      </w:r>
      <w:r w:rsidRPr="008057CD">
        <w:rPr>
          <w:rFonts w:eastAsia="Calibri"/>
          <w:lang w:eastAsia="en-US"/>
        </w:rPr>
        <w:t>συναίνεσης</w:t>
      </w:r>
      <w:r>
        <w:rPr>
          <w:rFonts w:eastAsia="Calibri"/>
          <w:lang w:eastAsia="en-US"/>
        </w:rPr>
        <w:t xml:space="preserve"> του μελλοντικού ζευγαριού</w:t>
      </w:r>
      <w:r w:rsidRPr="008057CD">
        <w:rPr>
          <w:rFonts w:eastAsia="Calibri"/>
          <w:lang w:eastAsia="en-US"/>
        </w:rPr>
        <w:t xml:space="preserve">, </w:t>
      </w:r>
      <w:r w:rsidR="00D64E6D">
        <w:rPr>
          <w:rFonts w:eastAsia="Calibri"/>
          <w:lang w:eastAsia="en-US"/>
        </w:rPr>
        <w:t>σε περίπτωση παραβία</w:t>
      </w:r>
      <w:r>
        <w:rPr>
          <w:rFonts w:eastAsia="Calibri"/>
          <w:lang w:eastAsia="en-US"/>
        </w:rPr>
        <w:t xml:space="preserve">σης των διατάξεων περί πληροφόρησης, </w:t>
      </w:r>
      <w:r w:rsidRPr="00D64E6D">
        <w:rPr>
          <w:rFonts w:eastAsia="Calibri"/>
          <w:lang w:eastAsia="en-US"/>
        </w:rPr>
        <w:t>εφαρμογή έχουν οι διατάξεις περί παραβίασης της υποχρέωσης συναίνεσης</w:t>
      </w:r>
      <w:r w:rsidRPr="00D64E6D">
        <w:rPr>
          <w:rStyle w:val="FootnoteReference"/>
          <w:rFonts w:eastAsia="Calibri"/>
          <w:lang w:eastAsia="en-US"/>
        </w:rPr>
        <w:footnoteReference w:id="164"/>
      </w:r>
      <w:r w:rsidR="00EB600B" w:rsidRPr="00D64E6D">
        <w:rPr>
          <w:rFonts w:eastAsia="Calibri"/>
          <w:lang w:eastAsia="en-US"/>
        </w:rPr>
        <w:t xml:space="preserve">. </w:t>
      </w:r>
    </w:p>
    <w:p w14:paraId="003D4A8D" w14:textId="77777777" w:rsidR="003B3C71" w:rsidRPr="00D64E6D" w:rsidRDefault="00C34A79" w:rsidP="004C48A1">
      <w:pPr>
        <w:pStyle w:val="Heading6"/>
      </w:pPr>
      <w:bookmarkStart w:id="96" w:name="Διοικητική_5"/>
      <w:r>
        <w:t>Σ</w:t>
      </w:r>
      <w:r w:rsidR="003B3C71" w:rsidRPr="00D64E6D">
        <w:t xml:space="preserve">υνέπειες διοικητικής φύσης: </w:t>
      </w:r>
    </w:p>
    <w:p w14:paraId="4A61A311" w14:textId="1072101E" w:rsidR="00EB600B" w:rsidRPr="00D64E6D" w:rsidRDefault="00E01E4E" w:rsidP="00D64E6D">
      <w:pPr>
        <w:rPr>
          <w:highlight w:val="lightGray"/>
        </w:rPr>
      </w:pPr>
      <w:bookmarkStart w:id="97" w:name="Αστική_1"/>
      <w:bookmarkEnd w:id="96"/>
      <w:r w:rsidRPr="00EE4056">
        <w:t>Όπως έχει ήδη σημειωθεί</w:t>
      </w:r>
      <w:r>
        <w:t xml:space="preserve"> κατ’ επανάληψη πιο πάνω</w:t>
      </w:r>
      <w:r>
        <w:rPr>
          <w:rStyle w:val="FootnoteReference"/>
        </w:rPr>
        <w:footnoteReference w:id="165"/>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rsidR="00DD0107">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w:t>
      </w:r>
      <w:r w:rsidRPr="00452EB8">
        <w:lastRenderedPageBreak/>
        <w:t xml:space="preserve">κυρώσεις που επιβάλλονται στους υπεύθυνους επαγγελματίες υγείας για τις «παραβατικές» σύμφωνα με τα </w:t>
      </w:r>
      <w:r>
        <w:t>ανωτέρω συμπεριφορές</w:t>
      </w:r>
      <w:r w:rsidR="00D64E6D">
        <w:t>.</w:t>
      </w:r>
      <w:r w:rsidR="00EB600B" w:rsidRPr="00EB600B">
        <w:rPr>
          <w:highlight w:val="lightGray"/>
        </w:rPr>
        <w:t xml:space="preserve"> </w:t>
      </w:r>
      <w:r w:rsidR="00EB600B" w:rsidRPr="00F77D85">
        <w:t xml:space="preserve"> </w:t>
      </w:r>
    </w:p>
    <w:bookmarkEnd w:id="97"/>
    <w:p w14:paraId="1EB9A496" w14:textId="77777777" w:rsidR="003B3C71" w:rsidRPr="00C34A79" w:rsidRDefault="003B3C71" w:rsidP="004C48A1">
      <w:pPr>
        <w:pStyle w:val="Heading6"/>
      </w:pPr>
      <w:r w:rsidRPr="00C34A79">
        <w:t>Συνέπειες ποινικής φύσης:</w:t>
      </w:r>
    </w:p>
    <w:p w14:paraId="52EBD573" w14:textId="739D38EB" w:rsidR="00C34A79" w:rsidRPr="00C51393" w:rsidRDefault="00C34A79" w:rsidP="00C34A79">
      <w:r w:rsidRPr="00C51393">
        <w:t xml:space="preserve">Σύμφωνα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w:t>
      </w:r>
      <w:r w:rsidR="002F61A0">
        <w:t>511-24 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3C687724" w14:textId="77777777" w:rsidR="00C34A79" w:rsidRDefault="00C34A79" w:rsidP="00C34A79">
      <w:r>
        <w:t>Η «</w:t>
      </w:r>
      <w:r>
        <w:rPr>
          <w:i/>
        </w:rPr>
        <w:t>προγενέστερη της μεταφοράς των εμβρύων ή της γονιμοποίησης συναίνεση</w:t>
      </w:r>
      <w:r>
        <w:t xml:space="preserve">» είναι μία από τις γενικές προϋποθέσεις εφαρμογής που θέτει το άρθρο </w:t>
      </w:r>
      <w:r w:rsidRPr="00EC2606">
        <w:rPr>
          <w:lang w:val="fr-FR"/>
        </w:rPr>
        <w:t>L</w:t>
      </w:r>
      <w:r w:rsidRPr="00EC2606">
        <w:t xml:space="preserve">. 2141-2 </w:t>
      </w:r>
      <w:r>
        <w:t xml:space="preserve">ΚΔΥ, άρα κάθε πράξη ιατρικά υποβοηθούμενης αναπαραγωγής που πραγματοποιείται χωρίς τη συναίνεση του υποβοηθούμενου προσώπου ή μετά την ανάκληση της συναίνεσής του εμπίπτει στην απαγόρευση του άρθρου 511-24 ΠΚ. </w:t>
      </w:r>
    </w:p>
    <w:p w14:paraId="0EAF7C2B" w14:textId="77777777" w:rsidR="005561D6" w:rsidRDefault="00C34A79" w:rsidP="00C34A79">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πράξεις</w:t>
      </w:r>
      <w:r>
        <w:rPr>
          <w:rStyle w:val="FootnoteReference"/>
        </w:rPr>
        <w:footnoteReference w:id="166"/>
      </w:r>
      <w:r>
        <w:t>.</w:t>
      </w:r>
      <w:r w:rsidR="005561D6">
        <w:t xml:space="preserve"> </w:t>
      </w:r>
    </w:p>
    <w:p w14:paraId="7D3B3A29" w14:textId="77777777" w:rsidR="003B3C71" w:rsidRDefault="003B3C71" w:rsidP="0034060A">
      <w:pPr>
        <w:pStyle w:val="Heading5"/>
      </w:pPr>
      <w:r w:rsidRPr="003B3C71">
        <w:rPr>
          <w:lang w:val="en-US"/>
        </w:rPr>
        <w:t xml:space="preserve">ii. </w:t>
      </w:r>
      <w:r w:rsidRPr="003B3C71">
        <w:t>Έννομες συνέπειες έναντι των υποψηφίων υποβοηθούμενων προσώ</w:t>
      </w:r>
      <w:r>
        <w:t>πων</w:t>
      </w:r>
      <w:r w:rsidR="00EF4E43">
        <w:t xml:space="preserve"> και του τέκνου που θα γεννηθεί </w:t>
      </w:r>
    </w:p>
    <w:p w14:paraId="64332E1B" w14:textId="77777777" w:rsidR="00816B47" w:rsidRDefault="00816B47" w:rsidP="00816B47">
      <w:pPr>
        <w:rPr>
          <w:lang w:val="en-US"/>
        </w:rPr>
      </w:pPr>
      <w:r w:rsidRPr="008057CD">
        <w:rPr>
          <w:rFonts w:eastAsia="Calibri"/>
          <w:lang w:eastAsia="en-US"/>
        </w:rPr>
        <w:t xml:space="preserve">Αν δεν υπάρχει προηγούμενη ενημέρωση κατά τους </w:t>
      </w:r>
      <w:r>
        <w:rPr>
          <w:rFonts w:eastAsia="Calibri"/>
          <w:lang w:eastAsia="en-US"/>
        </w:rPr>
        <w:t>προβλεπόμενους από την ειδική νομοθεσία</w:t>
      </w:r>
      <w:r w:rsidRPr="008057CD">
        <w:rPr>
          <w:rFonts w:eastAsia="Calibri"/>
          <w:lang w:eastAsia="en-US"/>
        </w:rPr>
        <w:t xml:space="preserve"> όρους, πάσχει η συναίνεση που δίδεται </w:t>
      </w:r>
      <w:r>
        <w:rPr>
          <w:rFonts w:eastAsia="Calibri"/>
          <w:lang w:eastAsia="en-US"/>
        </w:rPr>
        <w:t xml:space="preserve">από τα υποβοηθούμενα πρόσωπα </w:t>
      </w:r>
      <w:r w:rsidRPr="008057CD">
        <w:rPr>
          <w:rFonts w:eastAsia="Calibri"/>
          <w:lang w:eastAsia="en-US"/>
        </w:rPr>
        <w:t xml:space="preserve">και ως εκ τούτου </w:t>
      </w:r>
      <w:r w:rsidR="006275DE">
        <w:rPr>
          <w:rFonts w:eastAsia="Calibri"/>
          <w:lang w:eastAsia="en-US"/>
        </w:rPr>
        <w:t xml:space="preserve">η </w:t>
      </w:r>
      <w:r w:rsidRPr="008057CD">
        <w:rPr>
          <w:rFonts w:eastAsia="Calibri"/>
          <w:lang w:eastAsia="en-US"/>
        </w:rPr>
        <w:t>ιατρική πρ</w:t>
      </w:r>
      <w:r>
        <w:rPr>
          <w:rFonts w:eastAsia="Calibri"/>
          <w:lang w:eastAsia="en-US"/>
        </w:rPr>
        <w:t>άξη</w:t>
      </w:r>
      <w:r w:rsidR="006275DE">
        <w:rPr>
          <w:rFonts w:eastAsia="Calibri"/>
          <w:lang w:eastAsia="en-US"/>
        </w:rPr>
        <w:t xml:space="preserve"> στο σύνολό της</w:t>
      </w:r>
      <w:r>
        <w:rPr>
          <w:rFonts w:eastAsia="Calibri"/>
          <w:lang w:eastAsia="en-US"/>
        </w:rPr>
        <w:t xml:space="preserve"> είναι άκυρη</w:t>
      </w:r>
      <w:bookmarkStart w:id="98" w:name="_Ref273519082"/>
      <w:r w:rsidR="009431D0">
        <w:rPr>
          <w:rStyle w:val="FootnoteReference"/>
          <w:rFonts w:eastAsia="Calibri"/>
          <w:lang w:eastAsia="en-US"/>
        </w:rPr>
        <w:footnoteReference w:id="167"/>
      </w:r>
      <w:bookmarkEnd w:id="98"/>
      <w:r>
        <w:rPr>
          <w:rFonts w:eastAsia="Calibri"/>
          <w:lang w:eastAsia="en-US"/>
        </w:rPr>
        <w:t xml:space="preserve">. Αυτό σημαίνει ότι οι εξ αυτής </w:t>
      </w:r>
      <w:r w:rsidRPr="008057CD">
        <w:rPr>
          <w:rFonts w:eastAsia="Calibri"/>
          <w:lang w:eastAsia="en-US"/>
        </w:rPr>
        <w:t>συνέπε</w:t>
      </w:r>
      <w:r>
        <w:rPr>
          <w:rFonts w:eastAsia="Calibri"/>
          <w:lang w:eastAsia="en-US"/>
        </w:rPr>
        <w:t>ιες αστικής φύσης (π.χ. δημιουργία συγγένειας</w:t>
      </w:r>
      <w:r w:rsidRPr="008057CD">
        <w:rPr>
          <w:rFonts w:eastAsia="Calibri"/>
          <w:lang w:eastAsia="en-US"/>
        </w:rPr>
        <w:t>) δεν υφίστανται.</w:t>
      </w:r>
    </w:p>
    <w:p w14:paraId="1A7C9B5A" w14:textId="77777777" w:rsidR="00566951" w:rsidRDefault="00816B47" w:rsidP="004C48A1">
      <w:pPr>
        <w:pStyle w:val="Heading6"/>
      </w:pPr>
      <w:r>
        <w:rPr>
          <w:lang w:val="en-US"/>
        </w:rPr>
        <w:t xml:space="preserve">Επισημαίνονται, στο σημείο αυτό, οι </w:t>
      </w:r>
      <w:r w:rsidR="00C0293F" w:rsidRPr="00056602">
        <w:t>συνέπειες αστικής φύσης</w:t>
      </w:r>
      <w:bookmarkStart w:id="99" w:name="_Ref273519409"/>
      <w:r w:rsidR="00A33388" w:rsidRPr="00580B29">
        <w:rPr>
          <w:rStyle w:val="FootnoteReference"/>
          <w:b w:val="0"/>
        </w:rPr>
        <w:footnoteReference w:id="168"/>
      </w:r>
      <w:bookmarkEnd w:id="99"/>
      <w:r w:rsidR="00C0293F">
        <w:t>:</w:t>
      </w:r>
    </w:p>
    <w:p w14:paraId="3960817F" w14:textId="77777777" w:rsidR="00C0293F" w:rsidRPr="00566951" w:rsidRDefault="00566951" w:rsidP="00566951">
      <w:r w:rsidRPr="00566951">
        <w:rPr>
          <w:rFonts w:eastAsia="Calibri"/>
        </w:rPr>
        <w:lastRenderedPageBreak/>
        <w:t>Σ</w:t>
      </w:r>
      <w:r w:rsidR="00C0293F" w:rsidRPr="00566951">
        <w:rPr>
          <w:rFonts w:eastAsia="Calibri"/>
        </w:rPr>
        <w:t>ύμφωνα</w:t>
      </w:r>
      <w:r w:rsidR="00C0293F">
        <w:rPr>
          <w:rFonts w:eastAsia="Calibri"/>
          <w:lang w:eastAsia="en-US"/>
        </w:rPr>
        <w:t xml:space="preserve"> με τις διατάξεις του </w:t>
      </w:r>
      <w:r w:rsidR="00C0293F" w:rsidRPr="003E10A0">
        <w:rPr>
          <w:rFonts w:eastAsia="Calibri"/>
          <w:b/>
          <w:lang w:eastAsia="en-US"/>
        </w:rPr>
        <w:t xml:space="preserve">άρθρου </w:t>
      </w:r>
      <w:r w:rsidR="00C0293F" w:rsidRPr="003E10A0">
        <w:rPr>
          <w:b/>
        </w:rPr>
        <w:t>311-20</w:t>
      </w:r>
      <w:r w:rsidR="00C0293F">
        <w:rPr>
          <w:b/>
        </w:rPr>
        <w:t>, παρ. 2 έως 4,</w:t>
      </w:r>
      <w:r w:rsidR="00C0293F" w:rsidRPr="003E10A0">
        <w:rPr>
          <w:b/>
        </w:rPr>
        <w:t xml:space="preserve"> ΑΚ</w:t>
      </w:r>
      <w:r w:rsidR="00C0293F" w:rsidRPr="00E30A79">
        <w:rPr>
          <w:b/>
        </w:rPr>
        <w:t>:</w:t>
      </w:r>
    </w:p>
    <w:p w14:paraId="4654A8A6" w14:textId="77777777" w:rsidR="00C0293F" w:rsidRPr="0094242E" w:rsidRDefault="00C0293F" w:rsidP="00C0293F">
      <w:pPr>
        <w:rPr>
          <w:rStyle w:val="hps"/>
          <w:i/>
        </w:rPr>
      </w:pPr>
      <w:r>
        <w:rPr>
          <w:b/>
        </w:rPr>
        <w:t xml:space="preserve">« </w:t>
      </w:r>
      <w:r w:rsidRPr="0094242E">
        <w:rPr>
          <w:i/>
        </w:rPr>
        <w:t xml:space="preserve">[…] </w:t>
      </w:r>
      <w:r w:rsidRPr="0094242E">
        <w:rPr>
          <w:rStyle w:val="hps"/>
          <w:i/>
        </w:rPr>
        <w:t xml:space="preserve">Η συναίνεση στην ιατρικά υποβοηθούμενη αναπαραγωγή αποκλείει κάθε αγωγή προσβολής σχέσης συγγένειας (πατρότητας), εκτός εάν υποστηριχθεί ότι το τέκνο δεν προήλθε από ιατρικά υποβοηθούμενη αναπαραγωγή ή ότι η συναίνεση στερείται νομικής ισχύος. </w:t>
      </w:r>
    </w:p>
    <w:p w14:paraId="38D6B508" w14:textId="77777777" w:rsidR="00C0293F" w:rsidRPr="0094242E" w:rsidRDefault="00C0293F" w:rsidP="00C0293F">
      <w:pPr>
        <w:rPr>
          <w:i/>
        </w:rPr>
      </w:pPr>
      <w:r w:rsidRPr="0094242E">
        <w:rPr>
          <w:i/>
        </w:rPr>
        <w:t>Η συναίνεση στερείται νομικής ισχύος σε περίπτωση θανάτου [ενός εκ των δύο προσώπων του υποβοηθούμενου ζευγαριού], κατάθεσης αγωγής διαζυγίου ή διάστασης του ζευγ</w:t>
      </w:r>
      <w:r w:rsidR="009A7F9B">
        <w:rPr>
          <w:i/>
        </w:rPr>
        <w:t>αριού ή διακοπής του κοινού του</w:t>
      </w:r>
      <w:r w:rsidRPr="0094242E">
        <w:rPr>
          <w:i/>
        </w:rPr>
        <w:t xml:space="preserve"> βίου, όταν ένα ή περισσότερα από τα ως άνω γεγονότα συμβούν πριν από την πραγματοποίηση της ιατρικά υποβοηθούμενης αναπαραγωγής. [Η συναίνεση] επίσης στερείται νομικής ισχύος όταν ο άνδρας ή η γυναίκα την ανακαλεί, εγγράφως και σε χρόνο προγενέστερο της πραγματοποίησης της ιατρικά υποβοηθούμενης αναπαραγωγής, ενώπιον του ιατρού που έχει αναλάβει να φέρει σε πέρας την ιατρικά υποβοηθούμενη αναπαραγωγή.</w:t>
      </w:r>
    </w:p>
    <w:p w14:paraId="1FEBCDBF" w14:textId="77777777" w:rsidR="00C0293F" w:rsidRPr="003E10A0" w:rsidRDefault="00C0293F" w:rsidP="00C0293F">
      <w:r w:rsidRPr="0094242E">
        <w:rPr>
          <w:i/>
        </w:rPr>
        <w:t>Αυτός που, ενώ έχει συναινέσει στην ιατρικά υποβοηθούμενη αναπαραγωγή, δεν αναγνωρίζει το τέκνο που γεννιέται από αυτήν, έχει ευθύνη έναντι της μητέρας και του τέκνου</w:t>
      </w:r>
      <w:r w:rsidRPr="003E10A0">
        <w:t xml:space="preserve">».  </w:t>
      </w:r>
    </w:p>
    <w:p w14:paraId="3440EA0F" w14:textId="77777777" w:rsidR="00816B47" w:rsidRPr="00816B47" w:rsidRDefault="00566951" w:rsidP="00566951">
      <w:pPr>
        <w:pStyle w:val="Heading4"/>
        <w:rPr>
          <w:rFonts w:eastAsia="Calibri"/>
        </w:rPr>
      </w:pPr>
      <w:bookmarkStart w:id="101" w:name="_Toc276574401"/>
      <w:r>
        <w:rPr>
          <w:rFonts w:eastAsia="Calibri"/>
        </w:rPr>
        <w:t>§4. Δικαίωμα άρνησης του ιατρού να προβεί σε ιατρική υποβοήθηση στην αναπαραγωγή</w:t>
      </w:r>
      <w:bookmarkEnd w:id="101"/>
    </w:p>
    <w:p w14:paraId="39601AD7" w14:textId="77777777" w:rsidR="00F14400" w:rsidRDefault="00566951" w:rsidP="00F14400">
      <w:r>
        <w:t>Εάν</w:t>
      </w:r>
      <w:r w:rsidR="008878C5" w:rsidRPr="004933B9">
        <w:t xml:space="preserve"> ο ιατρός</w:t>
      </w:r>
      <w:r w:rsidR="001B49BA">
        <w:t>, επικουρούμενος από τη διεπιστημονική του ομάδα,</w:t>
      </w:r>
      <w:r w:rsidR="008878C5" w:rsidRPr="004933B9">
        <w:t xml:space="preserve"> θεωρεί ότι δεν πρέπει να υιοθετηθούν μέθοδοι υποβοηθούμενης αναπαραγωγής, δικαιούται να αρνηθεί </w:t>
      </w:r>
      <w:r w:rsidR="001B49BA">
        <w:t xml:space="preserve">την εφαρμογή της. Στην περίπτωση αυτή, ωστόσο, υποχρεούται να </w:t>
      </w:r>
      <w:r w:rsidR="002263E1">
        <w:t>αιτιολογήσει</w:t>
      </w:r>
      <w:r w:rsidR="001B49BA">
        <w:t xml:space="preserve"> τους λόγους για τους οποίους αρνείται στο υποψήφιο υποβοηθούμενο ζευγάρι την πρόσβαση στην υποβοηθούμενη αναπαραγωγή</w:t>
      </w:r>
      <w:r w:rsidR="00F14400">
        <w:t xml:space="preserve">. </w:t>
      </w:r>
    </w:p>
    <w:p w14:paraId="36F27855" w14:textId="77777777" w:rsidR="00F14400" w:rsidRDefault="00F14400" w:rsidP="00F14400">
      <w:r>
        <w:rPr>
          <w:rFonts w:eastAsia="Calibri"/>
        </w:rPr>
        <w:t xml:space="preserve">Πιο συγκεκριμένα, οι </w:t>
      </w:r>
      <w:r w:rsidRPr="00407C03">
        <w:rPr>
          <w:rFonts w:eastAsia="Calibri"/>
          <w:b/>
        </w:rPr>
        <w:t>διαγνωστικές εξετάσεις</w:t>
      </w:r>
      <w:r>
        <w:rPr>
          <w:rFonts w:eastAsia="Calibri"/>
        </w:rPr>
        <w:t xml:space="preserve"> στις οποίες υποβάλλεται κάθε υποψήφιο υποβοηθούμενο ζευγάρι πριν </w:t>
      </w:r>
      <w:r w:rsidRPr="00513C39">
        <w:rPr>
          <w:rFonts w:eastAsia="Calibri"/>
        </w:rPr>
        <w:t xml:space="preserve">ξεκινήσει </w:t>
      </w:r>
      <w:r>
        <w:rPr>
          <w:rFonts w:eastAsia="Calibri"/>
        </w:rPr>
        <w:t xml:space="preserve">την ιατρικά υποβοηθούμενη αναπαραγωγή </w:t>
      </w:r>
      <w:r w:rsidRPr="00513C39">
        <w:rPr>
          <w:rFonts w:eastAsia="Calibri"/>
        </w:rPr>
        <w:t>(</w:t>
      </w:r>
      <w:r w:rsidRPr="00513C39">
        <w:rPr>
          <w:i/>
        </w:rPr>
        <w:t>bilan diagnostique</w:t>
      </w:r>
      <w:r>
        <w:t xml:space="preserve">), </w:t>
      </w:r>
      <w:r>
        <w:rPr>
          <w:rFonts w:eastAsia="Calibri"/>
          <w:lang w:eastAsia="en-US"/>
        </w:rPr>
        <w:t xml:space="preserve">σύμφωνα με την προαναφερθείσα νομοθεσία (βλ. άρθρο </w:t>
      </w:r>
      <w:r>
        <w:rPr>
          <w:rFonts w:eastAsia="Calibri"/>
          <w:lang w:val="fr-FR" w:eastAsia="en-US"/>
        </w:rPr>
        <w:t>L</w:t>
      </w:r>
      <w:r>
        <w:rPr>
          <w:rFonts w:eastAsia="Calibri"/>
          <w:lang w:eastAsia="en-US"/>
        </w:rPr>
        <w:t xml:space="preserve">. 2141-10 </w:t>
      </w:r>
      <w:r w:rsidR="005F4BE1">
        <w:rPr>
          <w:rFonts w:eastAsia="Calibri"/>
          <w:lang w:eastAsia="en-US"/>
        </w:rPr>
        <w:t>ΚΔΥ</w:t>
      </w:r>
      <w:r>
        <w:rPr>
          <w:rFonts w:eastAsia="Calibri"/>
          <w:lang w:eastAsia="en-US"/>
        </w:rPr>
        <w:t xml:space="preserve">), επιτρέπουν </w:t>
      </w:r>
      <w:r>
        <w:t xml:space="preserve">στη </w:t>
      </w:r>
      <w:r w:rsidRPr="00513C39">
        <w:t xml:space="preserve">διεπιστημονική ομάδα του κέντρου </w:t>
      </w:r>
      <w:r>
        <w:t>ιατρικά υποβοηθούμενης αναπαραγωγής</w:t>
      </w:r>
      <w:r w:rsidRPr="00513C39">
        <w:t xml:space="preserve"> να αξιολογήσει τις πιθανότητες φυσιολογικής σύλληψης, το αναμενόμενο ποσοστό επιτυχίας ενδεχόμενης </w:t>
      </w:r>
      <w:r>
        <w:t>ιατρικά υποβοηθούμενης αναπαραγωγής</w:t>
      </w:r>
      <w:r w:rsidRPr="00513C39">
        <w:t xml:space="preserve">, τους κινδύνους των διαφόρων θεραπειών, καθώς επίσης και το ιδανικό χρονικό διάστημα κατά το οποίο πρέπει να πραγματοποιηθεί η </w:t>
      </w:r>
      <w:r>
        <w:t>ιατρικά υποβοηθούμενη αναπαραγωγή</w:t>
      </w:r>
      <w:r w:rsidRPr="00513C39">
        <w:t>. Μετά από</w:t>
      </w:r>
      <w:r>
        <w:t xml:space="preserve"> μελέτη του συνόλου των ανωτέρω</w:t>
      </w:r>
      <w:r w:rsidRPr="00513C39">
        <w:t xml:space="preserve"> εξετάσεων υπογονιμότητας και συζήτηση εντός της διεπιστημονικής ομάδας, ο ιατρός προτείνει στο ζευγάρι προσαρμοσμένη στις ανάγκες του πορεία </w:t>
      </w:r>
      <w:r>
        <w:t>ιατρικά υποβοηθούμενης αναπαραγωγής</w:t>
      </w:r>
      <w:r w:rsidRPr="00513C39">
        <w:t>.</w:t>
      </w:r>
      <w:r>
        <w:t xml:space="preserve"> </w:t>
      </w:r>
    </w:p>
    <w:p w14:paraId="0EFF20A2" w14:textId="77777777" w:rsidR="005F4BE1" w:rsidRDefault="00F14400" w:rsidP="00EE4F69">
      <w:pPr>
        <w:rPr>
          <w:rStyle w:val="hps"/>
        </w:rPr>
      </w:pPr>
      <w:r w:rsidRPr="00407C03">
        <w:rPr>
          <w:b/>
        </w:rPr>
        <w:t xml:space="preserve">Δύναται, όμως, </w:t>
      </w:r>
      <w:r w:rsidRPr="00407C03">
        <w:rPr>
          <w:rStyle w:val="hps"/>
          <w:b/>
        </w:rPr>
        <w:t>ανά πάσα στιγμή</w:t>
      </w:r>
      <w:r w:rsidRPr="00407C03">
        <w:rPr>
          <w:b/>
        </w:rPr>
        <w:t xml:space="preserve">, σε συνεργασία με τη </w:t>
      </w:r>
      <w:r w:rsidRPr="00407C03">
        <w:rPr>
          <w:rStyle w:val="hps"/>
          <w:b/>
        </w:rPr>
        <w:t>διεπιστημονική ομάδα</w:t>
      </w:r>
      <w:r>
        <w:rPr>
          <w:rStyle w:val="hps"/>
        </w:rPr>
        <w:t xml:space="preserve">, και παρότι αυτό δε διευκρινίζεται από το νόμο, </w:t>
      </w:r>
      <w:r w:rsidRPr="00407C03">
        <w:rPr>
          <w:rStyle w:val="hps"/>
          <w:b/>
        </w:rPr>
        <w:t>να αναβάλει</w:t>
      </w:r>
      <w:r w:rsidRPr="00407C03">
        <w:rPr>
          <w:b/>
        </w:rPr>
        <w:t xml:space="preserve"> </w:t>
      </w:r>
      <w:r>
        <w:rPr>
          <w:rStyle w:val="hps"/>
          <w:b/>
        </w:rPr>
        <w:t>ή</w:t>
      </w:r>
      <w:r w:rsidRPr="00407C03">
        <w:rPr>
          <w:rStyle w:val="hps"/>
          <w:b/>
        </w:rPr>
        <w:t xml:space="preserve"> αρνηθεί</w:t>
      </w:r>
      <w:r>
        <w:rPr>
          <w:rStyle w:val="hps"/>
        </w:rPr>
        <w:t xml:space="preserve"> τη θέση σε εφαρμογή των μεθόδων της ιατρικά υποβοηθούμενης αναπαραγωγής,</w:t>
      </w:r>
      <w:r>
        <w:t xml:space="preserve"> </w:t>
      </w:r>
      <w:r>
        <w:rPr>
          <w:rStyle w:val="hps"/>
        </w:rPr>
        <w:t>εντός</w:t>
      </w:r>
      <w:r>
        <w:t xml:space="preserve"> </w:t>
      </w:r>
      <w:r>
        <w:rPr>
          <w:rStyle w:val="hps"/>
        </w:rPr>
        <w:t>του πλαισίου που καθορίζεται</w:t>
      </w:r>
      <w:r>
        <w:t xml:space="preserve"> </w:t>
      </w:r>
      <w:r>
        <w:rPr>
          <w:rStyle w:val="hps"/>
        </w:rPr>
        <w:t>από το νόμο και</w:t>
      </w:r>
      <w:r>
        <w:t xml:space="preserve"> </w:t>
      </w:r>
      <w:r>
        <w:rPr>
          <w:rStyle w:val="hps"/>
        </w:rPr>
        <w:t xml:space="preserve">τον Κώδικα </w:t>
      </w:r>
      <w:r w:rsidR="005F4BE1">
        <w:rPr>
          <w:rStyle w:val="hps"/>
        </w:rPr>
        <w:t xml:space="preserve">Ιατρικής </w:t>
      </w:r>
      <w:r>
        <w:rPr>
          <w:rStyle w:val="hps"/>
        </w:rPr>
        <w:t>Δεοντολογίας</w:t>
      </w:r>
      <w:r>
        <w:t xml:space="preserve">, στο βαθμό που </w:t>
      </w:r>
      <w:r>
        <w:rPr>
          <w:rStyle w:val="hps"/>
        </w:rPr>
        <w:t>ο ιατρός</w:t>
      </w:r>
      <w:r>
        <w:t xml:space="preserve"> </w:t>
      </w:r>
      <w:r>
        <w:rPr>
          <w:rStyle w:val="hps"/>
        </w:rPr>
        <w:t xml:space="preserve">θα </w:t>
      </w:r>
      <w:r>
        <w:rPr>
          <w:rStyle w:val="hps"/>
        </w:rPr>
        <w:lastRenderedPageBreak/>
        <w:t>πρέπει να λάβει υπόψη του τα πλεονεκτήματα</w:t>
      </w:r>
      <w:r>
        <w:t xml:space="preserve"> </w:t>
      </w:r>
      <w:r>
        <w:rPr>
          <w:rStyle w:val="hps"/>
        </w:rPr>
        <w:t>και τα μειονεκτήματα</w:t>
      </w:r>
      <w:r>
        <w:t xml:space="preserve"> </w:t>
      </w:r>
      <w:r>
        <w:rPr>
          <w:rStyle w:val="hps"/>
        </w:rPr>
        <w:t>των</w:t>
      </w:r>
      <w:r>
        <w:t xml:space="preserve"> </w:t>
      </w:r>
      <w:r>
        <w:rPr>
          <w:rStyle w:val="hps"/>
        </w:rPr>
        <w:t>διαφόρων διαγνωστικών και</w:t>
      </w:r>
      <w:r>
        <w:t xml:space="preserve"> </w:t>
      </w:r>
      <w:r>
        <w:rPr>
          <w:rStyle w:val="hps"/>
        </w:rPr>
        <w:t xml:space="preserve">θεραπευτικών δυνατοτήτων. </w:t>
      </w:r>
    </w:p>
    <w:p w14:paraId="6C93B2D4" w14:textId="77777777" w:rsidR="00EE4F69" w:rsidRDefault="00F14400" w:rsidP="00EE4F69">
      <w:pPr>
        <w:rPr>
          <w:rFonts w:eastAsia="Calibri"/>
          <w:lang w:eastAsia="en-US"/>
        </w:rPr>
      </w:pPr>
      <w:r w:rsidRPr="00407C03">
        <w:rPr>
          <w:rStyle w:val="hps"/>
          <w:b/>
        </w:rPr>
        <w:t>Σημαντικός παράγοντας που επίσης λαμβάνεται υπόψη από τον ιατρό και την ομάδα του είναι το συμφέρον</w:t>
      </w:r>
      <w:r w:rsidRPr="00407C03">
        <w:t xml:space="preserve"> </w:t>
      </w:r>
      <w:r w:rsidRPr="00407C03">
        <w:rPr>
          <w:rStyle w:val="hps"/>
          <w:b/>
        </w:rPr>
        <w:t>του παιδιού που θα γεννηθεί</w:t>
      </w:r>
      <w:r>
        <w:rPr>
          <w:rStyle w:val="hps"/>
          <w:b/>
        </w:rPr>
        <w:t xml:space="preserve">. </w:t>
      </w:r>
      <w:r w:rsidR="00EE4F69">
        <w:t xml:space="preserve">Το άρθρο </w:t>
      </w:r>
      <w:r w:rsidR="00EE4F69">
        <w:rPr>
          <w:rFonts w:eastAsia="Calibri"/>
          <w:lang w:val="fr-FR" w:eastAsia="en-US"/>
        </w:rPr>
        <w:t>L</w:t>
      </w:r>
      <w:r w:rsidR="00EE4F69">
        <w:rPr>
          <w:rFonts w:eastAsia="Calibri"/>
          <w:lang w:eastAsia="en-US"/>
        </w:rPr>
        <w:t xml:space="preserve">. 2141-10, παρ. 6, </w:t>
      </w:r>
      <w:r w:rsidR="002E099D">
        <w:rPr>
          <w:rFonts w:eastAsia="Calibri"/>
          <w:lang w:eastAsia="en-US"/>
        </w:rPr>
        <w:t xml:space="preserve">ΚΔΥ </w:t>
      </w:r>
      <w:r w:rsidR="00EE4F69">
        <w:rPr>
          <w:rFonts w:eastAsia="Calibri"/>
          <w:lang w:eastAsia="en-US"/>
        </w:rPr>
        <w:t>ορίζει ρητά</w:t>
      </w:r>
      <w:r w:rsidR="005F4BE1">
        <w:rPr>
          <w:rFonts w:eastAsia="Calibri"/>
          <w:lang w:eastAsia="en-US"/>
        </w:rPr>
        <w:t xml:space="preserve"> ότι </w:t>
      </w:r>
      <w:r w:rsidR="00EE4F69">
        <w:rPr>
          <w:rFonts w:eastAsia="Calibri"/>
          <w:lang w:eastAsia="en-US"/>
        </w:rPr>
        <w:t>«</w:t>
      </w:r>
      <w:r w:rsidR="00EE4F69" w:rsidRPr="006E160E">
        <w:rPr>
          <w:rFonts w:eastAsia="Calibri"/>
          <w:i/>
          <w:lang w:eastAsia="en-US"/>
        </w:rPr>
        <w:t>[η ιατρικά υποβοηθούμενη αναπαραγωγή] δε μπορεί να τεθεί σε εφαρμογή από τον ιατρό εφόσον οι υποψήφιοι δεν πληρούν τις προβλεπόμενες από τον παρόντα τίτλο προϋποθέσεις ή εφόσον ο ιατρός, κατόπιν διαβούλευσης στα πλαίσια της κλινικο-βιολογικής διεπιστημονικής ομάδας, εκτιμά ότι μια συμπληρωματική περίοδ</w:t>
      </w:r>
      <w:r w:rsidR="005F4BE1">
        <w:rPr>
          <w:rFonts w:eastAsia="Calibri"/>
          <w:i/>
          <w:lang w:eastAsia="en-US"/>
        </w:rPr>
        <w:t>ος σκέψης είναι απαραίτητη στα</w:t>
      </w:r>
      <w:r w:rsidR="00EE4F69" w:rsidRPr="006E160E">
        <w:rPr>
          <w:rFonts w:eastAsia="Calibri"/>
          <w:i/>
          <w:lang w:eastAsia="en-US"/>
        </w:rPr>
        <w:t xml:space="preserve"> υποψήφια υποβοηθούμενα πρόσωπα, προς το συμφέρον του τέκνου που θα γεννηθεί</w:t>
      </w:r>
      <w:r w:rsidR="00EE4F69">
        <w:rPr>
          <w:rFonts w:eastAsia="Calibri"/>
          <w:lang w:eastAsia="en-US"/>
        </w:rPr>
        <w:t xml:space="preserve">». </w:t>
      </w:r>
    </w:p>
    <w:p w14:paraId="79404FE5" w14:textId="77777777" w:rsidR="001D785A" w:rsidRPr="004933B9" w:rsidRDefault="001D785A" w:rsidP="00EE4F69">
      <w:r>
        <w:rPr>
          <w:rFonts w:eastAsia="Calibri"/>
          <w:lang w:eastAsia="en-US"/>
        </w:rPr>
        <w:t xml:space="preserve">Οι ανωτέρω επισημάνσεις οδηγούν στο συμπέρασμα, λοιπόν, ότι ο ιατρός είναι επιφορτισμένος με </w:t>
      </w:r>
      <w:r w:rsidR="005F4BE1">
        <w:rPr>
          <w:rFonts w:eastAsia="Calibri"/>
          <w:lang w:eastAsia="en-US"/>
        </w:rPr>
        <w:t xml:space="preserve">την άσκηση ενός ελέγχου, </w:t>
      </w:r>
      <w:r w:rsidR="003701DF">
        <w:rPr>
          <w:rFonts w:eastAsia="Calibri"/>
          <w:lang w:eastAsia="en-US"/>
        </w:rPr>
        <w:t>καταρχάς</w:t>
      </w:r>
      <w:r w:rsidR="005F4BE1">
        <w:rPr>
          <w:rFonts w:eastAsia="Calibri"/>
          <w:lang w:eastAsia="en-US"/>
        </w:rPr>
        <w:t xml:space="preserve">, </w:t>
      </w:r>
      <w:r>
        <w:rPr>
          <w:rFonts w:eastAsia="Calibri"/>
          <w:lang w:eastAsia="en-US"/>
        </w:rPr>
        <w:t>νομιμότητας – γάμος, σύμφωνο συμβίωσης, ελεύθερη ένωση, ηλικία, διαφορε</w:t>
      </w:r>
      <w:r w:rsidR="005F4BE1">
        <w:rPr>
          <w:rFonts w:eastAsia="Calibri"/>
          <w:lang w:eastAsia="en-US"/>
        </w:rPr>
        <w:t xml:space="preserve">τικό φύλο ζευγαριού κ.λπ. – και, σε ένα δεύτερο χρόνο, </w:t>
      </w:r>
      <w:r>
        <w:rPr>
          <w:rFonts w:eastAsia="Calibri"/>
          <w:lang w:eastAsia="en-US"/>
        </w:rPr>
        <w:t>σκοπιμότητας</w:t>
      </w:r>
      <w:r w:rsidR="005F4BE1">
        <w:rPr>
          <w:rFonts w:eastAsia="Calibri"/>
          <w:lang w:eastAsia="en-US"/>
        </w:rPr>
        <w:t>,</w:t>
      </w:r>
      <w:r>
        <w:rPr>
          <w:rFonts w:eastAsia="Calibri"/>
          <w:lang w:eastAsia="en-US"/>
        </w:rPr>
        <w:t xml:space="preserve"> όχι μόνο ως προς τους γονείς αλλά κυρίως ως προς το συμφέρον του τέκνου που θα γεννηθεί. Αυτό, σύμφωνα με μερίδα νομικών</w:t>
      </w:r>
      <w:r w:rsidR="003548E1">
        <w:rPr>
          <w:rFonts w:eastAsia="Calibri"/>
          <w:lang w:eastAsia="en-US"/>
        </w:rPr>
        <w:t>, είναι εξίσου πιθανό να οδηγήσει είτε στην κατάχρηση της υποβοηθούμενης αναπαραγωγής και τον απόλυτο κρατικό έλεγχο της γεννητικότητας, είτε στο άλλο άκρο, την απόλυτη απουσία ελέγχου, η οποία σε καμία περίπτωση δεν εγγυάται το συμφέρον του τέκνου που θα γεννηθεί</w:t>
      </w:r>
      <w:r w:rsidR="00492139">
        <w:rPr>
          <w:rStyle w:val="FootnoteReference"/>
          <w:rFonts w:eastAsia="Calibri"/>
          <w:lang w:eastAsia="en-US"/>
        </w:rPr>
        <w:footnoteReference w:id="169"/>
      </w:r>
      <w:r w:rsidR="003548E1">
        <w:rPr>
          <w:rFonts w:eastAsia="Calibri"/>
          <w:lang w:eastAsia="en-US"/>
        </w:rPr>
        <w:t xml:space="preserve">. </w:t>
      </w:r>
    </w:p>
    <w:p w14:paraId="3345FF26" w14:textId="77777777" w:rsidR="002B0FA3" w:rsidRDefault="008878C5" w:rsidP="002B0FA3">
      <w:pPr>
        <w:pStyle w:val="Heading3"/>
      </w:pPr>
      <w:bookmarkStart w:id="102" w:name="_Ref272602676"/>
      <w:bookmarkStart w:id="103" w:name="_Toc275535599"/>
      <w:bookmarkStart w:id="104" w:name="_Toc276574402"/>
      <w:r>
        <w:rPr>
          <w:lang w:val="el-GR"/>
        </w:rPr>
        <w:t>δ</w:t>
      </w:r>
      <w:r w:rsidR="002B0FA3" w:rsidRPr="007E71B0">
        <w:t xml:space="preserve">. </w:t>
      </w:r>
      <w:bookmarkEnd w:id="86"/>
      <w:bookmarkEnd w:id="87"/>
      <w:r w:rsidR="00A61029">
        <w:t>Συναίνεση υποψηφίων υποβοηθούμενων προσώπων</w:t>
      </w:r>
      <w:bookmarkEnd w:id="102"/>
      <w:bookmarkEnd w:id="103"/>
      <w:bookmarkEnd w:id="104"/>
    </w:p>
    <w:p w14:paraId="0303C735" w14:textId="3942338F" w:rsidR="009C023D" w:rsidRDefault="00655812" w:rsidP="009C023D">
      <w:r>
        <w:t xml:space="preserve">Τελευταία αλλά εξίσου σημαντική με όλες τις προηγούμενες προϋποθέσεις πρόσβασης σε μεθόδους ιατρικά υποβοηθούμενης αναπαραγωγής είναι η παροχή της συναίνεσης των υποψηφίων υποβοηθούμενων προσώπων (§1), η οποία είναι σημαντικό να διατηρείτει ισχυρή μέχρι την ολοκλήρωση </w:t>
      </w:r>
      <w:r w:rsidR="00A17C59">
        <w:t xml:space="preserve">της ιατρική υποβοήθησης (§2). </w:t>
      </w:r>
      <w:r w:rsidR="009C023D">
        <w:t xml:space="preserve">Σε αντίθετη περίπτωση, οι έννομες συνέπειες που θα προκύψουν αφορούν όχι μόνο στον ιατρό, αλλά και στα δύο υποβοηθούμενα πρόσωπα, καθώς επίσης και στο τέκνο που θα γεννηθεί (§3). </w:t>
      </w:r>
    </w:p>
    <w:p w14:paraId="1F5A317E" w14:textId="77777777" w:rsidR="00936FCE" w:rsidRDefault="00936FCE" w:rsidP="00936FCE">
      <w:pPr>
        <w:pStyle w:val="Heading4"/>
      </w:pPr>
      <w:bookmarkStart w:id="105" w:name="_Toc276574403"/>
      <w:r>
        <w:t>§1. Η έκφραση της συναίνεσης των υποψηφίων υποβοηθούμενων προσώπων</w:t>
      </w:r>
      <w:bookmarkEnd w:id="105"/>
      <w:r>
        <w:t xml:space="preserve"> </w:t>
      </w:r>
    </w:p>
    <w:p w14:paraId="62297CB2" w14:textId="77777777" w:rsidR="00292F89" w:rsidRDefault="00936FCE" w:rsidP="00DB4D72">
      <w:r>
        <w:t>Καθένας εκ των δύο υποψηφίων υποβοηθούμενων προσώπων πρέπει να εκφράσει ελεύθερα τη συναίνεσή του στη διενέργεια της ιατρικής υποβοήθησης στην αναπαραγωγή</w:t>
      </w:r>
      <w:r>
        <w:rPr>
          <w:rStyle w:val="FootnoteReference"/>
        </w:rPr>
        <w:footnoteReference w:id="170"/>
      </w:r>
      <w:r>
        <w:t xml:space="preserve">. </w:t>
      </w:r>
      <w:r w:rsidR="002D347C">
        <w:t xml:space="preserve">Το αντικείμενο της συναίνεσης αυτής ορίζεται στο άρθρο </w:t>
      </w:r>
      <w:r w:rsidR="002D347C">
        <w:rPr>
          <w:lang w:val="en-US"/>
        </w:rPr>
        <w:t>L. 2141-2</w:t>
      </w:r>
      <w:r w:rsidR="002D347C">
        <w:t xml:space="preserve">, παρ. 2, </w:t>
      </w:r>
      <w:r w:rsidR="005A1087">
        <w:t>ΚΔΥ</w:t>
      </w:r>
      <w:r w:rsidR="002D347C">
        <w:t xml:space="preserve">. Η εκφραζόμενη βούληση αφορά είτε στην «τεχνητή γονιμοποίηση» της γυναίκας με σπερματοζωάρια του συζύγου ή του συντρόφου της ή ανώνυμου τρίτου δότη, είτε στη </w:t>
      </w:r>
      <w:r w:rsidR="002D347C">
        <w:lastRenderedPageBreak/>
        <w:t>«μεταφορά εμβρύου» που έχει συλληφθεί με το γεννητικό υλικό του υποβοηθούμενου ζευγαριού ή με δωρεά τρίτου δό</w:t>
      </w:r>
      <w:r w:rsidR="00400626">
        <w:t>τη</w:t>
      </w:r>
      <w:r w:rsidR="002D347C">
        <w:t xml:space="preserve">. </w:t>
      </w:r>
      <w:r w:rsidR="00AF10A3">
        <w:t>Η συναίνεση</w:t>
      </w:r>
      <w:r w:rsidR="00292F89">
        <w:t xml:space="preserve"> του υποβοηθούμενου ζευγαριού</w:t>
      </w:r>
      <w:r w:rsidR="00AF10A3">
        <w:t>, επομένως, πρέπει να αφορά στους χειρισμούς και τις τεχνικές ιατρικά υποβοηθούμενης αναπαραγωγής που θα εφαρμοστούν πραγματικά</w:t>
      </w:r>
      <w:r w:rsidR="00292F89">
        <w:t xml:space="preserve"> σε αυτό</w:t>
      </w:r>
      <w:r w:rsidR="00AF10A3">
        <w:t>.</w:t>
      </w:r>
      <w:r w:rsidR="00292F89">
        <w:t xml:space="preserve"> Η επισήμανση αυτή αποκτά ιδιαίτερη σημασία σε περίπτωση εφαρμογής άλλων τεχνικών αναπαραγωγής από αυτές στις οποίες έχουν συναινέσει οι μελλοντικοί γονείς. Σε μια τέτοια περίπτωση, είναι προφανές ότι ευθύνη </w:t>
      </w:r>
      <w:r w:rsidR="0043188F">
        <w:t xml:space="preserve">έχουν τόσο </w:t>
      </w:r>
      <w:r w:rsidR="00292F89">
        <w:t xml:space="preserve">το κέντρο ιατρικά υποβοηθούμενης αναπαραγωγής, </w:t>
      </w:r>
      <w:r w:rsidR="0043188F">
        <w:t xml:space="preserve">όσο </w:t>
      </w:r>
      <w:r w:rsidR="00292F89">
        <w:t>και ο συνεργός σύντροφος</w:t>
      </w:r>
      <w:r w:rsidR="0043188F">
        <w:t>,</w:t>
      </w:r>
      <w:r w:rsidR="00292F89">
        <w:t xml:space="preserve"> εάν αυτό συμβαίνει εν γνώση του, καθώς δε σεβάστηκαν την παρασχεθείσα συναίνεση </w:t>
      </w:r>
      <w:r w:rsidR="0043188F">
        <w:t xml:space="preserve">του </w:t>
      </w:r>
      <w:r w:rsidR="00292F89">
        <w:t xml:space="preserve">υποβοηθούμενου προσώπου. </w:t>
      </w:r>
    </w:p>
    <w:p w14:paraId="6CA1B544" w14:textId="77777777" w:rsidR="00292F89" w:rsidRDefault="00292F89" w:rsidP="00234C71">
      <w:r>
        <w:t xml:space="preserve">Το δίκαιο περιβάλλει την έκφραση της συναίνεσης του ζευγαριού με ορισμένες προϋποθέσεις τόσο τυπικές όσο και χρονικές, προκειμένου να </w:t>
      </w:r>
      <w:r w:rsidR="00671073">
        <w:t>εξασφαλίσει την τήρησή τους. Η ύπαρξη διαφορετικών τεχνικών και μεθόδων ιατρικά υποβοηθούμενης αναπαραγω</w:t>
      </w:r>
      <w:r w:rsidR="001F5D7D">
        <w:t>γής έχει ως αποτέλεσμα και τη σχετική</w:t>
      </w:r>
      <w:r w:rsidR="00671073">
        <w:t xml:space="preserve"> διαφοροποίηση </w:t>
      </w:r>
      <w:r w:rsidR="005B2404">
        <w:t>του περιεχομένου και του τύπου</w:t>
      </w:r>
      <w:r w:rsidR="001F5D7D">
        <w:t xml:space="preserve"> της συναίνεσης, </w:t>
      </w:r>
      <w:r w:rsidR="00671073">
        <w:t>ανάλογα με την τεχνική αναπαραγωγής που εφαρμόζεται στο ζευγάρι. Επομένως, για την καλύτερη κατανόηση των προϋποθ</w:t>
      </w:r>
      <w:r w:rsidR="005B2404">
        <w:t xml:space="preserve">έσεων που αφορούν στη συναίνεση, </w:t>
      </w:r>
      <w:r w:rsidR="00671073">
        <w:t xml:space="preserve">κρίνεται σκόπιμο να </w:t>
      </w:r>
      <w:r w:rsidR="00F20611">
        <w:t xml:space="preserve">προβούμε στη μελέτη τους, </w:t>
      </w:r>
      <w:r w:rsidR="00234C71">
        <w:t>διακρίνοντας</w:t>
      </w:r>
      <w:r w:rsidR="00671073">
        <w:t xml:space="preserve"> μεταξύ των προϋποθέσεων που είναι κοινές σε όλες τις τεχνικές ιατρικά υποβοηθούμενης αναπαραγωγής (</w:t>
      </w:r>
      <w:r w:rsidR="00671073">
        <w:rPr>
          <w:lang w:val="en-US"/>
        </w:rPr>
        <w:t>i</w:t>
      </w:r>
      <w:r w:rsidR="00234C71">
        <w:t>) και</w:t>
      </w:r>
      <w:r w:rsidR="00671073">
        <w:t xml:space="preserve"> </w:t>
      </w:r>
      <w:r w:rsidR="00234C71">
        <w:t xml:space="preserve">των ειδικότερων προϋποθέσεων που αφορούν στην ιατρικά υποβοηθούμενη αναπαραγωγή με </w:t>
      </w:r>
      <w:r w:rsidR="00D559AD">
        <w:t>τρίτο</w:t>
      </w:r>
      <w:r w:rsidR="00234C71">
        <w:t xml:space="preserve"> δότη – είτε πρόκειται για δωρεά γαμετών, είτε για λήψη εμβρύου (</w:t>
      </w:r>
      <w:r w:rsidR="00671073">
        <w:t>ii)</w:t>
      </w:r>
      <w:r w:rsidR="00234C71">
        <w:t xml:space="preserve">. </w:t>
      </w:r>
    </w:p>
    <w:p w14:paraId="12B3F488" w14:textId="77777777" w:rsidR="00234C71" w:rsidRPr="00234C71" w:rsidRDefault="00234C71" w:rsidP="00D93099">
      <w:pPr>
        <w:pStyle w:val="Heading5"/>
      </w:pPr>
      <w:r w:rsidRPr="00234C71">
        <w:rPr>
          <w:lang w:val="en-US"/>
        </w:rPr>
        <w:t xml:space="preserve">i. </w:t>
      </w:r>
      <w:r w:rsidRPr="00234C71">
        <w:t xml:space="preserve">Προϋποθέσεις </w:t>
      </w:r>
      <w:r w:rsidRPr="00941E3E">
        <w:rPr>
          <w:u w:val="dash"/>
        </w:rPr>
        <w:t>κοινές</w:t>
      </w:r>
      <w:r w:rsidRPr="00234C71">
        <w:t xml:space="preserve"> σε όλες τις τεχνικές ιατρικά υποβοηθούμενης αναπαραγωγής</w:t>
      </w:r>
    </w:p>
    <w:p w14:paraId="1CB8BE94" w14:textId="77777777" w:rsidR="002B0FA3" w:rsidRDefault="00941E3E" w:rsidP="00DB4D72">
      <w:r>
        <w:t xml:space="preserve">Όποια κι αν είναι η τεχνική ιατρικά υποβοηθούμενης αναπαραγωγής στην οποία </w:t>
      </w:r>
      <w:r w:rsidR="001F5D7D">
        <w:t>προσφεύγ</w:t>
      </w:r>
      <w:r>
        <w:t xml:space="preserve">ει το υποψήφιο υποβοηθούμενο ζευγάρι, εφαρμογή βρίσκουν οι γενικές αρχές που διέπουν την αρχή της έκφρασης της συναίνεσης προγενέστερα κάθε ιατρικής πράξης. Ειδικότερα, δυνάμει των </w:t>
      </w:r>
      <w:r w:rsidR="001F5D7D">
        <w:rPr>
          <w:rFonts w:eastAsia="Calibri"/>
        </w:rPr>
        <w:t>αναγκαστικού δικαίου</w:t>
      </w:r>
      <w:r w:rsidR="001F5D7D">
        <w:t xml:space="preserve"> (</w:t>
      </w:r>
      <w:r w:rsidR="00BA2683">
        <w:t>κατά το άρθρο</w:t>
      </w:r>
      <w:r w:rsidR="001F5D7D">
        <w:t xml:space="preserve"> 16-9 ΑΚ) </w:t>
      </w:r>
      <w:r>
        <w:t>διατάξεων του άρθρου</w:t>
      </w:r>
      <w:r w:rsidR="002B0FA3" w:rsidRPr="004E7F76">
        <w:t xml:space="preserve"> </w:t>
      </w:r>
      <w:r w:rsidR="002B0FA3" w:rsidRPr="00941E3E">
        <w:rPr>
          <w:b/>
        </w:rPr>
        <w:t>16-3 ΑΚ</w:t>
      </w:r>
      <w:r w:rsidR="00BA2683">
        <w:rPr>
          <w:b/>
        </w:rPr>
        <w:t>,</w:t>
      </w:r>
      <w:r w:rsidR="002B0FA3" w:rsidRPr="004E7F76">
        <w:t xml:space="preserve"> </w:t>
      </w:r>
      <w:r w:rsidR="002B0FA3">
        <w:rPr>
          <w:i/>
          <w:iCs/>
        </w:rPr>
        <w:t>«</w:t>
      </w:r>
      <w:r w:rsidR="001F5D7D">
        <w:rPr>
          <w:i/>
          <w:iCs/>
        </w:rPr>
        <w:t>δ</w:t>
      </w:r>
      <w:r w:rsidR="002B0FA3" w:rsidRPr="004E7F76">
        <w:rPr>
          <w:i/>
          <w:iCs/>
        </w:rPr>
        <w:t xml:space="preserve">ε μπορεί να προσβληθεί η σωματική ακεραιότητα του </w:t>
      </w:r>
      <w:r w:rsidR="00653769">
        <w:rPr>
          <w:i/>
          <w:iCs/>
        </w:rPr>
        <w:t>ανθρωπίνου</w:t>
      </w:r>
      <w:r w:rsidR="002B0FA3" w:rsidRPr="004E7F76">
        <w:rPr>
          <w:i/>
          <w:iCs/>
        </w:rPr>
        <w:t xml:space="preserve"> σώματος</w:t>
      </w:r>
      <w:r>
        <w:rPr>
          <w:i/>
          <w:iCs/>
        </w:rPr>
        <w:t>,</w:t>
      </w:r>
      <w:r w:rsidR="002B0FA3" w:rsidRPr="004E7F76">
        <w:rPr>
          <w:i/>
          <w:iCs/>
        </w:rPr>
        <w:t xml:space="preserve"> παρά μόνο σε περίπτωση ιατρικής ανάγκης για το πρόσωπο ή κατ’ εξαίρεση προς το θεραπευτικό συμφέρον του. </w:t>
      </w:r>
      <w:r w:rsidR="002B0FA3" w:rsidRPr="004E7F76">
        <w:rPr>
          <w:i/>
        </w:rPr>
        <w:t>Η συναίνεση του ενδιαφερόμενου πρέπει να λαμβάνεται προγενέστερα [της εκτέλεσης της ιατρικής πράξης]</w:t>
      </w:r>
      <w:r>
        <w:rPr>
          <w:i/>
        </w:rPr>
        <w:t>,</w:t>
      </w:r>
      <w:r w:rsidR="002B0FA3" w:rsidRPr="004E7F76">
        <w:rPr>
          <w:i/>
        </w:rPr>
        <w:t xml:space="preserve"> εξαιρουμένης της περίπτωσης κατά την οποία η κατάσταση της υγείας του καθιστά αναγκαία θεραπευτική παρέμβαση στην οποία δεν είναι σε θέση να συναινέσει</w:t>
      </w:r>
      <w:r w:rsidR="002B0FA3">
        <w:t xml:space="preserve">». </w:t>
      </w:r>
    </w:p>
    <w:p w14:paraId="7673FDF1" w14:textId="77777777" w:rsidR="002B0FA3" w:rsidRPr="001F5D7D" w:rsidRDefault="00941E3E" w:rsidP="00DB4D72">
      <w:r>
        <w:t xml:space="preserve">Στο ίδιο πλαίσιο, το άρθρο </w:t>
      </w:r>
      <w:r w:rsidR="002B0FA3" w:rsidRPr="004E7F76">
        <w:rPr>
          <w:lang w:val="fr-FR"/>
        </w:rPr>
        <w:t>L</w:t>
      </w:r>
      <w:r w:rsidR="002B0FA3" w:rsidRPr="004E7F76">
        <w:t>.</w:t>
      </w:r>
      <w:r w:rsidR="00BA2683">
        <w:t xml:space="preserve"> </w:t>
      </w:r>
      <w:r w:rsidR="002B0FA3" w:rsidRPr="004E7F76">
        <w:t xml:space="preserve">1111-4 </w:t>
      </w:r>
      <w:r w:rsidR="002E099D">
        <w:t xml:space="preserve">ΚΔΥ </w:t>
      </w:r>
      <w:r>
        <w:t>ορίζει ότι «</w:t>
      </w:r>
      <w:r w:rsidRPr="00941E3E">
        <w:rPr>
          <w:i/>
        </w:rPr>
        <w:t>κ</w:t>
      </w:r>
      <w:r w:rsidR="002B0FA3" w:rsidRPr="004E7F76">
        <w:rPr>
          <w:i/>
        </w:rPr>
        <w:t xml:space="preserve">άθε πρόσωπο </w:t>
      </w:r>
      <w:r w:rsidR="002B0FA3">
        <w:rPr>
          <w:i/>
        </w:rPr>
        <w:t>παίρνει</w:t>
      </w:r>
      <w:r w:rsidR="002B0FA3" w:rsidRPr="007E71B0">
        <w:rPr>
          <w:i/>
        </w:rPr>
        <w:t xml:space="preserve"> </w:t>
      </w:r>
      <w:r w:rsidR="002B0FA3" w:rsidRPr="004E7F76">
        <w:rPr>
          <w:i/>
        </w:rPr>
        <w:t>τις αποφ</w:t>
      </w:r>
      <w:r w:rsidR="002B0FA3">
        <w:rPr>
          <w:i/>
        </w:rPr>
        <w:t>άσεις που αφορούν στην υγεία του</w:t>
      </w:r>
      <w:r w:rsidR="002B0FA3" w:rsidRPr="004E7F76">
        <w:rPr>
          <w:i/>
        </w:rPr>
        <w:t xml:space="preserve"> μαζί με το ιατρικό προσωπικό, λαμβάνοντας υπόψη τις πληροφορίες κα</w:t>
      </w:r>
      <w:r w:rsidR="002B0FA3">
        <w:rPr>
          <w:i/>
        </w:rPr>
        <w:t xml:space="preserve">ι τις </w:t>
      </w:r>
      <w:r w:rsidR="002B0FA3" w:rsidRPr="001F5D7D">
        <w:rPr>
          <w:i/>
        </w:rPr>
        <w:t>συστάσεις που αυτό του παρέχει […]».</w:t>
      </w:r>
      <w:r w:rsidR="002B0FA3" w:rsidRPr="001F5D7D">
        <w:t xml:space="preserve"> </w:t>
      </w:r>
    </w:p>
    <w:p w14:paraId="5AE20002" w14:textId="77777777" w:rsidR="00425D8E" w:rsidRPr="00425D8E" w:rsidRDefault="001F5D7D" w:rsidP="00425D8E">
      <w:r w:rsidRPr="001F5D7D">
        <w:t xml:space="preserve">Ειδικότερα, </w:t>
      </w:r>
      <w:r w:rsidR="006009B0">
        <w:t>το άρθρο</w:t>
      </w:r>
      <w:r w:rsidRPr="001F5D7D">
        <w:t xml:space="preserve"> </w:t>
      </w:r>
      <w:r w:rsidR="002B0FA3" w:rsidRPr="001F5D7D">
        <w:t>L.</w:t>
      </w:r>
      <w:r w:rsidR="00BA2683">
        <w:t xml:space="preserve"> </w:t>
      </w:r>
      <w:r w:rsidR="002B0FA3" w:rsidRPr="001F5D7D">
        <w:t xml:space="preserve">2141-2 </w:t>
      </w:r>
      <w:r w:rsidR="002E099D">
        <w:t xml:space="preserve">ΚΔΥ </w:t>
      </w:r>
      <w:r w:rsidR="006009B0">
        <w:t>προβλέπει ότι</w:t>
      </w:r>
      <w:r w:rsidR="00E5412E">
        <w:t xml:space="preserve"> </w:t>
      </w:r>
      <w:r w:rsidR="002B0FA3" w:rsidRPr="001F5D7D">
        <w:t>«</w:t>
      </w:r>
      <w:r w:rsidR="00E5412E" w:rsidRPr="00E5412E">
        <w:rPr>
          <w:i/>
        </w:rPr>
        <w:t>ο</w:t>
      </w:r>
      <w:r w:rsidR="002B0FA3" w:rsidRPr="00E5412E">
        <w:rPr>
          <w:i/>
        </w:rPr>
        <w:t xml:space="preserve"> </w:t>
      </w:r>
      <w:r w:rsidR="002B0FA3" w:rsidRPr="001F5D7D">
        <w:rPr>
          <w:i/>
        </w:rPr>
        <w:t>άνδρας και η γυναίκα που συνθέτουν το [υποβοηθούμενο</w:t>
      </w:r>
      <w:r w:rsidR="002B0FA3" w:rsidRPr="004E7F76">
        <w:rPr>
          <w:i/>
        </w:rPr>
        <w:t>] ζευγάρι πρέπει να είναι εν ζωή, σε ηλικία</w:t>
      </w:r>
      <w:r w:rsidR="002B0FA3" w:rsidRPr="00040EE2">
        <w:rPr>
          <w:i/>
        </w:rPr>
        <w:t xml:space="preserve"> </w:t>
      </w:r>
      <w:r w:rsidR="002B0FA3" w:rsidRPr="004E7F76">
        <w:rPr>
          <w:i/>
        </w:rPr>
        <w:t>φυσικής ικανότητας αναπαραγωγής</w:t>
      </w:r>
      <w:r w:rsidR="002B0FA3">
        <w:rPr>
          <w:i/>
        </w:rPr>
        <w:t xml:space="preserve"> </w:t>
      </w:r>
      <w:r w:rsidR="002B0FA3" w:rsidRPr="004E7F76">
        <w:rPr>
          <w:i/>
        </w:rPr>
        <w:t>και να παρέχουν τη συναίνεσή τους προγενέστερα της μεταφοράς των εμβρύων ή της γονιμοποίησης</w:t>
      </w:r>
      <w:r w:rsidR="002B0FA3" w:rsidRPr="004E7F76">
        <w:t xml:space="preserve">». </w:t>
      </w:r>
      <w:r w:rsidR="006009B0">
        <w:t>Σύμφωνα, δε, με το άρθ</w:t>
      </w:r>
      <w:r w:rsidR="002B0FA3" w:rsidRPr="004E7F76">
        <w:t>ρο L</w:t>
      </w:r>
      <w:r w:rsidR="006009B0">
        <w:t>.</w:t>
      </w:r>
      <w:r w:rsidR="00BA2683">
        <w:t xml:space="preserve"> </w:t>
      </w:r>
      <w:r w:rsidR="006009B0">
        <w:t xml:space="preserve">2141-10 </w:t>
      </w:r>
      <w:r w:rsidR="005A1087">
        <w:t>ΚΔΥ</w:t>
      </w:r>
      <w:r w:rsidR="00BA2683">
        <w:t>, πριν από τη λήψη</w:t>
      </w:r>
      <w:r w:rsidR="006009B0">
        <w:t xml:space="preserve"> κάθε απόφασης σχετικά με την εφαρμογή μεθόδων ιατρικά υποβοηθούμενης </w:t>
      </w:r>
      <w:r w:rsidR="006009B0">
        <w:lastRenderedPageBreak/>
        <w:t xml:space="preserve">αναπαραγωγής </w:t>
      </w:r>
      <w:r w:rsidR="00BA2683">
        <w:t>πρέπει να έχει προηγηθεί</w:t>
      </w:r>
      <w:r w:rsidR="006009B0">
        <w:t xml:space="preserve"> η διενέργεια ειδικών συνεντεύξεων των υποψηφίων υποβοηθούμ</w:t>
      </w:r>
      <w:r w:rsidR="00077E69">
        <w:t xml:space="preserve">ενων προσώπων από την </w:t>
      </w:r>
      <w:r w:rsidR="006009B0" w:rsidRPr="00077E69">
        <w:t xml:space="preserve">ιατρική </w:t>
      </w:r>
      <w:r w:rsidR="002911D9" w:rsidRPr="00077E69">
        <w:t>κλινικο-βιολογική</w:t>
      </w:r>
      <w:r w:rsidR="006009B0" w:rsidRPr="00077E69">
        <w:t xml:space="preserve"> διεπιστημονική ομάδας, η οποία με τη σειρά της μπορεί να κάνει έκκληση, αν χρειαστεί, στην κοινωνική υπηρεσία που προβλέπεται στον τίτλο </w:t>
      </w:r>
      <w:r w:rsidR="006009B0" w:rsidRPr="00077E69">
        <w:rPr>
          <w:lang w:val="fr-FR"/>
        </w:rPr>
        <w:t>VI</w:t>
      </w:r>
      <w:r w:rsidR="006009B0" w:rsidRPr="00077E69">
        <w:t xml:space="preserve"> του Κώδικα Οικογένειας και Κοινωνικής Βοήθειας</w:t>
      </w:r>
      <w:r w:rsidR="006009B0">
        <w:rPr>
          <w:rStyle w:val="FootnoteReference"/>
        </w:rPr>
        <w:footnoteReference w:id="171"/>
      </w:r>
      <w:r w:rsidR="006009B0" w:rsidRPr="006009B0">
        <w:t xml:space="preserve">. </w:t>
      </w:r>
      <w:r w:rsidR="002911D9">
        <w:t xml:space="preserve">Αφού προβούν στην προβλεπόμενη από το νόμο ενημέρωση του υποψηφίου </w:t>
      </w:r>
      <w:r w:rsidR="002911D9" w:rsidRPr="002911D9">
        <w:t>υποβοηθούμενου ζευγαριού</w:t>
      </w:r>
      <w:r w:rsidR="002911D9">
        <w:rPr>
          <w:rStyle w:val="FootnoteReference"/>
        </w:rPr>
        <w:footnoteReference w:id="172"/>
      </w:r>
      <w:r w:rsidR="002911D9">
        <w:t xml:space="preserve">, </w:t>
      </w:r>
      <w:r w:rsidR="00425D8E">
        <w:t xml:space="preserve">οι επαγγελματίες υγείας αφήνουν στους μελλοντικούς γονείς ένα χρονικό διάστημα ενός μηνός για να το σκεφτούν. </w:t>
      </w:r>
      <w:r w:rsidR="00923946">
        <w:t>Για τη διασφάλιση της σοβαρότητας του αιτήματος του ζευγαριού, επομένως, τ</w:t>
      </w:r>
      <w:r w:rsidR="00425D8E">
        <w:t xml:space="preserve">ο αίτημα της ιατρικά υποβοηθούμενης αναπαραγωγής μπορεί να επιβεβαιωθεί, σύμφωνα με το άρθρο </w:t>
      </w:r>
      <w:r w:rsidR="00425D8E" w:rsidRPr="004E7F76">
        <w:t>L</w:t>
      </w:r>
      <w:r w:rsidR="00425D8E">
        <w:t>.</w:t>
      </w:r>
      <w:r w:rsidR="00077E69">
        <w:t xml:space="preserve"> </w:t>
      </w:r>
      <w:r w:rsidR="00425D8E">
        <w:t>2141-10, παρ. 3</w:t>
      </w:r>
      <w:r w:rsidR="007517DE">
        <w:t xml:space="preserve"> και 4</w:t>
      </w:r>
      <w:r w:rsidR="00425D8E">
        <w:t xml:space="preserve">, </w:t>
      </w:r>
      <w:r w:rsidR="005A1087">
        <w:t>ΚΔΥ</w:t>
      </w:r>
      <w:r w:rsidR="00425D8E" w:rsidRPr="00425D8E">
        <w:t xml:space="preserve">, μόνο </w:t>
      </w:r>
      <w:r w:rsidR="00425D8E">
        <w:t>μετά την πάροδο του διαστήματος του ενός μην</w:t>
      </w:r>
      <w:r w:rsidR="00923946">
        <w:t xml:space="preserve">ός από την τελευταία συνέντευξη. Η επιβεβαίωση αυτή γίνεται </w:t>
      </w:r>
      <w:r w:rsidR="007517DE">
        <w:t>εγγράφως</w:t>
      </w:r>
      <w:r w:rsidR="00425D8E">
        <w:t xml:space="preserve">. </w:t>
      </w:r>
      <w:r w:rsidR="00425D8E" w:rsidRPr="00425D8E">
        <w:t xml:space="preserve"> </w:t>
      </w:r>
    </w:p>
    <w:p w14:paraId="2B273780" w14:textId="77777777" w:rsidR="00D93099" w:rsidRDefault="00F020B3" w:rsidP="004A4262">
      <w:pPr>
        <w:rPr>
          <w:rFonts w:eastAsia="Calibri"/>
        </w:rPr>
      </w:pPr>
      <w:r>
        <w:rPr>
          <w:rFonts w:eastAsia="Calibri"/>
        </w:rPr>
        <w:t xml:space="preserve">Παράλληλα με τον Κώδικα Δημόσιας Υγείας, ο </w:t>
      </w:r>
      <w:r w:rsidRPr="00F020B3">
        <w:rPr>
          <w:rFonts w:eastAsia="Calibri"/>
          <w:b/>
        </w:rPr>
        <w:t>Οδηγός καλών κλινικών και βιολογικών πρακτικών στην ιατρικά υποβοηθούμενη αναπαραγωγή</w:t>
      </w:r>
      <w:r>
        <w:rPr>
          <w:rFonts w:eastAsia="Calibri"/>
        </w:rPr>
        <w:t xml:space="preserve"> προβλέπει</w:t>
      </w:r>
      <w:r w:rsidR="00D93099">
        <w:rPr>
          <w:rFonts w:eastAsia="Calibri"/>
        </w:rPr>
        <w:t>,</w:t>
      </w:r>
      <w:r>
        <w:rPr>
          <w:rFonts w:eastAsia="Calibri"/>
        </w:rPr>
        <w:t xml:space="preserve"> στο </w:t>
      </w:r>
      <w:r w:rsidRPr="00D93099">
        <w:rPr>
          <w:rFonts w:eastAsia="Calibri"/>
          <w:b/>
        </w:rPr>
        <w:t>Παράρτημα ΙΙ</w:t>
      </w:r>
      <w:r>
        <w:rPr>
          <w:rFonts w:eastAsia="Calibri"/>
        </w:rPr>
        <w:t xml:space="preserve"> που τιτλοφορείται </w:t>
      </w:r>
      <w:r w:rsidRPr="00F020B3">
        <w:rPr>
          <w:rFonts w:eastAsia="Calibri"/>
          <w:i/>
        </w:rPr>
        <w:t>Διατάξεις Κοινές στο σύνολο των δραστηριοτήτων της ιατρικά υποβοηθούμενης αναπαραγωγής</w:t>
      </w:r>
      <w:r>
        <w:rPr>
          <w:rFonts w:eastAsia="Calibri"/>
        </w:rPr>
        <w:t xml:space="preserve"> και, πιο συγκεκριμένα, στο </w:t>
      </w:r>
      <w:r w:rsidRPr="00D93099">
        <w:rPr>
          <w:rFonts w:eastAsia="Calibri"/>
          <w:b/>
        </w:rPr>
        <w:t>ΙΙ. 5</w:t>
      </w:r>
      <w:r w:rsidRPr="004E7F76">
        <w:rPr>
          <w:rFonts w:eastAsia="Calibri"/>
        </w:rPr>
        <w:t xml:space="preserve"> </w:t>
      </w:r>
      <w:r>
        <w:rPr>
          <w:rFonts w:eastAsia="Calibri"/>
        </w:rPr>
        <w:t xml:space="preserve">με τίτλο </w:t>
      </w:r>
      <w:r w:rsidRPr="00F020B3">
        <w:rPr>
          <w:rFonts w:eastAsia="Calibri"/>
          <w:i/>
        </w:rPr>
        <w:t>Κοινός ιατρικός φάκελος του υποβοηθούμενου ζευγαριού</w:t>
      </w:r>
      <w:r w:rsidR="00D93099">
        <w:rPr>
          <w:rFonts w:eastAsia="Calibri"/>
        </w:rPr>
        <w:t>, ότι τ</w:t>
      </w:r>
      <w:r w:rsidR="002B0FA3" w:rsidRPr="004E7F76">
        <w:rPr>
          <w:rFonts w:eastAsia="Calibri"/>
        </w:rPr>
        <w:t>α απαραίτητα δικαιολογητικά που οφείλουν να προσκομίσουν τα υποβοηθούμενα πρόσωπα πριν καταφύγουν σ</w:t>
      </w:r>
      <w:r w:rsidR="002B0FA3">
        <w:rPr>
          <w:rFonts w:eastAsia="Calibri"/>
        </w:rPr>
        <w:t>την ιατρικά υποβοηθούμενη αναπαραγωγή</w:t>
      </w:r>
      <w:r w:rsidR="002B0FA3" w:rsidRPr="004E7F76">
        <w:rPr>
          <w:rFonts w:eastAsia="Calibri"/>
        </w:rPr>
        <w:t xml:space="preserve"> είναι, μεταξύ άλλων, </w:t>
      </w:r>
      <w:r w:rsidR="002B0FA3">
        <w:rPr>
          <w:rFonts w:eastAsia="Calibri"/>
        </w:rPr>
        <w:t>«</w:t>
      </w:r>
      <w:r w:rsidR="002B0FA3" w:rsidRPr="004E7F76">
        <w:rPr>
          <w:rFonts w:eastAsia="Calibri"/>
          <w:i/>
        </w:rPr>
        <w:t xml:space="preserve">η έγγραφη συναίνεσή τους, υπογεγραμμένη προγενέστερα της εκτέλεσης </w:t>
      </w:r>
      <w:r w:rsidR="002B0FA3">
        <w:rPr>
          <w:rFonts w:eastAsia="Calibri"/>
          <w:i/>
        </w:rPr>
        <w:t>της ιατρικά υποβοηθούμενης αναπαραγωγής</w:t>
      </w:r>
      <w:r w:rsidR="002B0FA3" w:rsidRPr="004E7F76">
        <w:rPr>
          <w:rFonts w:eastAsia="Calibri"/>
          <w:i/>
        </w:rPr>
        <w:t xml:space="preserve">, καθώς επίσης και η ανανέωσή της πριν από κάθε </w:t>
      </w:r>
      <w:r w:rsidR="002B0FA3">
        <w:rPr>
          <w:rFonts w:eastAsia="Calibri"/>
          <w:i/>
        </w:rPr>
        <w:t>προσπάθεια ιατρικά υποβοηθούμενης αναπαραγωγής</w:t>
      </w:r>
      <w:r w:rsidR="002B0FA3" w:rsidRPr="004E7F76">
        <w:rPr>
          <w:rFonts w:eastAsia="Calibri"/>
          <w:i/>
        </w:rPr>
        <w:t xml:space="preserve"> </w:t>
      </w:r>
      <w:r w:rsidR="001B585E">
        <w:rPr>
          <w:rFonts w:eastAsia="Calibri"/>
          <w:i/>
        </w:rPr>
        <w:t>και πριν από κάθε μεταφορά κρυο</w:t>
      </w:r>
      <w:r w:rsidR="002B0FA3" w:rsidRPr="004E7F76">
        <w:rPr>
          <w:rFonts w:eastAsia="Calibri"/>
          <w:i/>
        </w:rPr>
        <w:t>συντηρημένων εμβρύων</w:t>
      </w:r>
      <w:r w:rsidR="002B0FA3">
        <w:rPr>
          <w:rFonts w:eastAsia="Calibri"/>
        </w:rPr>
        <w:t>»</w:t>
      </w:r>
      <w:r w:rsidR="002B0FA3" w:rsidRPr="004E7F76">
        <w:rPr>
          <w:rFonts w:eastAsia="Calibri"/>
        </w:rPr>
        <w:t xml:space="preserve">. </w:t>
      </w:r>
      <w:r w:rsidR="00D93099">
        <w:rPr>
          <w:rFonts w:eastAsia="Calibri"/>
        </w:rPr>
        <w:t>Η ε</w:t>
      </w:r>
      <w:r w:rsidR="00D93099" w:rsidRPr="004E7F76">
        <w:rPr>
          <w:rFonts w:eastAsia="Calibri"/>
        </w:rPr>
        <w:t xml:space="preserve">πιβεβαίωση </w:t>
      </w:r>
      <w:r w:rsidR="00D93099">
        <w:rPr>
          <w:rFonts w:eastAsia="Calibri"/>
        </w:rPr>
        <w:t xml:space="preserve">του </w:t>
      </w:r>
      <w:r w:rsidR="00D93099" w:rsidRPr="004E7F76">
        <w:rPr>
          <w:rFonts w:eastAsia="Calibri"/>
        </w:rPr>
        <w:t>αιτήματος</w:t>
      </w:r>
      <w:r w:rsidR="00D93099">
        <w:rPr>
          <w:rFonts w:eastAsia="Calibri"/>
        </w:rPr>
        <w:t xml:space="preserve"> της</w:t>
      </w:r>
      <w:r w:rsidR="00D93099" w:rsidRPr="004E7F76">
        <w:rPr>
          <w:rFonts w:eastAsia="Calibri"/>
        </w:rPr>
        <w:t xml:space="preserve"> </w:t>
      </w:r>
      <w:r w:rsidR="00D93099">
        <w:rPr>
          <w:rFonts w:eastAsia="Calibri"/>
        </w:rPr>
        <w:t>ιατρικά υποβοηθούμενης αναπαραγωγής γίνεται, όπως ορίζεται αντίστοιχα στο</w:t>
      </w:r>
      <w:r w:rsidR="00D93099" w:rsidRPr="00D93099">
        <w:rPr>
          <w:rFonts w:eastAsia="Calibri"/>
        </w:rPr>
        <w:t xml:space="preserve"> </w:t>
      </w:r>
      <w:r w:rsidR="00D93099" w:rsidRPr="00E82C93">
        <w:rPr>
          <w:rFonts w:eastAsia="Calibri"/>
        </w:rPr>
        <w:t>ΙΙ. 1.2 του</w:t>
      </w:r>
      <w:r w:rsidR="00D93099">
        <w:rPr>
          <w:rFonts w:eastAsia="Calibri"/>
        </w:rPr>
        <w:t xml:space="preserve"> Παραρτήματος, </w:t>
      </w:r>
      <w:r w:rsidR="00D93099" w:rsidRPr="004E7F76">
        <w:t>«</w:t>
      </w:r>
      <w:r w:rsidR="00D93099" w:rsidRPr="004E7F76">
        <w:rPr>
          <w:i/>
        </w:rPr>
        <w:t xml:space="preserve">εγγράφως, από τα δύο μέλη </w:t>
      </w:r>
      <w:r w:rsidR="00D93099">
        <w:rPr>
          <w:i/>
        </w:rPr>
        <w:t>του ζευγαριού, μετά τη λήξη περιόδου</w:t>
      </w:r>
      <w:r w:rsidR="00E82C93">
        <w:rPr>
          <w:i/>
        </w:rPr>
        <w:t xml:space="preserve"> σκέψης τουλάχιστον ενός μηνός</w:t>
      </w:r>
      <w:r w:rsidR="00D93099" w:rsidRPr="004E7F76">
        <w:rPr>
          <w:i/>
        </w:rPr>
        <w:t xml:space="preserve"> από την τελευταία συνέντευξη</w:t>
      </w:r>
      <w:r w:rsidR="00D93099" w:rsidRPr="004E7F76">
        <w:t xml:space="preserve">». </w:t>
      </w:r>
      <w:r w:rsidR="006C4E67">
        <w:t xml:space="preserve">Τέλος, στο σημείο </w:t>
      </w:r>
      <w:r w:rsidR="006C4E67" w:rsidRPr="006C4E67">
        <w:rPr>
          <w:rFonts w:eastAsia="Calibri"/>
          <w:b/>
        </w:rPr>
        <w:t>ΙΙΙ του Παραρτήματος</w:t>
      </w:r>
      <w:r w:rsidR="00E82C93">
        <w:rPr>
          <w:rFonts w:eastAsia="Calibri"/>
        </w:rPr>
        <w:t xml:space="preserve"> του Οδηγού </w:t>
      </w:r>
      <w:r w:rsidR="006C4E67">
        <w:rPr>
          <w:rFonts w:eastAsia="Calibri"/>
        </w:rPr>
        <w:t xml:space="preserve">με θέμα τις </w:t>
      </w:r>
      <w:r w:rsidR="006C4E67" w:rsidRPr="006C4E67">
        <w:rPr>
          <w:rFonts w:eastAsia="Calibri"/>
          <w:i/>
        </w:rPr>
        <w:t>Ειδικές διατάξεις που εφαρμόζονται στις διαφορετικές δραστηριότητες ιατρικά υποβοηθούμενης αναπαραγωγής</w:t>
      </w:r>
      <w:r w:rsidR="006C4E67">
        <w:rPr>
          <w:rFonts w:eastAsia="Calibri"/>
        </w:rPr>
        <w:t>, προβλέπεται ότι</w:t>
      </w:r>
      <w:r w:rsidR="004A4262">
        <w:rPr>
          <w:rFonts w:eastAsia="Calibri"/>
        </w:rPr>
        <w:t xml:space="preserve"> </w:t>
      </w:r>
      <w:r w:rsidR="006C4E67">
        <w:rPr>
          <w:rFonts w:eastAsia="Calibri"/>
        </w:rPr>
        <w:t>«</w:t>
      </w:r>
      <w:r w:rsidR="004A4262">
        <w:rPr>
          <w:rFonts w:eastAsia="Calibri"/>
          <w:i/>
        </w:rPr>
        <w:t>ο</w:t>
      </w:r>
      <w:r w:rsidR="006C4E67" w:rsidRPr="004E7F76">
        <w:rPr>
          <w:rFonts w:eastAsia="Calibri"/>
          <w:i/>
        </w:rPr>
        <w:t xml:space="preserve">ι δραστηριότητες </w:t>
      </w:r>
      <w:r w:rsidR="006C4E67">
        <w:rPr>
          <w:rFonts w:eastAsia="Calibri"/>
          <w:i/>
        </w:rPr>
        <w:t>ιατρικά υποβοηθούμενης αναπαραγωγής</w:t>
      </w:r>
      <w:r w:rsidR="006C4E67" w:rsidRPr="004E7F76">
        <w:rPr>
          <w:rFonts w:eastAsia="Calibri"/>
          <w:i/>
        </w:rPr>
        <w:t xml:space="preserve"> καθιστούν αναγκαία τη λήψη συναίνεσης και από τα δύο μέλη που απαρτίζουν το υποβοηθούμενο ζευγάρι</w:t>
      </w:r>
      <w:r w:rsidR="006C4E67">
        <w:rPr>
          <w:rFonts w:eastAsia="Calibri"/>
        </w:rPr>
        <w:t>»</w:t>
      </w:r>
      <w:r w:rsidR="006C4E67" w:rsidRPr="004E7F76">
        <w:rPr>
          <w:rFonts w:eastAsia="Calibri"/>
        </w:rPr>
        <w:t xml:space="preserve">. </w:t>
      </w:r>
    </w:p>
    <w:p w14:paraId="1A88FD1F" w14:textId="77777777" w:rsidR="00451E0F" w:rsidRDefault="00451E0F" w:rsidP="00451E0F">
      <w:r>
        <w:t>Στην πράξη:</w:t>
      </w:r>
    </w:p>
    <w:p w14:paraId="14635D04" w14:textId="77777777" w:rsidR="00451E0F" w:rsidRDefault="00451E0F" w:rsidP="00E5410F">
      <w:pPr>
        <w:numPr>
          <w:ilvl w:val="0"/>
          <w:numId w:val="16"/>
        </w:numPr>
        <w:tabs>
          <w:tab w:val="left" w:pos="567"/>
        </w:tabs>
        <w:ind w:left="0" w:firstLine="0"/>
      </w:pPr>
      <w:r>
        <w:t xml:space="preserve">η έγγραφη και υπογεγραμμένη προγενέστερη συναίνεση του υποβοηθούμενου ζευγαριού πρέπει να ανανεώνεται πριν από κάθε προσπάθεια ιατρικά υποβοηθούμενης αναπαραγωγής, καθώς επίσης </w:t>
      </w:r>
      <w:r w:rsidR="001B585E">
        <w:t>και πριν από κάθε μεταφορά κρυο</w:t>
      </w:r>
      <w:r>
        <w:t xml:space="preserve">συντηρημένων εμβρύων. </w:t>
      </w:r>
    </w:p>
    <w:p w14:paraId="42F41242" w14:textId="77777777" w:rsidR="00451E0F" w:rsidRDefault="00E82C93" w:rsidP="00E5410F">
      <w:pPr>
        <w:numPr>
          <w:ilvl w:val="0"/>
          <w:numId w:val="16"/>
        </w:numPr>
        <w:tabs>
          <w:tab w:val="left" w:pos="567"/>
        </w:tabs>
        <w:ind w:left="0" w:firstLine="0"/>
      </w:pPr>
      <w:r>
        <w:lastRenderedPageBreak/>
        <w:t xml:space="preserve">η </w:t>
      </w:r>
      <w:r w:rsidR="00451E0F">
        <w:t xml:space="preserve">έγγραφη συναίνεση πρέπει να υπογράφεται από καθένα από τα δύο πρόσωπα του υποβοηθούμενου ζευγαριού, παρουσία ενός μέλους της ιατρικής διεπιστημονικής ομάδας του κέντρου ιατρικά υποβοηθούμενης αναπαραγωγής. </w:t>
      </w:r>
    </w:p>
    <w:p w14:paraId="286D4379" w14:textId="77777777" w:rsidR="00451E0F" w:rsidRDefault="00451E0F" w:rsidP="00E5410F">
      <w:pPr>
        <w:numPr>
          <w:ilvl w:val="0"/>
          <w:numId w:val="16"/>
        </w:numPr>
        <w:tabs>
          <w:tab w:val="left" w:pos="567"/>
        </w:tabs>
        <w:ind w:left="0" w:firstLine="0"/>
      </w:pPr>
      <w:r>
        <w:t xml:space="preserve">η ισχύς της συναίνεσης πρέπει να επαληθεύεται από την ιατρική ομάδα πριν από την πραγματοποίηση της πράξης ιατρικά υποβοηθούμενης αναπαραγωγής, ιδίως όταν μεσολαβεί ορισμένο χρονικό διάστημα μεταξύ της υπογραφής της και της εκτέλεσης της ιατρικά υποβοηθούμενης αναπαραγωγής. </w:t>
      </w:r>
    </w:p>
    <w:p w14:paraId="02C2361A" w14:textId="77777777" w:rsidR="00736CAA" w:rsidRDefault="00736CAA" w:rsidP="00736CAA">
      <w:pPr>
        <w:ind w:firstLine="0"/>
      </w:pPr>
      <w:r w:rsidRPr="00736CAA">
        <w:rPr>
          <w:i/>
          <w:u w:val="dash"/>
        </w:rPr>
        <w:t>Απαιτούμενος τύπος</w:t>
      </w:r>
      <w:r>
        <w:t>:</w:t>
      </w:r>
    </w:p>
    <w:p w14:paraId="6FA23F4F" w14:textId="77777777" w:rsidR="00736CAA" w:rsidRPr="00D347BD" w:rsidRDefault="00736CAA" w:rsidP="00736CAA">
      <w:pPr>
        <w:rPr>
          <w:rFonts w:eastAsia="Calibri"/>
          <w:lang w:eastAsia="en-US"/>
        </w:rPr>
      </w:pPr>
      <w:r>
        <w:rPr>
          <w:rFonts w:eastAsia="Calibri"/>
          <w:lang w:eastAsia="en-US"/>
        </w:rPr>
        <w:t>Όταν η ιατρικά υποβοηθούμενη αναπαραγωγή</w:t>
      </w:r>
      <w:r w:rsidRPr="00D347BD">
        <w:rPr>
          <w:rFonts w:eastAsia="Calibri"/>
          <w:lang w:eastAsia="en-US"/>
        </w:rPr>
        <w:t xml:space="preserve"> </w:t>
      </w:r>
      <w:r>
        <w:rPr>
          <w:rFonts w:eastAsia="Calibri"/>
          <w:lang w:eastAsia="en-US"/>
        </w:rPr>
        <w:t xml:space="preserve">είναι ομόλογη – δε μεσολαβεί δηλαδή προσφυγή σε γεννητικό υλικό τρίτου δότη, ούτε το υποβοηθούμενο ζευγάρι λαμβάνει έμβρυο τρίτων δοτών – η </w:t>
      </w:r>
      <w:r w:rsidRPr="00D347BD">
        <w:rPr>
          <w:rFonts w:eastAsia="Calibri"/>
          <w:lang w:eastAsia="en-US"/>
        </w:rPr>
        <w:t>συναίνεση παρέχεται</w:t>
      </w:r>
      <w:r>
        <w:rPr>
          <w:rFonts w:eastAsia="Calibri"/>
          <w:lang w:eastAsia="en-US"/>
        </w:rPr>
        <w:t xml:space="preserve"> </w:t>
      </w:r>
      <w:r w:rsidRPr="00156410">
        <w:rPr>
          <w:rFonts w:eastAsia="Calibri"/>
          <w:b/>
          <w:lang w:eastAsia="en-US"/>
        </w:rPr>
        <w:t>με απλό έγγραφο</w:t>
      </w:r>
      <w:r w:rsidRPr="00D347BD">
        <w:rPr>
          <w:rFonts w:eastAsia="Calibri"/>
          <w:lang w:eastAsia="en-US"/>
        </w:rPr>
        <w:t xml:space="preserve">. </w:t>
      </w:r>
    </w:p>
    <w:p w14:paraId="3E63BEED" w14:textId="77777777" w:rsidR="00736CAA" w:rsidRPr="00285F17" w:rsidRDefault="00285F17" w:rsidP="00285F17">
      <w:r w:rsidRPr="00285F17">
        <w:rPr>
          <w:rFonts w:eastAsia="Calibri"/>
          <w:lang w:eastAsia="en-US"/>
        </w:rPr>
        <w:t>Εξαιρούντ</w:t>
      </w:r>
      <w:r w:rsidR="00736CAA" w:rsidRPr="00285F17">
        <w:rPr>
          <w:rFonts w:eastAsia="Calibri"/>
          <w:lang w:eastAsia="en-US"/>
        </w:rPr>
        <w:t>αι</w:t>
      </w:r>
      <w:r w:rsidR="00402379" w:rsidRPr="00285F17">
        <w:rPr>
          <w:rFonts w:eastAsia="Calibri"/>
          <w:lang w:eastAsia="en-US"/>
        </w:rPr>
        <w:t>, όπως θα δούμε ακολούθως,</w:t>
      </w:r>
      <w:r w:rsidR="00736CAA" w:rsidRPr="00285F17">
        <w:rPr>
          <w:rFonts w:eastAsia="Calibri"/>
          <w:lang w:eastAsia="en-US"/>
        </w:rPr>
        <w:t xml:space="preserve"> </w:t>
      </w:r>
      <w:r w:rsidRPr="00285F17">
        <w:rPr>
          <w:rFonts w:eastAsia="Calibri"/>
          <w:lang w:eastAsia="en-US"/>
        </w:rPr>
        <w:t>οι περιπτώσεις</w:t>
      </w:r>
      <w:r w:rsidR="00736CAA" w:rsidRPr="00285F17">
        <w:rPr>
          <w:rFonts w:eastAsia="Calibri"/>
          <w:lang w:eastAsia="en-US"/>
        </w:rPr>
        <w:t xml:space="preserve"> της </w:t>
      </w:r>
      <w:r w:rsidR="00402379" w:rsidRPr="00285F17">
        <w:rPr>
          <w:rFonts w:eastAsia="Calibri"/>
          <w:lang w:eastAsia="en-US"/>
        </w:rPr>
        <w:t xml:space="preserve">ετερόλογης </w:t>
      </w:r>
      <w:r w:rsidR="00736CAA" w:rsidRPr="00285F17">
        <w:rPr>
          <w:rFonts w:eastAsia="Calibri"/>
          <w:lang w:eastAsia="en-US"/>
        </w:rPr>
        <w:t xml:space="preserve">ιατρικά υποβοηθούμενης αναπαραγωγής, όπου και σύμφωνα με τις διατάξεις των άρθρων </w:t>
      </w:r>
      <w:r w:rsidRPr="00285F17">
        <w:t xml:space="preserve">311-20, παρ. 1, ΑΚ, </w:t>
      </w:r>
      <w:r w:rsidR="00736CAA" w:rsidRPr="00285F17">
        <w:t>1157-2 ΚΠολΔ</w:t>
      </w:r>
      <w:r w:rsidRPr="00285F17">
        <w:t xml:space="preserve"> και </w:t>
      </w:r>
      <w:r w:rsidRPr="00285F17">
        <w:rPr>
          <w:rFonts w:eastAsia="Calibri"/>
          <w:lang w:val="en-US" w:eastAsia="en-US"/>
        </w:rPr>
        <w:t xml:space="preserve">L. 2141-10, </w:t>
      </w:r>
      <w:r w:rsidRPr="00285F17">
        <w:rPr>
          <w:rFonts w:eastAsia="Calibri"/>
          <w:lang w:eastAsia="en-US"/>
        </w:rPr>
        <w:t>παρ. 7, ΚΔΥ</w:t>
      </w:r>
      <w:r w:rsidR="00736CAA" w:rsidRPr="00285F17">
        <w:t>, η συναίνεση παρέχεται με κοινή δήλωση ενώπιον του Προέδρου Πολυμελούς Πρωτοδικείου (</w:t>
      </w:r>
      <w:r w:rsidR="00736CAA" w:rsidRPr="00285F17">
        <w:rPr>
          <w:i/>
          <w:lang w:val="en-US"/>
        </w:rPr>
        <w:t>tribunal</w:t>
      </w:r>
      <w:r w:rsidR="00736CAA" w:rsidRPr="00285F17">
        <w:rPr>
          <w:i/>
        </w:rPr>
        <w:t xml:space="preserve"> </w:t>
      </w:r>
      <w:r w:rsidR="00736CAA" w:rsidRPr="00285F17">
        <w:rPr>
          <w:i/>
          <w:lang w:val="en-US"/>
        </w:rPr>
        <w:t>de</w:t>
      </w:r>
      <w:r w:rsidR="00736CAA" w:rsidRPr="00285F17">
        <w:rPr>
          <w:i/>
        </w:rPr>
        <w:t xml:space="preserve"> </w:t>
      </w:r>
      <w:r w:rsidR="00736CAA" w:rsidRPr="00285F17">
        <w:rPr>
          <w:i/>
          <w:lang w:val="en-US"/>
        </w:rPr>
        <w:t>grande</w:t>
      </w:r>
      <w:r w:rsidR="00736CAA" w:rsidRPr="00285F17">
        <w:rPr>
          <w:i/>
        </w:rPr>
        <w:t xml:space="preserve"> </w:t>
      </w:r>
      <w:r w:rsidR="00736CAA" w:rsidRPr="00285F17">
        <w:rPr>
          <w:i/>
          <w:lang w:val="en-US"/>
        </w:rPr>
        <w:t>instance</w:t>
      </w:r>
      <w:r w:rsidR="00736CAA" w:rsidRPr="00285F17">
        <w:t>) της επιλογής τους ή αναπληρωτή του ή ενώπιον συμβολαιογράφου.</w:t>
      </w:r>
    </w:p>
    <w:p w14:paraId="13A05302" w14:textId="77777777" w:rsidR="00736CAA" w:rsidRPr="006B413F" w:rsidRDefault="00736CAA" w:rsidP="00285F17">
      <w:r w:rsidRPr="000A1EA4">
        <w:t>Αντίθετα</w:t>
      </w:r>
      <w:r>
        <w:t>,</w:t>
      </w:r>
      <w:r w:rsidRPr="000A1EA4">
        <w:t xml:space="preserve"> δεν </w:t>
      </w:r>
      <w:r>
        <w:t>υφίσταται καμία διαφοροποίηση στον απαιτούμενο τύπο</w:t>
      </w:r>
      <w:r w:rsidR="00285F17">
        <w:t xml:space="preserve"> της παροχής της συναίνεσης στην ιατρικά υποβοηθούμενη αναπαραγωγή</w:t>
      </w:r>
      <w:r>
        <w:t xml:space="preserve"> ανάλογα με τον τρόπο με </w:t>
      </w:r>
      <w:r w:rsidR="00285F17">
        <w:t xml:space="preserve">τον οποίο συνδέεται το ζευγάρι. Είτε, λοιπόν, το ζευγάρι έχει τελέσει γάμο, είτε έχει συνάψει σύμφωνο συμβίωσης, είτε ζει σε ελεύθερη ένωση αρκεί, εν προκειμένω, το απλό έγγραφο. </w:t>
      </w:r>
    </w:p>
    <w:p w14:paraId="089D1D17" w14:textId="77777777" w:rsidR="00D93099" w:rsidRDefault="00D93099" w:rsidP="00D93099">
      <w:pPr>
        <w:pStyle w:val="Heading5"/>
      </w:pPr>
      <w:r>
        <w:rPr>
          <w:lang w:val="en-US"/>
        </w:rPr>
        <w:t xml:space="preserve">ii. </w:t>
      </w:r>
      <w:r w:rsidRPr="00D93099">
        <w:rPr>
          <w:u w:val="dotDash"/>
        </w:rPr>
        <w:t>Ειδικότερες προϋποθέσεις</w:t>
      </w:r>
      <w:r>
        <w:t xml:space="preserve"> που αφορούν αποκλειστικά στην ιατρικά υποβοηθούμενη αναπαραγωγή με </w:t>
      </w:r>
      <w:r w:rsidR="00A9516A">
        <w:t>τρίτο</w:t>
      </w:r>
      <w:r>
        <w:t xml:space="preserve"> δότη </w:t>
      </w:r>
    </w:p>
    <w:p w14:paraId="0E71B906" w14:textId="77777777" w:rsidR="006814C2" w:rsidRDefault="00F940FD" w:rsidP="00F940FD">
      <w:r>
        <w:t>Σε περίπτωση που η ιατρικά υποβοηθούμενη αναπαραγωγ</w:t>
      </w:r>
      <w:r w:rsidR="001B585E">
        <w:t>ή δε μπορεί να διενεργηθεί ενδο</w:t>
      </w:r>
      <w:r w:rsidR="008C6F0A">
        <w:t>-συζυγι</w:t>
      </w:r>
      <w:r>
        <w:t xml:space="preserve">κά </w:t>
      </w:r>
      <w:r w:rsidR="00D21637">
        <w:t xml:space="preserve">(ομόλογη) </w:t>
      </w:r>
      <w:r>
        <w:t xml:space="preserve">και η χρήση γεννητικού υλικού τρίτου δότη ή εμβρύων που έχουν συλληφθεί από γεννητικό υλικό τρίτων δοτών είναι αναγκαία, </w:t>
      </w:r>
      <w:r w:rsidR="006814C2">
        <w:t xml:space="preserve">τίθενται σε εφαρμογή </w:t>
      </w:r>
      <w:r>
        <w:t xml:space="preserve">συμπληρωματικές </w:t>
      </w:r>
      <w:r w:rsidR="006814C2">
        <w:t xml:space="preserve">νομοθετικές ρυθμίσεις. </w:t>
      </w:r>
    </w:p>
    <w:p w14:paraId="3BD3E177" w14:textId="77777777" w:rsidR="00C63882" w:rsidRPr="00C63882" w:rsidRDefault="00C63882" w:rsidP="007447BB">
      <w:pPr>
        <w:numPr>
          <w:ilvl w:val="0"/>
          <w:numId w:val="30"/>
        </w:numPr>
        <w:tabs>
          <w:tab w:val="left" w:pos="567"/>
        </w:tabs>
        <w:ind w:left="0" w:firstLine="0"/>
        <w:rPr>
          <w:b/>
        </w:rPr>
      </w:pPr>
      <w:r w:rsidRPr="00C63882">
        <w:rPr>
          <w:b/>
        </w:rPr>
        <w:t xml:space="preserve">Ιατρικά υποβοηθούμενη αναπαραγωγή με </w:t>
      </w:r>
      <w:r w:rsidR="00A9516A">
        <w:rPr>
          <w:b/>
        </w:rPr>
        <w:t>τρίτο</w:t>
      </w:r>
      <w:r w:rsidRPr="00C63882">
        <w:rPr>
          <w:b/>
        </w:rPr>
        <w:t xml:space="preserve"> δότη</w:t>
      </w:r>
    </w:p>
    <w:p w14:paraId="4A7D543E" w14:textId="77777777" w:rsidR="006814C2" w:rsidRPr="00034154" w:rsidRDefault="006814C2" w:rsidP="006814C2">
      <w:r>
        <w:t xml:space="preserve">Εάν η ιατρικά υποβοηθούμενη αναπαραγωγή διενεργείται με την παρέμβαση τρίτου δότη, ο νομοθέτης </w:t>
      </w:r>
      <w:r w:rsidR="00034154">
        <w:t xml:space="preserve">απαιτεί τη δήλωση της σχετικής συναίνεσης ενώπιον δικαστή ή συμβολαιογράφου. </w:t>
      </w:r>
      <w:r>
        <w:t xml:space="preserve">Πιο συγκεκριμένα, δυνάμει των διατάξεων του άρθρου </w:t>
      </w:r>
      <w:r>
        <w:rPr>
          <w:rFonts w:eastAsia="Calibri"/>
          <w:lang w:val="en-US" w:eastAsia="en-US"/>
        </w:rPr>
        <w:t xml:space="preserve">L. 2141-10, </w:t>
      </w:r>
      <w:r>
        <w:rPr>
          <w:rFonts w:eastAsia="Calibri"/>
          <w:lang w:eastAsia="en-US"/>
        </w:rPr>
        <w:t xml:space="preserve">παρ. 7, </w:t>
      </w:r>
      <w:r w:rsidR="00402379">
        <w:rPr>
          <w:rFonts w:eastAsia="Calibri"/>
          <w:lang w:eastAsia="en-US"/>
        </w:rPr>
        <w:t>ΚΔΥ</w:t>
      </w:r>
      <w:r>
        <w:rPr>
          <w:rFonts w:eastAsia="Calibri"/>
          <w:lang w:eastAsia="en-US"/>
        </w:rPr>
        <w:t>, «</w:t>
      </w:r>
      <w:r w:rsidRPr="00D14C9C">
        <w:rPr>
          <w:rFonts w:eastAsia="Calibri"/>
          <w:i/>
          <w:lang w:eastAsia="en-US"/>
        </w:rPr>
        <w:t>οι σύζυγοι, οι σύντροφοι που έχουν συνάψει αστικό σύμφωνο αλληλεγγύης (</w:t>
      </w:r>
      <w:r w:rsidRPr="00D14C9C">
        <w:rPr>
          <w:rFonts w:eastAsia="Calibri"/>
          <w:i/>
          <w:lang w:val="en-US" w:eastAsia="en-US"/>
        </w:rPr>
        <w:t>PACS</w:t>
      </w:r>
      <w:r w:rsidRPr="00D14C9C">
        <w:rPr>
          <w:rFonts w:eastAsia="Calibri"/>
          <w:i/>
          <w:lang w:eastAsia="en-US"/>
        </w:rPr>
        <w:t xml:space="preserve">) ή όσοι συζούν σε ελεύθερη ένωση και χρειάζεται να προσφύγουν σε μεθόδους ιατρικά υποβοηθούμενης αναπαραγωγής με </w:t>
      </w:r>
      <w:r w:rsidR="00A9516A">
        <w:rPr>
          <w:rFonts w:eastAsia="Calibri"/>
          <w:i/>
          <w:lang w:eastAsia="en-US"/>
        </w:rPr>
        <w:t>τρίτο</w:t>
      </w:r>
      <w:r w:rsidRPr="00D14C9C">
        <w:rPr>
          <w:rFonts w:eastAsia="Calibri"/>
          <w:i/>
          <w:lang w:eastAsia="en-US"/>
        </w:rPr>
        <w:t xml:space="preserve"> δότη προκειμένου να τεκνοποιήσουν, υποχρεούνται να παράσχουν τη συναίνεσή τους, υπό τις προβλεπόμενες από τον Αστικό Κώδικα προϋποθέσεις, σε δικαστή ή σε συμβολαιογράφο</w:t>
      </w:r>
      <w:r>
        <w:rPr>
          <w:rFonts w:eastAsia="Calibri"/>
          <w:lang w:eastAsia="en-US"/>
        </w:rPr>
        <w:t xml:space="preserve">». Την ίδια πρόβλεψη για την παροχή συναίνεσης σε δικαστή ή συμβολαιογράφο περιλαμβάνει και ο Αστικός Κώδικας, ο οποίος στο άρθρο </w:t>
      </w:r>
      <w:r w:rsidR="007652F6">
        <w:t>311-20, παρ. 1,</w:t>
      </w:r>
      <w:r>
        <w:t xml:space="preserve"> ορίζει ότι «</w:t>
      </w:r>
      <w:r w:rsidRPr="00D14C9C">
        <w:rPr>
          <w:i/>
        </w:rPr>
        <w:t>οι</w:t>
      </w:r>
      <w:r w:rsidRPr="0094242E">
        <w:rPr>
          <w:i/>
        </w:rPr>
        <w:t xml:space="preserve"> σύζυγοι ή οι σύντροφοι οι οποίοι, </w:t>
      </w:r>
      <w:r w:rsidRPr="0094242E">
        <w:rPr>
          <w:i/>
        </w:rPr>
        <w:lastRenderedPageBreak/>
        <w:t>προκειμένου να τεκνοποιήσουν, καταφεύγουν σε ιατρική υποβοήθηση με παρέμβαση τρίτου δότη, οφείλουν να παρέχουν</w:t>
      </w:r>
      <w:r w:rsidR="00D63755" w:rsidRPr="00D63755">
        <w:rPr>
          <w:i/>
        </w:rPr>
        <w:t xml:space="preserve"> </w:t>
      </w:r>
      <w:r w:rsidR="00D63755" w:rsidRPr="0094242E">
        <w:rPr>
          <w:i/>
        </w:rPr>
        <w:t>τη συναίνεσή τους</w:t>
      </w:r>
      <w:r w:rsidR="00D63755" w:rsidRPr="00D63755">
        <w:rPr>
          <w:i/>
        </w:rPr>
        <w:t xml:space="preserve"> </w:t>
      </w:r>
      <w:r w:rsidR="00D63755" w:rsidRPr="0094242E">
        <w:rPr>
          <w:i/>
        </w:rPr>
        <w:t>προγενέστερα</w:t>
      </w:r>
      <w:r w:rsidRPr="0094242E">
        <w:rPr>
          <w:i/>
        </w:rPr>
        <w:t>, υπό συνθήκες που εγγυώνται τη μυστικότητα, σε δικαστή ή συμβολαιογράφο</w:t>
      </w:r>
      <w:r w:rsidRPr="00034154">
        <w:rPr>
          <w:i/>
        </w:rPr>
        <w:t xml:space="preserve"> </w:t>
      </w:r>
      <w:r w:rsidR="00034154">
        <w:rPr>
          <w:i/>
        </w:rPr>
        <w:t>[...]</w:t>
      </w:r>
      <w:r w:rsidRPr="00034154">
        <w:t xml:space="preserve">». </w:t>
      </w:r>
    </w:p>
    <w:p w14:paraId="4515A956" w14:textId="77777777" w:rsidR="00197264" w:rsidRDefault="00197264" w:rsidP="00DB4D72">
      <w:pPr>
        <w:rPr>
          <w:rFonts w:eastAsia="Calibri"/>
          <w:lang w:eastAsia="en-US"/>
        </w:rPr>
      </w:pPr>
      <w:r>
        <w:t xml:space="preserve">Η απαίτηση αυτή του νομοθέτη έρχεται να προστεθεί στις γενικές προϋποθέσεις του άρθρου </w:t>
      </w:r>
      <w:r>
        <w:rPr>
          <w:rFonts w:eastAsia="Calibri"/>
          <w:lang w:val="en-US" w:eastAsia="en-US"/>
        </w:rPr>
        <w:t xml:space="preserve">L. 2141-10, </w:t>
      </w:r>
      <w:r>
        <w:rPr>
          <w:rFonts w:eastAsia="Calibri"/>
          <w:lang w:eastAsia="en-US"/>
        </w:rPr>
        <w:t xml:space="preserve">παρ. 10, </w:t>
      </w:r>
      <w:r w:rsidR="002E099D">
        <w:rPr>
          <w:rFonts w:eastAsia="Calibri"/>
          <w:lang w:eastAsia="en-US"/>
        </w:rPr>
        <w:t xml:space="preserve">ΚΔΥ </w:t>
      </w:r>
      <w:r>
        <w:rPr>
          <w:rFonts w:eastAsia="Calibri"/>
          <w:lang w:eastAsia="en-US"/>
        </w:rPr>
        <w:t>και όχι να τις αντικαταστήσει. Γεγονός που σημαίνει ότι ο όρ</w:t>
      </w:r>
      <w:r w:rsidR="007652F6">
        <w:rPr>
          <w:rFonts w:eastAsia="Calibri"/>
          <w:lang w:eastAsia="en-US"/>
        </w:rPr>
        <w:t>ος «προγενέστερα», στη διατύπωση</w:t>
      </w:r>
      <w:r>
        <w:rPr>
          <w:rFonts w:eastAsia="Calibri"/>
          <w:lang w:eastAsia="en-US"/>
        </w:rPr>
        <w:t xml:space="preserve"> «</w:t>
      </w:r>
      <w:r w:rsidR="00D63755" w:rsidRPr="0094242E">
        <w:rPr>
          <w:i/>
        </w:rPr>
        <w:t>οφείλουν να παρέχουν</w:t>
      </w:r>
      <w:r w:rsidR="00D63755" w:rsidRPr="00D63755">
        <w:rPr>
          <w:i/>
        </w:rPr>
        <w:t xml:space="preserve"> </w:t>
      </w:r>
      <w:r w:rsidR="00D63755" w:rsidRPr="0094242E">
        <w:rPr>
          <w:i/>
        </w:rPr>
        <w:t>τη συναίνεσή τους</w:t>
      </w:r>
      <w:r w:rsidR="00D63755" w:rsidRPr="00D63755">
        <w:rPr>
          <w:i/>
        </w:rPr>
        <w:t xml:space="preserve"> </w:t>
      </w:r>
      <w:r w:rsidR="00D63755" w:rsidRPr="0094242E">
        <w:rPr>
          <w:i/>
        </w:rPr>
        <w:t>προγενέστερα</w:t>
      </w:r>
      <w:r>
        <w:rPr>
          <w:rFonts w:eastAsia="Calibri"/>
          <w:lang w:eastAsia="en-US"/>
        </w:rPr>
        <w:t>»</w:t>
      </w:r>
      <w:r w:rsidR="007652F6">
        <w:rPr>
          <w:rFonts w:eastAsia="Calibri"/>
          <w:lang w:eastAsia="en-US"/>
        </w:rPr>
        <w:t xml:space="preserve">, </w:t>
      </w:r>
      <w:r w:rsidR="00D63755">
        <w:rPr>
          <w:rFonts w:eastAsia="Calibri"/>
          <w:lang w:eastAsia="en-US"/>
        </w:rPr>
        <w:t>αναφέρεται στην εφαρμογή της ιατρικά υποβοηθούμενης αναπαραγωγής υπό στενή έννοια (συλλογή γαμετών, τεχνητή γονιμοποίηση, εξωσωματική γονιμοποίηση και μεταφορά εμβρύων) και όχι υπό ευρεία (συνεντεύξεις με ιατρική ομάδα, διαγνωστικές εξετάσεις κ.λπ.). Θα ήταν προτιμότερο, επομένως, εάν ο νομοθέτης είχε συμπληρώσει ως ακολούθως τη φράση: «</w:t>
      </w:r>
      <w:r w:rsidR="00A937A8" w:rsidRPr="0094242E">
        <w:rPr>
          <w:i/>
        </w:rPr>
        <w:t>οφείλουν να παρέχουν</w:t>
      </w:r>
      <w:r w:rsidR="00A937A8" w:rsidRPr="00D63755">
        <w:rPr>
          <w:i/>
        </w:rPr>
        <w:t xml:space="preserve"> </w:t>
      </w:r>
      <w:r w:rsidR="00A937A8" w:rsidRPr="0094242E">
        <w:rPr>
          <w:i/>
        </w:rPr>
        <w:t>τη συναίνεσή τους</w:t>
      </w:r>
      <w:r w:rsidR="00A937A8" w:rsidRPr="00D63755">
        <w:rPr>
          <w:i/>
        </w:rPr>
        <w:t xml:space="preserve"> </w:t>
      </w:r>
      <w:r w:rsidR="00A937A8" w:rsidRPr="0094242E">
        <w:rPr>
          <w:i/>
        </w:rPr>
        <w:t>προγενέστερα</w:t>
      </w:r>
      <w:r w:rsidR="00A937A8">
        <w:rPr>
          <w:i/>
        </w:rPr>
        <w:t xml:space="preserve"> κάθε ιατρική</w:t>
      </w:r>
      <w:r w:rsidR="007652F6">
        <w:rPr>
          <w:i/>
        </w:rPr>
        <w:t>ς</w:t>
      </w:r>
      <w:r w:rsidR="00A937A8">
        <w:rPr>
          <w:i/>
        </w:rPr>
        <w:t xml:space="preserve"> παρέμβαση</w:t>
      </w:r>
      <w:r w:rsidR="007652F6">
        <w:rPr>
          <w:i/>
        </w:rPr>
        <w:t>ς</w:t>
      </w:r>
      <w:r w:rsidR="00A937A8" w:rsidRPr="00A937A8">
        <w:t>»</w:t>
      </w:r>
      <w:r w:rsidR="00A937A8">
        <w:rPr>
          <w:rStyle w:val="FootnoteReference"/>
        </w:rPr>
        <w:footnoteReference w:id="173"/>
      </w:r>
      <w:r w:rsidR="00A937A8" w:rsidRPr="00A937A8">
        <w:t xml:space="preserve">. </w:t>
      </w:r>
    </w:p>
    <w:p w14:paraId="6B0E27C6" w14:textId="77777777" w:rsidR="007E69EB" w:rsidRDefault="00121B80" w:rsidP="007E69EB">
      <w:r>
        <w:t xml:space="preserve">Επιπλέον, δίδεται ιδιαίτερη έμφαση στην αρχή της μυστικότητας, η οποία καθιερώνεται από το </w:t>
      </w:r>
      <w:r>
        <w:rPr>
          <w:rFonts w:eastAsia="Calibri"/>
          <w:lang w:eastAsia="en-US"/>
        </w:rPr>
        <w:t xml:space="preserve">άρθρο </w:t>
      </w:r>
      <w:r>
        <w:t xml:space="preserve">311-20, παρ. 1, ΑΚ και στοχεύει στην προστασία όχι μόνο του υποψηφίου υποβοηθούμενου ζευγαριού, αλλά και του δότη. Πρόκειται ουσιαστικά για τη λογική συνέχεια της αρχής της ανωνυμίας που θέτουν τα νομοθετικά κείμενα (άρθρα 16-8 ΑΚ και </w:t>
      </w:r>
      <w:r>
        <w:rPr>
          <w:lang w:val="en-US"/>
        </w:rPr>
        <w:t xml:space="preserve">L. </w:t>
      </w:r>
      <w:r>
        <w:t xml:space="preserve">1211-5 </w:t>
      </w:r>
      <w:r w:rsidR="005A1087">
        <w:t>ΚΔΥ</w:t>
      </w:r>
      <w:r>
        <w:t>) και ερείδεται στο επαγγελματικό απόρρητο από το οποίο δεσμεύονται τόσο ο δικαστής, όσο και ο συμβολαιογράφος, καθώς και κάθε άλλο πρόσωπο</w:t>
      </w:r>
      <w:r w:rsidR="000511AE">
        <w:t xml:space="preserve"> που θα μπορούσε να λάβει γνώση της ιατρικά υποβοηθούμενης αναπαραγωγής στο πλαίσιο άσκησης των επαγγελματικών του καθηκόντων. </w:t>
      </w:r>
    </w:p>
    <w:p w14:paraId="1918C77A" w14:textId="77777777" w:rsidR="002B0FA3" w:rsidRDefault="007E69EB" w:rsidP="00DB4D72">
      <w:r>
        <w:t>Οι δικονομικές λεπτομέρειες της διαδι</w:t>
      </w:r>
      <w:r w:rsidR="00561715">
        <w:t>κασίας ρυθμίστηκαν με διάταγμα. Μ</w:t>
      </w:r>
      <w:r>
        <w:t xml:space="preserve">ια καινούργια ενότητα (Ενότητα 6) σχετικά με την ιατρικά υποβοηθούμενη αναπαραγωγή προστέθηκε στο Έκτο κεφάλαιο του Πρώτου Τίτλου του Βιβλίου ΙΙΙ του Κώδικα Πολιτικής </w:t>
      </w:r>
      <w:r w:rsidR="00561715">
        <w:t>Δικονομίας (</w:t>
      </w:r>
      <w:r>
        <w:t>άρθρα 1157-2 έως 3</w:t>
      </w:r>
      <w:r w:rsidR="00561715">
        <w:t>)</w:t>
      </w:r>
      <w:r>
        <w:t xml:space="preserve">. Ειδικότερα, δυνάμει των διατάξεων του άρθρου </w:t>
      </w:r>
      <w:r w:rsidR="002B0FA3" w:rsidRPr="00D347BD">
        <w:t xml:space="preserve">1157-2 </w:t>
      </w:r>
      <w:r w:rsidR="002B0FA3" w:rsidRPr="00DF0FF0">
        <w:t>ΚΠολΔ</w:t>
      </w:r>
      <w:r w:rsidR="00561715">
        <w:t>,</w:t>
      </w:r>
      <w:r>
        <w:t xml:space="preserve"> </w:t>
      </w:r>
      <w:r w:rsidR="002B0FA3">
        <w:t>«</w:t>
      </w:r>
      <w:r>
        <w:rPr>
          <w:i/>
        </w:rPr>
        <w:t>ο</w:t>
      </w:r>
      <w:r w:rsidR="002B0FA3" w:rsidRPr="00DF0FF0">
        <w:rPr>
          <w:i/>
        </w:rPr>
        <w:t xml:space="preserve">ι σύζυγοι ή οι σύντροφοι οι οποίοι καταφεύγουν </w:t>
      </w:r>
      <w:r w:rsidR="002B0FA3">
        <w:rPr>
          <w:i/>
        </w:rPr>
        <w:t>σε ιατρικά υποβοηθούμενη αναπαραγωγή</w:t>
      </w:r>
      <w:r w:rsidR="002B0FA3" w:rsidRPr="00DF0FF0">
        <w:rPr>
          <w:i/>
        </w:rPr>
        <w:t xml:space="preserve"> με παρέμβαση τρίτου δότη, όπως αυτό προβλέπεται στο άρθρο 311-20 ΑΚ, συναινούν σε αυτή με κοινή δήλωση ενώπιον του Προέδρου </w:t>
      </w:r>
      <w:r w:rsidR="002B0FA3">
        <w:rPr>
          <w:i/>
        </w:rPr>
        <w:t>Πολυμελούς Πρωτοδικείου τ</w:t>
      </w:r>
      <w:r w:rsidR="002B0FA3" w:rsidRPr="00DF0FF0">
        <w:rPr>
          <w:i/>
        </w:rPr>
        <w:t>ης</w:t>
      </w:r>
      <w:r w:rsidR="002B0FA3" w:rsidRPr="00D347BD">
        <w:rPr>
          <w:i/>
        </w:rPr>
        <w:t xml:space="preserve"> </w:t>
      </w:r>
      <w:r w:rsidR="002B0FA3" w:rsidRPr="00DF0FF0">
        <w:rPr>
          <w:i/>
        </w:rPr>
        <w:t>επιλογής</w:t>
      </w:r>
      <w:r w:rsidR="002B0FA3" w:rsidRPr="00D347BD">
        <w:rPr>
          <w:i/>
        </w:rPr>
        <w:t xml:space="preserve"> </w:t>
      </w:r>
      <w:r w:rsidR="002B0FA3" w:rsidRPr="00DF0FF0">
        <w:rPr>
          <w:i/>
        </w:rPr>
        <w:t>τους</w:t>
      </w:r>
      <w:r w:rsidR="002B0FA3" w:rsidRPr="00D347BD">
        <w:rPr>
          <w:i/>
        </w:rPr>
        <w:t xml:space="preserve"> </w:t>
      </w:r>
      <w:r w:rsidR="002B0FA3" w:rsidRPr="00DF0FF0">
        <w:rPr>
          <w:i/>
        </w:rPr>
        <w:t>ή</w:t>
      </w:r>
      <w:r w:rsidR="002B0FA3" w:rsidRPr="00D347BD">
        <w:rPr>
          <w:i/>
        </w:rPr>
        <w:t xml:space="preserve"> </w:t>
      </w:r>
      <w:r w:rsidR="002B0FA3" w:rsidRPr="00DF0FF0">
        <w:rPr>
          <w:i/>
        </w:rPr>
        <w:t>αναπληρωτή</w:t>
      </w:r>
      <w:r w:rsidR="002B0FA3" w:rsidRPr="00D347BD">
        <w:rPr>
          <w:i/>
        </w:rPr>
        <w:t xml:space="preserve"> </w:t>
      </w:r>
      <w:r w:rsidR="002B0FA3" w:rsidRPr="00DF0FF0">
        <w:rPr>
          <w:i/>
        </w:rPr>
        <w:t>του</w:t>
      </w:r>
      <w:r w:rsidR="002B0FA3">
        <w:rPr>
          <w:i/>
        </w:rPr>
        <w:t xml:space="preserve"> </w:t>
      </w:r>
      <w:r w:rsidR="002B0FA3" w:rsidRPr="00DF0FF0">
        <w:rPr>
          <w:i/>
        </w:rPr>
        <w:t>ή</w:t>
      </w:r>
      <w:r w:rsidR="002B0FA3" w:rsidRPr="00D347BD">
        <w:rPr>
          <w:i/>
        </w:rPr>
        <w:t xml:space="preserve"> </w:t>
      </w:r>
      <w:r w:rsidR="002B0FA3" w:rsidRPr="00DF0FF0">
        <w:rPr>
          <w:i/>
        </w:rPr>
        <w:t>ενώπιον</w:t>
      </w:r>
      <w:r w:rsidR="002B0FA3" w:rsidRPr="00D347BD">
        <w:rPr>
          <w:i/>
        </w:rPr>
        <w:t xml:space="preserve"> </w:t>
      </w:r>
      <w:r w:rsidR="002B0FA3" w:rsidRPr="00DF0FF0">
        <w:rPr>
          <w:i/>
        </w:rPr>
        <w:t>συμβολαιογράφου. Η</w:t>
      </w:r>
      <w:r w:rsidR="002B0FA3" w:rsidRPr="00981AC5">
        <w:rPr>
          <w:i/>
        </w:rPr>
        <w:t xml:space="preserve"> </w:t>
      </w:r>
      <w:r w:rsidR="002B0FA3" w:rsidRPr="00DF0FF0">
        <w:rPr>
          <w:i/>
        </w:rPr>
        <w:t>δήλωση</w:t>
      </w:r>
      <w:r w:rsidR="002B0FA3" w:rsidRPr="00981AC5">
        <w:rPr>
          <w:i/>
        </w:rPr>
        <w:t xml:space="preserve"> </w:t>
      </w:r>
      <w:r w:rsidR="002B0FA3" w:rsidRPr="00DF0FF0">
        <w:rPr>
          <w:i/>
        </w:rPr>
        <w:t>παρέχεται</w:t>
      </w:r>
      <w:r w:rsidR="002B0FA3" w:rsidRPr="00981AC5">
        <w:rPr>
          <w:i/>
        </w:rPr>
        <w:t xml:space="preserve"> </w:t>
      </w:r>
      <w:r w:rsidR="002B0FA3" w:rsidRPr="00DF0FF0">
        <w:rPr>
          <w:i/>
        </w:rPr>
        <w:t>με</w:t>
      </w:r>
      <w:r w:rsidR="002B0FA3" w:rsidRPr="00981AC5">
        <w:rPr>
          <w:i/>
        </w:rPr>
        <w:t xml:space="preserve"> </w:t>
      </w:r>
      <w:r w:rsidR="002B0FA3" w:rsidRPr="00DF0FF0">
        <w:rPr>
          <w:i/>
        </w:rPr>
        <w:t>αυθεντική</w:t>
      </w:r>
      <w:r w:rsidR="002B0FA3" w:rsidRPr="00981AC5">
        <w:rPr>
          <w:i/>
        </w:rPr>
        <w:t xml:space="preserve"> </w:t>
      </w:r>
      <w:r w:rsidR="002B0FA3" w:rsidRPr="00DF0FF0">
        <w:rPr>
          <w:i/>
        </w:rPr>
        <w:t>πράξη</w:t>
      </w:r>
      <w:r w:rsidR="002B0FA3" w:rsidRPr="00981AC5">
        <w:rPr>
          <w:i/>
        </w:rPr>
        <w:t xml:space="preserve"> </w:t>
      </w:r>
      <w:r w:rsidR="002B0FA3" w:rsidRPr="00DF0FF0">
        <w:rPr>
          <w:i/>
        </w:rPr>
        <w:t>χωρίς</w:t>
      </w:r>
      <w:r w:rsidR="002B0FA3" w:rsidRPr="00981AC5">
        <w:rPr>
          <w:i/>
        </w:rPr>
        <w:t xml:space="preserve"> </w:t>
      </w:r>
      <w:r w:rsidR="002B0FA3" w:rsidRPr="00DF0FF0">
        <w:rPr>
          <w:i/>
        </w:rPr>
        <w:t>την</w:t>
      </w:r>
      <w:r w:rsidR="002B0FA3" w:rsidRPr="00981AC5">
        <w:rPr>
          <w:i/>
        </w:rPr>
        <w:t xml:space="preserve"> </w:t>
      </w:r>
      <w:r w:rsidR="002B0FA3" w:rsidRPr="00DF0FF0">
        <w:rPr>
          <w:i/>
        </w:rPr>
        <w:t>παρουσία</w:t>
      </w:r>
      <w:r w:rsidR="002B0FA3" w:rsidRPr="00981AC5">
        <w:rPr>
          <w:i/>
        </w:rPr>
        <w:t xml:space="preserve"> </w:t>
      </w:r>
      <w:r w:rsidR="002B0FA3" w:rsidRPr="00DF0FF0">
        <w:rPr>
          <w:i/>
        </w:rPr>
        <w:t>τρίτων</w:t>
      </w:r>
      <w:r w:rsidR="002B0FA3" w:rsidRPr="00981AC5">
        <w:rPr>
          <w:i/>
        </w:rPr>
        <w:t>.</w:t>
      </w:r>
      <w:r>
        <w:rPr>
          <w:i/>
        </w:rPr>
        <w:t xml:space="preserve"> </w:t>
      </w:r>
      <w:r w:rsidR="002B0FA3" w:rsidRPr="00DF0FF0">
        <w:rPr>
          <w:i/>
        </w:rPr>
        <w:t>Αντίγραφο της πράξης μπορεί να χορηγηθεί μόνο σε εκείνους οι οποίοι παρείχαν τη συναίνεσή τους</w:t>
      </w:r>
      <w:r w:rsidR="002B0FA3" w:rsidRPr="00DF0FF0">
        <w:t xml:space="preserve">». </w:t>
      </w:r>
    </w:p>
    <w:p w14:paraId="66A94033" w14:textId="77777777" w:rsidR="00C63882" w:rsidRPr="00C63882" w:rsidRDefault="00C63882" w:rsidP="007447BB">
      <w:pPr>
        <w:numPr>
          <w:ilvl w:val="0"/>
          <w:numId w:val="30"/>
        </w:numPr>
        <w:tabs>
          <w:tab w:val="left" w:pos="567"/>
        </w:tabs>
        <w:ind w:left="0" w:firstLine="0"/>
        <w:rPr>
          <w:b/>
        </w:rPr>
      </w:pPr>
      <w:r w:rsidRPr="00C63882">
        <w:rPr>
          <w:b/>
        </w:rPr>
        <w:t xml:space="preserve">Ιατρικά υποβοηθούμενη αναπαραγωγή με </w:t>
      </w:r>
      <w:r>
        <w:rPr>
          <w:b/>
        </w:rPr>
        <w:t xml:space="preserve">λήψη εμβρύου </w:t>
      </w:r>
    </w:p>
    <w:p w14:paraId="0610DD2A" w14:textId="77777777" w:rsidR="00214D2B" w:rsidRDefault="00214D2B" w:rsidP="00DB4D72">
      <w:r>
        <w:t xml:space="preserve">Εάν η μέθοδος ιατρικά υποβοηθούμενης αναπαραγωγής που υιοθετήθηκε συνίσταται στη λήψη εμβρύου από τρίτο ζευγάρι δοτών, ο φορμαλισμός </w:t>
      </w:r>
      <w:r w:rsidR="00C63882">
        <w:t xml:space="preserve">είναι ακόμη πιο αυστηρός. Στην περίπτωση αυτή, η οποία προβλέπεται στο άρθρο </w:t>
      </w:r>
      <w:r w:rsidR="00C63882">
        <w:rPr>
          <w:lang w:val="en-US"/>
        </w:rPr>
        <w:t>L. 2141-6</w:t>
      </w:r>
      <w:r w:rsidR="00C63882">
        <w:t xml:space="preserve">, παρ. 2, </w:t>
      </w:r>
      <w:r w:rsidR="005A1087">
        <w:t>ΚΔΥ</w:t>
      </w:r>
      <w:r w:rsidR="00C63882">
        <w:t>, η λήψη του εμβρύου εξαρτάται αποκλειστικά και μόνο από την έκδοση δικαστικής από</w:t>
      </w:r>
      <w:r w:rsidR="00296BB8">
        <w:t>φασης</w:t>
      </w:r>
      <w:r w:rsidR="00C63882">
        <w:t>, καθώ</w:t>
      </w:r>
      <w:r w:rsidR="00296BB8">
        <w:t xml:space="preserve">ς ο συμβολαιογράφος δεν παρεμβαίνει πλέον. </w:t>
      </w:r>
    </w:p>
    <w:p w14:paraId="500158AB" w14:textId="77777777" w:rsidR="00296BB8" w:rsidRDefault="00296BB8" w:rsidP="00DB4D72">
      <w:r>
        <w:lastRenderedPageBreak/>
        <w:t xml:space="preserve">Ο δικαστής </w:t>
      </w:r>
      <w:r w:rsidR="00BC08EE">
        <w:t xml:space="preserve">λαμβάνει, </w:t>
      </w:r>
      <w:r w:rsidR="003701DF">
        <w:t>αρχικά</w:t>
      </w:r>
      <w:r w:rsidR="00BC08EE">
        <w:t>, την έγγραφη συναίνεση του ζευγαριού που παραχωρεί το έμβρυο και βεβαιώνεται, έπειτα, ότι οι υποψήφιοι μελλοντικοί γονείς</w:t>
      </w:r>
      <w:r w:rsidR="00262F81">
        <w:t xml:space="preserve"> πληρούν τις γενικές προϋποθέσεις πρόσβασης στην ιατρικά υποβοηθούμενη αναπαραγωγή. Εξακριβώνει, κυρίως, την ποιότητα της υποδοχής που μπορεί να επιφυλάξει το υποψήφιο υποβοηθούμενο ζευγάρι στο τέκνο που θα γεννηθεί σε επίπεδο οικογενειακό, μορφωτικό και ψυχολογικό. </w:t>
      </w:r>
    </w:p>
    <w:p w14:paraId="5EB36BBD" w14:textId="77777777" w:rsidR="00490943" w:rsidRDefault="007068FF" w:rsidP="00DB4D72">
      <w:r>
        <w:t xml:space="preserve">Ορισμένοι, μάλιστα, </w:t>
      </w:r>
      <w:r w:rsidR="00DC00AE">
        <w:t xml:space="preserve">ισχυρίζονται ότι ο έλεγχος που ασκείται από το δικαστή παραπέμπει στην αντίστοιχη αρμοδιότητα που έχει να αποφασίζει επί υιοθεσίας (άρθρο 353 ΑΚ). </w:t>
      </w:r>
      <w:r>
        <w:t>Πράγματι, ο</w:t>
      </w:r>
      <w:r w:rsidR="00DC00AE">
        <w:t xml:space="preserve"> γάλλος νομοθέτης επιφυλάσσει μια πιο αυστηρή ρύθμιση στην αναπαραγωγή με τη μέθοδο της λήψης εμβρύων, </w:t>
      </w:r>
      <w:r>
        <w:t xml:space="preserve">εφάμιλλη </w:t>
      </w:r>
      <w:r w:rsidR="00DC00AE">
        <w:t>εκείνη</w:t>
      </w:r>
      <w:r>
        <w:t>ς</w:t>
      </w:r>
      <w:r w:rsidR="00DC00AE">
        <w:t xml:space="preserve"> της υιοθεσίας, εκτιμώντας ότι η μέθοδος αυτή ξεπερνά ποιοτικά όλες τις άλλες τεχνικές ιατρικά υποβοηθούμενης αναπαραγωγής, καθώς επίσης και – κυρίως – ότι δεν πρόκειται για «προϊόντα του </w:t>
      </w:r>
      <w:r w:rsidR="00653769">
        <w:t>ανθρωπίνου</w:t>
      </w:r>
      <w:r w:rsidR="00DC00AE">
        <w:t xml:space="preserve"> σώματος» αλλά για «εν δυνάμει πρόσωπα». Ο έλεγχος</w:t>
      </w:r>
      <w:r>
        <w:t xml:space="preserve"> </w:t>
      </w:r>
      <w:r w:rsidR="00DC00AE">
        <w:t>αυτός του δικαστή φαίνεται να συνυπάρχει με τη λειτουργία που έχει ανατεθεί από το νομοθέτη</w:t>
      </w:r>
      <w:r>
        <w:t xml:space="preserve"> στον ιατρό και την ομάδα του</w:t>
      </w:r>
      <w:r w:rsidR="00DC00AE">
        <w:t xml:space="preserve"> (</w:t>
      </w:r>
      <w:r w:rsidR="00DC00AE">
        <w:rPr>
          <w:lang w:val="en-US"/>
        </w:rPr>
        <w:t xml:space="preserve">L. 2141-10 </w:t>
      </w:r>
      <w:r w:rsidR="00DC00AE">
        <w:t>ΚΔΥ)</w:t>
      </w:r>
      <w:r w:rsidR="00490943">
        <w:t xml:space="preserve">, χωρίς αυτή η συνύπαρξη να δημιουργεί το παραμικρό πρόβλημα: στη μεγάλη πλειοψηφία των περιπτώσεων η δικαστική κρίση έρχεται να επιβεβαιώσει την ιατρική γνώμη. Οι δύο έλεγχοι είναι διαφορετικής φύσης και ασκούνται από </w:t>
      </w:r>
      <w:r w:rsidR="00761787">
        <w:t>τα</w:t>
      </w:r>
      <w:r w:rsidR="00490943">
        <w:t xml:space="preserve"> πλέον αρμόδι</w:t>
      </w:r>
      <w:r w:rsidR="00761787">
        <w:t>α</w:t>
      </w:r>
      <w:r w:rsidR="00490943">
        <w:t xml:space="preserve"> </w:t>
      </w:r>
      <w:r w:rsidR="00761787">
        <w:t>πρόσωπα</w:t>
      </w:r>
      <w:r w:rsidR="00490943">
        <w:t>: ο ιατρικός από τους ιατρούς, ο νομικός από τους δικαστές. Μετά το νόμο της 6</w:t>
      </w:r>
      <w:r w:rsidR="00490943" w:rsidRPr="00490943">
        <w:rPr>
          <w:vertAlign w:val="superscript"/>
        </w:rPr>
        <w:t>ης</w:t>
      </w:r>
      <w:r w:rsidR="00490943">
        <w:t xml:space="preserve"> Αυγούστου 2004, μάλιστα, ο νομοθέτης προβλέπει ότι  «</w:t>
      </w:r>
      <w:r w:rsidR="00490943" w:rsidRPr="00BF7A5A">
        <w:rPr>
          <w:i/>
        </w:rPr>
        <w:t>η άδεια λήψης [εμβρύων] χορηγείται για χρονικό διάστημα τριών ετών δυνάμενο να ανανεωθεί</w:t>
      </w:r>
      <w:r w:rsidR="00490943">
        <w:t>» (</w:t>
      </w:r>
      <w:r w:rsidR="00490943">
        <w:rPr>
          <w:lang w:val="en-US"/>
        </w:rPr>
        <w:t xml:space="preserve">L. 2141-6, </w:t>
      </w:r>
      <w:r w:rsidR="00490943">
        <w:t xml:space="preserve">παρ. 2, ΚΔΥ). </w:t>
      </w:r>
    </w:p>
    <w:p w14:paraId="243926C6" w14:textId="77777777" w:rsidR="00BF7A5A" w:rsidRPr="005970A0" w:rsidRDefault="00BF7A5A" w:rsidP="00DB4D72">
      <w:pPr>
        <w:rPr>
          <w:i/>
        </w:rPr>
      </w:pPr>
      <w:r>
        <w:t xml:space="preserve">Τέλος, αξίζει να σημειωθεί ότι </w:t>
      </w:r>
      <w:r w:rsidR="000A09D1">
        <w:t xml:space="preserve">αναφορικά με τη λήψη συναίνεσης </w:t>
      </w:r>
      <w:r>
        <w:t xml:space="preserve">δεν προβλέπεται καμία ειδικότερη ρύθμιση </w:t>
      </w:r>
      <w:r w:rsidR="000A09D1">
        <w:t>που να αφορά σ</w:t>
      </w:r>
      <w:r>
        <w:t xml:space="preserve">το </w:t>
      </w:r>
      <w:r w:rsidR="005970A0">
        <w:t xml:space="preserve">επαγγελματικό </w:t>
      </w:r>
      <w:r>
        <w:t xml:space="preserve">απόρρητο. </w:t>
      </w:r>
      <w:r w:rsidR="005970A0">
        <w:t xml:space="preserve">Αναμφισβήτητα, εφαρμογή βρίσκουν </w:t>
      </w:r>
      <w:r w:rsidR="000A09D1">
        <w:t>διάφορες</w:t>
      </w:r>
      <w:r w:rsidR="005970A0">
        <w:t xml:space="preserve"> διατάξεις σχετικά</w:t>
      </w:r>
      <w:r w:rsidR="000A09D1">
        <w:t xml:space="preserve"> με</w:t>
      </w:r>
      <w:r w:rsidR="005970A0">
        <w:t xml:space="preserve"> την αρχή της ανωνυμίας, όπως ενδεικτικά το άρθρο 16-8 ΑΚ και </w:t>
      </w:r>
      <w:r w:rsidR="005970A0">
        <w:rPr>
          <w:lang w:val="en-US"/>
        </w:rPr>
        <w:t xml:space="preserve">L. </w:t>
      </w:r>
      <w:r w:rsidR="005970A0">
        <w:t>1211-5 ΚΔΥ σχετικά με τη δωρεά στοιχείων και π</w:t>
      </w:r>
      <w:r w:rsidR="000A09D1">
        <w:t xml:space="preserve">ροϊόντων του </w:t>
      </w:r>
      <w:r w:rsidR="00653769">
        <w:t>ανθρωπίνου</w:t>
      </w:r>
      <w:r w:rsidR="000A09D1">
        <w:t xml:space="preserve"> σώματος ή</w:t>
      </w:r>
      <w:r w:rsidR="005970A0">
        <w:t xml:space="preserve"> το άρθρο  </w:t>
      </w:r>
      <w:r w:rsidR="005970A0">
        <w:rPr>
          <w:lang w:val="en-US"/>
        </w:rPr>
        <w:t xml:space="preserve">L. 2141-6, </w:t>
      </w:r>
      <w:r w:rsidR="005970A0">
        <w:t xml:space="preserve">παρ. 3, ΚΔΥ σχετικά με τη λήψη εμβρύου. </w:t>
      </w:r>
      <w:r w:rsidR="00610D0F">
        <w:t xml:space="preserve">Παρόλα αυτά, μερίδα νομικών εξακολουθεί να υποστηρίζει </w:t>
      </w:r>
      <w:r w:rsidR="000A09D1">
        <w:t>ότι θα ήταν ενδεχομένως σκοπιμότερο, για λόγους ασφαλείας, να συνοδεύεται η αρχή αυτή της ανωνυμίας με ειδική πρόβλεψη για το επαγγελματικό απόρρητο</w:t>
      </w:r>
      <w:r w:rsidR="000A09D1">
        <w:rPr>
          <w:rStyle w:val="FootnoteReference"/>
        </w:rPr>
        <w:footnoteReference w:id="174"/>
      </w:r>
      <w:r w:rsidR="000A09D1">
        <w:t xml:space="preserve">. </w:t>
      </w:r>
    </w:p>
    <w:p w14:paraId="3F915019" w14:textId="77777777" w:rsidR="00286183" w:rsidRDefault="006B413F" w:rsidP="00286183">
      <w:pPr>
        <w:pStyle w:val="Heading4"/>
      </w:pPr>
      <w:bookmarkStart w:id="106" w:name="_Toc276574404"/>
      <w:r>
        <w:t xml:space="preserve">§2. </w:t>
      </w:r>
      <w:r w:rsidR="00286183">
        <w:t>Η διατήρηση της συναίνεσης των υποψηφίων υποβοηθούμενων προσώπων</w:t>
      </w:r>
      <w:bookmarkEnd w:id="106"/>
    </w:p>
    <w:p w14:paraId="44BAA493" w14:textId="77777777" w:rsidR="00973496" w:rsidRDefault="00973496" w:rsidP="00286183">
      <w:r>
        <w:t>Παρασχεθείσα κατά τον τρόπο που περιγρ</w:t>
      </w:r>
      <w:r w:rsidR="00454797">
        <w:t xml:space="preserve">άφεται πιο πάνω, η συναίνεση </w:t>
      </w:r>
      <w:r>
        <w:t>δεσμεύει</w:t>
      </w:r>
      <w:r w:rsidR="00454797" w:rsidRPr="00454797">
        <w:t xml:space="preserve"> </w:t>
      </w:r>
      <w:r w:rsidR="00454797">
        <w:t>το υποψήφιο υποβοηθούμενο ζευγάρι</w:t>
      </w:r>
      <w:r>
        <w:t xml:space="preserve">, υποχρεώνοντάς το να αναλάβει μελλοντικά τις ευθύνες του έναντι του τέκνου που θα έρθει στη ζωή. </w:t>
      </w:r>
      <w:r w:rsidR="00454797">
        <w:t>Για να συμβεί αυτό, όμως, είναι απαρ</w:t>
      </w:r>
      <w:r w:rsidR="00CA519B">
        <w:t>αίτητο η συναίνεση να εξακολουθεί να είναι ισχυρή</w:t>
      </w:r>
      <w:r w:rsidR="00454797">
        <w:t xml:space="preserve">, δηλαδή με άλλα λόγια να μην </w:t>
      </w:r>
      <w:r w:rsidR="00CA519B">
        <w:t xml:space="preserve">έχει </w:t>
      </w:r>
      <w:r w:rsidR="00454797">
        <w:t xml:space="preserve">ανακληθεί (i), ούτε να </w:t>
      </w:r>
      <w:r w:rsidR="00CA519B">
        <w:t>έχει στερηθεί της ισχύος της λόγω</w:t>
      </w:r>
      <w:r w:rsidR="00454797">
        <w:t xml:space="preserve"> ακυρότητας (ii). </w:t>
      </w:r>
    </w:p>
    <w:p w14:paraId="47487EE8" w14:textId="77777777" w:rsidR="00286183" w:rsidRDefault="00973496" w:rsidP="00973496">
      <w:pPr>
        <w:pStyle w:val="Heading5"/>
      </w:pPr>
      <w:r>
        <w:t>i.</w:t>
      </w:r>
      <w:r w:rsidR="00286183">
        <w:t xml:space="preserve"> Η </w:t>
      </w:r>
      <w:r w:rsidR="00286183" w:rsidRPr="00454797">
        <w:rPr>
          <w:u w:val="dash"/>
        </w:rPr>
        <w:t>ανάκληση</w:t>
      </w:r>
      <w:r w:rsidR="00286183">
        <w:t xml:space="preserve"> της συναίνεσης των υποψηφίων υποβοηθούμενων προσώπων </w:t>
      </w:r>
    </w:p>
    <w:p w14:paraId="43396C83" w14:textId="77777777" w:rsidR="00286183" w:rsidRDefault="008C7B52" w:rsidP="00286183">
      <w:r>
        <w:lastRenderedPageBreak/>
        <w:t>Ο Αστικός Κώδικας και ο Κώδικας Δημόσιας Υγείας αναγνωρίζουν και στα δύο υποψήφια υποβοηθούμενα πρόσωπα τ</w:t>
      </w:r>
      <w:r w:rsidR="00532762">
        <w:t xml:space="preserve">η δυνατότητα να μετανιώσουν για την απόφασή τους και να ανακαλέσουν την προγενέστερα παρασχεθείσα συναίνεσή τους. Τα άρθρα 311-20, παρ. 2, </w:t>
      </w:r>
      <w:r w:rsidR="00532762" w:rsidRPr="00E30A79">
        <w:t>ΑΚ</w:t>
      </w:r>
      <w:r w:rsidR="00532762">
        <w:t xml:space="preserve"> και </w:t>
      </w:r>
      <w:r w:rsidR="00532762" w:rsidRPr="00E30A79">
        <w:t>L.</w:t>
      </w:r>
      <w:r w:rsidR="00C918A1">
        <w:t xml:space="preserve"> </w:t>
      </w:r>
      <w:r w:rsidR="00532762" w:rsidRPr="00E30A79">
        <w:t>214</w:t>
      </w:r>
      <w:r w:rsidR="00532762">
        <w:t xml:space="preserve">1-2, παρ. 2, ΚΔΥ ερείδονται στην ιδέα ότι κανείς δε μπορεί να επιβάλει με τη βία σε ένα ζευγάρι ή σε έναν εκ των δυο υποψηφίων μελλοντικών γονέων τον ερχομό ενός τέκνου το οποίο δεν </w:t>
      </w:r>
      <w:r w:rsidR="00C918A1">
        <w:t>είναι π</w:t>
      </w:r>
      <w:r w:rsidR="00532762">
        <w:t>ια</w:t>
      </w:r>
      <w:r w:rsidR="00C918A1">
        <w:t xml:space="preserve"> επιθυμητό</w:t>
      </w:r>
      <w:r w:rsidR="00532762">
        <w:t xml:space="preserve">. </w:t>
      </w:r>
    </w:p>
    <w:p w14:paraId="0D04BC74" w14:textId="77777777" w:rsidR="00532762" w:rsidRPr="00532762" w:rsidRDefault="00532762" w:rsidP="00532762">
      <w:pPr>
        <w:ind w:firstLine="0"/>
        <w:rPr>
          <w:i/>
          <w:u w:val="dotDash"/>
        </w:rPr>
      </w:pPr>
      <w:r w:rsidRPr="00532762">
        <w:rPr>
          <w:i/>
          <w:u w:val="dotDash"/>
        </w:rPr>
        <w:t xml:space="preserve">Πεδίο εφαρμογής: </w:t>
      </w:r>
    </w:p>
    <w:p w14:paraId="09BE5FF9" w14:textId="77777777" w:rsidR="008C7B52" w:rsidRPr="000205B2" w:rsidRDefault="00673291" w:rsidP="00673291">
      <w:r>
        <w:t>Δυνάμει των διατάξεων του ά</w:t>
      </w:r>
      <w:r w:rsidRPr="00E30A79">
        <w:t>ρθρο</w:t>
      </w:r>
      <w:r>
        <w:t>υ</w:t>
      </w:r>
      <w:r w:rsidRPr="00E30A79">
        <w:t xml:space="preserve"> L.</w:t>
      </w:r>
      <w:r w:rsidR="00303F98">
        <w:t xml:space="preserve"> </w:t>
      </w:r>
      <w:r w:rsidRPr="00E30A79">
        <w:t xml:space="preserve">2141-2, παρ. 2, </w:t>
      </w:r>
      <w:r>
        <w:t xml:space="preserve">ΚΔΥ, </w:t>
      </w:r>
      <w:r w:rsidRPr="00E30A79">
        <w:t>«</w:t>
      </w:r>
      <w:r w:rsidRPr="00673291">
        <w:rPr>
          <w:i/>
        </w:rPr>
        <w:t>τη γονιμοποίηση ή τη μεταφορά των εμβρύων αποκλείουν […] η έγγραφη ανάκληση της συναίνεσης από τον άνδρα ή τη γυναίκα ενώπιον του ιατρού που έχει αναλάβει να φέρει σε πέρας την ιατρικά υποβοηθούμενη αναπαραγωγή</w:t>
      </w:r>
      <w:r>
        <w:t>». Παράλληλα, το άρθρο 311-20, παρ. 3, ΑΚ ορίζει ότι</w:t>
      </w:r>
      <w:r w:rsidR="008C7B52" w:rsidRPr="005F6309">
        <w:t xml:space="preserve"> </w:t>
      </w:r>
      <w:r>
        <w:t>«</w:t>
      </w:r>
      <w:r w:rsidR="008C7B52" w:rsidRPr="00673291">
        <w:rPr>
          <w:i/>
        </w:rPr>
        <w:t>[</w:t>
      </w:r>
      <w:r w:rsidRPr="00673291">
        <w:rPr>
          <w:i/>
        </w:rPr>
        <w:t>η</w:t>
      </w:r>
      <w:r w:rsidR="008C7B52" w:rsidRPr="00673291">
        <w:rPr>
          <w:i/>
        </w:rPr>
        <w:t xml:space="preserve"> συναίνεση] στερείται νομικής ισχύος όταν ο άνδρας ή η γυναίκα την ανακαλεί, εγγράφως και σε χρόνο προγενέστερο της πραγματοποίησης της ιατρικά υποβοηθούμενης αναπαραγωγής, ενώπιον του ιατρού που έχει αναλάβει να φέρει σε πέρας την ια</w:t>
      </w:r>
      <w:r w:rsidRPr="00673291">
        <w:rPr>
          <w:i/>
        </w:rPr>
        <w:t>τρικά υποβοηθούμενη αναπαραγωγή</w:t>
      </w:r>
      <w:r w:rsidR="008C7B52" w:rsidRPr="005F6309">
        <w:t>».</w:t>
      </w:r>
      <w:r w:rsidR="008C7B52" w:rsidRPr="000205B2">
        <w:t xml:space="preserve">  </w:t>
      </w:r>
    </w:p>
    <w:p w14:paraId="67747EEA" w14:textId="77777777" w:rsidR="008C7B52" w:rsidRDefault="00C75981" w:rsidP="00C75981">
      <w:r>
        <w:t>Η δυνατότητα ανάκλησης της συναίνεσης για την εφαρμογή μεθόδων ιατρικά υποβοηθούμενης αναπαραγωγ</w:t>
      </w:r>
      <w:r w:rsidR="00303F98">
        <w:t xml:space="preserve">ής, συνεπώς, </w:t>
      </w:r>
      <w:r w:rsidR="001B585E">
        <w:t xml:space="preserve">αφορά τόσο στην </w:t>
      </w:r>
      <w:r w:rsidR="00934BE9">
        <w:t>«</w:t>
      </w:r>
      <w:r w:rsidR="001B585E">
        <w:t>ενδο</w:t>
      </w:r>
      <w:r w:rsidR="000C5252">
        <w:t>-συζυγι</w:t>
      </w:r>
      <w:r>
        <w:t>κή</w:t>
      </w:r>
      <w:r w:rsidR="00934BE9">
        <w:t>»</w:t>
      </w:r>
      <w:r>
        <w:t xml:space="preserve"> αναπαραγωγή</w:t>
      </w:r>
      <w:r w:rsidR="00934BE9">
        <w:t xml:space="preserve"> (ομόλογη)</w:t>
      </w:r>
      <w:r>
        <w:t xml:space="preserve">, όσο και στην αναπαραγωγή με </w:t>
      </w:r>
      <w:r w:rsidR="00A9516A">
        <w:t>τρίτο</w:t>
      </w:r>
      <w:r>
        <w:t xml:space="preserve"> δότη</w:t>
      </w:r>
      <w:r w:rsidR="005F647A">
        <w:t xml:space="preserve"> (ετερόλογη)</w:t>
      </w:r>
      <w:r>
        <w:t xml:space="preserve">. </w:t>
      </w:r>
    </w:p>
    <w:p w14:paraId="7B35BE55" w14:textId="77777777" w:rsidR="00C75981" w:rsidRDefault="00310778" w:rsidP="00C75981">
      <w:pPr>
        <w:ind w:firstLine="0"/>
      </w:pPr>
      <w:r w:rsidRPr="00310778">
        <w:rPr>
          <w:i/>
          <w:u w:val="dotDash"/>
        </w:rPr>
        <w:t>Απαιτούμενος τύπος</w:t>
      </w:r>
      <w:r w:rsidR="00C75981">
        <w:t>:</w:t>
      </w:r>
    </w:p>
    <w:p w14:paraId="57D3AF39" w14:textId="77777777" w:rsidR="00310778" w:rsidRDefault="00B26EA7" w:rsidP="00857FBC">
      <w:r>
        <w:rPr>
          <w:rFonts w:eastAsia="Calibri"/>
        </w:rPr>
        <w:t>Και οι δύο ανωτέρω διατάξεις του Αστικού Κώδικα και του Κώδικα Δημόσιας Υγείας ορίζουν ότι η ανάκληση της συναίνεσης πραγματοποιείται «</w:t>
      </w:r>
      <w:r w:rsidRPr="00EB40A3">
        <w:rPr>
          <w:rFonts w:eastAsia="Calibri"/>
          <w:i/>
        </w:rPr>
        <w:t>εγγράφως</w:t>
      </w:r>
      <w:r>
        <w:rPr>
          <w:rFonts w:eastAsia="Calibri"/>
        </w:rPr>
        <w:t>», «</w:t>
      </w:r>
      <w:r w:rsidRPr="00673291">
        <w:rPr>
          <w:i/>
        </w:rPr>
        <w:t>ενώπιον του ιατρού που έχει αναλάβει να φέρει σε πέρας την ιατρικά υποβοηθούμενη αναπαραγωγή</w:t>
      </w:r>
      <w:r w:rsidRPr="00B26EA7">
        <w:t>»</w:t>
      </w:r>
      <w:r>
        <w:t xml:space="preserve">. </w:t>
      </w:r>
      <w:r w:rsidR="005A0C94">
        <w:t xml:space="preserve">Επομένως, ακόμη </w:t>
      </w:r>
      <w:r w:rsidR="00D864F8">
        <w:t xml:space="preserve">και </w:t>
      </w:r>
      <w:r w:rsidR="00806286">
        <w:t>σε περίπτωση</w:t>
      </w:r>
      <w:r w:rsidR="005A0C94">
        <w:t xml:space="preserve"> αναπαραγωγής με </w:t>
      </w:r>
      <w:r w:rsidR="00A9516A">
        <w:t>τρίτο</w:t>
      </w:r>
      <w:r w:rsidR="005A0C94">
        <w:t xml:space="preserve"> δότη ή με λήψη εμβρύου, </w:t>
      </w:r>
      <w:r w:rsidR="00806286">
        <w:t>όπου</w:t>
      </w:r>
      <w:r w:rsidR="005A0C94">
        <w:t xml:space="preserve"> η συναίνεση παρέχεται ενώπιον δικαστή ή συμβολαιογράφου, η ανάκλησή</w:t>
      </w:r>
      <w:r w:rsidR="00EB40A3">
        <w:t xml:space="preserve"> τη</w:t>
      </w:r>
      <w:r w:rsidR="005A0C94">
        <w:t>ς πραγματοποιείται μόν</w:t>
      </w:r>
      <w:r w:rsidR="00806286">
        <w:t xml:space="preserve">ο ενώπιον του θεράποντα ιατρού και δεν έχει αρμοδιότητα να καταγράψει την ανάκληση ούτε ο δικαστής, ούτε ο συμβολαιογράφος. </w:t>
      </w:r>
      <w:r w:rsidR="00857FBC">
        <w:t>Αρκεί το απλό έγγραφο και δεν απαιτείται συμβολαιογραφικός ή άλλος τύπος (ο ίδιος ενδεχομένως με</w:t>
      </w:r>
      <w:r w:rsidR="00EE3B24">
        <w:t xml:space="preserve"> αυτόν με τον οποίο δόθηκε)</w:t>
      </w:r>
      <w:r w:rsidR="007A031D">
        <w:t xml:space="preserve">. </w:t>
      </w:r>
    </w:p>
    <w:p w14:paraId="6EF610B8" w14:textId="77777777" w:rsidR="00857FBC" w:rsidRPr="007A031D" w:rsidRDefault="007A031D" w:rsidP="007A031D">
      <w:pPr>
        <w:rPr>
          <w:rFonts w:eastAsia="Calibri"/>
          <w:lang w:eastAsia="en-US"/>
        </w:rPr>
      </w:pPr>
      <w:r>
        <w:t xml:space="preserve">Επισημαίνεται, τέλος, ότι ο τύπος της ανάκλησης της συναίνεσης δε διαφοροποιείται ανάλογα με το αν το υποβοηθούμενο ζευγάρι </w:t>
      </w:r>
      <w:r w:rsidR="00857FBC">
        <w:rPr>
          <w:rFonts w:eastAsia="Calibri"/>
          <w:lang w:eastAsia="en-US"/>
        </w:rPr>
        <w:t>έχει τελέσει γάμο ή έχει συνάψει σύμφωνο συμβίωσης (</w:t>
      </w:r>
      <w:r w:rsidR="00857FBC">
        <w:rPr>
          <w:rFonts w:eastAsia="Calibri"/>
          <w:lang w:val="en-US" w:eastAsia="en-US"/>
        </w:rPr>
        <w:t>PACS</w:t>
      </w:r>
      <w:r w:rsidR="00857FBC">
        <w:rPr>
          <w:rFonts w:eastAsia="Calibri"/>
          <w:lang w:eastAsia="en-US"/>
        </w:rPr>
        <w:t xml:space="preserve">) ή ζει σε ελεύθερη ένωση. </w:t>
      </w:r>
      <w:r w:rsidR="00632578">
        <w:rPr>
          <w:rFonts w:eastAsia="Calibri"/>
          <w:lang w:eastAsia="en-US"/>
        </w:rPr>
        <w:t>Και στις τρεις προαναφερθείσες περιπτώσεις, με άλλα λόγια, ο τύπος π</w:t>
      </w:r>
      <w:r>
        <w:rPr>
          <w:rFonts w:eastAsia="Calibri"/>
          <w:lang w:eastAsia="en-US"/>
        </w:rPr>
        <w:t xml:space="preserve">αραμένει ο ίδιος (απλό έγγραφο). </w:t>
      </w:r>
    </w:p>
    <w:p w14:paraId="70EC5C13" w14:textId="77777777" w:rsidR="00806286" w:rsidRDefault="00806286" w:rsidP="00806286">
      <w:pPr>
        <w:ind w:firstLine="0"/>
      </w:pPr>
      <w:r w:rsidRPr="00806286">
        <w:rPr>
          <w:i/>
          <w:u w:val="dotDash"/>
        </w:rPr>
        <w:t>Χρόνος ανάκλησης</w:t>
      </w:r>
      <w:r>
        <w:t>:</w:t>
      </w:r>
    </w:p>
    <w:p w14:paraId="36954136" w14:textId="77777777" w:rsidR="00C64B06" w:rsidRDefault="00806286" w:rsidP="00C64B06">
      <w:pPr>
        <w:rPr>
          <w:rFonts w:eastAsia="Calibri"/>
        </w:rPr>
      </w:pPr>
      <w:r>
        <w:rPr>
          <w:rFonts w:eastAsia="Calibri"/>
        </w:rPr>
        <w:t>Σύμφωνα με τις διατάξεις</w:t>
      </w:r>
      <w:r w:rsidR="008C7B52" w:rsidRPr="00842065">
        <w:rPr>
          <w:rFonts w:eastAsia="Calibri"/>
        </w:rPr>
        <w:t xml:space="preserve"> του άρθρου 311-20, παρ. 3, ΑΚ, η συναίνεση για την ιατρική υποβοήθηση στην αναπαραγωγή μπορεί να ανακληθεί από τον άνδρα ή τη γυναίκα «</w:t>
      </w:r>
      <w:r w:rsidR="008C7B52" w:rsidRPr="00806286">
        <w:rPr>
          <w:rFonts w:eastAsia="Calibri"/>
          <w:i/>
        </w:rPr>
        <w:t>σε χρόνο προγενέστερο της πραγματοποίησης της ιατρικά υποβοηθούμενης αναπαραγωγής</w:t>
      </w:r>
      <w:r w:rsidR="00C64B06" w:rsidRPr="00C64B06">
        <w:rPr>
          <w:rFonts w:eastAsia="Calibri"/>
        </w:rPr>
        <w:t>»</w:t>
      </w:r>
      <w:r w:rsidRPr="00C64B06">
        <w:rPr>
          <w:rFonts w:eastAsia="Calibri"/>
        </w:rPr>
        <w:t>.</w:t>
      </w:r>
      <w:r>
        <w:rPr>
          <w:rFonts w:eastAsia="Calibri"/>
        </w:rPr>
        <w:t xml:space="preserve"> </w:t>
      </w:r>
      <w:r w:rsidR="00C64B06">
        <w:rPr>
          <w:rFonts w:eastAsia="Calibri"/>
        </w:rPr>
        <w:t xml:space="preserve">Επομένως, για να είναι ισχυρή η ανάκληση της συναίνεσης πρέπει να λάβει χώρα </w:t>
      </w:r>
      <w:r w:rsidR="00C64B06" w:rsidRPr="001569F6">
        <w:rPr>
          <w:rFonts w:eastAsia="Calibri"/>
          <w:u w:val="single"/>
        </w:rPr>
        <w:t xml:space="preserve">πριν τη </w:t>
      </w:r>
      <w:r w:rsidR="00C64B06" w:rsidRPr="001569F6">
        <w:rPr>
          <w:rFonts w:eastAsia="Calibri"/>
          <w:u w:val="single"/>
        </w:rPr>
        <w:lastRenderedPageBreak/>
        <w:t>γονιμοποίηση</w:t>
      </w:r>
      <w:r w:rsidR="00C64B06" w:rsidRPr="00673291">
        <w:rPr>
          <w:rFonts w:eastAsia="Calibri"/>
        </w:rPr>
        <w:t xml:space="preserve"> των ωαρίων της γυναίκας σε περίπτωση </w:t>
      </w:r>
      <w:r w:rsidR="00C64B06">
        <w:rPr>
          <w:rFonts w:eastAsia="Calibri"/>
        </w:rPr>
        <w:t xml:space="preserve">είτε </w:t>
      </w:r>
      <w:r w:rsidR="00C64B06" w:rsidRPr="00673291">
        <w:rPr>
          <w:rFonts w:eastAsia="Calibri"/>
        </w:rPr>
        <w:t>ομόλογης</w:t>
      </w:r>
      <w:r w:rsidR="00C64B06">
        <w:rPr>
          <w:rFonts w:eastAsia="Calibri"/>
        </w:rPr>
        <w:t>, είτε</w:t>
      </w:r>
      <w:r w:rsidR="00C64B06" w:rsidRPr="00673291">
        <w:rPr>
          <w:rFonts w:eastAsia="Calibri"/>
        </w:rPr>
        <w:t xml:space="preserve"> ετερόλογης γονιμοποίησης</w:t>
      </w:r>
      <w:r w:rsidR="001569F6">
        <w:rPr>
          <w:rFonts w:eastAsia="Calibri"/>
        </w:rPr>
        <w:t>,</w:t>
      </w:r>
      <w:r w:rsidR="00C64B06" w:rsidRPr="00673291">
        <w:rPr>
          <w:rFonts w:eastAsia="Calibri"/>
        </w:rPr>
        <w:t xml:space="preserve"> με ή χωρίς δωρεά γεννητικού υλικού</w:t>
      </w:r>
      <w:r w:rsidR="00AC09D4">
        <w:rPr>
          <w:rFonts w:eastAsia="Calibri"/>
        </w:rPr>
        <w:t xml:space="preserve">, με σπερματέγχυση ή </w:t>
      </w:r>
      <w:r w:rsidR="00AC09D4" w:rsidRPr="00AC09D4">
        <w:rPr>
          <w:rFonts w:eastAsia="Calibri"/>
          <w:i/>
          <w:lang w:val="en-US"/>
        </w:rPr>
        <w:t>in vitro</w:t>
      </w:r>
      <w:r w:rsidR="00C64B06" w:rsidRPr="00842065">
        <w:rPr>
          <w:rFonts w:eastAsia="Calibri"/>
        </w:rPr>
        <w:t xml:space="preserve"> ή </w:t>
      </w:r>
      <w:r w:rsidR="001569F6" w:rsidRPr="001569F6">
        <w:rPr>
          <w:rFonts w:eastAsia="Calibri"/>
          <w:u w:val="single"/>
        </w:rPr>
        <w:t>πριν</w:t>
      </w:r>
      <w:r w:rsidR="00C64B06" w:rsidRPr="001569F6">
        <w:rPr>
          <w:rFonts w:eastAsia="Calibri"/>
          <w:u w:val="single"/>
        </w:rPr>
        <w:t xml:space="preserve"> τη μεταφορά</w:t>
      </w:r>
      <w:r w:rsidR="00C64B06" w:rsidRPr="00673291">
        <w:rPr>
          <w:rFonts w:eastAsia="Calibri"/>
        </w:rPr>
        <w:t xml:space="preserve"> των εμβρύων σε περίπτωση </w:t>
      </w:r>
      <w:r w:rsidR="001569F6">
        <w:rPr>
          <w:rFonts w:eastAsia="Calibri"/>
        </w:rPr>
        <w:t>λήψης εμβρύου</w:t>
      </w:r>
      <w:r w:rsidR="00C64B06" w:rsidRPr="00673291">
        <w:rPr>
          <w:rFonts w:eastAsia="Calibri"/>
        </w:rPr>
        <w:t xml:space="preserve"> τρίτων δοτών.</w:t>
      </w:r>
      <w:r w:rsidR="001569F6">
        <w:rPr>
          <w:rFonts w:eastAsia="Calibri"/>
        </w:rPr>
        <w:t xml:space="preserve"> </w:t>
      </w:r>
      <w:r w:rsidR="005274C5">
        <w:rPr>
          <w:rFonts w:eastAsia="Calibri"/>
        </w:rPr>
        <w:t>Μετά τα χρονικά αυτά σημεία, η ανάκληση της συναίνεσης δεν είναι πλέον δυνατή</w:t>
      </w:r>
      <w:r w:rsidR="00FA7FE1">
        <w:rPr>
          <w:rStyle w:val="FootnoteReference"/>
          <w:rFonts w:eastAsia="Calibri"/>
        </w:rPr>
        <w:footnoteReference w:id="175"/>
      </w:r>
      <w:r w:rsidR="005274C5">
        <w:rPr>
          <w:rFonts w:eastAsia="Calibri"/>
        </w:rPr>
        <w:t xml:space="preserve">. </w:t>
      </w:r>
      <w:r w:rsidR="001569F6">
        <w:rPr>
          <w:rFonts w:eastAsia="Calibri"/>
        </w:rPr>
        <w:t xml:space="preserve">Εάν </w:t>
      </w:r>
      <w:r w:rsidR="005274C5">
        <w:rPr>
          <w:rFonts w:eastAsia="Calibri"/>
        </w:rPr>
        <w:t>παρόλα αυτά λάβει χώρα</w:t>
      </w:r>
      <w:r w:rsidR="001569F6">
        <w:rPr>
          <w:rFonts w:eastAsia="Calibri"/>
        </w:rPr>
        <w:t xml:space="preserve">, η ανάκληση θα στερείται ισχύος. </w:t>
      </w:r>
    </w:p>
    <w:p w14:paraId="16F37548" w14:textId="77777777" w:rsidR="001569F6" w:rsidRDefault="001569F6" w:rsidP="00C64B06">
      <w:pPr>
        <w:rPr>
          <w:rFonts w:eastAsia="Calibri"/>
          <w:lang w:val="en-US"/>
        </w:rPr>
      </w:pPr>
      <w:r>
        <w:rPr>
          <w:rFonts w:eastAsia="Calibri"/>
        </w:rPr>
        <w:t xml:space="preserve">Παρουσιάζει ενδιαφέρον, στο σημείο αυτό, </w:t>
      </w:r>
      <w:r w:rsidR="002004AF">
        <w:rPr>
          <w:rFonts w:eastAsia="Calibri"/>
        </w:rPr>
        <w:t xml:space="preserve">η σύγκριση με τη δυνατότητα </w:t>
      </w:r>
      <w:r w:rsidR="002D2760">
        <w:rPr>
          <w:rFonts w:eastAsia="Calibri"/>
        </w:rPr>
        <w:t>ανάκλησης της συναίνεσης που παρέχεται στο</w:t>
      </w:r>
      <w:r w:rsidR="002004AF">
        <w:rPr>
          <w:rFonts w:eastAsia="Calibri"/>
        </w:rPr>
        <w:t xml:space="preserve"> δότη γεννητικού υλικού</w:t>
      </w:r>
      <w:r w:rsidR="002D2760">
        <w:rPr>
          <w:rFonts w:eastAsia="Calibri"/>
        </w:rPr>
        <w:t>. Παρότι η συναίνεση του δότη</w:t>
      </w:r>
      <w:r w:rsidR="002004AF">
        <w:rPr>
          <w:rFonts w:eastAsia="Calibri"/>
        </w:rPr>
        <w:t xml:space="preserve"> στη λήψη ή τη συλλογή στοιχείων ή προϊόντων του σώματός του μπορεί να ανακληθεί «</w:t>
      </w:r>
      <w:r w:rsidR="002004AF" w:rsidRPr="008171DA">
        <w:rPr>
          <w:rFonts w:eastAsia="Calibri"/>
          <w:i/>
        </w:rPr>
        <w:t>ανά πάσα στιγμή</w:t>
      </w:r>
      <w:r w:rsidR="002004AF">
        <w:rPr>
          <w:rFonts w:eastAsia="Calibri"/>
        </w:rPr>
        <w:t>» (</w:t>
      </w:r>
      <w:r w:rsidR="002004AF">
        <w:rPr>
          <w:rFonts w:eastAsia="Calibri"/>
          <w:lang w:val="en-US"/>
        </w:rPr>
        <w:t xml:space="preserve">L. 1211-2 </w:t>
      </w:r>
      <w:r w:rsidR="002004AF">
        <w:rPr>
          <w:rFonts w:eastAsia="Calibri"/>
        </w:rPr>
        <w:t xml:space="preserve">ΚΔΥ), καμία διάταξη δεν του παρέχει το δικαίωμα να αντιτεθεί στη χρήση τους μετά τη λήψη ή τη συλλογή τους. Κατά τρόπο ανάλογο, παρότι το άρθρο </w:t>
      </w:r>
      <w:r w:rsidR="002004AF">
        <w:rPr>
          <w:rFonts w:eastAsia="Calibri"/>
          <w:lang w:val="en-US"/>
        </w:rPr>
        <w:t xml:space="preserve">L. 1244-2 </w:t>
      </w:r>
      <w:r w:rsidR="002004AF">
        <w:rPr>
          <w:rFonts w:eastAsia="Calibri"/>
        </w:rPr>
        <w:t>ΚΔΥ δίνει το δικαίωμα σε ένα δότη γαμετών να ανακαλέσει τη συναίνεσή του «</w:t>
      </w:r>
      <w:r w:rsidR="002004AF" w:rsidRPr="008171DA">
        <w:rPr>
          <w:rFonts w:eastAsia="Calibri"/>
          <w:i/>
        </w:rPr>
        <w:t>μέχρι τη χρήση των γαμετών</w:t>
      </w:r>
      <w:r w:rsidR="002004AF">
        <w:rPr>
          <w:rFonts w:eastAsia="Calibri"/>
        </w:rPr>
        <w:t xml:space="preserve">», </w:t>
      </w:r>
      <w:r w:rsidR="008171DA">
        <w:rPr>
          <w:rFonts w:eastAsia="Calibri"/>
        </w:rPr>
        <w:t xml:space="preserve">τα </w:t>
      </w:r>
      <w:r w:rsidR="008171DA" w:rsidRPr="002D2760">
        <w:rPr>
          <w:rFonts w:eastAsia="Calibri"/>
        </w:rPr>
        <w:t xml:space="preserve">άρθρα </w:t>
      </w:r>
      <w:r w:rsidR="008171DA" w:rsidRPr="002D2760">
        <w:rPr>
          <w:rFonts w:eastAsia="Calibri"/>
          <w:lang w:val="en-US"/>
        </w:rPr>
        <w:t>L. 2141-4, II, παρ. 2 και</w:t>
      </w:r>
      <w:r w:rsidR="008171DA">
        <w:rPr>
          <w:rFonts w:eastAsia="Calibri"/>
          <w:lang w:val="en-US"/>
        </w:rPr>
        <w:t xml:space="preserve"> L. 2141-5, δεν επιτρέπουν </w:t>
      </w:r>
      <w:r w:rsidR="00F91C21">
        <w:rPr>
          <w:rFonts w:eastAsia="Calibri"/>
          <w:lang w:val="en-US"/>
        </w:rPr>
        <w:t xml:space="preserve">στα πρόσωπα που έχουν παραχωρήσει έμβρυο σε άλλο ζευγάρι </w:t>
      </w:r>
      <w:r w:rsidR="008171DA">
        <w:rPr>
          <w:rFonts w:eastAsia="Calibri"/>
          <w:lang w:val="en-US"/>
        </w:rPr>
        <w:t>να ανακαλέ</w:t>
      </w:r>
      <w:r w:rsidR="00F91C21">
        <w:rPr>
          <w:rFonts w:eastAsia="Calibri"/>
          <w:lang w:val="en-US"/>
        </w:rPr>
        <w:t>σουν</w:t>
      </w:r>
      <w:r w:rsidR="008171DA">
        <w:rPr>
          <w:rFonts w:eastAsia="Calibri"/>
          <w:lang w:val="en-US"/>
        </w:rPr>
        <w:t xml:space="preserve"> τη συναίνεση που έ</w:t>
      </w:r>
      <w:r w:rsidR="00F91C21">
        <w:rPr>
          <w:rFonts w:eastAsia="Calibri"/>
          <w:lang w:val="en-US"/>
        </w:rPr>
        <w:t>χουν</w:t>
      </w:r>
      <w:r w:rsidR="008171DA">
        <w:rPr>
          <w:rFonts w:eastAsia="Calibri"/>
          <w:lang w:val="en-US"/>
        </w:rPr>
        <w:t xml:space="preserve"> παράσχει εγγράφως ενώπιον δικαστή. </w:t>
      </w:r>
    </w:p>
    <w:p w14:paraId="14E71BA2" w14:textId="2DBF7F22" w:rsidR="007A0FDA" w:rsidRDefault="007A0FDA" w:rsidP="00C64B06">
      <w:r>
        <w:t xml:space="preserve">Στη σημασία που έχει τόσο η δυνατότητα ανάκλησης της συναίνεσης στην ιατρικά υποβοηθούμενη αναπαραγωγή, όσο και η χρονική στιγμή μέχρι την οποία μπορεί αυτή να </w:t>
      </w:r>
      <w:r w:rsidR="007771D8">
        <w:t xml:space="preserve">λάβει χώρα στάθηκε </w:t>
      </w:r>
      <w:r>
        <w:t>η Καθηγήτρια Κοινωνιολογίας και Διευθύντρια έρευνας (</w:t>
      </w:r>
      <w:r>
        <w:rPr>
          <w:i/>
        </w:rPr>
        <w:t>Directrice de recherche</w:t>
      </w:r>
      <w:r w:rsidR="001051F8">
        <w:t>) στο CNRS, Simone Bateman</w:t>
      </w:r>
      <w:r w:rsidR="00CB37F7">
        <w:t xml:space="preserve">. Ειδικότερα, η </w:t>
      </w:r>
      <w:r w:rsidR="00CB37F7">
        <w:rPr>
          <w:lang w:val="en-US"/>
        </w:rPr>
        <w:t>Simone</w:t>
      </w:r>
      <w:r w:rsidR="007771D8">
        <w:t xml:space="preserve"> </w:t>
      </w:r>
      <w:r w:rsidR="007771D8">
        <w:rPr>
          <w:lang w:val="en-US"/>
        </w:rPr>
        <w:t xml:space="preserve">Bateman </w:t>
      </w:r>
      <w:r w:rsidR="007771D8">
        <w:t xml:space="preserve">υποστηρίζει ότι, </w:t>
      </w:r>
      <w:r w:rsidR="008A5053">
        <w:t>«</w:t>
      </w:r>
      <w:r w:rsidR="007771D8">
        <w:t>σε αντίθεση με την αναπαραγωγή</w:t>
      </w:r>
      <w:r w:rsidR="007771D8" w:rsidRPr="00FD040C">
        <w:t xml:space="preserve"> με φυσικό τρόπο</w:t>
      </w:r>
      <w:r w:rsidR="007771D8">
        <w:t xml:space="preserve"> κατά την οποία</w:t>
      </w:r>
      <w:r w:rsidR="007771D8" w:rsidRPr="00FD040C">
        <w:t xml:space="preserve"> δεν υπάρχει η δυνατότητα ανάκλησης (εκτός φυσικά από την περίπτωση τ</w:t>
      </w:r>
      <w:r w:rsidR="007771D8">
        <w:t xml:space="preserve">ης διακοπής κύησης), </w:t>
      </w:r>
      <w:r w:rsidR="007771D8" w:rsidRPr="00FD040C">
        <w:t xml:space="preserve">στην </w:t>
      </w:r>
      <w:r w:rsidR="007771D8">
        <w:t xml:space="preserve">ιατρικά υποβοηθούμενη αναπαραγωγή όλα γίνονται σε </w:t>
      </w:r>
      <w:r w:rsidR="007771D8" w:rsidRPr="00FD040C">
        <w:t>βάθος χρόνου, πράγμα που σημαίνει ότι υπάρχουν μεγαλύτερες πιθανότητες δημιο</w:t>
      </w:r>
      <w:r w:rsidR="007771D8">
        <w:t>υργίας διαφωνίας ή διαφορών</w:t>
      </w:r>
      <w:r w:rsidR="007771D8" w:rsidRPr="00FD040C">
        <w:t>. Συνεπώς, είναι σημαντικό να διατηρούν και οι δύο σύντροφοι τη δυνατότητα ανάκλησης της συναίνεσής τους. Δε μπορούμε να αναγκάσουμε</w:t>
      </w:r>
      <w:r w:rsidR="007771D8" w:rsidRPr="007771D8">
        <w:t xml:space="preserve"> </w:t>
      </w:r>
      <w:r w:rsidR="007771D8" w:rsidRPr="00FD040C">
        <w:t>έναν άνθρωπο να αποκτήσει τέκνο.</w:t>
      </w:r>
      <w:r w:rsidR="007771D8">
        <w:t xml:space="preserve"> </w:t>
      </w:r>
      <w:r w:rsidR="007771D8" w:rsidRPr="007771D8">
        <w:rPr>
          <w:b/>
        </w:rPr>
        <w:t>Η δυνατότητα αυτή θα έπρεπε, δε, να υπάρχει μέχρι το χρονικό σημείο της μεταφοράς του εμβρύου</w:t>
      </w:r>
      <w:r w:rsidR="008A5053">
        <w:rPr>
          <w:b/>
        </w:rPr>
        <w:t>»</w:t>
      </w:r>
      <w:r>
        <w:rPr>
          <w:rStyle w:val="FootnoteReference"/>
          <w:rFonts w:cs="TimesNewRomanPSMT"/>
        </w:rPr>
        <w:footnoteReference w:id="176"/>
      </w:r>
      <w:r>
        <w:t>.</w:t>
      </w:r>
    </w:p>
    <w:p w14:paraId="011BCC7A" w14:textId="77777777" w:rsidR="00E72463" w:rsidRDefault="00E72463" w:rsidP="00C64B06">
      <w:r>
        <w:t xml:space="preserve">Αντίθετα, για την </w:t>
      </w:r>
      <w:r>
        <w:rPr>
          <w:rStyle w:val="st"/>
          <w:lang w:val="en-US"/>
        </w:rPr>
        <w:t>Aude</w:t>
      </w:r>
      <w:r w:rsidRPr="00801C2A">
        <w:rPr>
          <w:rStyle w:val="st"/>
          <w:i/>
        </w:rPr>
        <w:t xml:space="preserve"> </w:t>
      </w:r>
      <w:r>
        <w:rPr>
          <w:rStyle w:val="Emphasis"/>
          <w:i w:val="0"/>
          <w:lang w:val="en-US"/>
        </w:rPr>
        <w:t>Mirkovic</w:t>
      </w:r>
      <w:r>
        <w:rPr>
          <w:rStyle w:val="Emphasis"/>
          <w:i w:val="0"/>
        </w:rPr>
        <w:t>, «</w:t>
      </w:r>
      <w:r>
        <w:t>ο</w:t>
      </w:r>
      <w:r w:rsidRPr="00E51344">
        <w:t>σο</w:t>
      </w:r>
      <w:r w:rsidRPr="00E51344">
        <w:rPr>
          <w:lang w:val="fr-FR"/>
        </w:rPr>
        <w:t xml:space="preserve"> </w:t>
      </w:r>
      <w:r w:rsidRPr="00E51344">
        <w:t>δεν</w:t>
      </w:r>
      <w:r w:rsidRPr="00E51344">
        <w:rPr>
          <w:lang w:val="fr-FR"/>
        </w:rPr>
        <w:t xml:space="preserve"> </w:t>
      </w:r>
      <w:r w:rsidRPr="00E51344">
        <w:t>έχει</w:t>
      </w:r>
      <w:r w:rsidRPr="00E51344">
        <w:rPr>
          <w:lang w:val="fr-FR"/>
        </w:rPr>
        <w:t xml:space="preserve"> </w:t>
      </w:r>
      <w:r w:rsidR="00E11219">
        <w:t xml:space="preserve">τελεστεί </w:t>
      </w:r>
      <w:r w:rsidRPr="00E51344">
        <w:t>η</w:t>
      </w:r>
      <w:r w:rsidRPr="00E51344">
        <w:rPr>
          <w:lang w:val="fr-FR"/>
        </w:rPr>
        <w:t xml:space="preserve"> </w:t>
      </w:r>
      <w:r w:rsidRPr="00E51344">
        <w:t>γονιμοποίηση</w:t>
      </w:r>
      <w:r w:rsidRPr="00E51344">
        <w:rPr>
          <w:lang w:val="fr-FR"/>
        </w:rPr>
        <w:t xml:space="preserve">, </w:t>
      </w:r>
      <w:r w:rsidRPr="00E51344">
        <w:t>η</w:t>
      </w:r>
      <w:r w:rsidRPr="00E51344">
        <w:rPr>
          <w:lang w:val="fr-FR"/>
        </w:rPr>
        <w:t xml:space="preserve"> </w:t>
      </w:r>
      <w:r w:rsidRPr="00E51344">
        <w:t>συναίνεση</w:t>
      </w:r>
      <w:r w:rsidRPr="00E51344">
        <w:rPr>
          <w:lang w:val="fr-FR"/>
        </w:rPr>
        <w:t xml:space="preserve"> </w:t>
      </w:r>
      <w:r w:rsidRPr="00E51344">
        <w:t>μπορεί</w:t>
      </w:r>
      <w:r w:rsidRPr="00E51344">
        <w:rPr>
          <w:lang w:val="fr-FR"/>
        </w:rPr>
        <w:t xml:space="preserve"> </w:t>
      </w:r>
      <w:r w:rsidRPr="00E51344">
        <w:t>να</w:t>
      </w:r>
      <w:r w:rsidRPr="00E51344">
        <w:rPr>
          <w:lang w:val="fr-FR"/>
        </w:rPr>
        <w:t xml:space="preserve"> </w:t>
      </w:r>
      <w:r w:rsidRPr="00E51344">
        <w:t>ανακληθεί</w:t>
      </w:r>
      <w:r w:rsidRPr="00E51344">
        <w:rPr>
          <w:lang w:val="fr-FR"/>
        </w:rPr>
        <w:t xml:space="preserve"> </w:t>
      </w:r>
      <w:r w:rsidRPr="00E51344">
        <w:t>οποτεδήποτε</w:t>
      </w:r>
      <w:r w:rsidRPr="00E51344">
        <w:rPr>
          <w:lang w:val="fr-FR"/>
        </w:rPr>
        <w:t xml:space="preserve">. </w:t>
      </w:r>
      <w:r w:rsidRPr="00E51344">
        <w:t>Οι γαμέτες είναι γαμέτες. Τα πράγματα είναι απλά όσο δεν έχει ακόμη γίνει η σύλληψη του εμβρύο</w:t>
      </w:r>
      <w:r w:rsidR="00252715">
        <w:t>υ. Αντιθέτως, όλα αλλάζουν με τη σύλληψη του εμβρύου</w:t>
      </w:r>
      <w:r w:rsidRPr="00E51344">
        <w:t>. Το έμβρυο είναι ένα μικρό ανθρώπινο ον. Θα ήταν παντελώς ανεύθυνο να ανακαλέσει κανείς τη συναίνεσή του μετά τη σύλληψη του εμβρύου</w:t>
      </w:r>
      <w:r w:rsidR="00CB37F7">
        <w:t>». Μάλιστα, η Aude</w:t>
      </w:r>
      <w:r>
        <w:t xml:space="preserve"> </w:t>
      </w:r>
      <w:r>
        <w:rPr>
          <w:rStyle w:val="Emphasis"/>
          <w:i w:val="0"/>
          <w:lang w:val="en-US"/>
        </w:rPr>
        <w:t xml:space="preserve">Mirkovic μεταφέρει το κέντρο βάρους της συζήτησης από το επιτρεπόμενο χρονικό σημείο της ανάκλησης στην κρυοσυντήρηση των εμβρύων. Ειδικότερα, </w:t>
      </w:r>
      <w:r w:rsidR="003A500C">
        <w:rPr>
          <w:rStyle w:val="Emphasis"/>
          <w:i w:val="0"/>
          <w:lang w:val="en-US"/>
        </w:rPr>
        <w:t xml:space="preserve">υποστηρίζει ότι </w:t>
      </w:r>
      <w:r w:rsidR="003A500C">
        <w:rPr>
          <w:rStyle w:val="Emphasis"/>
          <w:i w:val="0"/>
        </w:rPr>
        <w:t>«</w:t>
      </w:r>
      <w:r w:rsidR="003A500C" w:rsidRPr="00E51344">
        <w:t xml:space="preserve">η </w:t>
      </w:r>
      <w:r w:rsidR="003A500C">
        <w:t>κρυοσυντήρηση των εμβρύων</w:t>
      </w:r>
      <w:r w:rsidR="003A500C" w:rsidRPr="00E51344">
        <w:t xml:space="preserve"> πρέπει να απαγορευθεί</w:t>
      </w:r>
      <w:r w:rsidR="003A500C" w:rsidRPr="00E51344">
        <w:rPr>
          <w:lang w:val="fr-FR"/>
        </w:rPr>
        <w:t xml:space="preserve">. </w:t>
      </w:r>
      <w:r w:rsidR="003A500C" w:rsidRPr="00E51344">
        <w:t xml:space="preserve">Μπορούν να συντηρούνται οι γαμέτες, αλλά όχι τα έμβρυα. Κατά συνέπεια, αντί να συζητάμε για το αν και μέχρι ποιο σημείο μπορεί κανείς να ανακαλέσει τη συναίνεσή του, </w:t>
      </w:r>
      <w:r w:rsidR="003A500C">
        <w:t>θα έπρεπε να συζητάμε για το αν θα έπρεπε να έχει</w:t>
      </w:r>
      <w:r w:rsidR="00252715">
        <w:t xml:space="preserve"> εξαρχής</w:t>
      </w:r>
      <w:r w:rsidR="003A500C">
        <w:t xml:space="preserve"> το δικαίωμα να συναινέσει σ</w:t>
      </w:r>
      <w:r w:rsidR="003A500C" w:rsidRPr="00E51344">
        <w:t>την κρυοσυντήρηση των εμβρύων</w:t>
      </w:r>
      <w:r w:rsidR="003A500C">
        <w:t xml:space="preserve"> του</w:t>
      </w:r>
      <w:r w:rsidR="00252715">
        <w:t xml:space="preserve">. </w:t>
      </w:r>
      <w:r w:rsidR="00252715">
        <w:lastRenderedPageBreak/>
        <w:t xml:space="preserve">Έτσι, </w:t>
      </w:r>
      <w:r w:rsidR="003A500C" w:rsidRPr="00E51344">
        <w:t>δε θα υπήρ</w:t>
      </w:r>
      <w:r w:rsidR="00252715">
        <w:t>χε κανένα δίλημμα σχετικά με το μέλλον των κρυοσυντηρημένων εμβρύων</w:t>
      </w:r>
      <w:r w:rsidR="003A500C">
        <w:t>»</w:t>
      </w:r>
      <w:r>
        <w:rPr>
          <w:rStyle w:val="FootnoteReference"/>
        </w:rPr>
        <w:footnoteReference w:id="177"/>
      </w:r>
      <w:r>
        <w:t>.</w:t>
      </w:r>
    </w:p>
    <w:p w14:paraId="228027C2" w14:textId="77777777" w:rsidR="00154EA3" w:rsidRDefault="00154EA3" w:rsidP="00154EA3">
      <w:pPr>
        <w:ind w:firstLine="0"/>
        <w:rPr>
          <w:rFonts w:eastAsia="Calibri"/>
          <w:lang w:val="en-US"/>
        </w:rPr>
      </w:pPr>
      <w:r w:rsidRPr="001B585E">
        <w:rPr>
          <w:rFonts w:eastAsia="Calibri"/>
          <w:i/>
          <w:u w:val="dash"/>
          <w:lang w:val="en-US"/>
        </w:rPr>
        <w:t>Αιτιολογία</w:t>
      </w:r>
      <w:r>
        <w:rPr>
          <w:rFonts w:eastAsia="Calibri"/>
          <w:lang w:val="en-US"/>
        </w:rPr>
        <w:t>:</w:t>
      </w:r>
    </w:p>
    <w:p w14:paraId="2982033D" w14:textId="77777777" w:rsidR="007A0FDA" w:rsidRPr="007B24DD" w:rsidRDefault="001B585E" w:rsidP="007A0FDA">
      <w:pPr>
        <w:rPr>
          <w:rFonts w:eastAsia="Calibri"/>
        </w:rPr>
      </w:pPr>
      <w:r>
        <w:rPr>
          <w:rFonts w:eastAsia="Calibri"/>
        </w:rPr>
        <w:t xml:space="preserve">Καμία αιτιολογία δεν είναι αναγκαία για την ανάκληση της συναίνεσης στην </w:t>
      </w:r>
      <w:r w:rsidR="00A415FD">
        <w:rPr>
          <w:rFonts w:eastAsia="Calibri"/>
        </w:rPr>
        <w:t xml:space="preserve">ιατρικά υποβοηθούμενη </w:t>
      </w:r>
      <w:r>
        <w:rPr>
          <w:rFonts w:eastAsia="Calibri"/>
        </w:rPr>
        <w:t xml:space="preserve">αναπαραγωγή. </w:t>
      </w:r>
      <w:r w:rsidR="00A415FD">
        <w:rPr>
          <w:rFonts w:eastAsia="Calibri"/>
        </w:rPr>
        <w:t>Η ίδια η δικαιολογητική βάση</w:t>
      </w:r>
      <w:r>
        <w:rPr>
          <w:rFonts w:eastAsia="Calibri"/>
        </w:rPr>
        <w:t xml:space="preserve"> της ανάκλησης – ο βαθιά προσωπικός χαρακτήρας της απόφασης </w:t>
      </w:r>
      <w:r w:rsidR="00A415FD">
        <w:rPr>
          <w:rFonts w:eastAsia="Calibri"/>
        </w:rPr>
        <w:t>του υποβοηθούμενου προσώπου να τεκνοποιήσει – δικαιολογεί την προστασία της ελευθερίας του να ανακαλεί μια τόσο σοβαρή απόφαση</w:t>
      </w:r>
      <w:r w:rsidR="00A415FD">
        <w:rPr>
          <w:rStyle w:val="FootnoteReference"/>
          <w:rFonts w:eastAsia="Calibri"/>
        </w:rPr>
        <w:footnoteReference w:id="178"/>
      </w:r>
      <w:r w:rsidR="007B24DD">
        <w:rPr>
          <w:rFonts w:eastAsia="Calibri"/>
        </w:rPr>
        <w:t>.</w:t>
      </w:r>
    </w:p>
    <w:p w14:paraId="7BC2FE41" w14:textId="77777777" w:rsidR="008C7B52" w:rsidRDefault="008C7B52" w:rsidP="008C7B52">
      <w:pPr>
        <w:pStyle w:val="Heading5"/>
      </w:pPr>
      <w:bookmarkStart w:id="107" w:name="_Ref276409653"/>
      <w:r>
        <w:rPr>
          <w:lang w:val="en-US"/>
        </w:rPr>
        <w:t xml:space="preserve">ii. </w:t>
      </w:r>
      <w:r>
        <w:t xml:space="preserve">Η </w:t>
      </w:r>
      <w:r>
        <w:rPr>
          <w:u w:val="dash"/>
        </w:rPr>
        <w:t>ακυρότητα</w:t>
      </w:r>
      <w:r>
        <w:t xml:space="preserve"> της συναίνεσης των υποψηφίων υποβοηθούμενων προσώπων</w:t>
      </w:r>
      <w:bookmarkEnd w:id="107"/>
    </w:p>
    <w:p w14:paraId="02A109ED" w14:textId="77777777" w:rsidR="003237BE" w:rsidRPr="006D731A" w:rsidRDefault="006D2CE9" w:rsidP="003237BE">
      <w:r>
        <w:t>Σύμφωνα με το ά</w:t>
      </w:r>
      <w:r w:rsidR="00673291">
        <w:t>ρθρ</w:t>
      </w:r>
      <w:r>
        <w:t>ο 311-20</w:t>
      </w:r>
      <w:r w:rsidR="000B54DB">
        <w:t xml:space="preserve">, παρ. 3, ΑΚ, </w:t>
      </w:r>
      <w:r>
        <w:t>«</w:t>
      </w:r>
      <w:r w:rsidRPr="006D2CE9">
        <w:rPr>
          <w:i/>
        </w:rPr>
        <w:t>η</w:t>
      </w:r>
      <w:r w:rsidR="00673291" w:rsidRPr="006D2CE9">
        <w:rPr>
          <w:i/>
        </w:rPr>
        <w:t xml:space="preserve"> συναίνεση στερείται νομικής ισχύος σε περίπτωση θανάτου [ενός εκ των δύο προσώπων του υποβοηθούμενου ζευγαριού], κατάθεσης αγωγής διαζυγίου ή διάστασης του ζευγαριού ή διακοπής του κοινού του βίου, όταν ένα ή περισσότερα από τα ως άνω γεγονότα συμβούν πριν από την πραγματοποίηση της ιατρ</w:t>
      </w:r>
      <w:r w:rsidRPr="006D2CE9">
        <w:rPr>
          <w:i/>
        </w:rPr>
        <w:t>ικά υποβοηθούμενης αναπαραγωγής</w:t>
      </w:r>
      <w:r>
        <w:t>»</w:t>
      </w:r>
      <w:r w:rsidR="00056257">
        <w:t>.</w:t>
      </w:r>
      <w:r w:rsidR="00673291" w:rsidRPr="000205B2">
        <w:t xml:space="preserve"> </w:t>
      </w:r>
      <w:r>
        <w:t xml:space="preserve">Παράλληλα, το </w:t>
      </w:r>
      <w:r w:rsidR="003237BE">
        <w:t xml:space="preserve">άρθρο </w:t>
      </w:r>
      <w:r w:rsidR="003237BE" w:rsidRPr="00E30A79">
        <w:t>L.2141-2,</w:t>
      </w:r>
      <w:r w:rsidR="003237BE">
        <w:t xml:space="preserve"> παρ. 2, ΚΔΥ ορίζει ότι </w:t>
      </w:r>
      <w:r w:rsidR="003237BE" w:rsidRPr="00E30A79">
        <w:t>«</w:t>
      </w:r>
      <w:r w:rsidR="003237BE">
        <w:rPr>
          <w:i/>
        </w:rPr>
        <w:t xml:space="preserve">τη γονιμοποίηση ή τη μεταφορά των εμβρύων αποκλείουν ο θάνατος ενός εκ των δύο προσώπων του υποβοηθούμενου ζευγαριού, </w:t>
      </w:r>
      <w:r w:rsidR="003237BE" w:rsidRPr="006D731A">
        <w:rPr>
          <w:i/>
        </w:rPr>
        <w:t>η κατάθεση αγωγής διαζυγίου ή διάσταση</w:t>
      </w:r>
      <w:r w:rsidR="003237BE">
        <w:rPr>
          <w:i/>
        </w:rPr>
        <w:t>ς</w:t>
      </w:r>
      <w:r w:rsidR="003237BE" w:rsidRPr="006D731A">
        <w:rPr>
          <w:i/>
        </w:rPr>
        <w:t xml:space="preserve"> του ζευγαριού ή η διακοπή του κοινού τους βίου».</w:t>
      </w:r>
      <w:r w:rsidR="003237BE">
        <w:rPr>
          <w:i/>
        </w:rPr>
        <w:t xml:space="preserve"> </w:t>
      </w:r>
    </w:p>
    <w:p w14:paraId="7706802B" w14:textId="77777777" w:rsidR="00286183" w:rsidRDefault="00056257" w:rsidP="00056257">
      <w:pPr>
        <w:ind w:firstLine="0"/>
      </w:pPr>
      <w:bookmarkStart w:id="108" w:name="λόγοι_ακυρότητας"/>
      <w:r w:rsidRPr="00056257">
        <w:rPr>
          <w:i/>
          <w:u w:val="dotDash"/>
        </w:rPr>
        <w:t>Λόγοι ακυρότητας</w:t>
      </w:r>
      <w:r>
        <w:t xml:space="preserve">: </w:t>
      </w:r>
    </w:p>
    <w:p w14:paraId="4F6FDEDE" w14:textId="77777777" w:rsidR="00056257" w:rsidRPr="004A3434" w:rsidRDefault="00056257" w:rsidP="00525785">
      <w:pPr>
        <w:numPr>
          <w:ilvl w:val="0"/>
          <w:numId w:val="18"/>
        </w:numPr>
        <w:tabs>
          <w:tab w:val="left" w:pos="567"/>
        </w:tabs>
        <w:ind w:left="0" w:firstLine="0"/>
        <w:rPr>
          <w:b/>
          <w:i/>
        </w:rPr>
      </w:pPr>
      <w:r w:rsidRPr="004A3434">
        <w:rPr>
          <w:b/>
          <w:i/>
        </w:rPr>
        <w:t xml:space="preserve">Ο θάνατος </w:t>
      </w:r>
      <w:r w:rsidR="00F16CD1">
        <w:rPr>
          <w:b/>
          <w:i/>
        </w:rPr>
        <w:t xml:space="preserve">ενός εκ των δύο υποβοηθούμενων προσώπων </w:t>
      </w:r>
    </w:p>
    <w:p w14:paraId="11C5D520" w14:textId="77777777" w:rsidR="00056257" w:rsidRPr="00056257" w:rsidRDefault="00056257" w:rsidP="00056257">
      <w:r w:rsidRPr="00E706B9">
        <w:t>Η εξάλειψη της</w:t>
      </w:r>
      <w:r>
        <w:t xml:space="preserve"> συναίνεσης σε περίπτωση θανάτου ακολουθεί ουσιαστικά την απαίτηση που θέτει το άρθρο </w:t>
      </w:r>
      <w:r>
        <w:rPr>
          <w:lang w:val="en-US"/>
        </w:rPr>
        <w:t xml:space="preserve">L. 2141-2 </w:t>
      </w:r>
      <w:r>
        <w:t xml:space="preserve">ΚΔΥ, το οποίο επιτρέπει την πρόσβαση σε μεθόδους ιατρικά υποβοηθούμενης αναπαραγωγής μόνο σε ζευγάρια των οποίων και τα δύο μέλη είναι εν ζωή. </w:t>
      </w:r>
      <w:r w:rsidR="00F1507A">
        <w:t>Ο νομοθέτης έρχεται λοιπόν να αναπτύξει περεταίρω την αρχή αυτή, προσδιορίζοντας μάλιστα με ακρίβεια το χρονικό σημείο κατά το οποίο πρ</w:t>
      </w:r>
      <w:r w:rsidR="00161316">
        <w:t xml:space="preserve">έπει η προϋπόθεση να συντρέχει. Και τα δύο υποβοηθούμενα πρόσωπα πρέπει να είναι εν ζωή </w:t>
      </w:r>
      <w:r w:rsidR="00F1507A">
        <w:t xml:space="preserve">όχι μόνο κατά τη διάρκεια των συνεντεύξεων του ζευγαριού με την ιατρική ομάδα ή κατά τη διάρκεια της παροχής της συναίνεσης, αλλά και αργότερα, κατά τη διενέργεια της ίδιας της αναπαραγωγής. </w:t>
      </w:r>
    </w:p>
    <w:p w14:paraId="6D8DE45F" w14:textId="77777777" w:rsidR="00056257" w:rsidRPr="004A3434" w:rsidRDefault="007B51C4" w:rsidP="00161316">
      <w:pPr>
        <w:numPr>
          <w:ilvl w:val="0"/>
          <w:numId w:val="18"/>
        </w:numPr>
        <w:tabs>
          <w:tab w:val="left" w:pos="567"/>
        </w:tabs>
        <w:ind w:left="0" w:hanging="11"/>
        <w:rPr>
          <w:b/>
          <w:i/>
        </w:rPr>
      </w:pPr>
      <w:r w:rsidRPr="004A3434">
        <w:rPr>
          <w:b/>
          <w:i/>
        </w:rPr>
        <w:t>Η διάσταση</w:t>
      </w:r>
      <w:r w:rsidR="00056257" w:rsidRPr="004A3434">
        <w:rPr>
          <w:b/>
          <w:i/>
        </w:rPr>
        <w:t xml:space="preserve"> ή το διαζύγιο</w:t>
      </w:r>
      <w:r w:rsidR="00F16CD1">
        <w:rPr>
          <w:b/>
          <w:i/>
        </w:rPr>
        <w:t xml:space="preserve"> του υποψηφίου υποβοηθούμενου ζευγαριού </w:t>
      </w:r>
    </w:p>
    <w:p w14:paraId="777EEFBE" w14:textId="77777777" w:rsidR="00056257" w:rsidRDefault="008A6B8D" w:rsidP="00F1507A">
      <w:r>
        <w:t>Η διάσταση</w:t>
      </w:r>
      <w:r w:rsidR="00F1507A">
        <w:t xml:space="preserve"> ή το διαζύγιο του υποψηφίου υποβοηθούμενου ζευγαριού εξαλείφει </w:t>
      </w:r>
      <w:r w:rsidR="008A25B3">
        <w:t>λογικά κάθε ισχύ της συναίνεσης:</w:t>
      </w:r>
      <w:r w:rsidR="00F1507A">
        <w:t xml:space="preserve"> η</w:t>
      </w:r>
      <w:r w:rsidR="008A25B3">
        <w:t xml:space="preserve"> πρόσβαση στην</w:t>
      </w:r>
      <w:r w:rsidR="00F1507A">
        <w:t xml:space="preserve"> ιατρικά υποβοηθούμενη αναπαραγωγή επιτρέπεται από το νόμο μόνο σε ζευγάρια</w:t>
      </w:r>
      <w:r w:rsidR="007B51C4">
        <w:t xml:space="preserve">. Η απάλειψη συνεπώς κάθε δεσμού μεταξύ </w:t>
      </w:r>
      <w:r w:rsidR="004E7EA5">
        <w:t>των πρώην συζύγων ή συντρόφων</w:t>
      </w:r>
      <w:r w:rsidR="007B51C4">
        <w:t xml:space="preserve"> είναι λογικό να έχει ως συνέπεια την άρνηση του νομοθέτη να τους επιτρέπει την ιατρική υποβοήθηση στην αναπαραγωγή. </w:t>
      </w:r>
    </w:p>
    <w:p w14:paraId="5BC04721" w14:textId="77777777" w:rsidR="00056257" w:rsidRPr="004A3434" w:rsidRDefault="00056257" w:rsidP="00161316">
      <w:pPr>
        <w:numPr>
          <w:ilvl w:val="0"/>
          <w:numId w:val="18"/>
        </w:numPr>
        <w:tabs>
          <w:tab w:val="left" w:pos="567"/>
        </w:tabs>
        <w:ind w:left="0" w:hanging="11"/>
        <w:rPr>
          <w:b/>
          <w:i/>
        </w:rPr>
      </w:pPr>
      <w:r w:rsidRPr="004A3434">
        <w:rPr>
          <w:b/>
          <w:i/>
        </w:rPr>
        <w:lastRenderedPageBreak/>
        <w:t xml:space="preserve">Η διακοπή του κοινού βίου </w:t>
      </w:r>
      <w:r w:rsidR="00F16CD1">
        <w:rPr>
          <w:b/>
          <w:i/>
        </w:rPr>
        <w:t xml:space="preserve">του υποψηφίου υποβοηθούμενου ζευγαριού </w:t>
      </w:r>
    </w:p>
    <w:p w14:paraId="7A75A79C" w14:textId="77777777" w:rsidR="00F1507A" w:rsidRDefault="007B51C4" w:rsidP="00F1507A">
      <w:r>
        <w:t xml:space="preserve">Το ίδιο ισχύει και </w:t>
      </w:r>
      <w:r w:rsidR="003E7DF3">
        <w:t>σε περίπτωση</w:t>
      </w:r>
      <w:r>
        <w:t xml:space="preserve"> διακοπή</w:t>
      </w:r>
      <w:r w:rsidR="003E7DF3">
        <w:t>ς</w:t>
      </w:r>
      <w:r>
        <w:t xml:space="preserve"> του κοινού βίου</w:t>
      </w:r>
      <w:r w:rsidR="003E7DF3">
        <w:t xml:space="preserve"> του υποψηφίου υποβοηθούμενου ζευγαριού</w:t>
      </w:r>
      <w:r>
        <w:t xml:space="preserve">, </w:t>
      </w:r>
      <w:r w:rsidR="003E7DF3">
        <w:t>εφόσον</w:t>
      </w:r>
      <w:r>
        <w:t xml:space="preserve"> </w:t>
      </w:r>
      <w:r w:rsidR="003E7DF3">
        <w:t>αυτό</w:t>
      </w:r>
      <w:r>
        <w:t xml:space="preserve"> δεν </w:t>
      </w:r>
      <w:r w:rsidR="003E7DF3">
        <w:t xml:space="preserve">είχε τελέσει γάμο, ούτε είχε συνάψει </w:t>
      </w:r>
      <w:r w:rsidR="003E7DF3">
        <w:rPr>
          <w:lang w:val="en-US"/>
        </w:rPr>
        <w:t>PACS</w:t>
      </w:r>
      <w:r>
        <w:t xml:space="preserve">. Θα ήταν άλλωστε ανακόλουθο από την πλευρά του νομοθέτη να μην εφαρμόσει την ίδια λύση και στα ζευγάρια που ζουν σε ελεύθερη ένωση. </w:t>
      </w:r>
    </w:p>
    <w:p w14:paraId="0EABF7B9" w14:textId="77777777" w:rsidR="008A6B8D" w:rsidRPr="003C5866" w:rsidRDefault="008A6B8D" w:rsidP="00F1507A">
      <w:r>
        <w:t>Σε ό,τι αφορά, δε, στα ζευγάρια που έχουν συνάψει σύμφωνο συμβίωσης,</w:t>
      </w:r>
      <w:r w:rsidR="003C5866">
        <w:t xml:space="preserve"> δεν υπάρχει κάποια ειδικότερη πρόβλεψη. Δεδομένου ότι δεν απαιτείται η προγενέστερη υποβολή αίτησης λύσης του </w:t>
      </w:r>
      <w:r w:rsidR="003C5866">
        <w:rPr>
          <w:lang w:val="en-US"/>
        </w:rPr>
        <w:t>PACS, η συναίνεση θεωρείται άκυρη από την ημέρα λύσης του συμφώνου</w:t>
      </w:r>
      <w:r w:rsidR="00451021">
        <w:rPr>
          <w:rStyle w:val="FootnoteReference"/>
          <w:lang w:val="en-US"/>
        </w:rPr>
        <w:footnoteReference w:id="179"/>
      </w:r>
      <w:r w:rsidR="003C5866">
        <w:rPr>
          <w:lang w:val="en-US"/>
        </w:rPr>
        <w:t xml:space="preserve">.  </w:t>
      </w:r>
    </w:p>
    <w:bookmarkEnd w:id="108"/>
    <w:p w14:paraId="764B24FB" w14:textId="77777777" w:rsidR="00056257" w:rsidRDefault="00056257" w:rsidP="00056257">
      <w:pPr>
        <w:ind w:firstLine="0"/>
      </w:pPr>
      <w:r w:rsidRPr="00056257">
        <w:rPr>
          <w:i/>
          <w:u w:val="dotDash"/>
        </w:rPr>
        <w:t>Εφαρμογή</w:t>
      </w:r>
      <w:r>
        <w:t xml:space="preserve">: </w:t>
      </w:r>
    </w:p>
    <w:p w14:paraId="3BD6BAE7" w14:textId="77777777" w:rsidR="00056257" w:rsidRDefault="004676D1" w:rsidP="004676D1">
      <w:r>
        <w:t xml:space="preserve">Και οι τρεις ανωτέρω καταστάσεις έχουν αυτόματη ισχύ, από </w:t>
      </w:r>
      <w:r w:rsidR="0001085C">
        <w:t>τη χρονική στιγμή της συνδρομής τους, υπό τον όρο ότι αυτή είναι ασφαλώς προγενέστερη</w:t>
      </w:r>
      <w:r>
        <w:t xml:space="preserve"> της πραγματοποίησης της ιατρικά υποβοηθούμενης αναπαραγωγής. Κανένας ιδιαίτερος τύπος δεν απαιτείται. Αρκεί να ενημερωθεί αμέσως η ιατρική ομάδα που έχει αναλάβει να φέρει σε πέρας την αναπαραγωγή, προκειμένου να αποφευχθούν ανεπιθύμητε</w:t>
      </w:r>
      <w:r w:rsidR="0001085C">
        <w:t>ς και προβληματικές καταστάσεις</w:t>
      </w:r>
      <w:r>
        <w:t xml:space="preserve">, ιδίως σε ό,τι αφορά στους δεσμούς συγγένειας του τέκνου που θα γεννηθεί. </w:t>
      </w:r>
    </w:p>
    <w:p w14:paraId="37CD045D" w14:textId="77777777" w:rsidR="00E43BB5" w:rsidRDefault="00E43BB5" w:rsidP="00E43BB5">
      <w:pPr>
        <w:pStyle w:val="Heading4"/>
      </w:pPr>
      <w:bookmarkStart w:id="109" w:name="_Ref276029209"/>
      <w:bookmarkStart w:id="110" w:name="_Toc276574405"/>
      <w:r>
        <w:t>§</w:t>
      </w:r>
      <w:r w:rsidR="00DC61EB">
        <w:t>3</w:t>
      </w:r>
      <w:r>
        <w:t>. Συνέπειες μη συμμόρφωσης με τη γενική προϋπόθεση της συναίνεσης των υποψηφίων υποβοηθούμενων προσώπων</w:t>
      </w:r>
      <w:bookmarkEnd w:id="109"/>
      <w:bookmarkEnd w:id="110"/>
      <w:r>
        <w:t xml:space="preserve"> </w:t>
      </w:r>
    </w:p>
    <w:p w14:paraId="4F2D3276" w14:textId="77777777" w:rsidR="007271BD" w:rsidRDefault="007271BD" w:rsidP="007271BD">
      <w:r>
        <w:t>Εάν η υποβοηθούμενη αναπαραγωγή πραγματοποιηθεί τελικά χωρίς τη συναίνεση ενός εκ των δύο υποβοηθούμενων προσώπων, και πιο συγκεκριμένα του άνδρα – εφόσον σε κάθε περίπτωση η συναίνεση της γυναίκας που υ</w:t>
      </w:r>
      <w:r w:rsidR="007049F6">
        <w:t>φίσταται</w:t>
      </w:r>
      <w:r>
        <w:t xml:space="preserve"> όλη αυτή τη διαδικασία τεκμαίρεται – ή εάν η αναπαραγωγή πραγματοποιηθεί </w:t>
      </w:r>
      <w:r w:rsidR="008E2001">
        <w:t>παρά το γεγονός ότι ο σύντροφος έχει ανακαλέσει τη συναίνεσή του, οι έννομες συνέπειες που θα προκύψουν αφορούν όχι μόνο στον ιατρό</w:t>
      </w:r>
      <w:r w:rsidR="00EA3085">
        <w:t xml:space="preserve"> (</w:t>
      </w:r>
      <w:r w:rsidR="00EA3085">
        <w:rPr>
          <w:lang w:val="en-US"/>
        </w:rPr>
        <w:t>i</w:t>
      </w:r>
      <w:r w:rsidR="00EA3085">
        <w:t>)</w:t>
      </w:r>
      <w:r w:rsidR="008E2001">
        <w:t>, αλλά και στα δύο υποβοηθούμενα πρόσωπα, καθώς επίσης και στο τέκνο που θα γεννηθεί</w:t>
      </w:r>
      <w:r w:rsidR="00EA3085">
        <w:t xml:space="preserve"> (ii)</w:t>
      </w:r>
      <w:r w:rsidR="008E2001">
        <w:t xml:space="preserve">. </w:t>
      </w:r>
    </w:p>
    <w:p w14:paraId="13F5A812" w14:textId="77777777" w:rsidR="00124A45" w:rsidRDefault="00124A45" w:rsidP="00A95620">
      <w:pPr>
        <w:pStyle w:val="Heading5"/>
      </w:pPr>
      <w:r>
        <w:rPr>
          <w:lang w:val="en-US"/>
        </w:rPr>
        <w:t xml:space="preserve">i. </w:t>
      </w:r>
      <w:r>
        <w:t xml:space="preserve">Έννομες συνέπειες που αφορούν στον </w:t>
      </w:r>
      <w:r w:rsidRPr="00124A45">
        <w:rPr>
          <w:u w:val="dash"/>
        </w:rPr>
        <w:t>ιατρό και την ομάδα του</w:t>
      </w:r>
      <w:r>
        <w:t>:</w:t>
      </w:r>
    </w:p>
    <w:p w14:paraId="523D6DCA" w14:textId="77777777" w:rsidR="007049F6" w:rsidRPr="004933B9" w:rsidRDefault="00124A45" w:rsidP="00124A45">
      <w:r>
        <w:t xml:space="preserve">Ειδικότερα, σε ό,τι αφορά στον </w:t>
      </w:r>
      <w:r w:rsidRPr="008E2001">
        <w:rPr>
          <w:b/>
        </w:rPr>
        <w:t>ιατρό και την ομάδα του</w:t>
      </w:r>
      <w:r>
        <w:t>, ο</w:t>
      </w:r>
      <w:r w:rsidR="007049F6">
        <w:rPr>
          <w:rFonts w:eastAsia="Calibri"/>
          <w:lang w:eastAsia="en-US"/>
        </w:rPr>
        <w:t xml:space="preserve">ι συνέπειες που προβλέπονται σε περίπτωση μη συνδρομής του όρου της ιατρικής αδυναμίας των υποβοηθούμενων προσώπων μπορεί να είναι διοικητικής ή ποινικής φύσης. </w:t>
      </w:r>
    </w:p>
    <w:p w14:paraId="19A9C184" w14:textId="77777777" w:rsidR="007049F6" w:rsidRPr="00D662FC" w:rsidRDefault="007049F6" w:rsidP="004C48A1">
      <w:pPr>
        <w:pStyle w:val="Heading6"/>
      </w:pPr>
      <w:r w:rsidRPr="00D662FC">
        <w:t>Συνέπειες διοικητικής φύσης:</w:t>
      </w:r>
    </w:p>
    <w:p w14:paraId="2071A458" w14:textId="02E11962" w:rsidR="00E01E4E" w:rsidRPr="00E84B0B" w:rsidRDefault="00AC0D40" w:rsidP="00AC0D40">
      <w:r w:rsidRPr="00EE4056">
        <w:t>Όπως έχει ήδη σημειωθεί</w:t>
      </w:r>
      <w:r>
        <w:t xml:space="preserve"> κατ’ επανάληψη πιο πάνω</w:t>
      </w:r>
      <w:r>
        <w:rPr>
          <w:rStyle w:val="FootnoteReference"/>
        </w:rPr>
        <w:footnoteReference w:id="180"/>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w:t>
      </w:r>
      <w:r w:rsidRPr="00F77D85">
        <w:lastRenderedPageBreak/>
        <w:t>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rsidR="00DD0107">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p>
    <w:p w14:paraId="42BA9112" w14:textId="77777777" w:rsidR="007049F6" w:rsidRPr="00E84B0B" w:rsidRDefault="007049F6" w:rsidP="00B27D8D">
      <w:pPr>
        <w:pStyle w:val="Heading6"/>
      </w:pPr>
      <w:r w:rsidRPr="00E84B0B">
        <w:t>Συνέπειες ποινικής φύσης:</w:t>
      </w:r>
    </w:p>
    <w:p w14:paraId="0A5C35DC" w14:textId="45BC1F03" w:rsidR="0059473C" w:rsidRPr="00C51393" w:rsidRDefault="0059473C" w:rsidP="0059473C">
      <w:r w:rsidRPr="00C51393">
        <w:t xml:space="preserve">Σύμφωνα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w:t>
      </w:r>
      <w:r w:rsidR="002F61A0">
        <w:t>511-24 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0E8AF5FE" w14:textId="77777777" w:rsidR="0059473C" w:rsidRDefault="0059473C" w:rsidP="0059473C">
      <w:r>
        <w:t>Η «</w:t>
      </w:r>
      <w:r>
        <w:rPr>
          <w:i/>
        </w:rPr>
        <w:t>προγενέστερη της μεταφοράς των εμβρύων ή της γονιμοποίησης συναίνεση</w:t>
      </w:r>
      <w:r>
        <w:t xml:space="preserve">» είναι μία από τις γενικές προϋποθέσεις εφαρμογής που θέτει το άρθρο </w:t>
      </w:r>
      <w:r w:rsidRPr="00EC2606">
        <w:rPr>
          <w:lang w:val="fr-FR"/>
        </w:rPr>
        <w:t>L</w:t>
      </w:r>
      <w:r w:rsidRPr="00EC2606">
        <w:t xml:space="preserve">. 2141-2 </w:t>
      </w:r>
      <w:r>
        <w:t xml:space="preserve">ΚΔΥ, άρα κάθε πράξη ιατρικά υποβοηθούμενης αναπαραγωγής που πραγματοποιείται χωρίς τη συναίνεση του υποβοηθούμενου προσώπου ή μετά την ανάκληση της συναίνεσής του εμπίπτει στην απαγόρευση του άρθρου 511-24 ΠΚ. </w:t>
      </w:r>
    </w:p>
    <w:p w14:paraId="040BC62D" w14:textId="77777777" w:rsidR="007049F6" w:rsidRPr="0059473C" w:rsidRDefault="0059473C" w:rsidP="0059473C">
      <w:pPr>
        <w:rPr>
          <w:highlight w:val="lightGray"/>
        </w:rPr>
      </w:pPr>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181"/>
      </w:r>
      <w:r w:rsidRPr="0059473C">
        <w:t xml:space="preserve">. </w:t>
      </w:r>
    </w:p>
    <w:p w14:paraId="52BE68F7" w14:textId="77777777" w:rsidR="00A84040" w:rsidRPr="007C119A" w:rsidRDefault="00A84040" w:rsidP="00CA6376">
      <w:pPr>
        <w:pStyle w:val="Heading5"/>
      </w:pPr>
      <w:r w:rsidRPr="007C119A">
        <w:rPr>
          <w:lang w:val="en-US"/>
        </w:rPr>
        <w:t xml:space="preserve">ii. </w:t>
      </w:r>
      <w:r w:rsidRPr="007C119A">
        <w:t xml:space="preserve">Έννομες συνέπειες που αφορούν στο </w:t>
      </w:r>
      <w:r w:rsidRPr="007C119A">
        <w:rPr>
          <w:u w:val="dash"/>
        </w:rPr>
        <w:t>υποβοηθούμενο ζευγάρι και το τέκνο</w:t>
      </w:r>
      <w:r w:rsidRPr="007C119A">
        <w:t xml:space="preserve"> που θα γεννηθεί:</w:t>
      </w:r>
    </w:p>
    <w:p w14:paraId="6DCDA38B" w14:textId="77777777" w:rsidR="00124A45" w:rsidRPr="007C119A" w:rsidRDefault="00124A45" w:rsidP="004C48A1">
      <w:pPr>
        <w:pStyle w:val="Heading6"/>
      </w:pPr>
      <w:bookmarkStart w:id="111" w:name="αστικέςσυνέπειες"/>
      <w:r w:rsidRPr="007C119A">
        <w:t>Συνέπειες αστικής φύσης:</w:t>
      </w:r>
    </w:p>
    <w:p w14:paraId="05080735" w14:textId="77777777" w:rsidR="002E442D" w:rsidRDefault="002E442D" w:rsidP="00124A45">
      <w:pPr>
        <w:rPr>
          <w:rFonts w:eastAsia="Calibri"/>
          <w:lang w:eastAsia="en-US"/>
        </w:rPr>
      </w:pPr>
      <w:r w:rsidRPr="007C119A">
        <w:rPr>
          <w:rFonts w:eastAsia="Calibri"/>
          <w:lang w:eastAsia="en-US"/>
        </w:rPr>
        <w:t xml:space="preserve">Η εφαρμογή μεθόδων ιατρικά υποβοηθούμενης αναπαραγωγής </w:t>
      </w:r>
      <w:r w:rsidR="005B252F" w:rsidRPr="007C119A">
        <w:rPr>
          <w:rFonts w:eastAsia="Calibri"/>
          <w:lang w:eastAsia="en-US"/>
        </w:rPr>
        <w:t>εγείρει συχνά</w:t>
      </w:r>
      <w:r w:rsidR="005B252F">
        <w:rPr>
          <w:rFonts w:eastAsia="Calibri"/>
          <w:lang w:eastAsia="en-US"/>
        </w:rPr>
        <w:t xml:space="preserve"> προβληματισμούς σχετικούς με ευαίσθητα ζητήματα που αφορούν στη θέση του τέκνου που θα γεννηθεί και τους συγγενικούς δεσμούς που το ενώνουν με τους γεννήτορές του</w:t>
      </w:r>
      <w:r w:rsidR="00825FE4">
        <w:rPr>
          <w:rStyle w:val="FootnoteReference"/>
          <w:rFonts w:eastAsia="Calibri"/>
          <w:lang w:eastAsia="en-US"/>
        </w:rPr>
        <w:footnoteReference w:id="182"/>
      </w:r>
      <w:r w:rsidR="005B252F">
        <w:rPr>
          <w:rFonts w:eastAsia="Calibri"/>
          <w:lang w:eastAsia="en-US"/>
        </w:rPr>
        <w:t xml:space="preserve">. </w:t>
      </w:r>
    </w:p>
    <w:p w14:paraId="20092B89" w14:textId="77777777" w:rsidR="005B252F" w:rsidRDefault="005B252F" w:rsidP="00124A45">
      <w:pPr>
        <w:rPr>
          <w:rFonts w:eastAsia="Calibri"/>
          <w:lang w:eastAsia="en-US"/>
        </w:rPr>
      </w:pPr>
      <w:r>
        <w:rPr>
          <w:rFonts w:eastAsia="Calibri"/>
          <w:lang w:eastAsia="en-US"/>
        </w:rPr>
        <w:lastRenderedPageBreak/>
        <w:t>Τα πράγματα είναι μάλλον λιγότερο πολύπλοκα ότ</w:t>
      </w:r>
      <w:r w:rsidR="00AB4962">
        <w:rPr>
          <w:rFonts w:eastAsia="Calibri"/>
          <w:lang w:eastAsia="en-US"/>
        </w:rPr>
        <w:t>αν το τέκνο προέρχεται από ενδο-συζυγι</w:t>
      </w:r>
      <w:r>
        <w:rPr>
          <w:rFonts w:eastAsia="Calibri"/>
          <w:lang w:eastAsia="en-US"/>
        </w:rPr>
        <w:t>κή αναπαραγωγή, χωρίς γεννητικό υλικό τρίτων δοτών. Το παιδί παραμ</w:t>
      </w:r>
      <w:r w:rsidR="007E316C">
        <w:rPr>
          <w:rFonts w:eastAsia="Calibri"/>
          <w:lang w:eastAsia="en-US"/>
        </w:rPr>
        <w:t>ένει γενετικά συνδεδεμένο</w:t>
      </w:r>
      <w:r>
        <w:rPr>
          <w:rFonts w:eastAsia="Calibri"/>
          <w:lang w:eastAsia="en-US"/>
        </w:rPr>
        <w:t xml:space="preserve"> με το υποψήφιο υποβοηθούμενο ζευγάρι και η μόνη ιδιαιτερότητά του είναι ότι η σύλληψή του δεν έγινε με τον κλασικό τρόπο, αλλά είναι το αποτέλεσμα είτε τεχνητής γονιμοποίησης, είτε γονιμοποίησης </w:t>
      </w:r>
      <w:r w:rsidRPr="005B252F">
        <w:rPr>
          <w:rFonts w:eastAsia="Calibri"/>
          <w:i/>
          <w:lang w:val="en-US" w:eastAsia="en-US"/>
        </w:rPr>
        <w:t>in vitro</w:t>
      </w:r>
      <w:r>
        <w:rPr>
          <w:rFonts w:eastAsia="Calibri"/>
          <w:lang w:val="en-US" w:eastAsia="en-US"/>
        </w:rPr>
        <w:t xml:space="preserve"> </w:t>
      </w:r>
      <w:r>
        <w:rPr>
          <w:rFonts w:eastAsia="Calibri"/>
          <w:lang w:eastAsia="en-US"/>
        </w:rPr>
        <w:t>ακολουθούμενης από εμβρυομεταφορά. Δεδομένου, όμως, ότι η νομική του συγγένεια με τους γεννήτορές του θεμελιώνεται στους δεσμούς αίματος (για τον πατέρα) και τη γέννηση (για τη μητέρα), το τέκνο έχει πρόσβαση χωρίς δυσκολία στις κλασικές δομές συγγενείας</w:t>
      </w:r>
      <w:r w:rsidR="00294A5A">
        <w:rPr>
          <w:rFonts w:eastAsia="Calibri"/>
          <w:lang w:eastAsia="en-US"/>
        </w:rPr>
        <w:t>: είτε με τη ληξιαρχική πράξη γέννησης, είτε με αναγνώριση, είτε με την «καταφαινόμενη συγγένεια» (</w:t>
      </w:r>
      <w:r w:rsidR="00294A5A" w:rsidRPr="00294A5A">
        <w:rPr>
          <w:rFonts w:eastAsia="Calibri"/>
          <w:i/>
          <w:lang w:val="en-US" w:eastAsia="en-US"/>
        </w:rPr>
        <w:t>possession d’état</w:t>
      </w:r>
      <w:r w:rsidR="00294A5A">
        <w:rPr>
          <w:rFonts w:eastAsia="Calibri"/>
          <w:lang w:eastAsia="en-US"/>
        </w:rPr>
        <w:t>)</w:t>
      </w:r>
      <w:bookmarkStart w:id="112" w:name="_Ref273459966"/>
      <w:r w:rsidR="00294A5A">
        <w:rPr>
          <w:rStyle w:val="FootnoteReference"/>
          <w:rFonts w:eastAsia="Calibri"/>
          <w:lang w:eastAsia="en-US"/>
        </w:rPr>
        <w:footnoteReference w:id="183"/>
      </w:r>
      <w:bookmarkEnd w:id="112"/>
      <w:r w:rsidR="00A95620">
        <w:rPr>
          <w:rFonts w:eastAsia="Calibri"/>
          <w:lang w:eastAsia="en-US"/>
        </w:rPr>
        <w:t>. Η μόνη</w:t>
      </w:r>
      <w:r w:rsidR="00294A5A">
        <w:rPr>
          <w:rFonts w:eastAsia="Calibri"/>
          <w:lang w:eastAsia="en-US"/>
        </w:rPr>
        <w:t xml:space="preserve"> δυσκολί</w:t>
      </w:r>
      <w:r w:rsidR="00724A92">
        <w:rPr>
          <w:rFonts w:eastAsia="Calibri"/>
          <w:lang w:eastAsia="en-US"/>
        </w:rPr>
        <w:t>α στην περίπτωση αυτή εγείρεται</w:t>
      </w:r>
      <w:r w:rsidR="00294A5A">
        <w:rPr>
          <w:rFonts w:eastAsia="Calibri"/>
          <w:lang w:eastAsia="en-US"/>
        </w:rPr>
        <w:t xml:space="preserve"> στην περίπτωση που τίθεται ζήτημα ακυρότητας της συναίνεσης, όπως αναφέρθηκε και νωρίτερα</w:t>
      </w:r>
      <w:r w:rsidR="00294A5A">
        <w:rPr>
          <w:rStyle w:val="FootnoteReference"/>
          <w:rFonts w:eastAsia="Calibri"/>
          <w:lang w:eastAsia="en-US"/>
        </w:rPr>
        <w:footnoteReference w:id="184"/>
      </w:r>
      <w:r w:rsidR="00294A5A">
        <w:rPr>
          <w:rFonts w:eastAsia="Calibri"/>
          <w:lang w:eastAsia="en-US"/>
        </w:rPr>
        <w:t xml:space="preserve">. </w:t>
      </w:r>
    </w:p>
    <w:p w14:paraId="1AD7F1DA" w14:textId="77777777" w:rsidR="0009090C" w:rsidRDefault="007E316C" w:rsidP="00124A45">
      <w:bookmarkStart w:id="114" w:name="δύοεξαιρέσεις"/>
      <w:r>
        <w:rPr>
          <w:rFonts w:eastAsia="Calibri"/>
          <w:lang w:eastAsia="en-US"/>
        </w:rPr>
        <w:t xml:space="preserve">Προκειμένου να διασφαλίσει τα ανωτέρω, ο νομοθέτης ορίζει στο άρθρο </w:t>
      </w:r>
      <w:r w:rsidRPr="003E10A0">
        <w:t>311-20</w:t>
      </w:r>
      <w:r>
        <w:t>, παρ. 2</w:t>
      </w:r>
      <w:r w:rsidR="0009090C">
        <w:t xml:space="preserve"> και 4</w:t>
      </w:r>
      <w:r>
        <w:t>,</w:t>
      </w:r>
      <w:r w:rsidRPr="003E10A0">
        <w:t xml:space="preserve"> ΑΚ</w:t>
      </w:r>
      <w:r>
        <w:t xml:space="preserve"> </w:t>
      </w:r>
      <w:r w:rsidR="00312737">
        <w:t xml:space="preserve">ότι </w:t>
      </w:r>
      <w:r>
        <w:t>από μόνη της «</w:t>
      </w:r>
      <w:r w:rsidRPr="007E316C">
        <w:t xml:space="preserve">η </w:t>
      </w:r>
      <w:r w:rsidR="00124A45" w:rsidRPr="003E10A0">
        <w:rPr>
          <w:rStyle w:val="hps"/>
          <w:i/>
        </w:rPr>
        <w:t>συναίνεση στην ιατρικά υποβοηθούμενη αναπαραγωγή αποκλείει κάθε αγωγή προσβολής</w:t>
      </w:r>
      <w:r w:rsidR="00DB3102">
        <w:rPr>
          <w:rStyle w:val="hps"/>
          <w:i/>
        </w:rPr>
        <w:t xml:space="preserve"> σχέσης συγγένειας (πατρότητας)»,</w:t>
      </w:r>
      <w:r w:rsidR="00DB3102" w:rsidRPr="0009090C">
        <w:t xml:space="preserve"> </w:t>
      </w:r>
      <w:r w:rsidR="0009090C" w:rsidRPr="0009090C">
        <w:t>καθώς</w:t>
      </w:r>
      <w:r w:rsidR="0009090C">
        <w:t xml:space="preserve"> επίσης και ότι «</w:t>
      </w:r>
      <w:r w:rsidR="0009090C">
        <w:rPr>
          <w:i/>
        </w:rPr>
        <w:t>α</w:t>
      </w:r>
      <w:r w:rsidR="0009090C" w:rsidRPr="003E10A0">
        <w:rPr>
          <w:i/>
        </w:rPr>
        <w:t>υτός που, ενώ έχει συναινέσει στην ιατρικά υποβοηθούμενη αναπαραγωγή, δεν αναγνωρίζει το τέκνο που γεννιέται από αυτήν, έχει ευθύνη έναντι της μητέρας και του τέκνου</w:t>
      </w:r>
      <w:r w:rsidR="0009090C">
        <w:t xml:space="preserve">». </w:t>
      </w:r>
    </w:p>
    <w:p w14:paraId="6965EBD2" w14:textId="77777777" w:rsidR="00124A45" w:rsidRPr="003E10A0" w:rsidRDefault="0009090C" w:rsidP="00124A45">
      <w:pPr>
        <w:rPr>
          <w:rStyle w:val="hps"/>
          <w:i/>
        </w:rPr>
      </w:pPr>
      <w:r>
        <w:t>Ταυτόχρονα με τον κανόνα, ο γάλλος νομοθέτης φροντίζει να θέσει και τι</w:t>
      </w:r>
      <w:r w:rsidR="00DB3102" w:rsidRPr="00DB3102">
        <w:t>ς εξαιρέσεις:</w:t>
      </w:r>
      <w:r w:rsidR="00DB3102">
        <w:t xml:space="preserve"> </w:t>
      </w:r>
      <w:r w:rsidR="00312737">
        <w:t xml:space="preserve">οι </w:t>
      </w:r>
      <w:r w:rsidR="00312737" w:rsidRPr="00312737">
        <w:rPr>
          <w:b/>
        </w:rPr>
        <w:t>δύο περιορισμοί</w:t>
      </w:r>
      <w:r w:rsidR="00DB3102" w:rsidRPr="00312737">
        <w:rPr>
          <w:b/>
        </w:rPr>
        <w:t xml:space="preserve"> που επιβάλλονται στη γενική απαγόρευση αμφισβήτησης της πατρότητας</w:t>
      </w:r>
      <w:r w:rsidR="00DB3102">
        <w:t xml:space="preserve"> σε περίπτωση που έχει προηγηθεί συναίνεση του πατέρα στην εφαρμογή μεθόδων ιατρικά υποβοηθούμενης αναπαραγωγής συνίστανται, αφενός, στην περίπτωση της </w:t>
      </w:r>
      <w:r w:rsidR="00DB3102" w:rsidRPr="00312737">
        <w:rPr>
          <w:b/>
        </w:rPr>
        <w:t>συναίνεσης που στερείται ισχύος</w:t>
      </w:r>
      <w:r w:rsidR="00DB3102">
        <w:t xml:space="preserve"> εξαιτίας ενός θανάτου, διάστασης ή διαζυγίου του ζευ</w:t>
      </w:r>
      <w:r w:rsidR="000B54DB">
        <w:t>γαριού, διακοπής του κοινού του</w:t>
      </w:r>
      <w:r w:rsidR="00DB3102">
        <w:t xml:space="preserve"> βίου ή ανάκλησης της συναίνεσης και, αφετέρου, στην περίπτωση κατά την οποία υποστηρίζεται ότι </w:t>
      </w:r>
      <w:r w:rsidR="00DB3102" w:rsidRPr="00312737">
        <w:rPr>
          <w:b/>
        </w:rPr>
        <w:t>«</w:t>
      </w:r>
      <w:r w:rsidR="00124A45" w:rsidRPr="00312737">
        <w:rPr>
          <w:rStyle w:val="hps"/>
          <w:b/>
          <w:i/>
        </w:rPr>
        <w:t>το τέκνο δεν προήλθε από ια</w:t>
      </w:r>
      <w:r w:rsidR="00DB3102" w:rsidRPr="00312737">
        <w:rPr>
          <w:rStyle w:val="hps"/>
          <w:b/>
          <w:i/>
        </w:rPr>
        <w:t>τρικά υποβοηθούμενη αναπαραγωγή</w:t>
      </w:r>
      <w:r w:rsidR="007E316C" w:rsidRPr="00312737">
        <w:rPr>
          <w:rStyle w:val="hps"/>
          <w:b/>
        </w:rPr>
        <w:t>»</w:t>
      </w:r>
      <w:r w:rsidR="007E316C" w:rsidRPr="007E316C">
        <w:rPr>
          <w:rStyle w:val="hps"/>
        </w:rPr>
        <w:t xml:space="preserve">. </w:t>
      </w:r>
      <w:r w:rsidR="00BA5E32">
        <w:rPr>
          <w:rStyle w:val="hps"/>
        </w:rPr>
        <w:t xml:space="preserve">Η λύση αυτή ερείδεται στη βούληση του νομοθέτη να μην επιβάλει την πατρότητα σε πρόσωπα τα οποία, ανακαλώντας τη συναίνεσή τους, εξέφρασαν ρητά την αντίθεσή τους στην εν λόγω αναπαραγωγή ή σε πρόσωπα που βρίσκονται σε διάσταση </w:t>
      </w:r>
      <w:r w:rsidR="00C90ADC">
        <w:rPr>
          <w:rStyle w:val="hps"/>
        </w:rPr>
        <w:t xml:space="preserve">ή εν </w:t>
      </w:r>
      <w:r w:rsidR="00D5653F">
        <w:rPr>
          <w:rStyle w:val="hps"/>
        </w:rPr>
        <w:t>μέσω</w:t>
      </w:r>
      <w:r w:rsidR="00C90ADC">
        <w:rPr>
          <w:rStyle w:val="hps"/>
        </w:rPr>
        <w:t xml:space="preserve"> διαδικασίας διαζυγίου. Και φυσικά γίνεται αναφορά μόνο στην πατρότητα, δεδομένου ότι σε ό,τι αφορά στη μητρότητα δεν τίθεται σήμερα τέτοιο ζήτημα. Καμία από τις νομοθετικά προβλεπόμενες μεθόδους ιατρικά υποβοηθούμενης αναπαραγωγής στη Γαλλία δεν επιτρέπει τη γέννηση ενός τέκνου χωρίς να έχει συναινέσει στην κυοφορία του η μητέρα του (όχι απαραίτητα βιολογική). Συνεπώς</w:t>
      </w:r>
      <w:r w:rsidR="006A2853">
        <w:rPr>
          <w:rStyle w:val="hps"/>
        </w:rPr>
        <w:t>,</w:t>
      </w:r>
      <w:r w:rsidR="00C90ADC">
        <w:rPr>
          <w:rStyle w:val="hps"/>
        </w:rPr>
        <w:t xml:space="preserve"> </w:t>
      </w:r>
      <w:r w:rsidR="006A2853">
        <w:rPr>
          <w:rStyle w:val="hps"/>
        </w:rPr>
        <w:t xml:space="preserve">σήμερα, στη γαλλική </w:t>
      </w:r>
      <w:r w:rsidR="006A2853">
        <w:rPr>
          <w:rStyle w:val="hps"/>
        </w:rPr>
        <w:lastRenderedPageBreak/>
        <w:t xml:space="preserve">έννομη τάξη, δεν είναι δυνατή </w:t>
      </w:r>
      <w:r w:rsidR="00C90ADC">
        <w:rPr>
          <w:rStyle w:val="hps"/>
        </w:rPr>
        <w:t xml:space="preserve">η υποβοηθούμενη αναπαραγωγή </w:t>
      </w:r>
      <w:r w:rsidR="006A2853">
        <w:rPr>
          <w:rStyle w:val="hps"/>
        </w:rPr>
        <w:t>για την οποία έχει ανακαλέσει τη συναίνεσή</w:t>
      </w:r>
      <w:r w:rsidR="00C90ADC">
        <w:rPr>
          <w:rStyle w:val="hps"/>
        </w:rPr>
        <w:t xml:space="preserve"> της </w:t>
      </w:r>
      <w:r w:rsidR="006A2853">
        <w:rPr>
          <w:rStyle w:val="hps"/>
        </w:rPr>
        <w:t>η υποβοηθούμενη γυναίκα</w:t>
      </w:r>
      <w:r w:rsidR="00C90ADC">
        <w:rPr>
          <w:rStyle w:val="hps"/>
        </w:rPr>
        <w:t xml:space="preserve">.  </w:t>
      </w:r>
      <w:r w:rsidR="00BA5E32">
        <w:rPr>
          <w:rStyle w:val="hps"/>
        </w:rPr>
        <w:t xml:space="preserve"> </w:t>
      </w:r>
    </w:p>
    <w:p w14:paraId="0614B6E7" w14:textId="77777777" w:rsidR="004A3AE8" w:rsidRDefault="00312737" w:rsidP="00446898">
      <w:r>
        <w:t xml:space="preserve">Εάν αποδειχθεί </w:t>
      </w:r>
      <w:r w:rsidR="0009090C">
        <w:t>ότι πράγματι συντρέχει μία από τις δύο προαναφερθείσες προϋποθέσεις</w:t>
      </w:r>
      <w:r w:rsidR="00446898">
        <w:t xml:space="preserve"> </w:t>
      </w:r>
      <w:r w:rsidR="004A3AE8">
        <w:t>[</w:t>
      </w:r>
      <w:r w:rsidR="00446898">
        <w:t>η συναίνεση είναι άκυρη ή τ</w:t>
      </w:r>
      <w:r w:rsidR="00446898" w:rsidRPr="00446898">
        <w:t xml:space="preserve">ο τέκνο δεν προήλθε από </w:t>
      </w:r>
      <w:r w:rsidR="00446898">
        <w:t xml:space="preserve">την </w:t>
      </w:r>
      <w:r w:rsidR="00446898" w:rsidRPr="00446898">
        <w:t>ιατρικά υποβοηθούμενη αναπαραγωγή</w:t>
      </w:r>
      <w:r w:rsidR="004A3AE8">
        <w:t>]</w:t>
      </w:r>
      <w:r w:rsidR="0009090C">
        <w:t>, η απαγόρευση αμφισβήτησης της πατρότητας αίρεται και ο φερόμενος ως πατέρας μπορεί να καταθέσει αγωγή. Εμπόδια στην απαγόρευση αμφισβήτησης της πατρότητας μπορούν, πλέον, να σταθούν μόνο τυχόν παραγραφή της αξίωσης ή η καταφαινόμενη συγγένεια, αποκλείοντας έτσι την απάλειψη των δεσμών σ</w:t>
      </w:r>
      <w:r w:rsidR="00CB1E1C">
        <w:t>υγγενείας μεταξύ του τέκνου</w:t>
      </w:r>
      <w:r w:rsidR="004A3AE8">
        <w:t xml:space="preserve"> και του πατέρα</w:t>
      </w:r>
      <w:r w:rsidR="00CB1E1C">
        <w:t xml:space="preserve">. </w:t>
      </w:r>
    </w:p>
    <w:p w14:paraId="63B966B3" w14:textId="77777777" w:rsidR="007E316C" w:rsidRDefault="00CB1E1C" w:rsidP="00446898">
      <w:r>
        <w:t>Ενδεικτικά αναφέρεται η απόφαση του Πολυμελούς Πρωτοδικείου των Παρισίων, με την οποία απορρίφθηκε η αγωγή προσβολής της πατρότητας</w:t>
      </w:r>
      <w:r w:rsidR="00111E1F">
        <w:t xml:space="preserve"> τέκνου που γεννήθηκε με δωρεά τρίτου δότη</w:t>
      </w:r>
      <w:r>
        <w:t xml:space="preserve">, </w:t>
      </w:r>
      <w:r w:rsidR="00111E1F">
        <w:t>χωρίς καν να χρειαστεί να διατάξει πραγματογνωμοσύνη με γενετικές εξετάσεις το Δικαστήριο</w:t>
      </w:r>
      <w:r>
        <w:t xml:space="preserve">, γιατί το τέκνο είχε </w:t>
      </w:r>
      <w:r w:rsidR="00111E1F">
        <w:t xml:space="preserve">στη διάθεσή του </w:t>
      </w:r>
      <w:r>
        <w:t>ληξιαρχική πράξη γέννησης και «καταφαινόμενη συγγένεια» (</w:t>
      </w:r>
      <w:r w:rsidRPr="00CB1E1C">
        <w:rPr>
          <w:i/>
          <w:lang w:val="en-US"/>
        </w:rPr>
        <w:t>possession d’état</w:t>
      </w:r>
      <w:r>
        <w:t>) με τον φερόμενο ως πατέρα του</w:t>
      </w:r>
      <w:r w:rsidR="00111E1F">
        <w:rPr>
          <w:rStyle w:val="FootnoteReference"/>
        </w:rPr>
        <w:footnoteReference w:id="185"/>
      </w:r>
      <w:r>
        <w:t xml:space="preserve">. </w:t>
      </w:r>
    </w:p>
    <w:bookmarkEnd w:id="114"/>
    <w:p w14:paraId="5AA5D65D" w14:textId="77777777" w:rsidR="003D6BB6" w:rsidRDefault="003D6BB6" w:rsidP="00446898">
      <w:r>
        <w:t>Τα πράγμα</w:t>
      </w:r>
      <w:r w:rsidR="002661B6">
        <w:t>τα</w:t>
      </w:r>
      <w:r>
        <w:t xml:space="preserve"> περιπλέκονται</w:t>
      </w:r>
      <w:r w:rsidR="002661B6">
        <w:t>,</w:t>
      </w:r>
      <w:r>
        <w:t xml:space="preserve"> ωστόσο, όταν το τέκνο δεν είναι προϊόν «ενδο</w:t>
      </w:r>
      <w:r w:rsidR="00AB4962">
        <w:t>-συζυγι</w:t>
      </w:r>
      <w:r w:rsidR="00B409F7">
        <w:t>κής</w:t>
      </w:r>
      <w:r>
        <w:t>»</w:t>
      </w:r>
      <w:r w:rsidR="00B409F7" w:rsidRPr="00B409F7">
        <w:t xml:space="preserve"> </w:t>
      </w:r>
      <w:r w:rsidR="00B409F7">
        <w:t>αναπαραγωγής, αλλά έχει συλληφθεί με δωρεά</w:t>
      </w:r>
      <w:r>
        <w:t xml:space="preserve"> τρίτου δότη,</w:t>
      </w:r>
      <w:r w:rsidR="00B409F7">
        <w:t xml:space="preserve"> δηλαδή</w:t>
      </w:r>
      <w:r>
        <w:t xml:space="preserve"> είτε έχει γίνει χρήση γαμετών τρίτου δότη, είτε έχει προηγηθεί μεταφορά εμβρύων τρίτου ζευγαριού. </w:t>
      </w:r>
      <w:r w:rsidR="002661B6">
        <w:t>Στην περίπτωση αυτή, λοιπόν, η νομική συγγένεια του τέκνου φαίνεται να είναι πιο προβλημα</w:t>
      </w:r>
      <w:r w:rsidR="00B409F7">
        <w:t xml:space="preserve">τική, δεδομένου ότι το τέκνο δεν </w:t>
      </w:r>
      <w:r w:rsidR="002661B6">
        <w:t xml:space="preserve">έχει εξ αίματος συγγένεια </w:t>
      </w:r>
      <w:r w:rsidR="00B409F7">
        <w:t>με κανένα από τα υποβοηθούμενα πρόσωπα και μελλοντικούς γονείς του</w:t>
      </w:r>
      <w:r w:rsidR="002661B6">
        <w:t xml:space="preserve">. </w:t>
      </w:r>
      <w:r w:rsidR="004F40C7">
        <w:t xml:space="preserve">Τα ζητήματα που εγείρονται, επομένως, είναι δύο και αφορούν, αφενός, στους δεσμούς συγγενείας που επιλέγει ο γάλλος νομοθέτης να εγκαθιδρύσει μεταξύ των γονέων που προσφεύγουν στην ιατρική υποβοήθηση στην αναπαραγωγή και το τέκνο που θα γεννηθεί από τις ανωτέρω μεθόδους και, αφετέρου, στην προσέγγιση που υιοθετείται έναντι στο δότη ή τους δότες του γεννητικού υλικού ή του εμβρύου. </w:t>
      </w:r>
    </w:p>
    <w:p w14:paraId="271D98DC" w14:textId="77777777" w:rsidR="004F40C7" w:rsidRDefault="00B409F7" w:rsidP="00446898">
      <w:r>
        <w:t>Η απάντηση στα</w:t>
      </w:r>
      <w:r w:rsidR="004F40C7">
        <w:t xml:space="preserve"> δύο αυτά ερωτήματα δόθηκε από το γάλλο νομοθέτη το 1994, </w:t>
      </w:r>
      <w:r w:rsidR="000347E1">
        <w:t>επιβάλλοντας</w:t>
      </w:r>
      <w:r w:rsidR="004F40C7">
        <w:t xml:space="preserve"> την πατρότητα και τη μητρότητα στον άνδρα και τη γυναίκα των οποίων ικανοποιήθη</w:t>
      </w:r>
      <w:r w:rsidR="000347E1">
        <w:t xml:space="preserve">κε η επιθυμία να γίνουν γονείς και </w:t>
      </w:r>
      <w:r w:rsidR="004F40C7">
        <w:t xml:space="preserve">απαγορεύοντας ταυτόχρονα κάθε αναζήτηση συγγένειας ή διερεύνηση τυχόν ευθύνης έναντι του δότη ή των δοτών του γεννητικού υλικού. Οι ρυθμίσεις αυτές διατηρήθηκαν με ελάχιστες παραλλαγές </w:t>
      </w:r>
      <w:r w:rsidR="00A24FE5">
        <w:t>στον τύπο</w:t>
      </w:r>
      <w:r w:rsidR="009D6930">
        <w:t xml:space="preserve"> ή και την ουσία, με την Υπουργική Απόφαση της 4</w:t>
      </w:r>
      <w:r w:rsidR="009D6930" w:rsidRPr="009D6930">
        <w:rPr>
          <w:vertAlign w:val="superscript"/>
        </w:rPr>
        <w:t>ης</w:t>
      </w:r>
      <w:r w:rsidR="009D6930">
        <w:t xml:space="preserve"> Ιουλίου 2005 και, μετέπειτα, με το </w:t>
      </w:r>
      <w:r w:rsidR="009D6930" w:rsidRPr="00A24FE5">
        <w:rPr>
          <w:i/>
        </w:rPr>
        <w:t xml:space="preserve">Νόμο περί </w:t>
      </w:r>
      <w:r w:rsidR="00A24FE5" w:rsidRPr="00A24FE5">
        <w:rPr>
          <w:i/>
        </w:rPr>
        <w:t>Β</w:t>
      </w:r>
      <w:r w:rsidR="009D6930" w:rsidRPr="00A24FE5">
        <w:rPr>
          <w:i/>
        </w:rPr>
        <w:t>ιοηθικής</w:t>
      </w:r>
      <w:r w:rsidR="009D6930">
        <w:t xml:space="preserve"> της 7</w:t>
      </w:r>
      <w:r w:rsidR="009D6930" w:rsidRPr="009D6930">
        <w:rPr>
          <w:vertAlign w:val="superscript"/>
        </w:rPr>
        <w:t>ης</w:t>
      </w:r>
      <w:r w:rsidR="009D6930">
        <w:t xml:space="preserve"> Ιουλίου 2011. </w:t>
      </w:r>
    </w:p>
    <w:p w14:paraId="357DF90E" w14:textId="77777777" w:rsidR="00756097" w:rsidRDefault="003563ED" w:rsidP="00756097">
      <w:bookmarkStart w:id="115" w:name="πως_υλοποιείται_αυτό"/>
      <w:r>
        <w:t>Πως υλοποιείται όμως αυτό νομοθετικά</w:t>
      </w:r>
      <w:r w:rsidR="00756097">
        <w:rPr>
          <w:lang w:val="en-US"/>
        </w:rPr>
        <w:t>;</w:t>
      </w:r>
      <w:r w:rsidR="00756097">
        <w:t xml:space="preserve"> Ο νομοθέτης και, ειδικότερα, οι διατάξεις των άρθρων 311-19 και 311-20 ΑΚ, από τη μία, επιβάλλουν δεσμό συγγενείας μεταξύ των υποβοηθούμενων προσώπων και του τέκνου που θα γεννηθεί και, από την άλλη, </w:t>
      </w:r>
      <w:r w:rsidR="00756097">
        <w:lastRenderedPageBreak/>
        <w:t>απαγορεύουν την αμφισβήτηση της νομίμως εγκαθιδρυθείσας αυτής συγγένειας. Σύμφωνα, λοιπόν, με το άρθρο 311-20, παρ. 4, ΑΚ, «</w:t>
      </w:r>
      <w:r w:rsidR="00756097" w:rsidRPr="00756097">
        <w:rPr>
          <w:i/>
        </w:rPr>
        <w:t>α</w:t>
      </w:r>
      <w:r w:rsidR="00756097" w:rsidRPr="0094242E">
        <w:rPr>
          <w:i/>
        </w:rPr>
        <w:t>υτός που, ενώ έχει συναινέσει στην ιατρικά υποβοηθούμενη αναπαραγωγή, δεν αναγνωρίζει το τέκνο που γεννιέται από αυτήν, έχει ευθύνη έναντι της μητέρας και του τέκνου</w:t>
      </w:r>
      <w:r w:rsidR="004A7557">
        <w:t>».</w:t>
      </w:r>
      <w:r w:rsidR="00756097" w:rsidRPr="003E10A0">
        <w:t xml:space="preserve"> </w:t>
      </w:r>
      <w:r w:rsidR="004A7557">
        <w:t>Σε κάθε περίπτωση, εκτός από την αδικοπρακτική αυτή ευθύνη του πατέρα απέναντι στη μητέρα και το τέκνο, ο νομοθέτης προβλέπει στην αμέσως επόμενη παράγραφο ότι «</w:t>
      </w:r>
      <w:r w:rsidR="004A7557" w:rsidRPr="006307C5">
        <w:rPr>
          <w:i/>
        </w:rPr>
        <w:t>επιπλέον, η πατρότητα κηρύσσεται δικαστικά. Η διαδικασία ακολουθεί τις διατάξεις των άρθρων 328 και 331</w:t>
      </w:r>
      <w:r w:rsidR="004A7557">
        <w:t>»</w:t>
      </w:r>
      <w:r w:rsidR="00B60C92">
        <w:t xml:space="preserve"> (άρθρο 311-20, παρ. 5, ΑΚ)</w:t>
      </w:r>
      <w:r w:rsidR="004A7557">
        <w:t xml:space="preserve">. </w:t>
      </w:r>
    </w:p>
    <w:p w14:paraId="3CC84C5A" w14:textId="77777777" w:rsidR="006307C5" w:rsidRPr="00CA69A8" w:rsidRDefault="006307C5" w:rsidP="006307C5">
      <w:r>
        <w:t xml:space="preserve">Στη ρύθμιση αυτή υπάγεται και η περίπτωση της ανάκλησης συναίνεσης που θεωρείται καταχρηστική. Η εμφύτευση θα πραγματοποιηθεί και ο υποψήφιος πατέρας που ανακαλεί τη συναίνεσή του κατά τρόπο καταχρηστικό θα υποστεί τις έννομες συνέπειες. Υποστηρίζεται, δε, ότι θα μπορούσε να αποτελέσει λόγο διαζυγίου εξαιτίας ισχυρού κλονισμού του γάμου. Δεν υπάρχει συγκεκριμένη νομολογία, ωστόσο σε παρεμφερή περίπτωση θεωρήθηκε λόγος διαζυγίου η επίμονη άρνηση της συζύγου να αντιμετωπίσει τα προβλήματα υπογονιμότητας προκειμένου να αποκτήσουν τέκνο. </w:t>
      </w:r>
      <w:r w:rsidRPr="000E7943">
        <w:t>Σε κάθε περίπτωση, ο άντρας που ανακάλεσε τη συναίνεσή του θα γίνει πατέρας του παιδιού.</w:t>
      </w:r>
    </w:p>
    <w:bookmarkEnd w:id="115"/>
    <w:p w14:paraId="6B25F05C" w14:textId="77777777" w:rsidR="00124194" w:rsidRDefault="00425F6F" w:rsidP="00124194">
      <w:pPr>
        <w:rPr>
          <w:rStyle w:val="hps"/>
        </w:rPr>
      </w:pPr>
      <w:r>
        <w:t>Παράλληλα με την επιβολή των δεσμών συγγενείας μεταξύ των υποβοηθούμενων προσώπων και του τέκνου, ο νομοθέτης συμπληρώνει το προστατευτικό πλαίσιο προβλέποντας, όπως προαναφέρθηκε, την απαγόρευση αμφισβήτησης της πατρότητας, όταν το υποψήφιο υποβοηθούμενο πρόσωπο έχει συναινέσει στη διενέργεια μεθόδων ιατρικά υποβοηθούμενης αναπαραγωγή</w:t>
      </w:r>
      <w:r w:rsidR="00124194">
        <w:t xml:space="preserve">ς. Δυνάμει του άρθρου 311-20, παρ. 2, ΑΚ </w:t>
      </w:r>
      <w:r w:rsidR="00124194">
        <w:rPr>
          <w:b/>
        </w:rPr>
        <w:t>«</w:t>
      </w:r>
      <w:r w:rsidR="00124194">
        <w:rPr>
          <w:i/>
        </w:rPr>
        <w:t>η</w:t>
      </w:r>
      <w:r w:rsidR="00124194" w:rsidRPr="0094242E">
        <w:rPr>
          <w:rStyle w:val="hps"/>
          <w:i/>
        </w:rPr>
        <w:t xml:space="preserve"> συναίνεση στην ιατρικά υποβοηθούμενη αναπαραγωγή αποκλείει κάθε αγωγή προσβολής </w:t>
      </w:r>
      <w:r w:rsidR="00124194">
        <w:rPr>
          <w:rStyle w:val="hps"/>
          <w:i/>
        </w:rPr>
        <w:t>σχέσης συγγένειας (πατρότητας)</w:t>
      </w:r>
      <w:r w:rsidR="00124194" w:rsidRPr="00124194">
        <w:rPr>
          <w:rStyle w:val="hps"/>
        </w:rPr>
        <w:t xml:space="preserve">». Δύο εξαιρέσεις </w:t>
      </w:r>
      <w:r w:rsidR="00124194">
        <w:rPr>
          <w:rStyle w:val="hps"/>
        </w:rPr>
        <w:t>προβλέπονται στον κανόνα αυτό και συνίστανται είτε στη</w:t>
      </w:r>
      <w:r w:rsidR="003646B4">
        <w:rPr>
          <w:rStyle w:val="hps"/>
        </w:rPr>
        <w:t xml:space="preserve">ν περίπτωση όπου υποστηρίζεται </w:t>
      </w:r>
      <w:r w:rsidR="00124194" w:rsidRPr="003646B4">
        <w:rPr>
          <w:rStyle w:val="hps"/>
        </w:rPr>
        <w:t>ότι το τέκνο δεν προήλθε από ια</w:t>
      </w:r>
      <w:r w:rsidR="003646B4">
        <w:rPr>
          <w:rStyle w:val="hps"/>
        </w:rPr>
        <w:t xml:space="preserve">τρικά υποβοηθούμενη αναπαραγωγή, είτε στην περίπτωση της </w:t>
      </w:r>
      <w:r w:rsidR="00124194" w:rsidRPr="003646B4">
        <w:rPr>
          <w:rStyle w:val="hps"/>
        </w:rPr>
        <w:t>συναίνεση</w:t>
      </w:r>
      <w:r w:rsidR="003646B4">
        <w:rPr>
          <w:rStyle w:val="hps"/>
        </w:rPr>
        <w:t>ς</w:t>
      </w:r>
      <w:r w:rsidR="00124194" w:rsidRPr="003646B4">
        <w:rPr>
          <w:rStyle w:val="hps"/>
        </w:rPr>
        <w:t xml:space="preserve"> </w:t>
      </w:r>
      <w:r w:rsidR="003646B4">
        <w:rPr>
          <w:rStyle w:val="hps"/>
        </w:rPr>
        <w:t>χωρίς νομική ισχύ</w:t>
      </w:r>
      <w:r w:rsidR="00485F9D">
        <w:rPr>
          <w:rStyle w:val="FootnoteReference"/>
        </w:rPr>
        <w:footnoteReference w:id="186"/>
      </w:r>
      <w:r w:rsidR="00124194" w:rsidRPr="003646B4">
        <w:rPr>
          <w:rStyle w:val="hps"/>
        </w:rPr>
        <w:t>.</w:t>
      </w:r>
    </w:p>
    <w:p w14:paraId="2982E732" w14:textId="77777777" w:rsidR="003646B4" w:rsidRDefault="00725B56" w:rsidP="00124194">
      <w:pPr>
        <w:rPr>
          <w:rStyle w:val="hps"/>
          <w:lang w:val="en-US"/>
        </w:rPr>
      </w:pPr>
      <w:r>
        <w:rPr>
          <w:rStyle w:val="hps"/>
        </w:rPr>
        <w:t xml:space="preserve">Όπως έχει ήδη επισημανθεί, ο νομοθέτης κάνει αναφορά μόνο στην αναγνώριση της πατρότητας, παραλείποντας παντελώς το ζήτημα της αναγνώρισης της μητρότητας. Αυτό εξηγείται για δύο λόγους: αφενός, διότι οι εννέα μήνες της κύησης δημιουργούν πολύ έντονους συναισθηματικούς δεσμούς μεταξύ της μητέρας και του τέκνου που κυοφορεί και, αφετέρου, διότι, στη Γαλλία, η γυναίκα που προσφεύγει σε μεθόδους ιατρικά υποβοηθούμενης αναπαραγωγής είναι πάντα η γυναίκα που θα κυοφορήσει και θα φέρει στον κόσμο το τέκνο. </w:t>
      </w:r>
      <w:r w:rsidRPr="00725B56">
        <w:rPr>
          <w:rStyle w:val="hps"/>
          <w:i/>
          <w:lang w:val="en-US"/>
        </w:rPr>
        <w:t>Mater semper certa est</w:t>
      </w:r>
      <w:r>
        <w:rPr>
          <w:rStyle w:val="hps"/>
        </w:rPr>
        <w:t>:</w:t>
      </w:r>
      <w:r>
        <w:rPr>
          <w:rStyle w:val="hps"/>
          <w:lang w:val="en-US"/>
        </w:rPr>
        <w:t xml:space="preserve"> για το γάλλο νομοθέτη αυτό αρκεί για να εξασφαλίσει νομικά τη μητρότητα του τέκνου. Για ορισμένους, βέβαια, αυτό </w:t>
      </w:r>
      <w:r w:rsidR="00D45194">
        <w:rPr>
          <w:rStyle w:val="hps"/>
          <w:lang w:val="en-US"/>
        </w:rPr>
        <w:t xml:space="preserve">δεν είναι ορθό, γιατί όπως υποστηρίζουν ο νομοθέτης φαίνεται να ξεχνάει ότι σύμφωνα με το γαλλικό </w:t>
      </w:r>
      <w:r w:rsidR="00F34EF9">
        <w:rPr>
          <w:rStyle w:val="hps"/>
          <w:lang w:val="en-US"/>
        </w:rPr>
        <w:t xml:space="preserve">δίκαιο </w:t>
      </w:r>
      <w:r w:rsidR="00D45194">
        <w:rPr>
          <w:rStyle w:val="hps"/>
          <w:lang w:val="en-US"/>
        </w:rPr>
        <w:t>κάθε γυναίκα μπορεί να γεννήσει με απόλυτη μυστικότητα, διατηρώντας το δικαίωμα να μη δώσει τα στοιχεία της ταυτότητάς της και να εγκαταλείψει το βρέφος (</w:t>
      </w:r>
      <w:r w:rsidR="00D45194" w:rsidRPr="00D45194">
        <w:rPr>
          <w:rStyle w:val="hps"/>
          <w:i/>
          <w:lang w:val="en-US"/>
        </w:rPr>
        <w:t>accouchement sous X</w:t>
      </w:r>
      <w:r w:rsidR="00D45194">
        <w:rPr>
          <w:rStyle w:val="hps"/>
          <w:lang w:val="en-US"/>
        </w:rPr>
        <w:t xml:space="preserve">). </w:t>
      </w:r>
    </w:p>
    <w:p w14:paraId="1DEC20B0" w14:textId="77777777" w:rsidR="00314691" w:rsidRPr="00314691" w:rsidRDefault="00314691" w:rsidP="00314691">
      <w:pPr>
        <w:tabs>
          <w:tab w:val="left" w:pos="4678"/>
        </w:tabs>
        <w:rPr>
          <w:rStyle w:val="hps"/>
        </w:rPr>
      </w:pPr>
      <w:r>
        <w:rPr>
          <w:rStyle w:val="hps"/>
        </w:rPr>
        <w:lastRenderedPageBreak/>
        <w:t xml:space="preserve">Η νομολογία, σε αυτές τις περιπτώσεις που αφορούν σε αμφισβήτηση της πατρότητας όταν το τέκνο έχει συλληφθεί με προσφυγή σε ιατρικά υποβοηθούμενη αναπαραγωγή με </w:t>
      </w:r>
      <w:r w:rsidR="00A9516A">
        <w:rPr>
          <w:rStyle w:val="hps"/>
        </w:rPr>
        <w:t>τρίτο</w:t>
      </w:r>
      <w:r>
        <w:rPr>
          <w:rStyle w:val="hps"/>
        </w:rPr>
        <w:t xml:space="preserve"> δότη, δεν είναι πολύ πλούσια. Ενδεικτικά, αναφέρεται μία υπόθεση κατά την οποία ωστόσο δεν έγινε παραπομπή στις ειδικότερες διατάξεις του άρθρου 311-20 ΑΚ, αλλά επιλύθηκε η διαφορά με εφαρμογή των γενικών διατάξεων του Αστικού Κώδικα</w:t>
      </w:r>
      <w:r>
        <w:rPr>
          <w:rStyle w:val="FootnoteReference"/>
        </w:rPr>
        <w:footnoteReference w:id="187"/>
      </w:r>
      <w:r>
        <w:rPr>
          <w:rStyle w:val="hps"/>
        </w:rPr>
        <w:t xml:space="preserve">. </w:t>
      </w:r>
      <w:r>
        <w:t>Μετά</w:t>
      </w:r>
      <w:r w:rsidRPr="006615AF">
        <w:t xml:space="preserve"> </w:t>
      </w:r>
      <w:r>
        <w:t>από</w:t>
      </w:r>
      <w:r w:rsidRPr="006615AF">
        <w:t xml:space="preserve"> </w:t>
      </w:r>
      <w:r>
        <w:t>αρκετές άκαρπες</w:t>
      </w:r>
      <w:r w:rsidRPr="006615AF">
        <w:t xml:space="preserve"> </w:t>
      </w:r>
      <w:r>
        <w:t>προσπάθειες</w:t>
      </w:r>
      <w:r w:rsidRPr="006615AF">
        <w:t xml:space="preserve"> </w:t>
      </w:r>
      <w:r>
        <w:t>στη</w:t>
      </w:r>
      <w:r w:rsidRPr="006615AF">
        <w:t xml:space="preserve"> </w:t>
      </w:r>
      <w:r>
        <w:t>Γαλλία</w:t>
      </w:r>
      <w:r w:rsidRPr="006615AF">
        <w:t xml:space="preserve"> </w:t>
      </w:r>
      <w:r>
        <w:t>και</w:t>
      </w:r>
      <w:r w:rsidRPr="006615AF">
        <w:t xml:space="preserve"> </w:t>
      </w:r>
      <w:r>
        <w:t>έπειτα</w:t>
      </w:r>
      <w:r w:rsidRPr="006615AF">
        <w:t xml:space="preserve"> </w:t>
      </w:r>
      <w:r>
        <w:t>στο</w:t>
      </w:r>
      <w:r w:rsidRPr="006615AF">
        <w:t xml:space="preserve"> </w:t>
      </w:r>
      <w:r>
        <w:t>Βέλγιο</w:t>
      </w:r>
      <w:r w:rsidRPr="006615AF">
        <w:t xml:space="preserve">, </w:t>
      </w:r>
      <w:r>
        <w:t>το</w:t>
      </w:r>
      <w:r w:rsidRPr="006615AF">
        <w:t xml:space="preserve"> </w:t>
      </w:r>
      <w:r>
        <w:t>ενδιαφερόμενο</w:t>
      </w:r>
      <w:r w:rsidRPr="006615AF">
        <w:t xml:space="preserve"> </w:t>
      </w:r>
      <w:r>
        <w:t>ζευγάρι</w:t>
      </w:r>
      <w:r w:rsidRPr="006615AF">
        <w:t xml:space="preserve"> </w:t>
      </w:r>
      <w:r>
        <w:t>κατέφυγε</w:t>
      </w:r>
      <w:r w:rsidRPr="006615AF">
        <w:t xml:space="preserve"> </w:t>
      </w:r>
      <w:r>
        <w:t>σε</w:t>
      </w:r>
      <w:r w:rsidRPr="006615AF">
        <w:t xml:space="preserve"> </w:t>
      </w:r>
      <w:r>
        <w:t>μεθόδους</w:t>
      </w:r>
      <w:r w:rsidRPr="006615AF">
        <w:t xml:space="preserve"> </w:t>
      </w:r>
      <w:r>
        <w:t>ιατρικά υποβοηθούμενης αναπαραγωγής στη</w:t>
      </w:r>
      <w:r w:rsidRPr="006615AF">
        <w:t xml:space="preserve"> </w:t>
      </w:r>
      <w:r>
        <w:t>Γεωργία</w:t>
      </w:r>
      <w:r w:rsidRPr="006615AF">
        <w:t xml:space="preserve">. </w:t>
      </w:r>
      <w:r>
        <w:t xml:space="preserve">Ο σύζυγος μάλιστα δέχτηκε την προσφυγή σε μεθόδους αναπαραγωγής με </w:t>
      </w:r>
      <w:r w:rsidR="00A9516A">
        <w:t>τρίτο</w:t>
      </w:r>
      <w:r>
        <w:t xml:space="preserve"> δότη, χωρίς ωστόσο να εκφράσει εγγράφως τη συναίνεσή του. Στη σύζυγό του εμφυτεύτηκαν τελικά, εν αγνοία του συντρόφου της, δύο έμβρυα: το έμβρυο που συνελήφθη από τους γαμέτες του ζευγαριού, καθώς επίσης και ένα δεύτερο έμβρυο που συνελήφθη με γονιμοποίηση δικών της γαμετών από σπέρμα τρίτου δότη. Κατόπιν, η υποβοηθούμενη μελλοντική μητέρα δεν επέστρεψε </w:t>
      </w:r>
      <w:r w:rsidR="00F34EF9">
        <w:t xml:space="preserve">στο σύζυγό της </w:t>
      </w:r>
      <w:r>
        <w:t>στη Γαλλία και το ζευγάρι πήρε διαζύγιο. Όταν ο πρώην σύζυγος πληροφορήθηκε για την καταγωγή του τέκνου που γεννήθηκε, αμφισβήτησε την πατρότητά του. Προτίμησε, όμως, να μη θεμελιώσει την αγωγή του στις</w:t>
      </w:r>
      <w:r w:rsidR="00F34EF9">
        <w:t xml:space="preserve"> διατάξεις του άρθρου 311-20 ΑΚ, δυνάμει των οποίων</w:t>
      </w:r>
      <w:r>
        <w:t xml:space="preserve"> είναι απαράδεκτη κάθε αγωγή προσβολής πατρότητας από το σύζυγο ο οποίος έχει συναινέσει στους όρους της τεχνητής γονιμοποίησης, με μοναδικές εξαιρέσεις τις περιπτώσεις κατά τις οποίες αποδεικνύεται ή ότι το τέκνο δε συνελήφθη με </w:t>
      </w:r>
      <w:r w:rsidR="00F34EF9">
        <w:t xml:space="preserve">ιατρικά υποβοηθούμενη αναπαραγωγή </w:t>
      </w:r>
      <w:r>
        <w:t>ή ότι η συναίνεση του συζύγου στερείται νομικής ισχύος. Αντίθετα, στήριξε την αγωγή του στ</w:t>
      </w:r>
      <w:r w:rsidR="00F34EF9">
        <w:t xml:space="preserve">ις διατάξεις του κοινού δικαίου, και δη </w:t>
      </w:r>
      <w:r>
        <w:t>των άρθρων 332 και 334 ΑΚ, που εφαρμόζονται σε περ</w:t>
      </w:r>
      <w:r w:rsidR="00F34EF9">
        <w:t xml:space="preserve">ίπτωση </w:t>
      </w:r>
      <w:r>
        <w:t>που το πιστοποιητικό γέννησης δε συνάδει με την «καταφαινόμενη συγγένεια» (</w:t>
      </w:r>
      <w:r w:rsidRPr="00BF0359">
        <w:rPr>
          <w:i/>
          <w:lang w:val="en-US"/>
        </w:rPr>
        <w:t>possession d’état</w:t>
      </w:r>
      <w:r>
        <w:t xml:space="preserve">). Ειδικότερα, ενώ το Εφετείο είχε διατάξει το μέτρο της βιολογικής πραγματογνωμοσύνης, η μητέρα με το παιδί δεν παρουσιάστηκαν, χωρίς να επικαλεστούν κάποιο νόμιμο λόγο για την απουσία αυτή, γεγονός το οποίο ερμηνεύθηκε από τους δικαστές ως σιωπηρή ομολογία </w:t>
      </w:r>
      <w:r w:rsidR="00292F5A">
        <w:t>του γεγονότος ότι ο πρώην σύζυγος δεν ήταν ο πατέρας του τέκνου</w:t>
      </w:r>
      <w:r>
        <w:t>.</w:t>
      </w:r>
      <w:r w:rsidRPr="00BF0359">
        <w:t xml:space="preserve"> </w:t>
      </w:r>
      <w:r w:rsidRPr="00390B86">
        <w:t xml:space="preserve">Το </w:t>
      </w:r>
      <w:r>
        <w:t>Εφετείο, συνεπώς, των Παρισίων έκανε δεκτή την αμφισβήτη</w:t>
      </w:r>
      <w:r w:rsidR="00292F5A">
        <w:t xml:space="preserve">ση της πατρότητας από τον πρώην </w:t>
      </w:r>
      <w:r>
        <w:t>σύζυγο της μητέρας του τέκνου, αναγνωρίζοντας ότι δεν ήταν αυτός ο πατέρας του</w:t>
      </w:r>
      <w:r>
        <w:rPr>
          <w:rStyle w:val="FootnoteReference"/>
        </w:rPr>
        <w:footnoteReference w:id="188"/>
      </w:r>
      <w:r>
        <w:t xml:space="preserve">. </w:t>
      </w:r>
    </w:p>
    <w:p w14:paraId="06AECA45" w14:textId="77777777" w:rsidR="002B0FA3" w:rsidRDefault="002B0FA3" w:rsidP="002B0FA3">
      <w:pPr>
        <w:pStyle w:val="Heading2"/>
      </w:pPr>
      <w:bookmarkStart w:id="116" w:name="_Toc394082553"/>
      <w:bookmarkStart w:id="117" w:name="_Toc275535600"/>
      <w:bookmarkStart w:id="118" w:name="_Toc276574406"/>
      <w:bookmarkEnd w:id="111"/>
      <w:r w:rsidRPr="004933B9">
        <w:t xml:space="preserve">Γ. </w:t>
      </w:r>
      <w:r w:rsidR="004A1AD3">
        <w:t>Επιτρεπτές μορφές Ιατρικά Υποβοηθούμενης Α</w:t>
      </w:r>
      <w:r w:rsidR="004A1AD3" w:rsidRPr="004933B9">
        <w:t>ναπαραγωγ</w:t>
      </w:r>
      <w:bookmarkEnd w:id="116"/>
      <w:bookmarkEnd w:id="117"/>
      <w:r w:rsidR="004A1AD3">
        <w:t>ής</w:t>
      </w:r>
      <w:bookmarkEnd w:id="118"/>
    </w:p>
    <w:p w14:paraId="7A9273BB" w14:textId="77777777" w:rsidR="00BD3FE9" w:rsidRDefault="00BD3FE9" w:rsidP="00BD3FE9">
      <w:pPr>
        <w:rPr>
          <w:lang w:eastAsia="en-US"/>
        </w:rPr>
      </w:pPr>
      <w:bookmarkStart w:id="119" w:name="_Toc394082554"/>
      <w:r>
        <w:rPr>
          <w:lang w:eastAsia="en-US"/>
        </w:rPr>
        <w:t>Ήδη από το</w:t>
      </w:r>
      <w:r w:rsidR="00872FE1">
        <w:rPr>
          <w:lang w:eastAsia="en-US"/>
        </w:rPr>
        <w:t xml:space="preserve"> </w:t>
      </w:r>
      <w:r w:rsidR="00872FE1" w:rsidRPr="00872FE1">
        <w:rPr>
          <w:lang w:eastAsia="en-US"/>
        </w:rPr>
        <w:t>1994 και το</w:t>
      </w:r>
      <w:r>
        <w:rPr>
          <w:lang w:eastAsia="en-US"/>
        </w:rPr>
        <w:t xml:space="preserve"> </w:t>
      </w:r>
      <w:r w:rsidR="000A2C08" w:rsidRPr="000A2C08">
        <w:rPr>
          <w:b/>
          <w:i/>
          <w:lang w:eastAsia="en-US"/>
        </w:rPr>
        <w:t>Νόμο περί Β</w:t>
      </w:r>
      <w:r w:rsidRPr="000A2C08">
        <w:rPr>
          <w:b/>
          <w:i/>
          <w:lang w:eastAsia="en-US"/>
        </w:rPr>
        <w:t>ιοηθικής</w:t>
      </w:r>
      <w:r w:rsidRPr="00BD3FE9">
        <w:rPr>
          <w:b/>
          <w:lang w:eastAsia="en-US"/>
        </w:rPr>
        <w:t xml:space="preserve"> </w:t>
      </w:r>
      <w:r w:rsidR="00872FE1" w:rsidRPr="00872FE1">
        <w:rPr>
          <w:b/>
        </w:rPr>
        <w:t>της 29</w:t>
      </w:r>
      <w:r w:rsidR="00872FE1" w:rsidRPr="00872FE1">
        <w:rPr>
          <w:b/>
          <w:vertAlign w:val="superscript"/>
        </w:rPr>
        <w:t>ης</w:t>
      </w:r>
      <w:r w:rsidR="00872FE1">
        <w:rPr>
          <w:b/>
        </w:rPr>
        <w:t xml:space="preserve"> Ιουλίου,</w:t>
      </w:r>
      <w:r w:rsidR="00872FE1" w:rsidRPr="008C2664">
        <w:rPr>
          <w:i/>
        </w:rPr>
        <w:t xml:space="preserve"> </w:t>
      </w:r>
      <w:r w:rsidRPr="007F0CA9">
        <w:t>η ιατρικά υποβοη</w:t>
      </w:r>
      <w:r>
        <w:t>θούμενη αναπαραγωγή περιελάμβανε</w:t>
      </w:r>
      <w:r>
        <w:rPr>
          <w:lang w:eastAsia="en-US"/>
        </w:rPr>
        <w:t xml:space="preserve"> «</w:t>
      </w:r>
      <w:r w:rsidRPr="0070518A">
        <w:rPr>
          <w:i/>
          <w:lang w:eastAsia="en-US"/>
        </w:rPr>
        <w:t xml:space="preserve">τις βιολογικές και κλινικές πρακτικές που επιτρέπουν τη σύλληψη </w:t>
      </w:r>
      <w:r w:rsidRPr="0070518A">
        <w:rPr>
          <w:i/>
          <w:lang w:val="en-US" w:eastAsia="en-US"/>
        </w:rPr>
        <w:t>in vitro</w:t>
      </w:r>
      <w:r w:rsidRPr="0070518A">
        <w:rPr>
          <w:i/>
          <w:lang w:eastAsia="en-US"/>
        </w:rPr>
        <w:t>,</w:t>
      </w:r>
      <w:r w:rsidRPr="007F0CA9">
        <w:rPr>
          <w:lang w:eastAsia="en-US"/>
        </w:rPr>
        <w:t xml:space="preserve"> </w:t>
      </w:r>
      <w:r w:rsidRPr="0070518A">
        <w:rPr>
          <w:i/>
          <w:lang w:eastAsia="en-US"/>
        </w:rPr>
        <w:t>τη μεταφορά εμβρύων και την τεχνητή γονιμοποίηση</w:t>
      </w:r>
      <w:r w:rsidRPr="007F0CA9">
        <w:t>»</w:t>
      </w:r>
      <w:r>
        <w:t>, καθώς επίσης και «</w:t>
      </w:r>
      <w:r w:rsidRPr="007F0CA9">
        <w:rPr>
          <w:i/>
          <w:lang w:eastAsia="en-US"/>
        </w:rPr>
        <w:t>κάθε άλλη τεχνική ισοδυνάμου αποτελέσματος που επιτρέπει την αναπαραγωγή έξω από τα πλαίσια της φυσικής διαδικασίας</w:t>
      </w:r>
      <w:r>
        <w:rPr>
          <w:lang w:eastAsia="en-US"/>
        </w:rPr>
        <w:t xml:space="preserve">» (άρθρο </w:t>
      </w:r>
      <w:r>
        <w:rPr>
          <w:lang w:val="en-US" w:eastAsia="en-US"/>
        </w:rPr>
        <w:t>L. 152-2 ΚΔΥ</w:t>
      </w:r>
      <w:r>
        <w:rPr>
          <w:lang w:eastAsia="en-US"/>
        </w:rPr>
        <w:t xml:space="preserve">).  </w:t>
      </w:r>
    </w:p>
    <w:p w14:paraId="5F6ED5C0" w14:textId="77777777" w:rsidR="00BD3FE9" w:rsidRDefault="00BD3FE9" w:rsidP="00BD3FE9">
      <w:r>
        <w:rPr>
          <w:lang w:eastAsia="en-US"/>
        </w:rPr>
        <w:lastRenderedPageBreak/>
        <w:t xml:space="preserve">Ο </w:t>
      </w:r>
      <w:r w:rsidRPr="00BD3FE9">
        <w:rPr>
          <w:b/>
          <w:lang w:eastAsia="en-US"/>
        </w:rPr>
        <w:t>Νόμος της 26</w:t>
      </w:r>
      <w:r w:rsidRPr="00BD3FE9">
        <w:rPr>
          <w:b/>
          <w:vertAlign w:val="superscript"/>
          <w:lang w:eastAsia="en-US"/>
        </w:rPr>
        <w:t>ης</w:t>
      </w:r>
      <w:r w:rsidRPr="00BD3FE9">
        <w:rPr>
          <w:b/>
          <w:lang w:eastAsia="en-US"/>
        </w:rPr>
        <w:t xml:space="preserve"> Αυγούστου 2004</w:t>
      </w:r>
      <w:r>
        <w:rPr>
          <w:lang w:eastAsia="en-US"/>
        </w:rPr>
        <w:t xml:space="preserve"> έκανε μια προσθήκη στο ανωτέρω άρθρο, το οποίο μετέπειτα έγινε άρθρο </w:t>
      </w:r>
      <w:r>
        <w:rPr>
          <w:lang w:val="en-US" w:eastAsia="en-US"/>
        </w:rPr>
        <w:t xml:space="preserve">L. </w:t>
      </w:r>
      <w:r>
        <w:rPr>
          <w:lang w:eastAsia="en-US"/>
        </w:rPr>
        <w:t>2141-1 ΚΔΥ, δ</w:t>
      </w:r>
      <w:r w:rsidR="00872FE1">
        <w:rPr>
          <w:lang w:eastAsia="en-US"/>
        </w:rPr>
        <w:t>ιευκρινίζοντας ότι</w:t>
      </w:r>
      <w:r>
        <w:rPr>
          <w:lang w:eastAsia="en-US"/>
        </w:rPr>
        <w:t xml:space="preserve"> δεκτές γίνονταν μόνο οι τεχνικές που περιέχονται </w:t>
      </w:r>
      <w:r>
        <w:t>στον κατάλογο</w:t>
      </w:r>
      <w:r w:rsidRPr="007F0CA9">
        <w:t xml:space="preserve"> των βιολογικών διεργασιών </w:t>
      </w:r>
      <w:r>
        <w:t>της</w:t>
      </w:r>
      <w:r w:rsidRPr="007F0CA9">
        <w:t xml:space="preserve"> ια</w:t>
      </w:r>
      <w:r>
        <w:t xml:space="preserve">τρικά υποβοηθούμενης αναπαραγωγής, όπως αυτός </w:t>
      </w:r>
      <w:r w:rsidRPr="007F0CA9">
        <w:t>καταρτίζεται με απόφαση του Υπουργού Υγείας κατόπιν γνώμης του Οργανισμού Βιοϊατρικής</w:t>
      </w:r>
      <w:r>
        <w:t xml:space="preserve">. Ζητούμενο της μεταρρύθμισης </w:t>
      </w:r>
      <w:r w:rsidR="00872FE1">
        <w:t xml:space="preserve">αυτής </w:t>
      </w:r>
      <w:r>
        <w:t>ήταν η άσκηση ενός διοικητικού προληπτικού ελέγχου των τεχνικών που τίθενται σε εφαρμογή, με απώτερο σκοπό την οργάνωση του ελέγχου των μεθόδων στις οποίες προσφεύγουν οι επαγγελματίες υγ</w:t>
      </w:r>
      <w:r w:rsidR="00872FE1">
        <w:t xml:space="preserve">είας και οι οποίες είχαν κριθεί, </w:t>
      </w:r>
      <w:r>
        <w:t>στο παρελθόν</w:t>
      </w:r>
      <w:r w:rsidR="00872FE1">
        <w:t>,</w:t>
      </w:r>
      <w:r>
        <w:t xml:space="preserve"> σε ορισμ</w:t>
      </w:r>
      <w:r w:rsidR="00872FE1">
        <w:t xml:space="preserve">ένες περιπτώσεις, </w:t>
      </w:r>
      <w:r>
        <w:t>ανεπαρκώς δοκιμασμένες πριν χρησιμοποιηθούν</w:t>
      </w:r>
      <w:r>
        <w:rPr>
          <w:rStyle w:val="FootnoteReference"/>
        </w:rPr>
        <w:footnoteReference w:id="189"/>
      </w:r>
      <w:r>
        <w:t xml:space="preserve">. </w:t>
      </w:r>
    </w:p>
    <w:p w14:paraId="3A0B1AAA" w14:textId="77777777" w:rsidR="00BD3FE9" w:rsidRDefault="00BD3FE9" w:rsidP="00BD3FE9">
      <w:bookmarkStart w:id="120" w:name="υπερταχεία"/>
      <w:r>
        <w:t xml:space="preserve">Ο </w:t>
      </w:r>
      <w:r w:rsidR="00674292" w:rsidRPr="00674292">
        <w:rPr>
          <w:b/>
          <w:i/>
        </w:rPr>
        <w:t>Νόμος περί Β</w:t>
      </w:r>
      <w:r w:rsidRPr="00674292">
        <w:rPr>
          <w:b/>
          <w:i/>
        </w:rPr>
        <w:t xml:space="preserve">ιοηθικής </w:t>
      </w:r>
      <w:r w:rsidRPr="00BD3FE9">
        <w:rPr>
          <w:b/>
        </w:rPr>
        <w:t>της 7</w:t>
      </w:r>
      <w:r w:rsidRPr="00BD3FE9">
        <w:rPr>
          <w:b/>
          <w:vertAlign w:val="superscript"/>
        </w:rPr>
        <w:t>ης</w:t>
      </w:r>
      <w:r w:rsidRPr="00BD3FE9">
        <w:rPr>
          <w:b/>
        </w:rPr>
        <w:t xml:space="preserve"> Ιουλίου 2011</w:t>
      </w:r>
      <w:r>
        <w:t xml:space="preserve"> ήρθε να τροποποιήσει το υλικό πεδίο εφαρμογής της ιατρικά υποβοηθούμενης αναπαραγωγής και να ενισχύσει το ρυθμιστικό πλαίσιο των τεχνικών της. Ειδικότερα, το άρθρο </w:t>
      </w:r>
      <w:r>
        <w:rPr>
          <w:lang w:val="en-US"/>
        </w:rPr>
        <w:t xml:space="preserve">L. 2141-1 </w:t>
      </w:r>
      <w:r>
        <w:t>ΚΔΥ</w:t>
      </w:r>
      <w:r w:rsidR="004720ED">
        <w:rPr>
          <w:rStyle w:val="FootnoteReference"/>
        </w:rPr>
        <w:footnoteReference w:id="190"/>
      </w:r>
      <w:r>
        <w:t xml:space="preserve"> αναφερόταν αρχικά στις </w:t>
      </w:r>
      <w:r>
        <w:rPr>
          <w:lang w:eastAsia="en-US"/>
        </w:rPr>
        <w:t>«</w:t>
      </w:r>
      <w:r w:rsidRPr="0070518A">
        <w:rPr>
          <w:i/>
          <w:lang w:eastAsia="en-US"/>
        </w:rPr>
        <w:t xml:space="preserve">βιολογικές και κλινικές πρακτικές που επιτρέπουν τη σύλληψη </w:t>
      </w:r>
      <w:r w:rsidRPr="0070518A">
        <w:rPr>
          <w:i/>
          <w:lang w:val="en-US" w:eastAsia="en-US"/>
        </w:rPr>
        <w:t>in vitro</w:t>
      </w:r>
      <w:r w:rsidRPr="0070518A">
        <w:rPr>
          <w:i/>
          <w:lang w:eastAsia="en-US"/>
        </w:rPr>
        <w:t>,</w:t>
      </w:r>
      <w:r w:rsidRPr="007F0CA9">
        <w:rPr>
          <w:lang w:eastAsia="en-US"/>
        </w:rPr>
        <w:t xml:space="preserve"> </w:t>
      </w:r>
      <w:r w:rsidRPr="0070518A">
        <w:rPr>
          <w:i/>
          <w:lang w:eastAsia="en-US"/>
        </w:rPr>
        <w:t xml:space="preserve">τη μεταφορά </w:t>
      </w:r>
      <w:r w:rsidRPr="0070518A">
        <w:rPr>
          <w:i/>
          <w:lang w:eastAsia="en-US"/>
        </w:rPr>
        <w:lastRenderedPageBreak/>
        <w:t>εμβρύων και την τεχνητή γονιμοποίηση</w:t>
      </w:r>
      <w:r w:rsidRPr="007F0CA9">
        <w:t>»</w:t>
      </w:r>
      <w:r>
        <w:t>, πριν να προσθέσει «</w:t>
      </w:r>
      <w:r w:rsidRPr="007F0CA9">
        <w:rPr>
          <w:i/>
          <w:lang w:eastAsia="en-US"/>
        </w:rPr>
        <w:t>κάθε άλλη τεχνική ισοδυνάμου αποτελέσματος που επιτρέπει την αναπαραγωγή έξω από τα πλαίσια της φυσικής διαδικασίας</w:t>
      </w:r>
      <w:r>
        <w:rPr>
          <w:lang w:eastAsia="en-US"/>
        </w:rPr>
        <w:t xml:space="preserve">». Ο νόμος του 2011, λοιπόν, αντικατέστησε το γενικό αυτό ορισμό, που θεωρήθηκε πολύ αόριστος, από μια πληρέστερη αναφορά στις εξειδικευμένες τεχνικές στις οποίες κάνει αναφορά. Πιο </w:t>
      </w:r>
      <w:r w:rsidRPr="00A76C53">
        <w:t xml:space="preserve">συγκεκριμένα, η ιατρικά υποβοηθούμενη αναπαραγωγή περιλαμβάνει </w:t>
      </w:r>
      <w:r>
        <w:t>όλες τις πρακτικές, βιολογικές και κλινικές, οι οποίες ε</w:t>
      </w:r>
      <w:r w:rsidRPr="00A76C53">
        <w:t>πιτρέπουν</w:t>
      </w:r>
      <w:r>
        <w:t>:</w:t>
      </w:r>
      <w:r w:rsidRPr="00A76C53">
        <w:t xml:space="preserve"> </w:t>
      </w:r>
      <w:r>
        <w:t xml:space="preserve">1. </w:t>
      </w:r>
      <w:r w:rsidRPr="00A76C53">
        <w:t>την τεχνητή γονιμοποίηση</w:t>
      </w:r>
      <w:r>
        <w:t xml:space="preserve"> (γονιμοποίηση του ωαρίου </w:t>
      </w:r>
      <w:r w:rsidRPr="00A76C53">
        <w:rPr>
          <w:i/>
          <w:lang w:val="en-US"/>
        </w:rPr>
        <w:t>in vivo</w:t>
      </w:r>
      <w:r>
        <w:rPr>
          <w:lang w:val="en-US"/>
        </w:rPr>
        <w:t xml:space="preserve">, </w:t>
      </w:r>
      <w:r>
        <w:t>στη μήτρα της γυναίκας, με σπερματέγχυση, όποια κι αν είναι η προέλευση των γαμετών), 2.</w:t>
      </w:r>
      <w:r w:rsidRPr="00A76C53">
        <w:t xml:space="preserve"> τη σύλληψη </w:t>
      </w:r>
      <w:r w:rsidRPr="00A76C53">
        <w:rPr>
          <w:i/>
        </w:rPr>
        <w:t xml:space="preserve">in vitro </w:t>
      </w:r>
      <w:r>
        <w:t xml:space="preserve">(γονιμοποίηση του ωαρίου με σπερματοζωάρια, </w:t>
      </w:r>
      <w:r w:rsidRPr="00A76C53">
        <w:t>στο εργαστήριο,</w:t>
      </w:r>
      <w:r>
        <w:t xml:space="preserve"> όποια κι αν είναι η προέλευση των γαμετών) και 3. </w:t>
      </w:r>
      <w:r w:rsidRPr="00A76C53">
        <w:t>τη μεταφορά εμβρύων</w:t>
      </w:r>
      <w:r>
        <w:t xml:space="preserve"> (εμφύτευση του εμβρύου, που έχει συλληφθεί </w:t>
      </w:r>
      <w:r w:rsidRPr="00A76C53">
        <w:rPr>
          <w:i/>
          <w:lang w:val="en-US"/>
        </w:rPr>
        <w:t>in vitro</w:t>
      </w:r>
      <w:r>
        <w:rPr>
          <w:lang w:val="en-US"/>
        </w:rPr>
        <w:t xml:space="preserve">, </w:t>
      </w:r>
      <w:r>
        <w:t>στη μήτρα της μελλοντικής μητέρας). Επίσης, από το 2011 και εφεξής, η ιατρικά υποβοηθούμενη αναπαραγωγή περιλαμβάνει και τις «</w:t>
      </w:r>
      <w:r w:rsidRPr="00A76C53">
        <w:rPr>
          <w:i/>
          <w:lang w:eastAsia="en-US"/>
        </w:rPr>
        <w:t xml:space="preserve">βιολογικές και κλινικές πρακτικές που επιτρέπουν [...] </w:t>
      </w:r>
      <w:r w:rsidRPr="00A76C53">
        <w:rPr>
          <w:i/>
        </w:rPr>
        <w:t>τη συντήρηση των γαμετών, των ιστών βλαστοκυττάρων και των εμβρύων</w:t>
      </w:r>
      <w:r>
        <w:t>». Στο ίδιο πλαίσιο, ορίζεται επίσης ότι η διέγερση των ωοθηκών</w:t>
      </w:r>
      <w:r w:rsidRPr="00A94B33">
        <w:t xml:space="preserve"> υπόκειται σε κανόνες καλών πρακτικών που καθορίζονται με απόφαση του Υπουργού</w:t>
      </w:r>
      <w:r>
        <w:t xml:space="preserve"> υγείας, ενώ ταυτόχρονα κάνει πλέον ρητή αναφορά στην </w:t>
      </w:r>
      <w:r w:rsidR="00A05575">
        <w:t xml:space="preserve">τεχνική της </w:t>
      </w:r>
      <w:r w:rsidRPr="00A94B33">
        <w:t>τα</w:t>
      </w:r>
      <w:r>
        <w:t>χείας κρυοσυντήρησης</w:t>
      </w:r>
      <w:r w:rsidR="00C541EB">
        <w:t xml:space="preserve"> (υαλοποίησης)</w:t>
      </w:r>
      <w:r>
        <w:t xml:space="preserve"> των ωαρίων, η οποία και </w:t>
      </w:r>
      <w:r w:rsidRPr="00A94B33">
        <w:t>επιτρέπεται</w:t>
      </w:r>
      <w:r>
        <w:t xml:space="preserve"> πλέον. </w:t>
      </w:r>
    </w:p>
    <w:bookmarkEnd w:id="120"/>
    <w:p w14:paraId="570AC585" w14:textId="77777777" w:rsidR="00BD3FE9" w:rsidRDefault="00BD3FE9" w:rsidP="00BD3FE9">
      <w:pPr>
        <w:rPr>
          <w:lang w:eastAsia="en-US"/>
        </w:rPr>
      </w:pPr>
      <w:r>
        <w:t xml:space="preserve">Κατά τα λοιπά, το σύστημα που τέθηκε σε εφαρμογή με το νόμο περί βιοηθικής του 2004 διατηρείται: </w:t>
      </w:r>
      <w:r>
        <w:rPr>
          <w:lang w:eastAsia="en-US"/>
        </w:rPr>
        <w:t xml:space="preserve">ο </w:t>
      </w:r>
      <w:r w:rsidRPr="0070518A">
        <w:rPr>
          <w:lang w:eastAsia="en-US"/>
        </w:rPr>
        <w:t>κατάλογος των βιολογικών διεργασιών που χρησιμοποιούνται στην ιατρικά υποβοηθούμενη αναπαραγωγή καταρτίζεται με απόφαση του Υπουργού Υγείας κατόπιν γνώμης του Οργανισμού Βιοϊατρικής.</w:t>
      </w:r>
      <w:r>
        <w:rPr>
          <w:lang w:eastAsia="en-US"/>
        </w:rPr>
        <w:t xml:space="preserve"> </w:t>
      </w:r>
      <w:r w:rsidR="00AC6200">
        <w:rPr>
          <w:lang w:eastAsia="en-US"/>
        </w:rPr>
        <w:t xml:space="preserve">Πρόκειται για τον </w:t>
      </w:r>
      <w:r w:rsidR="00AC6200" w:rsidRPr="007972B3">
        <w:rPr>
          <w:i/>
        </w:rPr>
        <w:t>Κατάλογο των βιολογικών διεργασιών που χρησιμοποιούνται τακτικά στην ιατρικά υποβοηθούμενη αναπαραγωγή και των τεχνικών που στοχεύουν στη βελτίωση των επιτρεπόμενων βιολογικών διεργασιών</w:t>
      </w:r>
      <w:r w:rsidR="00AC6200">
        <w:t xml:space="preserve"> (4.5.2012)</w:t>
      </w:r>
      <w:r w:rsidR="00AC6200">
        <w:rPr>
          <w:rStyle w:val="FootnoteReference"/>
        </w:rPr>
        <w:footnoteReference w:id="191"/>
      </w:r>
      <w:r w:rsidR="00AC6200">
        <w:t xml:space="preserve">. </w:t>
      </w:r>
      <w:r>
        <w:rPr>
          <w:lang w:eastAsia="en-US"/>
        </w:rPr>
        <w:t xml:space="preserve">Όμως ο νόμος του 2011 επεξηγεί τον κανόνα αυτό </w:t>
      </w:r>
      <w:r w:rsidR="004C595B">
        <w:rPr>
          <w:lang w:eastAsia="en-US"/>
        </w:rPr>
        <w:t>κατά τον ακόλουθο τρόπο:</w:t>
      </w:r>
      <w:r>
        <w:rPr>
          <w:lang w:eastAsia="en-US"/>
        </w:rPr>
        <w:t xml:space="preserve"> </w:t>
      </w:r>
    </w:p>
    <w:p w14:paraId="53487062" w14:textId="77777777" w:rsidR="00BD3FE9" w:rsidRDefault="004C595B" w:rsidP="00BD3FE9">
      <w:pPr>
        <w:rPr>
          <w:lang w:eastAsia="en-US"/>
        </w:rPr>
      </w:pPr>
      <w:r>
        <w:rPr>
          <w:lang w:eastAsia="en-US"/>
        </w:rPr>
        <w:t>Το</w:t>
      </w:r>
      <w:r w:rsidR="00BD3FE9">
        <w:rPr>
          <w:lang w:eastAsia="en-US"/>
        </w:rPr>
        <w:t xml:space="preserve"> κείμενο προβλέπει καταρχήν ότι οι όροι</w:t>
      </w:r>
      <w:r w:rsidR="00BD3FE9" w:rsidRPr="0070518A">
        <w:rPr>
          <w:lang w:eastAsia="en-US"/>
        </w:rPr>
        <w:t xml:space="preserve"> και τα κριτήρια εγγραφής των διεργασιών στον κατάλογο αυτό</w:t>
      </w:r>
      <w:r w:rsidR="00BD3FE9">
        <w:rPr>
          <w:lang w:eastAsia="en-US"/>
        </w:rPr>
        <w:t xml:space="preserve"> καθορίζονται με διάταγμα του Συμβουλίου της Επικρατείας, καθώς επίσης και ότι</w:t>
      </w:r>
      <w:r w:rsidR="00BD3FE9" w:rsidRPr="0070518A">
        <w:rPr>
          <w:lang w:eastAsia="en-US"/>
        </w:rPr>
        <w:t xml:space="preserve"> </w:t>
      </w:r>
      <w:r w:rsidR="00BD3FE9">
        <w:rPr>
          <w:lang w:eastAsia="en-US"/>
        </w:rPr>
        <w:t>«</w:t>
      </w:r>
      <w:r w:rsidR="00BD3FE9" w:rsidRPr="00C74A1B">
        <w:rPr>
          <w:i/>
          <w:lang w:eastAsia="en-US"/>
        </w:rPr>
        <w:t>αφορούν κυρίως στο σεβασμό των θεμελιωδών αρχών της βιοηθικής, όπως αυτές ορίζονται ιδίως στα άρθρα 16 έως 16-8 ΑΚ, την αποτελεσματικότητα, την αναπαραγωγικότητα της διεργασίας, καθώς επίσης και τη</w:t>
      </w:r>
      <w:r w:rsidR="008E00A5">
        <w:rPr>
          <w:i/>
          <w:lang w:eastAsia="en-US"/>
        </w:rPr>
        <w:t>ν ασφάλεια της χρήσης της για τη</w:t>
      </w:r>
      <w:r w:rsidR="00BD3FE9" w:rsidRPr="00C74A1B">
        <w:rPr>
          <w:i/>
          <w:lang w:eastAsia="en-US"/>
        </w:rPr>
        <w:t xml:space="preserve"> γυναίκα και το τέκνο που θα γεννηθεί</w:t>
      </w:r>
      <w:r w:rsidR="00BD3FE9">
        <w:rPr>
          <w:lang w:eastAsia="en-US"/>
        </w:rPr>
        <w:t xml:space="preserve">». </w:t>
      </w:r>
    </w:p>
    <w:p w14:paraId="1D0C3D1D" w14:textId="77777777" w:rsidR="00B10066" w:rsidRDefault="00BD3FE9" w:rsidP="00B10066">
      <w:pPr>
        <w:rPr>
          <w:lang w:eastAsia="en-US"/>
        </w:rPr>
      </w:pPr>
      <w:r>
        <w:rPr>
          <w:lang w:eastAsia="en-US"/>
        </w:rPr>
        <w:t xml:space="preserve">Επίσης, διευκρινίζεται ότι </w:t>
      </w:r>
      <w:r w:rsidR="00B10066">
        <w:rPr>
          <w:lang w:eastAsia="en-US"/>
        </w:rPr>
        <w:t>οι τεχνικές που αποσκοπούν</w:t>
      </w:r>
      <w:r w:rsidR="00B10066" w:rsidRPr="00A2458F">
        <w:rPr>
          <w:lang w:eastAsia="en-US"/>
        </w:rPr>
        <w:t xml:space="preserve"> </w:t>
      </w:r>
      <w:r w:rsidR="00B10066">
        <w:rPr>
          <w:lang w:eastAsia="en-US"/>
        </w:rPr>
        <w:t>«</w:t>
      </w:r>
      <w:r w:rsidR="00B10066" w:rsidRPr="00B10066">
        <w:rPr>
          <w:i/>
          <w:lang w:eastAsia="en-US"/>
        </w:rPr>
        <w:t>στη βελτίωση της αποτελεσματικότητας, της αναπαραγωγικότητας και της ασφάλειας των διεργασιών που παρατίθενται στο [σχετικό] κατάλογο</w:t>
      </w:r>
      <w:r w:rsidR="00B10066">
        <w:rPr>
          <w:lang w:eastAsia="en-US"/>
        </w:rPr>
        <w:t>»</w:t>
      </w:r>
      <w:r w:rsidR="00B10066" w:rsidRPr="00A2458F">
        <w:rPr>
          <w:lang w:eastAsia="en-US"/>
        </w:rPr>
        <w:t xml:space="preserve"> </w:t>
      </w:r>
      <w:r w:rsidR="00B10066">
        <w:rPr>
          <w:lang w:eastAsia="en-US"/>
        </w:rPr>
        <w:t xml:space="preserve">δε μπορούν να τεθούν σε εφαρμογή παρά μόνο κατόπιν </w:t>
      </w:r>
      <w:r w:rsidR="00B10066" w:rsidRPr="00A2458F">
        <w:rPr>
          <w:lang w:eastAsia="en-US"/>
        </w:rPr>
        <w:t xml:space="preserve">έγκρισης που χορηγεί ο </w:t>
      </w:r>
      <w:r w:rsidR="009E06D2">
        <w:rPr>
          <w:lang w:eastAsia="en-US"/>
        </w:rPr>
        <w:t>Γενικός Διευθυντής</w:t>
      </w:r>
      <w:r w:rsidR="00B10066" w:rsidRPr="00A2458F">
        <w:rPr>
          <w:lang w:eastAsia="en-US"/>
        </w:rPr>
        <w:t xml:space="preserve"> του Οργανισμού Βιοϊατρικής, </w:t>
      </w:r>
      <w:r w:rsidR="00B10066">
        <w:rPr>
          <w:lang w:eastAsia="en-US"/>
        </w:rPr>
        <w:t xml:space="preserve">μετά από </w:t>
      </w:r>
      <w:r w:rsidR="00B10066" w:rsidRPr="00A2458F">
        <w:rPr>
          <w:lang w:eastAsia="en-US"/>
        </w:rPr>
        <w:t>αιτιολογημένη</w:t>
      </w:r>
      <w:r w:rsidR="00B10066">
        <w:rPr>
          <w:lang w:eastAsia="en-US"/>
        </w:rPr>
        <w:t xml:space="preserve"> γνώμη</w:t>
      </w:r>
      <w:r w:rsidR="006808C0">
        <w:rPr>
          <w:lang w:eastAsia="en-US"/>
        </w:rPr>
        <w:t xml:space="preserve"> του Σ</w:t>
      </w:r>
      <w:r w:rsidR="00C81134">
        <w:rPr>
          <w:lang w:eastAsia="en-US"/>
        </w:rPr>
        <w:t>υμβουλίου Π</w:t>
      </w:r>
      <w:r w:rsidR="00B10066" w:rsidRPr="00A2458F">
        <w:rPr>
          <w:lang w:eastAsia="en-US"/>
        </w:rPr>
        <w:t xml:space="preserve">ροσανατολισμού του. </w:t>
      </w:r>
      <w:r w:rsidR="006808C0">
        <w:rPr>
          <w:lang w:eastAsia="en-US"/>
        </w:rPr>
        <w:t>Σε π</w:t>
      </w:r>
      <w:r w:rsidR="00C81134">
        <w:rPr>
          <w:lang w:eastAsia="en-US"/>
        </w:rPr>
        <w:t xml:space="preserve">ερίπτωση, δε, που το </w:t>
      </w:r>
      <w:r w:rsidR="00C81134">
        <w:rPr>
          <w:lang w:eastAsia="en-US"/>
        </w:rPr>
        <w:lastRenderedPageBreak/>
        <w:t>Συμβούλιο Π</w:t>
      </w:r>
      <w:r w:rsidR="006808C0">
        <w:rPr>
          <w:lang w:eastAsia="en-US"/>
        </w:rPr>
        <w:t xml:space="preserve">ροσανατολισμού του Οργανισμού Βιοϊατρικής εκτιμά ότι η προταθείσα τροποποίηση συνιστά ουσιαστικά νέα διεργασία, η θέση της σε εφαρμογή υπόκειται στην εγγραφή της στον κατάλογο των κλινικών και βιολογικών πρακτικών. </w:t>
      </w:r>
    </w:p>
    <w:p w14:paraId="79914F62" w14:textId="7DE5A059" w:rsidR="004C595B" w:rsidRPr="00803E94" w:rsidRDefault="00335E5D" w:rsidP="00803E94">
      <w:r>
        <w:rPr>
          <w:b/>
          <w:lang w:eastAsia="en-US"/>
        </w:rPr>
        <w:t>Κατά παρέκκλιση των ανωτέρω</w:t>
      </w:r>
      <w:r w:rsidR="00803E94" w:rsidRPr="00C81134">
        <w:rPr>
          <w:b/>
          <w:lang w:eastAsia="en-US"/>
        </w:rPr>
        <w:t xml:space="preserve">, ο νόμος του 2011 επιτρέπει την </w:t>
      </w:r>
      <w:r w:rsidR="00803E94" w:rsidRPr="00C81134">
        <w:rPr>
          <w:b/>
        </w:rPr>
        <w:t>τεχνική της</w:t>
      </w:r>
      <w:r w:rsidR="00A05575" w:rsidRPr="00C81134">
        <w:rPr>
          <w:b/>
        </w:rPr>
        <w:t xml:space="preserve"> </w:t>
      </w:r>
      <w:r w:rsidR="00803E94" w:rsidRPr="00C81134">
        <w:rPr>
          <w:b/>
        </w:rPr>
        <w:t>ταχείας κρυοσυντήρησης των ωαρίων</w:t>
      </w:r>
      <w:r w:rsidR="00C81134" w:rsidRPr="00C81134">
        <w:rPr>
          <w:b/>
        </w:rPr>
        <w:t xml:space="preserve"> (υαλοποίηση)</w:t>
      </w:r>
      <w:r w:rsidR="006808C0" w:rsidRPr="00C81134">
        <w:rPr>
          <w:b/>
        </w:rPr>
        <w:t>, απευθείας, χωρίς ανάγκη λήψης της ανωτέρω προβλεπόμενης έγκρισης από τον Οργανισμό Βιοϊατρικής</w:t>
      </w:r>
      <w:r w:rsidR="006808C0">
        <w:t xml:space="preserve">. </w:t>
      </w:r>
    </w:p>
    <w:p w14:paraId="38E83CA7" w14:textId="77777777" w:rsidR="00BA0DEF" w:rsidRDefault="00324C1C" w:rsidP="00BD3FE9">
      <w:pPr>
        <w:rPr>
          <w:lang w:eastAsia="en-US"/>
        </w:rPr>
      </w:pPr>
      <w:r>
        <w:rPr>
          <w:lang w:eastAsia="en-US"/>
        </w:rPr>
        <w:t xml:space="preserve">Η γονιμοποίηση </w:t>
      </w:r>
      <w:r w:rsidRPr="00255C7A">
        <w:rPr>
          <w:i/>
          <w:lang w:eastAsia="en-US"/>
        </w:rPr>
        <w:t>in vitro</w:t>
      </w:r>
      <w:r>
        <w:rPr>
          <w:lang w:eastAsia="en-US"/>
        </w:rPr>
        <w:t xml:space="preserve"> συνοδευόμενη από την εμφύτευση του γονιμοποιημένου ωαρίου και η τεχνητή γονιμοποίηση μπορούν να διενεργηθούν όχι μόνο με γαμέτες του ζευγαριού (ομόλογη αναπαραγωγή), αλλά και με δωρεά τρίτου δότη (ετερόλογη αναπαραγωγή). Ο </w:t>
      </w:r>
      <w:r w:rsidR="00674292" w:rsidRPr="00674292">
        <w:rPr>
          <w:b/>
          <w:i/>
          <w:lang w:eastAsia="en-US"/>
        </w:rPr>
        <w:t>Νόμος περί Β</w:t>
      </w:r>
      <w:r w:rsidRPr="00674292">
        <w:rPr>
          <w:b/>
          <w:i/>
          <w:lang w:eastAsia="en-US"/>
        </w:rPr>
        <w:t xml:space="preserve">ιοηθικής </w:t>
      </w:r>
      <w:r w:rsidRPr="00DD604B">
        <w:rPr>
          <w:b/>
          <w:lang w:eastAsia="en-US"/>
        </w:rPr>
        <w:t>του 1994</w:t>
      </w:r>
      <w:r>
        <w:rPr>
          <w:lang w:eastAsia="en-US"/>
        </w:rPr>
        <w:t xml:space="preserve"> είχε μάλιστα εγκαθιδρύσει μια αυστηρά ιεραρχική σειρά μεταξύ των διαφόρων τεχνικών</w:t>
      </w:r>
      <w:r w:rsidR="00E5430B">
        <w:rPr>
          <w:rStyle w:val="FootnoteReference"/>
          <w:lang w:eastAsia="en-US"/>
        </w:rPr>
        <w:footnoteReference w:id="192"/>
      </w:r>
      <w:r>
        <w:rPr>
          <w:lang w:eastAsia="en-US"/>
        </w:rPr>
        <w:t xml:space="preserve">: η υποβοηθούμενη αναπαραγωγή έπρεπε καταρχήν να επιχειρηθεί </w:t>
      </w:r>
      <w:r w:rsidR="00A96933">
        <w:rPr>
          <w:lang w:eastAsia="en-US"/>
        </w:rPr>
        <w:t>«ενδο</w:t>
      </w:r>
      <w:r w:rsidR="00AB4962">
        <w:rPr>
          <w:lang w:eastAsia="en-US"/>
        </w:rPr>
        <w:t>-συζυγι</w:t>
      </w:r>
      <w:r w:rsidR="00A96933">
        <w:rPr>
          <w:lang w:eastAsia="en-US"/>
        </w:rPr>
        <w:t>κά»</w:t>
      </w:r>
      <w:r w:rsidR="00DD604B">
        <w:rPr>
          <w:lang w:eastAsia="en-US"/>
        </w:rPr>
        <w:t>, με γεννητικό υλικό</w:t>
      </w:r>
      <w:r w:rsidR="000727E2">
        <w:rPr>
          <w:lang w:eastAsia="en-US"/>
        </w:rPr>
        <w:t xml:space="preserve"> του υποβοηθούμενου ζευγαριού</w:t>
      </w:r>
      <w:r w:rsidR="00E5430B">
        <w:rPr>
          <w:lang w:eastAsia="en-US"/>
        </w:rPr>
        <w:t xml:space="preserve"> (</w:t>
      </w:r>
      <w:r w:rsidR="00E5430B" w:rsidRPr="00E5430B">
        <w:rPr>
          <w:i/>
          <w:lang w:val="en-US" w:eastAsia="en-US"/>
        </w:rPr>
        <w:t>insémination artificielle avec les gamètes du conjoint ou du concubin, IAC</w:t>
      </w:r>
      <w:r w:rsidR="00E5430B">
        <w:rPr>
          <w:lang w:eastAsia="en-US"/>
        </w:rPr>
        <w:t>)</w:t>
      </w:r>
      <w:r w:rsidR="00DD604B">
        <w:rPr>
          <w:lang w:eastAsia="en-US"/>
        </w:rPr>
        <w:t xml:space="preserve"> (α)</w:t>
      </w:r>
      <w:r>
        <w:rPr>
          <w:lang w:eastAsia="en-US"/>
        </w:rPr>
        <w:t xml:space="preserve">. Εάν αυτό δεν είχε επιτυχή αποτελέσματα, μπορούσε να διενεργηθεί </w:t>
      </w:r>
      <w:r w:rsidR="00896F41">
        <w:rPr>
          <w:lang w:eastAsia="en-US"/>
        </w:rPr>
        <w:t>με δωρεά τρίτου δότη</w:t>
      </w:r>
      <w:r w:rsidR="00E5430B">
        <w:rPr>
          <w:lang w:eastAsia="en-US"/>
        </w:rPr>
        <w:t xml:space="preserve"> (</w:t>
      </w:r>
      <w:r w:rsidR="00E5430B" w:rsidRPr="00E5430B">
        <w:rPr>
          <w:i/>
          <w:lang w:val="en-US" w:eastAsia="en-US"/>
        </w:rPr>
        <w:t xml:space="preserve">insémination artificielle avec </w:t>
      </w:r>
      <w:r w:rsidR="00E5430B">
        <w:rPr>
          <w:i/>
          <w:lang w:val="en-US" w:eastAsia="en-US"/>
        </w:rPr>
        <w:t>donneur</w:t>
      </w:r>
      <w:r w:rsidR="00E5430B" w:rsidRPr="00E5430B">
        <w:rPr>
          <w:i/>
          <w:lang w:val="en-US" w:eastAsia="en-US"/>
        </w:rPr>
        <w:t>, IA</w:t>
      </w:r>
      <w:r w:rsidR="00E5430B">
        <w:rPr>
          <w:i/>
          <w:lang w:val="en-US" w:eastAsia="en-US"/>
        </w:rPr>
        <w:t>D</w:t>
      </w:r>
      <w:r w:rsidR="00E5430B">
        <w:rPr>
          <w:lang w:eastAsia="en-US"/>
        </w:rPr>
        <w:t>)</w:t>
      </w:r>
      <w:r w:rsidR="00DD604B">
        <w:rPr>
          <w:lang w:eastAsia="en-US"/>
        </w:rPr>
        <w:t xml:space="preserve"> (β)</w:t>
      </w:r>
      <w:r w:rsidR="004E37BA">
        <w:rPr>
          <w:lang w:eastAsia="en-US"/>
        </w:rPr>
        <w:t xml:space="preserve">. </w:t>
      </w:r>
    </w:p>
    <w:p w14:paraId="569F583D" w14:textId="406BAB9C" w:rsidR="00BD3FE9" w:rsidRDefault="004E37BA" w:rsidP="00BD3FE9">
      <w:pPr>
        <w:rPr>
          <w:lang w:eastAsia="en-US"/>
        </w:rPr>
      </w:pPr>
      <w:r>
        <w:t xml:space="preserve">Σημειώνεται, δε, ότι και στη μία και την άλλη περίπτωση (ομόλογη ή ετερόλογη αναπαραγωγή), ο γάλλος νομοθέτης επιτρέπει και τις δύο τεχνικές σύλληψης του εμβρύου: </w:t>
      </w:r>
      <w:r w:rsidRPr="004E37BA">
        <w:rPr>
          <w:i/>
        </w:rPr>
        <w:t>in vivo</w:t>
      </w:r>
      <w:r>
        <w:t xml:space="preserve"> (</w:t>
      </w:r>
      <w:r w:rsidRPr="004E37BA">
        <w:rPr>
          <w:i/>
        </w:rPr>
        <w:t>insémination artificielle</w:t>
      </w:r>
      <w:r>
        <w:t xml:space="preserve">) και </w:t>
      </w:r>
      <w:r w:rsidRPr="004E37BA">
        <w:rPr>
          <w:i/>
        </w:rPr>
        <w:t>in vitro</w:t>
      </w:r>
      <w:r>
        <w:t xml:space="preserve"> (</w:t>
      </w:r>
      <w:r w:rsidRPr="004E37BA">
        <w:rPr>
          <w:i/>
        </w:rPr>
        <w:t>fécondation in vitro, FIVETE</w:t>
      </w:r>
      <w:r>
        <w:t>). Μ</w:t>
      </w:r>
      <w:r w:rsidR="00896F41">
        <w:rPr>
          <w:lang w:eastAsia="en-US"/>
        </w:rPr>
        <w:t xml:space="preserve">όνο, </w:t>
      </w:r>
      <w:r w:rsidR="00DD604B">
        <w:rPr>
          <w:lang w:eastAsia="en-US"/>
        </w:rPr>
        <w:t>«</w:t>
      </w:r>
      <w:r w:rsidR="00896F41">
        <w:rPr>
          <w:lang w:eastAsia="en-US"/>
        </w:rPr>
        <w:t>εντελώς εξαιρετικά</w:t>
      </w:r>
      <w:r w:rsidR="00DD604B">
        <w:rPr>
          <w:lang w:eastAsia="en-US"/>
        </w:rPr>
        <w:t>»</w:t>
      </w:r>
      <w:r w:rsidR="00896F41">
        <w:rPr>
          <w:lang w:eastAsia="en-US"/>
        </w:rPr>
        <w:t>, σε περίπτωση που ούτε η μέθοδος αυτή είχε τα αναμενόμενα αποτελέσματα, θα μπορούσε το υποψήφιο υποβοηθούμενο ζευγάρι να λάβει ένα έμβρυο που είχε ήδη συλληφθεί από άλλο ζευγάρι</w:t>
      </w:r>
      <w:r w:rsidR="00DD604B">
        <w:rPr>
          <w:rStyle w:val="FootnoteReference"/>
          <w:lang w:eastAsia="en-US"/>
        </w:rPr>
        <w:footnoteReference w:id="193"/>
      </w:r>
      <w:r w:rsidR="00896F41">
        <w:rPr>
          <w:lang w:eastAsia="en-US"/>
        </w:rPr>
        <w:t xml:space="preserve">. </w:t>
      </w:r>
      <w:r w:rsidR="00DD604B">
        <w:rPr>
          <w:lang w:eastAsia="en-US"/>
        </w:rPr>
        <w:t xml:space="preserve">Οι </w:t>
      </w:r>
      <w:r w:rsidR="00674292" w:rsidRPr="00674292">
        <w:rPr>
          <w:b/>
          <w:i/>
          <w:lang w:eastAsia="en-US"/>
        </w:rPr>
        <w:t>Νόμοι περί Β</w:t>
      </w:r>
      <w:r w:rsidR="00DD604B" w:rsidRPr="00674292">
        <w:rPr>
          <w:b/>
          <w:i/>
          <w:lang w:eastAsia="en-US"/>
        </w:rPr>
        <w:t>ιοηθικής</w:t>
      </w:r>
      <w:r w:rsidR="00DD604B" w:rsidRPr="00DD604B">
        <w:rPr>
          <w:b/>
          <w:lang w:eastAsia="en-US"/>
        </w:rPr>
        <w:t xml:space="preserve"> του 2004 και του 2011</w:t>
      </w:r>
      <w:r w:rsidR="00DD604B">
        <w:rPr>
          <w:lang w:eastAsia="en-US"/>
        </w:rPr>
        <w:t xml:space="preserve"> διεύρυναν σημαντικά τη δυνατότητα προσφυγής στις δύο τελευταίες αυτές τεχνικές.</w:t>
      </w:r>
    </w:p>
    <w:p w14:paraId="611B6FAA" w14:textId="48722F03" w:rsidR="00BA0DEF" w:rsidRDefault="00BA0DEF" w:rsidP="00375461">
      <w:r>
        <w:rPr>
          <w:lang w:eastAsia="en-US"/>
        </w:rPr>
        <w:t xml:space="preserve">Ιδιαιτέρως διαφωτιστικός και ενδεικτικός ως προς την τάση των επιλογών των υποβοηθούμενων ζευγαριών </w:t>
      </w:r>
      <w:r w:rsidR="009C4345">
        <w:rPr>
          <w:lang w:eastAsia="en-US"/>
        </w:rPr>
        <w:t>σε ό,τι αφορά σ</w:t>
      </w:r>
      <w:r>
        <w:rPr>
          <w:lang w:eastAsia="en-US"/>
        </w:rPr>
        <w:t>τη μέθοδο ιατρικά υποβοηθούμενης αναπαραγωγής που εφαρμόζεται</w:t>
      </w:r>
      <w:r w:rsidR="009C4345">
        <w:rPr>
          <w:lang w:eastAsia="en-US"/>
        </w:rPr>
        <w:t xml:space="preserve"> και την προέλευση των γαμετών που χρησιμοποιούνται</w:t>
      </w:r>
      <w:r>
        <w:rPr>
          <w:lang w:eastAsia="en-US"/>
        </w:rPr>
        <w:t xml:space="preserve"> είναι ο Πίνακας που ακολουθεί (Πίνακας 4). </w:t>
      </w:r>
      <w:r w:rsidR="00375461">
        <w:rPr>
          <w:lang w:eastAsia="en-US"/>
        </w:rPr>
        <w:t xml:space="preserve">Πιο συγκεκριμένα, το 2012, γεννήθηκαν στη </w:t>
      </w:r>
      <w:r w:rsidR="001915CC">
        <w:rPr>
          <w:lang w:eastAsia="en-US"/>
        </w:rPr>
        <w:t>Γαλλία</w:t>
      </w:r>
      <w:r w:rsidR="00375461">
        <w:rPr>
          <w:lang w:eastAsia="en-US"/>
        </w:rPr>
        <w:t xml:space="preserve"> 23.887 τέκνα κατόπιν προσφυγής σε μεθόδους ιατρικά υποβοηθούμενης αναπαραγωγής, αριθμός που αντιπροσωπεύει το 2.9% του συνολικού αριθμού των γεννήσεων για το έτος 2012. Η μέθοδος με το μεγαλύτερο ποσοστό χρήσης, 36.3%, είναι η </w:t>
      </w:r>
      <w:r w:rsidR="00375461">
        <w:t>μικρέγχυση</w:t>
      </w:r>
      <w:r w:rsidR="00375461" w:rsidRPr="00E254F5">
        <w:t xml:space="preserve"> σπερματοζωαρίων στο κυτταρόπλασμα του ωαρίου</w:t>
      </w:r>
      <w:r w:rsidR="00375461">
        <w:t xml:space="preserve">, ή αλλιώς για λόγους συντομίας </w:t>
      </w:r>
      <w:r w:rsidR="00375461" w:rsidRPr="00E254F5">
        <w:t>ICSI (</w:t>
      </w:r>
      <w:r w:rsidR="00375461" w:rsidRPr="00E254F5">
        <w:rPr>
          <w:i/>
        </w:rPr>
        <w:t>Intracytoplasmic sperm injection</w:t>
      </w:r>
      <w:r w:rsidR="00375461">
        <w:t>), ενώ επίσης μεγάλο ποσοστό παρουσιά</w:t>
      </w:r>
      <w:r w:rsidR="00383514">
        <w:t>ζ</w:t>
      </w:r>
      <w:r w:rsidR="00375461">
        <w:t xml:space="preserve">ουν τόσο και η ενδομήτρια γονιμοποίηση </w:t>
      </w:r>
      <w:r w:rsidR="00383514">
        <w:t xml:space="preserve">(24.9%), όσο και η εξωσωματική γονιμοποίηση </w:t>
      </w:r>
      <w:r w:rsidR="001915CC">
        <w:t xml:space="preserve">(19.2%) και η μεταφορά κρυοσυντηρημένων εμβρύων (14%). Κοινό χαρακτηριστικό και των τεσσάρων τεχνικών είναι ο «ενδο-συζυγικός» (ομόλογος) τους χαρακτήρας, γεγονός που </w:t>
      </w:r>
      <w:r w:rsidR="001915CC">
        <w:lastRenderedPageBreak/>
        <w:t xml:space="preserve">σημαίνει ότι σε πάνω από το 90% των περιπτώσεων τα ζευγάρια έκαναν χρήση του δικού τους γεννητικού υλικού. </w:t>
      </w:r>
    </w:p>
    <w:p w14:paraId="3F9A187A" w14:textId="77777777" w:rsidR="001915CC" w:rsidRDefault="00691542" w:rsidP="00793036">
      <w:pPr>
        <w:spacing w:before="240"/>
        <w:ind w:firstLine="0"/>
        <w:rPr>
          <w:b/>
          <w:lang w:eastAsia="en-US"/>
        </w:rPr>
      </w:pPr>
      <w:bookmarkStart w:id="121" w:name="πίνακας_4"/>
      <w:r w:rsidRPr="001A4EE2">
        <w:rPr>
          <w:b/>
          <w:lang w:eastAsia="en-US"/>
        </w:rPr>
        <w:t>Πίνακας 4. Ποσοστό τέκνων που γεννήθηκαν κατόπιν προσφυγής σε ΙΥΑ το 2012 ανάλογα με τη μέθοδο ΙΥΑ που επιλέχθηκ</w:t>
      </w:r>
      <w:r w:rsidR="001915CC">
        <w:rPr>
          <w:b/>
          <w:lang w:eastAsia="en-US"/>
        </w:rPr>
        <w:t>ε και την προέλευση των γαμετών</w:t>
      </w:r>
    </w:p>
    <w:bookmarkEnd w:id="121"/>
    <w:p w14:paraId="448EE0CF" w14:textId="15A9DFEF" w:rsidR="009C4345" w:rsidRPr="00A50177" w:rsidRDefault="00691542" w:rsidP="001A4EE2">
      <w:pPr>
        <w:ind w:firstLine="0"/>
        <w:rPr>
          <w:lang w:eastAsia="en-US"/>
        </w:rPr>
      </w:pPr>
      <w:r w:rsidRPr="00A50177">
        <w:rPr>
          <w:lang w:eastAsia="en-US"/>
        </w:rPr>
        <w:t>(αριθμός τέκνων που γεννήθηκαν με ΙΥΑ=23.887, ήτοι 2,9%</w:t>
      </w:r>
      <w:r w:rsidR="004439B0" w:rsidRPr="00A50177">
        <w:rPr>
          <w:lang w:eastAsia="en-US"/>
        </w:rPr>
        <w:t xml:space="preserve"> του συνολικού αριθμού των τέκνων που γεννήθηκαν στη Χώρα το 2012</w:t>
      </w:r>
      <w:r w:rsidRPr="00A50177">
        <w:rPr>
          <w:lang w:eastAsia="en-US"/>
        </w:rPr>
        <w:t>)</w:t>
      </w:r>
    </w:p>
    <w:p w14:paraId="0B2CA6D8" w14:textId="3CCD8B7F" w:rsidR="00BA0DEF" w:rsidRDefault="001A4EE2" w:rsidP="00793036">
      <w:pPr>
        <w:pStyle w:val="FootnoteText"/>
      </w:pPr>
      <w:r>
        <w:rPr>
          <w:noProof/>
        </w:rPr>
        <w:drawing>
          <wp:inline distT="0" distB="0" distL="0" distR="0" wp14:anchorId="10D59C24" wp14:editId="1F7408A1">
            <wp:extent cx="5486400" cy="3581823"/>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08FCE5" w14:textId="77777777" w:rsidR="002B0FA3" w:rsidRDefault="00C4415A" w:rsidP="002B0FA3">
      <w:pPr>
        <w:pStyle w:val="Heading3"/>
      </w:pPr>
      <w:bookmarkStart w:id="122" w:name="_Toc275535601"/>
      <w:bookmarkStart w:id="123" w:name="_Toc276574407"/>
      <w:r>
        <w:t>α</w:t>
      </w:r>
      <w:r w:rsidR="002B0FA3" w:rsidRPr="004933B9">
        <w:t xml:space="preserve">. </w:t>
      </w:r>
      <w:bookmarkEnd w:id="119"/>
      <w:r w:rsidR="00A96933">
        <w:rPr>
          <w:lang w:val="el-GR"/>
        </w:rPr>
        <w:t>«</w:t>
      </w:r>
      <w:r w:rsidR="00A96933">
        <w:t>Ενδο-</w:t>
      </w:r>
      <w:r w:rsidR="00AB4962">
        <w:t>συζυγι</w:t>
      </w:r>
      <w:r w:rsidR="00A96933">
        <w:t>κή</w:t>
      </w:r>
      <w:r w:rsidR="00A96933">
        <w:rPr>
          <w:lang w:eastAsia="en-US"/>
        </w:rPr>
        <w:t>»</w:t>
      </w:r>
      <w:r w:rsidR="00A96933">
        <w:t xml:space="preserve"> </w:t>
      </w:r>
      <w:r w:rsidR="00AB4962">
        <w:t xml:space="preserve">(ομόλογη) </w:t>
      </w:r>
      <w:r w:rsidR="001C1A7A">
        <w:t xml:space="preserve">ιατρικά υποβοηθούμενη </w:t>
      </w:r>
      <w:r w:rsidR="00A96933">
        <w:t>αναπαραγωγή</w:t>
      </w:r>
      <w:bookmarkEnd w:id="122"/>
      <w:bookmarkEnd w:id="123"/>
      <w:r w:rsidR="00A96933">
        <w:t xml:space="preserve"> </w:t>
      </w:r>
    </w:p>
    <w:p w14:paraId="42DF12E7" w14:textId="261F5557" w:rsidR="00397746" w:rsidRDefault="00936F84" w:rsidP="00936F84">
      <w:pPr>
        <w:rPr>
          <w:lang w:eastAsia="en-US"/>
        </w:rPr>
      </w:pPr>
      <w:r>
        <w:rPr>
          <w:lang w:eastAsia="en-US"/>
        </w:rPr>
        <w:t xml:space="preserve">Για την καλύτερη κατανόηση της «ενδο-συζυγικής» (ομόλογης) ιατρικά υποβοηθούμενης αναπαραγωγής </w:t>
      </w:r>
      <w:r w:rsidR="00397746">
        <w:rPr>
          <w:lang w:eastAsia="en-US"/>
        </w:rPr>
        <w:t>είναι σημαντικό να επιχειρήσουμε, σε έναν πρώτο χρόνο, μια πρώτη προσέγγιση της έννοιας (§1), προκειμένου να εξετάσουμε, σε ένα δεύτερο χρόνο, ποιες είναι οι έννομες συνέπειες που δημιουργούνται και σε ποιους αφορούν σε περίπτωση π</w:t>
      </w:r>
      <w:r w:rsidR="00397746">
        <w:t xml:space="preserve">αραβίασης των όρων ή των γενικών προϋποθέσεων πρόσβασης στην υποβοηθούμενη αναπαραγωγή (§2). </w:t>
      </w:r>
    </w:p>
    <w:p w14:paraId="660C9291" w14:textId="630CD36C" w:rsidR="00167E88" w:rsidRDefault="00167E88" w:rsidP="00167E88">
      <w:pPr>
        <w:pStyle w:val="Heading4"/>
      </w:pPr>
      <w:bookmarkStart w:id="124" w:name="_Toc276574408"/>
      <w:r>
        <w:t xml:space="preserve">§1. </w:t>
      </w:r>
      <w:r w:rsidR="004D4AB3">
        <w:t>Έννοια «ενδο-συζυγικής</w:t>
      </w:r>
      <w:r w:rsidR="004D4AB3">
        <w:rPr>
          <w:lang w:eastAsia="en-US"/>
        </w:rPr>
        <w:t>»</w:t>
      </w:r>
      <w:r w:rsidR="004D4AB3">
        <w:t xml:space="preserve"> (ομόλογης) ιατρικά υποβοηθούμενης αναπαραγωγής</w:t>
      </w:r>
      <w:bookmarkEnd w:id="124"/>
    </w:p>
    <w:p w14:paraId="05DAA3C7" w14:textId="77777777" w:rsidR="00867879" w:rsidRDefault="00FF48B2" w:rsidP="00FF48B2">
      <w:r>
        <w:t xml:space="preserve">Η ιατρικά υποβοηθούμενη αναπαραγωγή δύναται να περιορίζεται στην απλή υποβοήθηση στην απόκτηση τέκνου χωρίς ερωτικές επαφές μεταξύ των γονέων του. </w:t>
      </w:r>
      <w:r w:rsidR="001C730F">
        <w:t xml:space="preserve">Πρόκειται, ουσιαστικά, τόσο για την περίπτωση της τεχνητής γονιμοποίησης μιας γυναίκας με σπερματέγχυση των σπερματοζωαρίων του συζύγου ή του συντρόφου της, όσο και για την περίπτωση της σύλληψης </w:t>
      </w:r>
      <w:r w:rsidR="001C730F" w:rsidRPr="001C730F">
        <w:rPr>
          <w:i/>
          <w:lang w:val="en-US"/>
        </w:rPr>
        <w:t>in vitro</w:t>
      </w:r>
      <w:r w:rsidR="001C730F">
        <w:t xml:space="preserve"> ενός εμβρύου με τους γαμέτες του ζευγαριού και τη </w:t>
      </w:r>
      <w:r w:rsidR="001C730F">
        <w:lastRenderedPageBreak/>
        <w:t xml:space="preserve">μεταγενέστερη εμφύτευσή του στη μήτρα της υποβοηθούμενης γυναίκας (άρθρο </w:t>
      </w:r>
      <w:r w:rsidR="001C730F">
        <w:rPr>
          <w:lang w:val="en-US"/>
        </w:rPr>
        <w:t>L. 2141-3 ΚΔΥ</w:t>
      </w:r>
      <w:r w:rsidR="001C730F">
        <w:t>)</w:t>
      </w:r>
      <w:r w:rsidR="00867879">
        <w:t xml:space="preserve">. </w:t>
      </w:r>
    </w:p>
    <w:p w14:paraId="2FC9C0D1" w14:textId="77777777" w:rsidR="00FF48B2" w:rsidRDefault="00FF48B2" w:rsidP="00FF48B2">
      <w:r>
        <w:t xml:space="preserve">Σε ό,τι αφορά </w:t>
      </w:r>
      <w:r w:rsidRPr="00585E08">
        <w:t xml:space="preserve">στην επιλογή της εν λόγω μεθόδου-τεχνικής για την εφαρμογή </w:t>
      </w:r>
      <w:r>
        <w:t>της ιατρικά υποβοηθούμενης αναπαραγωγής</w:t>
      </w:r>
      <w:r w:rsidRPr="00585E08">
        <w:t xml:space="preserve">, τα </w:t>
      </w:r>
      <w:r w:rsidRPr="009C7BC9">
        <w:rPr>
          <w:b/>
        </w:rPr>
        <w:t>κριτήρια είναι πάντα ιατρικής φύσης</w:t>
      </w:r>
      <w:r w:rsidRPr="00585E08">
        <w:t>. Ενδεικτικά αναφέρεται ότι οι ιατρικές ενδείξεις για την εφαρμογή της μεθόδου της σπερματέγχυσης μπορεί να είναι η ήπιας έως μέτριας βαρύτητας ο</w:t>
      </w:r>
      <w:r w:rsidR="00867879">
        <w:t>λιγοασθενοσπερμία του συντρόφου</w:t>
      </w:r>
      <w:r w:rsidRPr="00585E08">
        <w:t>.</w:t>
      </w:r>
    </w:p>
    <w:p w14:paraId="69F6DC41" w14:textId="77777777" w:rsidR="00FF48B2" w:rsidRDefault="00FF48B2" w:rsidP="00FF48B2">
      <w:r>
        <w:t>Άλλωστε, όπως έχουμε ήδη προαναφέρει, αυτός είναι, μεταξύ άλλων, και ο σκοπός των</w:t>
      </w:r>
      <w:r w:rsidRPr="00513C39">
        <w:rPr>
          <w:rFonts w:eastAsia="Calibri"/>
        </w:rPr>
        <w:t xml:space="preserve"> διαγνωστικών εξετάσεων (</w:t>
      </w:r>
      <w:r w:rsidRPr="00513C39">
        <w:rPr>
          <w:i/>
        </w:rPr>
        <w:t>bilan diagnostique</w:t>
      </w:r>
      <w:r>
        <w:t>) στις οποίες υποβάλλεται</w:t>
      </w:r>
      <w:r w:rsidRPr="00513C39">
        <w:rPr>
          <w:rFonts w:eastAsia="Calibri"/>
        </w:rPr>
        <w:t xml:space="preserve"> το ζευγάρι πριν ξεκινήσει </w:t>
      </w:r>
      <w:r>
        <w:rPr>
          <w:rFonts w:eastAsia="Calibri"/>
        </w:rPr>
        <w:t>την ιατρικά υποβοηθούμενη αναπαραγωγή</w:t>
      </w:r>
      <w:r>
        <w:t xml:space="preserve">. Τα αποτελέσματα των εξετάσεων αυτών θα επιτρέψουν στη </w:t>
      </w:r>
      <w:r w:rsidRPr="00513C39">
        <w:t xml:space="preserve">διεπιστημονική ομάδα του κέντρου </w:t>
      </w:r>
      <w:r>
        <w:t>ιατρικά υποβοηθούμενης αναπαραγωγής</w:t>
      </w:r>
      <w:r w:rsidRPr="00513C39">
        <w:t xml:space="preserve"> να αξιολογήσει τις πιθανότητες φυσιολογικής σύλληψης, το αναμενόμενο ποσοστό επιτυχίας ενδεχόμενης </w:t>
      </w:r>
      <w:r>
        <w:t>ιατρικά υποβοηθούμενης αναπαραγωγής</w:t>
      </w:r>
      <w:r w:rsidRPr="00513C39">
        <w:t xml:space="preserve">, τους κινδύνους των διαφόρων θεραπειών, καθώς επίσης και το ιδανικό χρονικό διάστημα κατά το οποίο πρέπει να πραγματοποιηθεί η </w:t>
      </w:r>
      <w:r>
        <w:t>ιατρικά υποβοηθούμενη αναπαραγωγή</w:t>
      </w:r>
      <w:r w:rsidRPr="00513C39">
        <w:t>. Μετά από</w:t>
      </w:r>
      <w:r>
        <w:t xml:space="preserve"> μελέτη του συνόλου των ανωτέρω</w:t>
      </w:r>
      <w:r w:rsidRPr="00513C39">
        <w:t xml:space="preserve"> εξετάσεων υπογονιμότητας και συζήτηση εντός της διεπιστημονικής ομάδας, ο ιατρός προτείνει στο ζευγάρι προσαρμοσμένη στις ανάγκες του πορεία </w:t>
      </w:r>
      <w:r>
        <w:t>ιατρικά υποβοηθούμενης αναπαραγωγής</w:t>
      </w:r>
      <w:r>
        <w:rPr>
          <w:rStyle w:val="FootnoteReference"/>
        </w:rPr>
        <w:footnoteReference w:id="194"/>
      </w:r>
      <w:r w:rsidRPr="00513C39">
        <w:t>.</w:t>
      </w:r>
      <w:r>
        <w:t xml:space="preserve"> </w:t>
      </w:r>
    </w:p>
    <w:p w14:paraId="3E6C8AA5" w14:textId="77777777" w:rsidR="00FF48B2" w:rsidRDefault="00FF48B2" w:rsidP="00FF48B2">
      <w:r w:rsidRPr="00FA0918">
        <w:t>Ανεξαρτήτως</w:t>
      </w:r>
      <w:r w:rsidR="00867879">
        <w:t xml:space="preserve">, </w:t>
      </w:r>
      <w:r>
        <w:t>ωστόσο</w:t>
      </w:r>
      <w:r w:rsidR="00867879">
        <w:t>,</w:t>
      </w:r>
      <w:r w:rsidRPr="00FA0918">
        <w:t xml:space="preserve"> της τελικής επιλογής μεθόδου </w:t>
      </w:r>
      <w:r>
        <w:t>ιατρικά υποβοηθούμενης αναπαραγωγής</w:t>
      </w:r>
      <w:r w:rsidRPr="00FA0918">
        <w:t xml:space="preserve"> για την κάθε επί μέρους περίπτωση, κατά την εφαρμογή </w:t>
      </w:r>
      <w:r>
        <w:t>της ιατρικά υποβοηθούμενης αναπαραγωγής</w:t>
      </w:r>
      <w:r w:rsidRPr="00FA0918">
        <w:t xml:space="preserve"> </w:t>
      </w:r>
      <w:r w:rsidR="00EF5F3F">
        <w:t>πρέπει να πλη</w:t>
      </w:r>
      <w:r>
        <w:t xml:space="preserve">ρούται το σύνολο των όρων και προϋποθέσεων για την πρόσβαση στην ιατρικά υποβοηθούμενη αναπαραγωγή που θέτει ο γάλλος νομοθέτης και οι οποίες προαναφέρθηκαν.  </w:t>
      </w:r>
    </w:p>
    <w:p w14:paraId="650FBE65" w14:textId="77777777" w:rsidR="00FF48B2" w:rsidRPr="00FA0918" w:rsidRDefault="00FF48B2" w:rsidP="00FF48B2">
      <w:bookmarkStart w:id="125" w:name="προΫποθέσεις_επιλογής_μεθόδου"/>
      <w:r w:rsidRPr="00FA0918">
        <w:t>Οι προϋποθέσεις αυτ</w:t>
      </w:r>
      <w:r>
        <w:t xml:space="preserve">ές μπορούν να συνοψισθούν </w:t>
      </w:r>
      <w:r w:rsidRPr="00FA0918">
        <w:t xml:space="preserve">στις </w:t>
      </w:r>
      <w:r>
        <w:t>ακόλουθες</w:t>
      </w:r>
      <w:r w:rsidRPr="00FA0918">
        <w:t>:</w:t>
      </w:r>
    </w:p>
    <w:p w14:paraId="28081C75" w14:textId="77777777" w:rsidR="00EF5F3F" w:rsidRDefault="00FF48B2" w:rsidP="00E5410F">
      <w:pPr>
        <w:numPr>
          <w:ilvl w:val="0"/>
          <w:numId w:val="19"/>
        </w:numPr>
        <w:tabs>
          <w:tab w:val="left" w:pos="567"/>
        </w:tabs>
        <w:ind w:left="0" w:firstLine="0"/>
      </w:pPr>
      <w:r>
        <w:t>Το αίτημα διατυπώνεται από ετερόφυλο ζευγάρι (άνδρα και γυναίκα), έγγαμο ή όχι</w:t>
      </w:r>
      <w:r>
        <w:rPr>
          <w:rStyle w:val="FootnoteReference"/>
        </w:rPr>
        <w:footnoteReference w:id="195"/>
      </w:r>
      <w:r w:rsidR="00EF5F3F">
        <w:t>.</w:t>
      </w:r>
    </w:p>
    <w:p w14:paraId="5A388054" w14:textId="77777777" w:rsidR="00EF5F3F" w:rsidRDefault="00FF48B2" w:rsidP="00E5410F">
      <w:pPr>
        <w:numPr>
          <w:ilvl w:val="0"/>
          <w:numId w:val="19"/>
        </w:numPr>
        <w:tabs>
          <w:tab w:val="left" w:pos="567"/>
        </w:tabs>
        <w:ind w:left="0" w:firstLine="0"/>
      </w:pPr>
      <w:r>
        <w:t>Τα υποψήφια υποβοηθούμενα πρόσωπα είναι εν ζωή και σε ηλικία φυσικής ικανότητας αναπαραγωγής.</w:t>
      </w:r>
    </w:p>
    <w:p w14:paraId="44A00FD3" w14:textId="77777777" w:rsidR="00EF5F3F" w:rsidRDefault="00FF48B2" w:rsidP="00E5410F">
      <w:pPr>
        <w:numPr>
          <w:ilvl w:val="0"/>
          <w:numId w:val="19"/>
        </w:numPr>
        <w:tabs>
          <w:tab w:val="left" w:pos="567"/>
        </w:tabs>
        <w:ind w:left="0" w:firstLine="0"/>
      </w:pPr>
      <w:r>
        <w:t>Τα υποψήφια υποβοηθούμενα πρόσωπα αδυνατούν να τεκ</w:t>
      </w:r>
      <w:r w:rsidR="00EF5F3F">
        <w:t>νοποιήσουν με φυσικό τρόπο.</w:t>
      </w:r>
    </w:p>
    <w:p w14:paraId="4B8BEE6A" w14:textId="77777777" w:rsidR="00EF5F3F" w:rsidRDefault="00FF48B2" w:rsidP="00E5410F">
      <w:pPr>
        <w:numPr>
          <w:ilvl w:val="0"/>
          <w:numId w:val="19"/>
        </w:numPr>
        <w:tabs>
          <w:tab w:val="left" w:pos="567"/>
        </w:tabs>
        <w:ind w:left="0" w:firstLine="0"/>
      </w:pPr>
      <w:r>
        <w:t xml:space="preserve">Τα υποψήφια υποβοηθούμενα πρόσωπα υποβάλλονται σε μια σειρά ιατρικών ελέγχων προκειμένου να διαπιστωθεί η υγεία </w:t>
      </w:r>
      <w:r w:rsidR="00EF5F3F">
        <w:t>τους.</w:t>
      </w:r>
    </w:p>
    <w:p w14:paraId="52462D67" w14:textId="77777777" w:rsidR="00EF5F3F" w:rsidRDefault="00FF48B2" w:rsidP="00E5410F">
      <w:pPr>
        <w:numPr>
          <w:ilvl w:val="0"/>
          <w:numId w:val="19"/>
        </w:numPr>
        <w:tabs>
          <w:tab w:val="left" w:pos="567"/>
        </w:tabs>
        <w:ind w:left="0" w:firstLine="0"/>
      </w:pPr>
      <w:r>
        <w:lastRenderedPageBreak/>
        <w:t>Τα υποψήφια υποβοηθούμενα πρόσωπα συναινούν στην ιατρικά υποβοηθούμενη αναπαραγωγή.</w:t>
      </w:r>
    </w:p>
    <w:p w14:paraId="69489A8A" w14:textId="77777777" w:rsidR="00FF48B2" w:rsidRDefault="00FF48B2" w:rsidP="00E5410F">
      <w:pPr>
        <w:numPr>
          <w:ilvl w:val="0"/>
          <w:numId w:val="19"/>
        </w:numPr>
        <w:tabs>
          <w:tab w:val="left" w:pos="567"/>
        </w:tabs>
        <w:ind w:left="0" w:firstLine="0"/>
      </w:pPr>
      <w:r>
        <w:t>Ο ιατρός διερευνά εάν η ιατρικά υποβοηθούμενη αναπαραγωγή είναι προς το συμφέρον του παιδιού που θα γεννηθεί.</w:t>
      </w:r>
    </w:p>
    <w:p w14:paraId="69470EB8" w14:textId="362DD31E" w:rsidR="00167E88" w:rsidRDefault="00167E88" w:rsidP="00167E88">
      <w:pPr>
        <w:pStyle w:val="Heading4"/>
      </w:pPr>
      <w:bookmarkStart w:id="126" w:name="_Toc276574409"/>
      <w:bookmarkEnd w:id="125"/>
      <w:r>
        <w:t>§2. Συνέπειες μη συμμόρφωσης με τις νομοθετικές προσταγές</w:t>
      </w:r>
      <w:bookmarkEnd w:id="126"/>
      <w:r>
        <w:t xml:space="preserve"> </w:t>
      </w:r>
    </w:p>
    <w:p w14:paraId="215D7CF9" w14:textId="77777777" w:rsidR="002B0FA3" w:rsidRPr="004933B9" w:rsidRDefault="005E4436" w:rsidP="002B0FA3">
      <w:r>
        <w:t xml:space="preserve">Σε περίπτωση παραβίασης των όρων πρόσβασης στην υποβοηθούμενη αναπαραγωγή ή των γενικών προϋποθέσεων που ορίζει ο νόμος, οι συνέπειες μπορεί να είναι διοικητικής, αστικής και ποινικής φύσης και αφορούν όχι μόνο στον ιατρό και το κέντρο ιατρικά υποβοηθούμενης αναπαραγωγής στο οποίο απευθύνθηκε το υποψήφιο υποβοηθούμενο ζευγάρι, αλλά και στα ίδια τα υποβοηθούμενα πρόσωπα. </w:t>
      </w:r>
    </w:p>
    <w:p w14:paraId="1A9011F5" w14:textId="77777777" w:rsidR="00634E3B" w:rsidRPr="00710478" w:rsidRDefault="00634E3B" w:rsidP="00167E88">
      <w:pPr>
        <w:pStyle w:val="Heading6"/>
      </w:pPr>
      <w:r w:rsidRPr="00710478">
        <w:t>Συνέπειες διοικητικής φύσης:</w:t>
      </w:r>
    </w:p>
    <w:p w14:paraId="240DB202" w14:textId="77777777" w:rsidR="005E4436" w:rsidRDefault="00634E3B" w:rsidP="00710478">
      <w:r>
        <w:t>Οι διοικητικής φύσης συνέπειες αφορούν στον ιατρό και το κέντρο ιατρικά υποβοηθούμενης αναπαραγωγής και τ</w:t>
      </w:r>
      <w:r w:rsidR="005E4436" w:rsidRPr="00FA0918">
        <w:t xml:space="preserve">ο περιεχόμενο </w:t>
      </w:r>
      <w:r>
        <w:t xml:space="preserve">τους </w:t>
      </w:r>
      <w:r w:rsidR="005E4436" w:rsidRPr="00FA0918">
        <w:t>εξαρτάται από</w:t>
      </w:r>
      <w:r w:rsidR="005E4436">
        <w:t xml:space="preserve"> τους όρους πρόσβασης (π.χ. αδυναμία απόκτησης τέκνου με φυσικό τρόπο, αποφυγή μετάδοσης σοβαρής ασθένειας </w:t>
      </w:r>
      <w:r>
        <w:t>στο τέκνο ή το/τη σύντροφο) ή</w:t>
      </w:r>
      <w:r w:rsidR="005E4436">
        <w:t xml:space="preserve"> τις γενικές προϋποθέσεις </w:t>
      </w:r>
      <w:r w:rsidR="005E4436" w:rsidRPr="00FA0918">
        <w:t xml:space="preserve">εφαρμογής </w:t>
      </w:r>
      <w:r w:rsidR="005E4436">
        <w:t xml:space="preserve">(π.χ. ηλικία, υγεία, συναίνεση ή ενημέρωση υποβοηθούμενων προσώπων) </w:t>
      </w:r>
      <w:r w:rsidR="005E4436" w:rsidRPr="00FA0918">
        <w:t xml:space="preserve">της </w:t>
      </w:r>
      <w:r w:rsidR="005E4436">
        <w:t xml:space="preserve">ιατρικά υποβοηθούμενης αναπαραγωγής </w:t>
      </w:r>
      <w:r w:rsidR="005E4436" w:rsidRPr="00FA0918">
        <w:t>που παραβιάζονται</w:t>
      </w:r>
      <w:r w:rsidR="005E4436">
        <w:t xml:space="preserve">. </w:t>
      </w:r>
    </w:p>
    <w:p w14:paraId="3C72AD93" w14:textId="109766D9" w:rsidR="00634E3B" w:rsidRPr="00642B1A" w:rsidRDefault="00710478" w:rsidP="00710478">
      <w:pPr>
        <w:rPr>
          <w:b/>
          <w:highlight w:val="lightGray"/>
        </w:rPr>
      </w:pPr>
      <w:r w:rsidRPr="00EE4056">
        <w:t xml:space="preserve">Όπως έχει </w:t>
      </w:r>
      <w:r>
        <w:t>προαναφερθεί</w:t>
      </w:r>
      <w:r>
        <w:rPr>
          <w:rStyle w:val="FootnoteReference"/>
        </w:rPr>
        <w:footnoteReference w:id="196"/>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rsidR="00DD0107">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p>
    <w:p w14:paraId="1679B8BF" w14:textId="77777777" w:rsidR="0050522E" w:rsidRPr="00710478" w:rsidRDefault="0050522E" w:rsidP="00B27D8D">
      <w:pPr>
        <w:pStyle w:val="Heading6"/>
      </w:pPr>
      <w:r w:rsidRPr="00710478">
        <w:t>Συνέπειες ποινικής φύσης:</w:t>
      </w:r>
    </w:p>
    <w:p w14:paraId="56B130C8" w14:textId="77777777" w:rsidR="00465E5D" w:rsidRPr="00465E5D" w:rsidRDefault="00465E5D" w:rsidP="00465E5D">
      <w:r>
        <w:t xml:space="preserve">Οι συνέπειες ποινικής φύσης για την </w:t>
      </w:r>
      <w:r w:rsidRPr="00FA0918">
        <w:t>παραβ</w:t>
      </w:r>
      <w:r>
        <w:t>ίαση των προϋποθέσεων του νόμου αφορούν στον ιατρό και το κέντρο ιατρικά υποβοηθούμενης αναπαραγωγής και το περιεχόμενό τους</w:t>
      </w:r>
      <w:r w:rsidRPr="00FA0918">
        <w:t xml:space="preserve"> εξαρτάται από</w:t>
      </w:r>
      <w:r>
        <w:t xml:space="preserve"> τους όρους πρόσβασης (π.χ. αδυναμία απόκτησης τέκνου με φυσικό τρόπο, αποφυγή μετάδοσης σοβαρής ασθένειας στο τέκνο ή το/τη σύντροφο) και  </w:t>
      </w:r>
      <w:r>
        <w:lastRenderedPageBreak/>
        <w:t xml:space="preserve">τις γενικές προϋποθέσεις </w:t>
      </w:r>
      <w:r w:rsidRPr="00FA0918">
        <w:t xml:space="preserve">εφαρμογής </w:t>
      </w:r>
      <w:r>
        <w:t xml:space="preserve">(π.χ. ηλικία, υγεία, συναίνεση ή ενημέρωση υποβοηθούμενων προσώπων) </w:t>
      </w:r>
      <w:r w:rsidRPr="00FA0918">
        <w:t xml:space="preserve">της </w:t>
      </w:r>
      <w:r>
        <w:t xml:space="preserve">ιατρικά υποβοηθούμενης </w:t>
      </w:r>
      <w:r w:rsidRPr="00FA0918">
        <w:t xml:space="preserve"> </w:t>
      </w:r>
      <w:r>
        <w:t xml:space="preserve">αναπαραγωγής </w:t>
      </w:r>
      <w:r w:rsidRPr="00FA0918">
        <w:t>που παραβιάζονται</w:t>
      </w:r>
      <w:r>
        <w:t xml:space="preserve">. </w:t>
      </w:r>
    </w:p>
    <w:p w14:paraId="66A947BD" w14:textId="2DB365D3" w:rsidR="00710478" w:rsidRPr="00C51393" w:rsidRDefault="00710478" w:rsidP="00710478">
      <w:r w:rsidRPr="00C51393">
        <w:t xml:space="preserve">Σύμφωνα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w:t>
      </w:r>
      <w:r w:rsidR="002F61A0">
        <w:t>511-24 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07320AC2" w14:textId="77777777" w:rsidR="00D62628" w:rsidRDefault="00710478" w:rsidP="00710478">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197"/>
      </w:r>
      <w:r w:rsidRPr="0059473C">
        <w:t>.</w:t>
      </w:r>
    </w:p>
    <w:p w14:paraId="25D379F0" w14:textId="77777777" w:rsidR="00710478" w:rsidRPr="00EE7573" w:rsidRDefault="00B27D8D" w:rsidP="00B27D8D">
      <w:pPr>
        <w:pStyle w:val="Heading6"/>
      </w:pPr>
      <w:r>
        <w:t>Συνέπειες αστικής φύσης</w:t>
      </w:r>
      <w:r w:rsidR="00710478" w:rsidRPr="00EE7573">
        <w:t>:</w:t>
      </w:r>
    </w:p>
    <w:p w14:paraId="3CF9AE46" w14:textId="77777777" w:rsidR="00710478" w:rsidRDefault="00710478" w:rsidP="00710478">
      <w:r>
        <w:t>Οι συνέπειες αστικής φύσης αφορούν στα υποβοηθούμενα πρόσωπα</w:t>
      </w:r>
      <w:r>
        <w:rPr>
          <w:rStyle w:val="FootnoteReference"/>
        </w:rPr>
        <w:footnoteReference w:id="198"/>
      </w:r>
      <w:r>
        <w:t xml:space="preserve"> και το περιεχόμενό</w:t>
      </w:r>
      <w:r w:rsidRPr="00FA0918">
        <w:t xml:space="preserve"> </w:t>
      </w:r>
      <w:r>
        <w:t>τους</w:t>
      </w:r>
      <w:r w:rsidRPr="00FA0918">
        <w:t xml:space="preserve"> εξαρτάται από</w:t>
      </w:r>
      <w:r>
        <w:t xml:space="preserve"> τους όρους πρόσβασης (π.χ. αδυναμία απόκτησης τέκνου με φυσικό τρόπο, αποφυγή μετάδοσης σοβαρής ασθένειας στο τέκνο ή το/τη σύντροφο) και  τις γενικές προϋποθέσεις </w:t>
      </w:r>
      <w:r w:rsidRPr="00FA0918">
        <w:t xml:space="preserve">εφαρμογής </w:t>
      </w:r>
      <w:r>
        <w:t xml:space="preserve">(π.χ. ηλικία, υγεία, συναίνεση ή ενημέρωση υποβοηθούμενων προσώπων) </w:t>
      </w:r>
      <w:r w:rsidRPr="00FA0918">
        <w:t xml:space="preserve">της </w:t>
      </w:r>
      <w:r>
        <w:t xml:space="preserve">ιατρικά υποβοηθούμενης αναπαραγωγής </w:t>
      </w:r>
      <w:r w:rsidRPr="00FA0918">
        <w:t>που παραβιάζονται</w:t>
      </w:r>
      <w:r>
        <w:t xml:space="preserve">. </w:t>
      </w:r>
    </w:p>
    <w:p w14:paraId="519F9536" w14:textId="77777777" w:rsidR="00710478" w:rsidRDefault="00710478" w:rsidP="00710478">
      <w:r w:rsidRPr="00FA0918">
        <w:t>Η</w:t>
      </w:r>
      <w:r>
        <w:t xml:space="preserve"> γενική προϋπόθεση</w:t>
      </w:r>
      <w:r w:rsidRPr="00FA0918">
        <w:t xml:space="preserve"> για την εφαρμογή των μεθόδων </w:t>
      </w:r>
      <w:r>
        <w:t>ιατρικά υποβοηθούμενης αναπαραγωγής</w:t>
      </w:r>
      <w:r w:rsidRPr="00FA0918">
        <w:t xml:space="preserve"> που μας ενδιαφέρει εδώ είναι η λήψη </w:t>
      </w:r>
      <w:r>
        <w:t>της έγγραφης συναίνεσης</w:t>
      </w:r>
      <w:r w:rsidRPr="00FA0918">
        <w:t xml:space="preserve">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w:t>
      </w:r>
      <w:r>
        <w:t>της απαραίτητης συναίνεσης</w:t>
      </w:r>
      <w:r w:rsidRPr="00FA0918">
        <w:t xml:space="preserve"> των ενδιαφερόμενων προσώπων</w:t>
      </w:r>
      <w:r>
        <w:t xml:space="preserve">. </w:t>
      </w:r>
    </w:p>
    <w:p w14:paraId="722C1407" w14:textId="77777777" w:rsidR="00710478" w:rsidRDefault="00710478" w:rsidP="00710478">
      <w:pPr>
        <w:rPr>
          <w:rFonts w:eastAsia="Calibri"/>
          <w:lang w:eastAsia="en-US"/>
        </w:rPr>
      </w:pPr>
      <w:r>
        <w:rPr>
          <w:rFonts w:eastAsia="Calibri"/>
          <w:lang w:eastAsia="en-US"/>
        </w:rPr>
        <w:t xml:space="preserve">Τα πράγματα είναι μάλλον λιγότερο πολύπλοκα όταν το τέκνο προέρχεται από ενδο-συζυγική αναπαραγωγή, χωρίς γεννητικό υλικό τρίτων δοτών. Το παιδί παραμένει γενετικά συνδεδεμένο με το υποψήφιο υποβοηθούμενο ζευγάρι και η μόνη ιδιαιτερότητά του είναι ότι η σύλληψή του δεν έγινε με τον κλασικό τρόπο, αλλά είναι το αποτέλεσμα είτε τεχνητής γονιμοποίησης, είτε γονιμοποίησης </w:t>
      </w:r>
      <w:r w:rsidRPr="005B252F">
        <w:rPr>
          <w:rFonts w:eastAsia="Calibri"/>
          <w:i/>
          <w:lang w:val="en-US" w:eastAsia="en-US"/>
        </w:rPr>
        <w:t>in vitro</w:t>
      </w:r>
      <w:r>
        <w:rPr>
          <w:rFonts w:eastAsia="Calibri"/>
          <w:lang w:val="en-US" w:eastAsia="en-US"/>
        </w:rPr>
        <w:t xml:space="preserve"> </w:t>
      </w:r>
      <w:r>
        <w:rPr>
          <w:rFonts w:eastAsia="Calibri"/>
          <w:lang w:eastAsia="en-US"/>
        </w:rPr>
        <w:t xml:space="preserve">ακολουθούμενης από εμβρυομεταφορά. Δεδομένου, όμως, ότι η νομική του συγγένεια με τους γεννήτορές του θεμελιώνεται στους δεσμούς αίματος (για τον πατέρα) και τη γέννηση (για τη μητέρα), το τέκνο έχει πρόσβαση </w:t>
      </w:r>
      <w:r>
        <w:rPr>
          <w:rFonts w:eastAsia="Calibri"/>
          <w:lang w:eastAsia="en-US"/>
        </w:rPr>
        <w:lastRenderedPageBreak/>
        <w:t>χωρίς δυσκολία στις κλασικές δομές συγγενείας: είτε με τη ληξιαρχική πράξη γέννησης, είτε με αναγνώριση, είτε με την «καταφαινόμενη συγγένεια» (</w:t>
      </w:r>
      <w:r w:rsidRPr="00294A5A">
        <w:rPr>
          <w:rFonts w:eastAsia="Calibri"/>
          <w:i/>
          <w:lang w:val="en-US" w:eastAsia="en-US"/>
        </w:rPr>
        <w:t>possession d’état</w:t>
      </w:r>
      <w:r>
        <w:rPr>
          <w:rFonts w:eastAsia="Calibri"/>
          <w:lang w:eastAsia="en-US"/>
        </w:rPr>
        <w:t>)</w:t>
      </w:r>
      <w:r>
        <w:rPr>
          <w:rStyle w:val="FootnoteReference"/>
          <w:rFonts w:eastAsia="Calibri"/>
          <w:lang w:eastAsia="en-US"/>
        </w:rPr>
        <w:footnoteReference w:id="199"/>
      </w:r>
      <w:r>
        <w:rPr>
          <w:rFonts w:eastAsia="Calibri"/>
          <w:lang w:eastAsia="en-US"/>
        </w:rPr>
        <w:t>. Η μόνη δυσκολία στην περίπτωση αυτή εγείρεται στην περίπτωση που τίθεται ζήτημα ακυρότητας της συναίνεσης, όπως αναφέρθηκε και νωρίτερα</w:t>
      </w:r>
      <w:r>
        <w:rPr>
          <w:rStyle w:val="FootnoteReference"/>
        </w:rPr>
        <w:footnoteReference w:id="200"/>
      </w:r>
      <w:r>
        <w:rPr>
          <w:rFonts w:eastAsia="Calibri"/>
          <w:lang w:eastAsia="en-US"/>
        </w:rPr>
        <w:t xml:space="preserve">. </w:t>
      </w:r>
    </w:p>
    <w:p w14:paraId="20094176" w14:textId="77777777" w:rsidR="00710478" w:rsidRPr="004933B9" w:rsidRDefault="00710478" w:rsidP="00710478">
      <w:r>
        <w:rPr>
          <w:rFonts w:eastAsia="Calibri"/>
          <w:lang w:eastAsia="en-US"/>
        </w:rPr>
        <w:t xml:space="preserve">Προκειμένου να διασφαλίσει τα ανωτέρω, ο νομοθέτης ορίζει στο άρθρο </w:t>
      </w:r>
      <w:r w:rsidRPr="003E10A0">
        <w:t>311-20</w:t>
      </w:r>
      <w:r>
        <w:t>, παρ. 2 και 4,</w:t>
      </w:r>
      <w:r w:rsidRPr="003E10A0">
        <w:t xml:space="preserve"> ΑΚ</w:t>
      </w:r>
      <w:r>
        <w:t xml:space="preserve"> ότι από μόνη της «</w:t>
      </w:r>
      <w:r w:rsidRPr="007E316C">
        <w:t xml:space="preserve">η </w:t>
      </w:r>
      <w:r w:rsidRPr="003E10A0">
        <w:rPr>
          <w:rStyle w:val="hps"/>
          <w:i/>
        </w:rPr>
        <w:t>συναίνεση στην ιατρικά υποβοηθούμενη αναπαραγωγή αποκλείει κάθε αγωγή προσβολής</w:t>
      </w:r>
      <w:r>
        <w:rPr>
          <w:rStyle w:val="hps"/>
          <w:i/>
        </w:rPr>
        <w:t xml:space="preserve"> σχέσης συγγένειας (πατρότητας)»,</w:t>
      </w:r>
      <w:r w:rsidRPr="0009090C">
        <w:t xml:space="preserve"> καθώς</w:t>
      </w:r>
      <w:r>
        <w:t xml:space="preserve"> επίσης και ότι «</w:t>
      </w:r>
      <w:r>
        <w:rPr>
          <w:i/>
        </w:rPr>
        <w:t>α</w:t>
      </w:r>
      <w:r w:rsidRPr="003E10A0">
        <w:rPr>
          <w:i/>
        </w:rPr>
        <w:t>υτός που, ενώ έχει συναινέσει στην ιατρικά υποβοηθούμενη αναπαραγωγή, δεν αναγνωρίζει το τέκνο που γεννιέται από αυτήν, έχει ευθύνη έναντι της μητέρας και του τέκνου</w:t>
      </w:r>
      <w:r>
        <w:t xml:space="preserve">». Εξαίρεση στον κανόνα αυτό προβλέπεται στην περίπτωση που η </w:t>
      </w:r>
      <w:r>
        <w:rPr>
          <w:b/>
        </w:rPr>
        <w:t xml:space="preserve">συναίνεση </w:t>
      </w:r>
      <w:r w:rsidRPr="00312737">
        <w:rPr>
          <w:b/>
        </w:rPr>
        <w:t>στερείται ισχύος</w:t>
      </w:r>
      <w:r>
        <w:t xml:space="preserve"> εξαιτίας ενός θανάτου, διάστασης ή διαζυγίου του ζευγαριού, διακοπής του κοινού του βίου ή ανάκλησης της συναίνεσης ή όταν υποστηρίζεται ότι </w:t>
      </w:r>
      <w:r w:rsidRPr="00312737">
        <w:rPr>
          <w:b/>
        </w:rPr>
        <w:t>«</w:t>
      </w:r>
      <w:r w:rsidRPr="00312737">
        <w:rPr>
          <w:rStyle w:val="hps"/>
          <w:b/>
          <w:i/>
        </w:rPr>
        <w:t>το τέκνο δεν προήλθε από ιατρικά υποβοηθούμενη αναπαραγωγή</w:t>
      </w:r>
      <w:r w:rsidRPr="00312737">
        <w:rPr>
          <w:rStyle w:val="hps"/>
          <w:b/>
        </w:rPr>
        <w:t>»</w:t>
      </w:r>
      <w:r w:rsidRPr="007E316C">
        <w:rPr>
          <w:rStyle w:val="hps"/>
        </w:rPr>
        <w:t xml:space="preserve">. </w:t>
      </w:r>
      <w:r>
        <w:t xml:space="preserve">Εάν αποδειχθεί ότι πράγματι συντρέχει μία από τις δύο προαναφερθείσες προϋποθέσεις, η απαγόρευση αμφισβήτησης της πατρότητας αίρεται και ο φερόμενος ως πατέρας μπορεί να καταθέσει αγωγή. Εμπόδια στην απαγόρευση αμφισβήτησης της πατρότητας μπορούν, πλέον, να σταθούν μόνο τυχόν παραγραφή της αξίωσης ή η καταφαινόμενη συγγένεια, αποκλείοντας έτσι την απάλειψη των δεσμών συγγενείας μεταξύ του τέκνου. </w:t>
      </w:r>
    </w:p>
    <w:p w14:paraId="1E211B85" w14:textId="77777777" w:rsidR="002B0FA3" w:rsidRDefault="00C4415A" w:rsidP="002B0FA3">
      <w:pPr>
        <w:pStyle w:val="Heading3"/>
      </w:pPr>
      <w:bookmarkStart w:id="127" w:name="_Toc394082555"/>
      <w:bookmarkStart w:id="128" w:name="_Toc275535602"/>
      <w:bookmarkStart w:id="129" w:name="_Toc276574410"/>
      <w:r>
        <w:t>β</w:t>
      </w:r>
      <w:r w:rsidR="002B0FA3" w:rsidRPr="004933B9">
        <w:t xml:space="preserve">. </w:t>
      </w:r>
      <w:bookmarkEnd w:id="127"/>
      <w:r w:rsidR="0006278E">
        <w:t xml:space="preserve">Ιατρικά υποβοηθούμενη αναπαραγωγή με </w:t>
      </w:r>
      <w:r w:rsidR="005A0C03">
        <w:t>τρίτο</w:t>
      </w:r>
      <w:r w:rsidR="0006278E">
        <w:t xml:space="preserve"> δότη</w:t>
      </w:r>
      <w:bookmarkEnd w:id="128"/>
      <w:bookmarkEnd w:id="129"/>
    </w:p>
    <w:p w14:paraId="5C70FA19" w14:textId="4AFFFFBF" w:rsidR="00936F84" w:rsidRPr="00936F84" w:rsidRDefault="00B91ED2" w:rsidP="00B91ED2">
      <w:pPr>
        <w:rPr>
          <w:lang w:eastAsia="en-US"/>
        </w:rPr>
      </w:pPr>
      <w:r>
        <w:rPr>
          <w:lang w:eastAsia="en-US"/>
        </w:rPr>
        <w:t xml:space="preserve">Όπως έχει ήδη κατ’ επανάληψη επισημανθεί, σύμφωνα με το γάλλο νομοθέτη, η υποβοηθούμενη αναπαραγωγή πρέπει καταρχήν να επιχειρείται «ενδο-συζυγικά», με γεννητικό υλικό του υποβοηθούμενου ζευγαριού και, μόνο στην περίπτωση που η μέθοδος αυτή δεν έχει – ή υπάρχουν σοβαρές ιατρικές ιατρικές ενδείξεις ότι δε θα έχει – επιτυχή επιτυχή έκβαση, μπορεί να διενεργηθεί με δωρεά τρίτου δότη. Αφού, λοιπόν, εξετάσουμε τί ακριβώς περιλαμβάνει η έννοια της «ιατρικά υποβοηθούμενης αναπαραγωγής με τρίτο δότη» (§1), θα αναφερθούμε στις </w:t>
      </w:r>
      <w:r w:rsidR="00675F22">
        <w:rPr>
          <w:lang w:eastAsia="en-US"/>
        </w:rPr>
        <w:t>έννομες συνέπειες που δημιουργούνται σε περίπτωση π</w:t>
      </w:r>
      <w:r w:rsidR="00675F22">
        <w:t xml:space="preserve">αραβίασης των όρων ή των γενικών προϋποθέσεων πρόσβασης στην υποβοηθούμενη αναπαραγωγή (§2). </w:t>
      </w:r>
    </w:p>
    <w:p w14:paraId="5A7D8FC9" w14:textId="42DC3939" w:rsidR="00BA0F1C" w:rsidRDefault="00BA0F1C" w:rsidP="00BA0F1C">
      <w:pPr>
        <w:pStyle w:val="Heading4"/>
      </w:pPr>
      <w:bookmarkStart w:id="130" w:name="_Toc276574411"/>
      <w:r>
        <w:t>§1. Έννοια Ιατρικά υποβοηθούμενης αναπαραγωγής με τρίτο δότη</w:t>
      </w:r>
      <w:bookmarkEnd w:id="130"/>
    </w:p>
    <w:p w14:paraId="77297403" w14:textId="77777777" w:rsidR="00783FF2" w:rsidRDefault="00783FF2" w:rsidP="00783FF2">
      <w:r>
        <w:t xml:space="preserve">Ενδιαφέρον παρουσιάζει, στο σημείο αυτό, η </w:t>
      </w:r>
      <w:r w:rsidRPr="00E96025">
        <w:rPr>
          <w:b/>
        </w:rPr>
        <w:t xml:space="preserve">διάκριση </w:t>
      </w:r>
      <w:r>
        <w:rPr>
          <w:b/>
        </w:rPr>
        <w:t xml:space="preserve">της αναπαραγωγής με τρίτο δότη </w:t>
      </w:r>
      <w:r w:rsidRPr="00783FF2">
        <w:t>σε δύο είδη</w:t>
      </w:r>
      <w:r>
        <w:t>, ανάλογα με την προέλευση των γαμετών</w:t>
      </w:r>
      <w:r w:rsidRPr="00E96025">
        <w:rPr>
          <w:b/>
        </w:rPr>
        <w:t>:</w:t>
      </w:r>
      <w:r>
        <w:t xml:space="preserve"> στην πρώτη περίπτωση, </w:t>
      </w:r>
      <w:r w:rsidRPr="00872A4B">
        <w:rPr>
          <w:b/>
        </w:rPr>
        <w:t>οι γαμέτες</w:t>
      </w:r>
      <w:r>
        <w:t xml:space="preserve"> που οδήγησαν στη γένεση </w:t>
      </w:r>
      <w:r w:rsidRPr="00E96025">
        <w:t>του</w:t>
      </w:r>
      <w:r>
        <w:t xml:space="preserve"> εμ</w:t>
      </w:r>
      <w:r w:rsidRPr="00E96025">
        <w:t>βρύου</w:t>
      </w:r>
      <w:r>
        <w:rPr>
          <w:rFonts w:cs="CCBFOG+TimesNewRoman"/>
        </w:rPr>
        <w:t xml:space="preserve"> </w:t>
      </w:r>
      <w:r w:rsidRPr="00872A4B">
        <w:rPr>
          <w:rFonts w:cs="CCBFOG+TimesNewRoman"/>
          <w:b/>
        </w:rPr>
        <w:t>προέρχονται από ένα από τα δύο πρόσωπα</w:t>
      </w:r>
      <w:r>
        <w:rPr>
          <w:rFonts w:cs="CCBFOG+TimesNewRoman"/>
        </w:rPr>
        <w:t xml:space="preserve"> που συνθέτουν το υποβοηθούμενο ζευγάρι, ενώ στη δεύτερη περίπτωση το γεννητικό υλικό που χρησιμοποιείται ανήκει </w:t>
      </w:r>
      <w:r w:rsidRPr="00872A4B">
        <w:rPr>
          <w:rFonts w:cs="CCBFOG+TimesNewRoman"/>
          <w:b/>
        </w:rPr>
        <w:t>αποκλειστικά σε δότες</w:t>
      </w:r>
      <w:r>
        <w:rPr>
          <w:rFonts w:cs="CCBFOG+TimesNewRoman"/>
        </w:rPr>
        <w:t xml:space="preserve"> και δεν έχει κανένα </w:t>
      </w:r>
      <w:r>
        <w:rPr>
          <w:rFonts w:cs="CCBFOG+TimesNewRoman"/>
        </w:rPr>
        <w:lastRenderedPageBreak/>
        <w:t xml:space="preserve">βιολογικό δεσμό με τα υποβοηθούμενα πρόσωπα. Ιδιαίτερη σημασία πρέπει να δοθεί στη δεύτερη κατηγορία: </w:t>
      </w:r>
    </w:p>
    <w:p w14:paraId="0C5487DC" w14:textId="77777777" w:rsidR="00783FF2" w:rsidRDefault="00783FF2" w:rsidP="00783FF2">
      <w:r>
        <w:t xml:space="preserve">Σύμφωνα με τις διατάξεις του άρθρου </w:t>
      </w:r>
      <w:r w:rsidRPr="00861093">
        <w:rPr>
          <w:b/>
          <w:lang w:val="en-US"/>
        </w:rPr>
        <w:t>L</w:t>
      </w:r>
      <w:r w:rsidRPr="00861093">
        <w:rPr>
          <w:b/>
        </w:rPr>
        <w:t>. 2141-3</w:t>
      </w:r>
      <w:r>
        <w:rPr>
          <w:b/>
        </w:rPr>
        <w:t>, παρ. 1,</w:t>
      </w:r>
      <w:r w:rsidRPr="00861093">
        <w:rPr>
          <w:b/>
        </w:rPr>
        <w:t xml:space="preserve"> </w:t>
      </w:r>
      <w:r>
        <w:rPr>
          <w:b/>
        </w:rPr>
        <w:t>ΚΔΥ</w:t>
      </w:r>
      <w:r>
        <w:t xml:space="preserve">, οι γαμέτες που επιτρέπουν τη γένεση ενός εμβρύου πρέπει να προέρχονται τουλάχιστο από ένα από τα δύο πρόσωπα που συνθέτουν το υποβοηθούμενο ζευγάρι. Απαγορεύεται η σύλληψη εμβρύων με </w:t>
      </w:r>
      <w:r w:rsidR="006B1E64">
        <w:t>«</w:t>
      </w:r>
      <w:r>
        <w:t>διπλή δωρεά</w:t>
      </w:r>
      <w:r w:rsidR="006B1E64">
        <w:t>» (</w:t>
      </w:r>
      <w:r w:rsidR="006B1E64" w:rsidRPr="006B1E64">
        <w:rPr>
          <w:i/>
          <w:lang w:val="en-US"/>
        </w:rPr>
        <w:t>double don</w:t>
      </w:r>
      <w:r w:rsidR="006B1E64">
        <w:t>)</w:t>
      </w:r>
      <w:r>
        <w:t xml:space="preserve"> γαμετών στη Γαλλία (</w:t>
      </w:r>
      <w:r w:rsidRPr="007A5A32">
        <w:rPr>
          <w:i/>
        </w:rPr>
        <w:t>Νόμος περί Βιοηθικής</w:t>
      </w:r>
      <w:r>
        <w:t xml:space="preserve"> </w:t>
      </w:r>
      <w:r>
        <w:rPr>
          <w:rStyle w:val="hps"/>
        </w:rPr>
        <w:t>αριθ. 2004-800 της 6</w:t>
      </w:r>
      <w:r w:rsidRPr="00882027">
        <w:rPr>
          <w:rStyle w:val="hps"/>
          <w:vertAlign w:val="superscript"/>
        </w:rPr>
        <w:t>ης</w:t>
      </w:r>
      <w:r>
        <w:rPr>
          <w:rStyle w:val="hps"/>
        </w:rPr>
        <w:t xml:space="preserve"> Αυγούστου 2004</w:t>
      </w:r>
      <w:r>
        <w:rPr>
          <w:rStyle w:val="FootnoteReference"/>
        </w:rPr>
        <w:footnoteReference w:id="201"/>
      </w:r>
      <w:r>
        <w:t>).</w:t>
      </w:r>
    </w:p>
    <w:p w14:paraId="21ECC4A3" w14:textId="77777777" w:rsidR="00046E0A" w:rsidRDefault="00783FF2" w:rsidP="00783FF2">
      <w:r>
        <w:t xml:space="preserve">Ας παρακολουθήσουμε όμως την σχετική νομοθετική εξέλιξή από την αρχή. </w:t>
      </w:r>
      <w:r w:rsidR="007A5A32">
        <w:t xml:space="preserve">Παρότι αρχικά, με το Νόμο του 1994, </w:t>
      </w:r>
      <w:r w:rsidR="004544A9">
        <w:t>δεν επιτρεπό</w:t>
      </w:r>
      <w:r w:rsidR="007A5A32">
        <w:t>ταν παρά μόνο ως «λύση ανάγκης»</w:t>
      </w:r>
      <w:r w:rsidR="004544A9">
        <w:t xml:space="preserve">, η ιατρικά υποβοηθούμενη αναπαραγωγή με </w:t>
      </w:r>
      <w:r w:rsidR="005A0C03">
        <w:t>τρίτο</w:t>
      </w:r>
      <w:r w:rsidR="004544A9">
        <w:t xml:space="preserve"> δότη μπορεί να εφαρμοστεί</w:t>
      </w:r>
      <w:r w:rsidR="00345446">
        <w:t xml:space="preserve">, </w:t>
      </w:r>
      <w:r w:rsidR="004544A9">
        <w:t>από</w:t>
      </w:r>
      <w:r w:rsidR="00345446">
        <w:t xml:space="preserve"> το 2004, σύμφωνα με το ά</w:t>
      </w:r>
      <w:r w:rsidR="003B187A">
        <w:t>ρθρο</w:t>
      </w:r>
      <w:r w:rsidR="00345446">
        <w:t xml:space="preserve"> </w:t>
      </w:r>
      <w:r w:rsidR="00345446" w:rsidRPr="00345446">
        <w:rPr>
          <w:b/>
        </w:rPr>
        <w:t>L. 2141-7 ΚΔΥ</w:t>
      </w:r>
      <w:r w:rsidR="00345446">
        <w:t xml:space="preserve"> </w:t>
      </w:r>
      <w:r w:rsidR="004544A9">
        <w:t xml:space="preserve">σε </w:t>
      </w:r>
      <w:r w:rsidR="00345446">
        <w:t xml:space="preserve">αρκετές </w:t>
      </w:r>
      <w:r w:rsidR="004544A9">
        <w:t xml:space="preserve">περιπτώσεις: όχι μόνο </w:t>
      </w:r>
      <w:r w:rsidR="00345446">
        <w:t>όταν «</w:t>
      </w:r>
      <w:r w:rsidR="00345446" w:rsidRPr="00345446">
        <w:rPr>
          <w:i/>
        </w:rPr>
        <w:t>υπάρχει κίνδυνος μετάδοσης ασθένειας ιδιαίτερης σοβαρότητας στο τέκνο ή σε ένα από τα δύο υποβοηθούμενα πρόσωπα του ζευγαριού ή όταν οι μέθοδοι ιατρικά υποβοηθούμενης αναπαραγωγής δε θα έχουν επιτυχία στο συγκεκριμένο υποβοηθούμενο ζευγάρι</w:t>
      </w:r>
      <w:r w:rsidR="00345446">
        <w:t>», αλλά και όταν «</w:t>
      </w:r>
      <w:r w:rsidR="00345446" w:rsidRPr="00345446">
        <w:rPr>
          <w:i/>
        </w:rPr>
        <w:t>το ζευγάρι, πλήρως ενημερωμένο κατ’ εφαρμογή του άρθρου L. 2141-10, παραιτείται από κάθε προσπάθεια ιατρικά υποβοηθούμενης αναπαραγωγής με δικό του γεννητικό υλικό</w:t>
      </w:r>
      <w:r w:rsidR="00345446">
        <w:t>».</w:t>
      </w:r>
      <w:r w:rsidR="00947E4F">
        <w:t xml:space="preserve"> Με την εν λόγω ρύθμιση, παρέχεται ουσιαστικά η δυνατότητα στα ζευγάρια να</w:t>
      </w:r>
      <w:r w:rsidR="007A5A32">
        <w:t xml:space="preserve"> προσφύγουν σε τρίτο δότη, ακόμη κι όταν</w:t>
      </w:r>
      <w:r w:rsidR="00947E4F">
        <w:t xml:space="preserve"> η «ενδο</w:t>
      </w:r>
      <w:r w:rsidR="00AB4962">
        <w:t>-συζυγι</w:t>
      </w:r>
      <w:r w:rsidR="00947E4F">
        <w:t>κή»</w:t>
      </w:r>
      <w:r w:rsidR="007A5A32">
        <w:t xml:space="preserve"> (ομόλογη)</w:t>
      </w:r>
      <w:r w:rsidR="00947E4F">
        <w:t xml:space="preserve"> αναπαραγωγή είναι δυνατή, εφόσον οι πιθανότητες επιτυχίας της είναι πολύ ισχνές ή η ασφάλειά της είναι αμφισβητήσιμη. </w:t>
      </w:r>
      <w:r w:rsidR="003B187A">
        <w:t xml:space="preserve">Η ομόλογη άρα αναπαραγωγή δεν </w:t>
      </w:r>
      <w:r w:rsidR="00201D05">
        <w:t>αποτελεί τελικά</w:t>
      </w:r>
      <w:r w:rsidR="003B187A">
        <w:t xml:space="preserve"> παρά μια δυνατότητα που προσφέρεται στο ζευγάρι, από την οποία τα υποβοηθούμενα πρόσωπα μπορούν αν το θελήσουν να παραιτηθούν. </w:t>
      </w:r>
    </w:p>
    <w:p w14:paraId="13406028" w14:textId="35C140BD" w:rsidR="00201D05" w:rsidRDefault="00201D05" w:rsidP="00345446">
      <w:r>
        <w:t>Η ιατρικά υποβοηθούμενη αναπαραγ</w:t>
      </w:r>
      <w:r w:rsidR="00A65FB0">
        <w:t>ωγή με τ</w:t>
      </w:r>
      <w:r w:rsidR="007A5A32">
        <w:t xml:space="preserve">ρίτο δότη περιλαμβάνει </w:t>
      </w:r>
      <w:r w:rsidR="00A65FB0">
        <w:t xml:space="preserve">την αναπαραγωγή με </w:t>
      </w:r>
      <w:r>
        <w:t xml:space="preserve">δωρεά </w:t>
      </w:r>
      <w:r w:rsidR="00A65FB0">
        <w:t>γεννητικού υλικού</w:t>
      </w:r>
      <w:r w:rsidR="00BA0F1C">
        <w:t xml:space="preserve"> (</w:t>
      </w:r>
      <w:r w:rsidR="00BA0F1C">
        <w:rPr>
          <w:lang w:val="en-US"/>
        </w:rPr>
        <w:t>i</w:t>
      </w:r>
      <w:r w:rsidR="007A5A32">
        <w:t xml:space="preserve">) και </w:t>
      </w:r>
      <w:r>
        <w:t>τη</w:t>
      </w:r>
      <w:r w:rsidR="00A65FB0">
        <w:t>ν αναπαραγωγή με</w:t>
      </w:r>
      <w:r>
        <w:t xml:space="preserve"> </w:t>
      </w:r>
      <w:r w:rsidR="00A65FB0">
        <w:t>δωρεά εμβρύων</w:t>
      </w:r>
      <w:r w:rsidR="00BA0F1C">
        <w:t xml:space="preserve"> (ii</w:t>
      </w:r>
      <w:r w:rsidR="007A5A32">
        <w:t>)</w:t>
      </w:r>
      <w:r w:rsidR="00A65FB0">
        <w:t xml:space="preserve">. </w:t>
      </w:r>
    </w:p>
    <w:p w14:paraId="27B5A830" w14:textId="365DFB05" w:rsidR="00A65FB0" w:rsidRDefault="00BA0F1C" w:rsidP="00BA0F1C">
      <w:pPr>
        <w:pStyle w:val="Heading5"/>
      </w:pPr>
      <w:r>
        <w:rPr>
          <w:lang w:val="en-US"/>
        </w:rPr>
        <w:t>i</w:t>
      </w:r>
      <w:r w:rsidR="00A65FB0">
        <w:rPr>
          <w:lang w:val="en-US"/>
        </w:rPr>
        <w:t>.</w:t>
      </w:r>
      <w:r w:rsidR="00A65FB0">
        <w:t xml:space="preserve"> Δωρεά γεννητικού υλικού </w:t>
      </w:r>
    </w:p>
    <w:p w14:paraId="7F02021D" w14:textId="77777777" w:rsidR="00E83AC1" w:rsidRDefault="00A65FB0" w:rsidP="00E83AC1">
      <w:r>
        <w:t>Η δωρεά γεννητικού υλικού περιλαμβάνει τη δωρεά τόσο σπέρματος, όσο και ωαρίων. Ωστόσο, είναι αναγκαίο να επισημανθεί ότι η τεχνική της αναπαραγωγής με δωρεά ωαρίων εφαρμόζεται αρκετά σπάνια για διάφορους λόγους, ιατρικής φύσης κυρίως, που σχετίζονται με την ανεπαρκή αξιοπιστία της τεχνικής και τους κινδύνους για την ασφάλεια της υποβοηθούμενης γυναίκας</w:t>
      </w:r>
      <w:r>
        <w:rPr>
          <w:rStyle w:val="FootnoteReference"/>
        </w:rPr>
        <w:footnoteReference w:id="202"/>
      </w:r>
      <w:r>
        <w:t xml:space="preserve">. </w:t>
      </w:r>
      <w:r w:rsidR="00E83AC1">
        <w:t>Για το λόγο αυτό, λοιπόν, προκειμένου να προωθήσει τη δωρεά γαμετών, ο Νόμος της 7</w:t>
      </w:r>
      <w:r w:rsidR="00E83AC1" w:rsidRPr="00E83AC1">
        <w:rPr>
          <w:vertAlign w:val="superscript"/>
        </w:rPr>
        <w:t>ης</w:t>
      </w:r>
      <w:r w:rsidR="00E83AC1">
        <w:t xml:space="preserve"> Ιουλίου 2011 ρυθμίζει τη σχετική παροχή πληροφόρησης των ασθενών από τους θεράποντες ιατρούς και γυναικολόγους (άρθρο </w:t>
      </w:r>
      <w:r w:rsidR="00E83AC1">
        <w:rPr>
          <w:lang w:val="en-US"/>
        </w:rPr>
        <w:t xml:space="preserve">L. 1244-1 </w:t>
      </w:r>
      <w:r w:rsidR="00E83AC1">
        <w:t xml:space="preserve">και 2 ΚΔΥ) </w:t>
      </w:r>
      <w:r w:rsidR="00E83AC1">
        <w:lastRenderedPageBreak/>
        <w:t xml:space="preserve">και προβλέπει τη δυνατότητα άδειας σε όφελος της μισθωτής-δότριας ωαρίων (άρθρο </w:t>
      </w:r>
      <w:r w:rsidR="009B71E7">
        <w:rPr>
          <w:lang w:val="en-US"/>
        </w:rPr>
        <w:t>L. 1244-5</w:t>
      </w:r>
      <w:r w:rsidR="00E83AC1">
        <w:rPr>
          <w:lang w:val="en-US"/>
        </w:rPr>
        <w:t xml:space="preserve"> </w:t>
      </w:r>
      <w:r w:rsidR="00E83AC1">
        <w:t>ΚΔΥ).</w:t>
      </w:r>
      <w:r w:rsidR="00A05575">
        <w:t xml:space="preserve"> Επιτρέπει επίσης ρητά την </w:t>
      </w:r>
      <w:r w:rsidR="00E83AC1">
        <w:t xml:space="preserve">ταχεία </w:t>
      </w:r>
      <w:r w:rsidR="00701D63">
        <w:t>κρυο</w:t>
      </w:r>
      <w:r w:rsidR="00E83AC1">
        <w:t xml:space="preserve">συντήρηση </w:t>
      </w:r>
      <w:r w:rsidR="00C541EB">
        <w:t xml:space="preserve">(υαλοποίηση) </w:t>
      </w:r>
      <w:r w:rsidR="00E83AC1">
        <w:t>των ωαρίων</w:t>
      </w:r>
      <w:r w:rsidR="00E83AC1">
        <w:rPr>
          <w:rStyle w:val="FootnoteReference"/>
        </w:rPr>
        <w:footnoteReference w:id="203"/>
      </w:r>
      <w:r w:rsidR="00E83AC1">
        <w:t xml:space="preserve">. </w:t>
      </w:r>
    </w:p>
    <w:p w14:paraId="0B181A16" w14:textId="5A859F47" w:rsidR="00B35D39" w:rsidRDefault="009B71E7" w:rsidP="00E83AC1">
      <w:r>
        <w:t xml:space="preserve">Η δωρεά γαμετών υπόκειται στη </w:t>
      </w:r>
      <w:r w:rsidR="009C1323">
        <w:t xml:space="preserve">συνδρομή διαφόρων προϋποθέσεων. </w:t>
      </w:r>
      <w:r w:rsidR="00287551">
        <w:t xml:space="preserve">Πρέπει, </w:t>
      </w:r>
      <w:r>
        <w:t>καταρχ</w:t>
      </w:r>
      <w:r w:rsidR="00287551">
        <w:t xml:space="preserve">άς, </w:t>
      </w:r>
      <w:r>
        <w:t>να πληροί τους όρους που θέτουν οι διατάξεις των άρθρων 16 και επ. ΑΚ</w:t>
      </w:r>
      <w:r w:rsidR="009C1323">
        <w:t xml:space="preserve"> σχετικά με το σεβασμό του </w:t>
      </w:r>
      <w:r w:rsidR="00653769">
        <w:t>ανθρωπίνου</w:t>
      </w:r>
      <w:r w:rsidR="009C1323">
        <w:t xml:space="preserve"> σώματος. Πρέπει επίσης να συνάδει με τις διατάξεις των άρθρων </w:t>
      </w:r>
      <w:r w:rsidR="009C1323">
        <w:rPr>
          <w:lang w:val="en-US"/>
        </w:rPr>
        <w:t xml:space="preserve">L. 1211-1 </w:t>
      </w:r>
      <w:r w:rsidR="009C1323">
        <w:t xml:space="preserve">και επ. ΚΔΥ σχετικά με τη δωρεά και τη χρήση των στοιχείων και προϊόντων του </w:t>
      </w:r>
      <w:r w:rsidR="00653769">
        <w:t>ανθρωπίνου</w:t>
      </w:r>
      <w:r w:rsidR="009C1323">
        <w:t xml:space="preserve"> σώματος. Κυρίως όμως πρέπει να είναι σύμφωνη με τις διατάξεις των άρθρων </w:t>
      </w:r>
      <w:r w:rsidR="009C1323">
        <w:rPr>
          <w:lang w:val="en-US"/>
        </w:rPr>
        <w:t xml:space="preserve">L. 1244-1 </w:t>
      </w:r>
      <w:r w:rsidR="009C1323">
        <w:t xml:space="preserve">και επ. ΚΔΥ, οι οποίες διέπουν ειδικότερα τη δωρεά και τη χρήση των γαμετών. </w:t>
      </w:r>
    </w:p>
    <w:p w14:paraId="36AD61BC" w14:textId="77777777" w:rsidR="009B71E7" w:rsidRDefault="009C1323" w:rsidP="00E83AC1">
      <w:r>
        <w:t>Από τις ανωτέρω διατάξεις προκύπτουν οι ακόλουθες απαιτήσεις</w:t>
      </w:r>
      <w:r w:rsidR="001A75DF">
        <w:t xml:space="preserve"> σχετικά με την</w:t>
      </w:r>
      <w:r>
        <w:t>:</w:t>
      </w:r>
    </w:p>
    <w:p w14:paraId="348B356D" w14:textId="77777777" w:rsidR="009C1323" w:rsidRPr="009C1323" w:rsidRDefault="001A75DF" w:rsidP="00E83AC1">
      <w:pPr>
        <w:rPr>
          <w:b/>
        </w:rPr>
      </w:pPr>
      <w:r>
        <w:rPr>
          <w:b/>
        </w:rPr>
        <w:t>1/ Υγειονομική ασφάλεια:</w:t>
      </w:r>
      <w:r w:rsidR="009C1323" w:rsidRPr="009C1323">
        <w:rPr>
          <w:b/>
        </w:rPr>
        <w:t xml:space="preserve"> </w:t>
      </w:r>
    </w:p>
    <w:p w14:paraId="5B8D5F0D" w14:textId="77777777" w:rsidR="009C1323" w:rsidRDefault="009C1323" w:rsidP="009C1323">
      <w:r>
        <w:t xml:space="preserve">Ο Κώδικας Δημόσιας Υγείας </w:t>
      </w:r>
      <w:r w:rsidR="00B7009D" w:rsidRPr="00B35D39">
        <w:rPr>
          <w:b/>
        </w:rPr>
        <w:t>επιβάλλει το σεβασμό των κανόνων υγειονομικής ασφάλεια</w:t>
      </w:r>
      <w:r w:rsidR="00B35D39">
        <w:rPr>
          <w:b/>
        </w:rPr>
        <w:t xml:space="preserve">, </w:t>
      </w:r>
      <w:r w:rsidR="00B7009D">
        <w:t xml:space="preserve"> όπως αυτοί ορίζονται στο διάταγμα του Συμβουλίου της Επικρατείας (άρθρο </w:t>
      </w:r>
      <w:r w:rsidR="00B7009D">
        <w:rPr>
          <w:lang w:val="en-US"/>
        </w:rPr>
        <w:t xml:space="preserve">L. 2141-12 </w:t>
      </w:r>
      <w:r w:rsidR="00B7009D">
        <w:t xml:space="preserve">ΚΔΥ), ιδίως των κανόνων που αφορούν στη διάγνωση μεταδιδόμενων ασθενειών, </w:t>
      </w:r>
      <w:r w:rsidR="00B7009D" w:rsidRPr="00007B9E">
        <w:rPr>
          <w:b/>
        </w:rPr>
        <w:t>απαγορεύει την τεχνητή γονιμοποίηση με νωπό σπέρμα ή μείγμα σπέρματος</w:t>
      </w:r>
      <w:r w:rsidR="00B7009D">
        <w:t xml:space="preserve"> (</w:t>
      </w:r>
      <w:r w:rsidR="00B7009D">
        <w:rPr>
          <w:lang w:val="en-US"/>
        </w:rPr>
        <w:t xml:space="preserve">L. </w:t>
      </w:r>
      <w:r w:rsidR="00B7009D">
        <w:t>1244-3 ΚΔΥ), δεδομένου ότι οι τεχνικές αυτές επιτρέπουν την καταστρατήγηση άλλων βασικών αρχών που θέτει ο νομοθέτης</w:t>
      </w:r>
      <w:r w:rsidR="00CA567F">
        <w:rPr>
          <w:rStyle w:val="FootnoteReference"/>
        </w:rPr>
        <w:footnoteReference w:id="204"/>
      </w:r>
      <w:r w:rsidR="00B7009D">
        <w:t xml:space="preserve"> και </w:t>
      </w:r>
      <w:r w:rsidR="00B7009D" w:rsidRPr="00007B9E">
        <w:rPr>
          <w:b/>
        </w:rPr>
        <w:t>περιορίζει σε δέκα</w:t>
      </w:r>
      <w:r w:rsidR="00B7009D">
        <w:t xml:space="preserve"> (πέντε ήταν πριν την αναθεώρηση της 6</w:t>
      </w:r>
      <w:r w:rsidR="00B7009D" w:rsidRPr="00B7009D">
        <w:rPr>
          <w:vertAlign w:val="superscript"/>
        </w:rPr>
        <w:t>ης</w:t>
      </w:r>
      <w:r w:rsidR="00B7009D">
        <w:t xml:space="preserve"> Αυγούστου 2004) </w:t>
      </w:r>
      <w:r w:rsidR="00B7009D" w:rsidRPr="00007B9E">
        <w:rPr>
          <w:b/>
        </w:rPr>
        <w:t xml:space="preserve">τα τέκνα που προκύπτουν </w:t>
      </w:r>
      <w:r w:rsidR="00007B9E" w:rsidRPr="00007B9E">
        <w:rPr>
          <w:b/>
        </w:rPr>
        <w:t xml:space="preserve">«εκούσια» </w:t>
      </w:r>
      <w:r w:rsidR="00B7009D" w:rsidRPr="00007B9E">
        <w:rPr>
          <w:b/>
        </w:rPr>
        <w:t>από τους γαμέτες του ίδιου δότη</w:t>
      </w:r>
      <w:r w:rsidR="00B7009D">
        <w:t xml:space="preserve"> (άρθρο </w:t>
      </w:r>
      <w:r w:rsidR="00B7009D">
        <w:rPr>
          <w:lang w:val="en-US"/>
        </w:rPr>
        <w:t xml:space="preserve">L. </w:t>
      </w:r>
      <w:r w:rsidR="00B35D39">
        <w:t>1244-4 ΚΔΥ)</w:t>
      </w:r>
      <w:r w:rsidR="00B7009D">
        <w:t xml:space="preserve">. </w:t>
      </w:r>
    </w:p>
    <w:p w14:paraId="234E60BD" w14:textId="62730D64" w:rsidR="002C5DED" w:rsidRPr="008D4297" w:rsidRDefault="008D4297" w:rsidP="0004032C">
      <w:pPr>
        <w:rPr>
          <w:lang w:val="en-US" w:eastAsia="en-US"/>
        </w:rPr>
      </w:pPr>
      <w:r>
        <w:t xml:space="preserve">Ειδικότερα, σε ό,τι αφορά στις </w:t>
      </w:r>
      <w:r w:rsidRPr="0004032C">
        <w:rPr>
          <w:b/>
        </w:rPr>
        <w:t>υποψήφιες δότριες ωαρίων</w:t>
      </w:r>
      <w:r>
        <w:t xml:space="preserve">, ο νομοθέτης ορίζει ότι πρέπει να είναι ενήλικες, </w:t>
      </w:r>
      <w:r w:rsidR="0004032C">
        <w:t>κάτω των τριάντα επτά (37) ετών και</w:t>
      </w:r>
      <w:r>
        <w:t xml:space="preserve"> </w:t>
      </w:r>
      <w:r w:rsidR="0004032C">
        <w:t>να έχουν ικανοποιητικά καλή υγεία γεγονός το οποίο θα προκύπτει από τα αποτελέσματα των ιατρικών εξετάσεων στις οποίες υποβάλλονται</w:t>
      </w:r>
      <w:r w:rsidR="00B26AB4">
        <w:rPr>
          <w:rStyle w:val="FootnoteReference"/>
        </w:rPr>
        <w:footnoteReference w:id="205"/>
      </w:r>
      <w:r w:rsidR="0004032C">
        <w:t xml:space="preserve">. </w:t>
      </w:r>
    </w:p>
    <w:p w14:paraId="5984685D" w14:textId="77777777" w:rsidR="009C1323" w:rsidRDefault="001A75DF" w:rsidP="00E83AC1">
      <w:pPr>
        <w:rPr>
          <w:b/>
        </w:rPr>
      </w:pPr>
      <w:r>
        <w:rPr>
          <w:b/>
        </w:rPr>
        <w:t>2/ Αναπαραγωγή:</w:t>
      </w:r>
    </w:p>
    <w:p w14:paraId="47A48E2D" w14:textId="77777777" w:rsidR="00A63547" w:rsidRPr="00B17E89" w:rsidRDefault="00B17E89" w:rsidP="00A63547">
      <w:r>
        <w:t xml:space="preserve">Σύμφωνα με το άρθρο </w:t>
      </w:r>
      <w:r>
        <w:rPr>
          <w:lang w:val="en-US"/>
        </w:rPr>
        <w:t xml:space="preserve">L. 1244-2, παρ. 1, </w:t>
      </w:r>
      <w:r>
        <w:t>ΚΔΥ, ο δότης πρέπει να έχει ήδη τεκνοποιήσει. Ωστόσο, ο Νόμος της 7</w:t>
      </w:r>
      <w:r w:rsidRPr="00B17E89">
        <w:rPr>
          <w:vertAlign w:val="superscript"/>
        </w:rPr>
        <w:t>ης</w:t>
      </w:r>
      <w:r>
        <w:t xml:space="preserve"> Ιουλίου 2011 χαλάρωσε την απαίτηση αυτή του νομοθέτη, ορίζοντας ότι </w:t>
      </w:r>
      <w:r w:rsidRPr="00556F21">
        <w:rPr>
          <w:b/>
        </w:rPr>
        <w:t>εφόσον ο δότης είν</w:t>
      </w:r>
      <w:r w:rsidR="00E219EE">
        <w:rPr>
          <w:b/>
        </w:rPr>
        <w:t xml:space="preserve">αι ενήλικος, δε χρειάζεται να έχει ήδη </w:t>
      </w:r>
      <w:r w:rsidRPr="00556F21">
        <w:rPr>
          <w:b/>
        </w:rPr>
        <w:t>αποκτήσει τέκνα</w:t>
      </w:r>
      <w:r>
        <w:t xml:space="preserve">. Στην περίπτωση αυτή, μάλιστα, </w:t>
      </w:r>
      <w:r w:rsidR="00E219EE">
        <w:t xml:space="preserve">στο δότη προτείνονται </w:t>
      </w:r>
      <w:r>
        <w:t xml:space="preserve">η λήψη και συντήρηση του γεννητικού του υλικού με σκοπό τη μεταγενέστερη χρήση του από τον ίδιο. Πρόταση την οποία ασφαλώς μπορεί να απορρίψει, αν επιθυμεί να συνεχίσει με τη δωρεά υπέρ τρίτου (άρθρο </w:t>
      </w:r>
      <w:r>
        <w:rPr>
          <w:lang w:val="en-US"/>
        </w:rPr>
        <w:t>L. 1244-2,</w:t>
      </w:r>
      <w:r>
        <w:t xml:space="preserve"> παρ. 3, ΚΔΥ). </w:t>
      </w:r>
    </w:p>
    <w:p w14:paraId="0EEF3EC0" w14:textId="77777777" w:rsidR="009C1323" w:rsidRDefault="001A75DF" w:rsidP="00E83AC1">
      <w:pPr>
        <w:rPr>
          <w:b/>
        </w:rPr>
      </w:pPr>
      <w:r>
        <w:rPr>
          <w:b/>
        </w:rPr>
        <w:t>3/ Συναίνεση:</w:t>
      </w:r>
      <w:r w:rsidR="009C1323" w:rsidRPr="009C1323">
        <w:rPr>
          <w:b/>
        </w:rPr>
        <w:t xml:space="preserve"> </w:t>
      </w:r>
    </w:p>
    <w:p w14:paraId="0B46FC88" w14:textId="77777777" w:rsidR="001A75DF" w:rsidRDefault="002F1857" w:rsidP="001A75DF">
      <w:r>
        <w:lastRenderedPageBreak/>
        <w:t xml:space="preserve">Η δωρεά γεννητικού υλικού προϋποθέτει τη </w:t>
      </w:r>
      <w:r w:rsidRPr="00556F21">
        <w:rPr>
          <w:b/>
        </w:rPr>
        <w:t>συναίνεση του δότη, εγγράφως και δυνάμενη να ανακληθεί «</w:t>
      </w:r>
      <w:r w:rsidRPr="00556F21">
        <w:rPr>
          <w:b/>
          <w:i/>
        </w:rPr>
        <w:t>ανά πάσα στιγμή έως τη χρήση των γαμετών</w:t>
      </w:r>
      <w:r w:rsidRPr="00556F21">
        <w:rPr>
          <w:b/>
        </w:rPr>
        <w:t>»</w:t>
      </w:r>
      <w:r w:rsidR="00A4406C">
        <w:t xml:space="preserve"> (άρθρο </w:t>
      </w:r>
      <w:r w:rsidR="00A4406C">
        <w:rPr>
          <w:lang w:val="en-US"/>
        </w:rPr>
        <w:t>L. 1244-2</w:t>
      </w:r>
      <w:r w:rsidR="00A4406C">
        <w:t>, παρ. 1, ΚΔΥ)</w:t>
      </w:r>
      <w:r>
        <w:t xml:space="preserve">. </w:t>
      </w:r>
    </w:p>
    <w:p w14:paraId="3D52AA66" w14:textId="77777777" w:rsidR="00162BF2" w:rsidRDefault="002F1857" w:rsidP="001A75DF">
      <w:r>
        <w:t xml:space="preserve">Οι διατάξεις σχετικά με τη λήψη ιστών, κυττάρων και προϊόντων </w:t>
      </w:r>
      <w:r w:rsidR="00162BF2">
        <w:t>μπορούσαν να οδηγήσουν στον αποκλεισμό από τη δωρεά ενός ανηλίκου δότη ή ενηλίκου υπό κηδεμονία. Ο Νόμος της 7</w:t>
      </w:r>
      <w:r w:rsidR="00162BF2" w:rsidRPr="00162BF2">
        <w:rPr>
          <w:vertAlign w:val="superscript"/>
        </w:rPr>
        <w:t>ης</w:t>
      </w:r>
      <w:r w:rsidR="00E219EE">
        <w:t xml:space="preserve"> Ιουλίου 2011, προβλέπει, όπως προαναφέρθηκε,</w:t>
      </w:r>
      <w:r w:rsidR="00162BF2">
        <w:t xml:space="preserve"> ότι ο δότη</w:t>
      </w:r>
      <w:r w:rsidR="00A4406C">
        <w:t>ς</w:t>
      </w:r>
      <w:r w:rsidR="00162BF2">
        <w:t xml:space="preserve"> μπορ</w:t>
      </w:r>
      <w:r w:rsidR="00E219EE">
        <w:t>εί</w:t>
      </w:r>
      <w:r w:rsidR="00162BF2">
        <w:t xml:space="preserve"> να μην έχει αποκτήσει τέκνα, </w:t>
      </w:r>
      <w:r w:rsidR="00E219EE">
        <w:t xml:space="preserve">αρκεί να </w:t>
      </w:r>
      <w:r w:rsidR="00162BF2" w:rsidRPr="00E219EE">
        <w:t>είναι ενήλικος</w:t>
      </w:r>
      <w:r w:rsidR="00E219EE">
        <w:t>. Αφήνει έτσι να εννοηθεί ότι και ανήλικο πρόσωπο</w:t>
      </w:r>
      <w:r w:rsidR="00162BF2">
        <w:t xml:space="preserve"> μπορεί να δωρήσει το γεννητικό του υλικό, υπό τον όρο ότι έχει</w:t>
      </w:r>
      <w:r w:rsidR="00E219EE">
        <w:t xml:space="preserve"> ήδη</w:t>
      </w:r>
      <w:r w:rsidR="00162BF2">
        <w:t xml:space="preserve"> τεκνοποιήσει. </w:t>
      </w:r>
    </w:p>
    <w:p w14:paraId="275FDF5A" w14:textId="77777777" w:rsidR="002F1857" w:rsidRPr="009C1323" w:rsidRDefault="00162BF2" w:rsidP="001A75DF">
      <w:r>
        <w:t xml:space="preserve">Εάν ο δότης δεν είναι εργένης, το έτερο μέλος του ζευγαριού πρέπει επίσης να συναινεί στη δωρεά (άρθρο </w:t>
      </w:r>
      <w:r>
        <w:rPr>
          <w:lang w:val="en-US"/>
        </w:rPr>
        <w:t>L. 1244-2</w:t>
      </w:r>
      <w:r w:rsidR="00A4406C">
        <w:rPr>
          <w:lang w:val="en-US"/>
        </w:rPr>
        <w:t>, παρ. 1,</w:t>
      </w:r>
      <w:r>
        <w:rPr>
          <w:lang w:val="en-US"/>
        </w:rPr>
        <w:t xml:space="preserve"> </w:t>
      </w:r>
      <w:r>
        <w:t>ΚΔΥ)</w:t>
      </w:r>
      <w:r>
        <w:rPr>
          <w:rStyle w:val="FootnoteReference"/>
        </w:rPr>
        <w:footnoteReference w:id="206"/>
      </w:r>
      <w:r>
        <w:t xml:space="preserve">. </w:t>
      </w:r>
      <w:r w:rsidR="00A4406C">
        <w:t xml:space="preserve">Τη συναίνεσή τους παρέχουν επίσης και τα δύο υποβοηθούμενα πρόσωπα του ζευγαριού που λαμβάνει το έμβρυο (άρθρο </w:t>
      </w:r>
      <w:r w:rsidR="00A4406C">
        <w:rPr>
          <w:lang w:val="en-US"/>
        </w:rPr>
        <w:t>L. 1244-2</w:t>
      </w:r>
      <w:r w:rsidR="00A4406C">
        <w:t xml:space="preserve">, παρ. 2, ΚΔΥ). </w:t>
      </w:r>
      <w:r>
        <w:t>Επίσης, ο Νόμος της 6</w:t>
      </w:r>
      <w:r w:rsidRPr="00162BF2">
        <w:rPr>
          <w:vertAlign w:val="superscript"/>
        </w:rPr>
        <w:t>ης</w:t>
      </w:r>
      <w:r>
        <w:t xml:space="preserve"> Αυγούστου 2004 επιβάλει την παροχή ειδικής πληροφόρησης στη δότρια ωαρίων (άρθρο </w:t>
      </w:r>
      <w:r>
        <w:rPr>
          <w:lang w:val="en-US"/>
        </w:rPr>
        <w:t xml:space="preserve">L. </w:t>
      </w:r>
      <w:r>
        <w:t xml:space="preserve">1244-7, παρ. 2, ΚΔΥ). </w:t>
      </w:r>
    </w:p>
    <w:p w14:paraId="2408406F" w14:textId="77777777" w:rsidR="009C1323" w:rsidRDefault="001A75DF" w:rsidP="00E83AC1">
      <w:pPr>
        <w:rPr>
          <w:b/>
        </w:rPr>
      </w:pPr>
      <w:r>
        <w:rPr>
          <w:b/>
        </w:rPr>
        <w:t>4/ Έλλειψη οικονομικού ανταλλάγματος:</w:t>
      </w:r>
    </w:p>
    <w:p w14:paraId="6B9CB9C3" w14:textId="77777777" w:rsidR="001A75DF" w:rsidRPr="009C1323" w:rsidRDefault="00545666" w:rsidP="00545666">
      <w:r>
        <w:t xml:space="preserve">Όπως αφήνει να εννοηθεί ο όρος «δωρεά» ή «δότης» (άρθρα </w:t>
      </w:r>
      <w:r>
        <w:rPr>
          <w:lang w:val="en-US"/>
        </w:rPr>
        <w:t>L. 1244-1, L. 2144-6</w:t>
      </w:r>
      <w:r w:rsidR="009336DE">
        <w:t>, παρ.5,</w:t>
      </w:r>
      <w:r w:rsidR="0057632D">
        <w:rPr>
          <w:lang w:val="en-US"/>
        </w:rPr>
        <w:t xml:space="preserve"> ΚΔΥ</w:t>
      </w:r>
      <w:r>
        <w:t xml:space="preserve">) και όπως το υπαγορεύει η γενικότερη </w:t>
      </w:r>
      <w:r w:rsidRPr="00556F21">
        <w:rPr>
          <w:b/>
        </w:rPr>
        <w:t>αρχή της απουσίας κάθε οικονομικού ανταλλάγματος</w:t>
      </w:r>
      <w:r>
        <w:t xml:space="preserve"> (άρθρα </w:t>
      </w:r>
      <w:r w:rsidR="0057632D">
        <w:t>16-6 ΑΚ και L. 1211-4 ΚΔΥ</w:t>
      </w:r>
      <w:r>
        <w:t>)</w:t>
      </w:r>
      <w:r w:rsidR="0057632D">
        <w:t xml:space="preserve">, η δωρεά γεννητικού υλικού δε γίνεται έναντι οικονομικού ανταλλάγματος. Η απαγόρευση αυτή αποσκοπεί, σύμφωνα με το νομοθέτη, στην αποτροπή πρακτικών που θα είχαν ως αποτέλεσμα την εμπορευματοποίηση του </w:t>
      </w:r>
      <w:r w:rsidR="00653769">
        <w:t>ανθρωπίνου</w:t>
      </w:r>
      <w:r w:rsidR="0057632D">
        <w:t xml:space="preserve"> σώματος και του </w:t>
      </w:r>
      <w:r w:rsidR="00653769">
        <w:t>ανθρωπίνου</w:t>
      </w:r>
      <w:r w:rsidR="0057632D">
        <w:t xml:space="preserve"> είδους. </w:t>
      </w:r>
    </w:p>
    <w:p w14:paraId="768F6D11" w14:textId="77777777" w:rsidR="009C1323" w:rsidRPr="009C1323" w:rsidRDefault="001A75DF" w:rsidP="00E83AC1">
      <w:r>
        <w:rPr>
          <w:b/>
        </w:rPr>
        <w:t>5/ Ανωνυμία:</w:t>
      </w:r>
      <w:r w:rsidR="009C1323">
        <w:t xml:space="preserve"> </w:t>
      </w:r>
    </w:p>
    <w:p w14:paraId="77580F7F" w14:textId="77777777" w:rsidR="00E21D82" w:rsidRDefault="00453AA7" w:rsidP="009834A2">
      <w:r>
        <w:t xml:space="preserve">Η </w:t>
      </w:r>
      <w:r w:rsidRPr="00187219">
        <w:rPr>
          <w:b/>
        </w:rPr>
        <w:t>αρχή της ανωνυμίας του δότη και του λήπτη</w:t>
      </w:r>
      <w:r>
        <w:t xml:space="preserve"> </w:t>
      </w:r>
      <w:r w:rsidR="004539D1">
        <w:t xml:space="preserve">κατοχυρώνεται από διάφορα νομοθετικά κείμενα στη Γαλλία (άρθρο 16-8 ΑΚ, </w:t>
      </w:r>
      <w:r w:rsidR="004539D1">
        <w:rPr>
          <w:lang w:val="en-US"/>
        </w:rPr>
        <w:t xml:space="preserve">L. 1211-5 και L. 1244-7 </w:t>
      </w:r>
      <w:r w:rsidR="004539D1">
        <w:t>ΚΔΥ)</w:t>
      </w:r>
      <w:r w:rsidR="00377A65">
        <w:t xml:space="preserve">. </w:t>
      </w:r>
    </w:p>
    <w:p w14:paraId="085771C0" w14:textId="77777777" w:rsidR="00E92107" w:rsidRDefault="00E21D82" w:rsidP="00E92107">
      <w:r>
        <w:t xml:space="preserve">Ειδικότερα, για την προστασία του δότη του γεννητικού υλικού, το </w:t>
      </w:r>
      <w:r w:rsidRPr="00A5572D">
        <w:rPr>
          <w:b/>
        </w:rPr>
        <w:t xml:space="preserve">άρθρο </w:t>
      </w:r>
      <w:r w:rsidR="00A5572D" w:rsidRPr="00A5572D">
        <w:rPr>
          <w:b/>
          <w:lang w:val="en-US"/>
        </w:rPr>
        <w:t>L.</w:t>
      </w:r>
      <w:r w:rsidRPr="00A5572D">
        <w:rPr>
          <w:b/>
          <w:lang w:val="en-US"/>
        </w:rPr>
        <w:t xml:space="preserve"> 1244-7</w:t>
      </w:r>
      <w:r w:rsidR="00A5572D" w:rsidRPr="00A5572D">
        <w:rPr>
          <w:b/>
          <w:lang w:val="en-US"/>
        </w:rPr>
        <w:t>, παρ. 1,</w:t>
      </w:r>
      <w:r w:rsidRPr="00A5572D">
        <w:rPr>
          <w:b/>
          <w:lang w:val="en-US"/>
        </w:rPr>
        <w:t xml:space="preserve"> </w:t>
      </w:r>
      <w:r w:rsidRPr="00A5572D">
        <w:rPr>
          <w:b/>
        </w:rPr>
        <w:t>ΚΔΥ</w:t>
      </w:r>
      <w:r w:rsidR="00A5572D">
        <w:t xml:space="preserve"> απαγορεύει την εξάρτηση της δωρεάς των γαμετών «</w:t>
      </w:r>
      <w:r w:rsidR="007B4531" w:rsidRPr="00A5572D">
        <w:rPr>
          <w:i/>
        </w:rPr>
        <w:t>από τον ορισμό από το ζευγάρι που θα λάβει τους γαμέτες ενός προσώπου που έχει δεχθεί να προβεί σε μια τέτοια δωρεά προς όφελος ενός τρίτου ανώνυμου ζευγαριού</w:t>
      </w:r>
      <w:r w:rsidR="00A5572D">
        <w:t>», επιβάλλοντας μάλιστα αυστηρές κυρώσεις σε περίπτωση παράβασης των σχετικών διατάξεων. Ειδικότερα, δ</w:t>
      </w:r>
      <w:r w:rsidR="00E92107">
        <w:rPr>
          <w:rFonts w:eastAsia="Calibri"/>
          <w:lang w:eastAsia="en-US"/>
        </w:rPr>
        <w:t xml:space="preserve">υνάμει των διατάξεων του </w:t>
      </w:r>
      <w:r w:rsidR="00E92107" w:rsidRPr="002041EA">
        <w:rPr>
          <w:rFonts w:eastAsia="Calibri"/>
          <w:b/>
          <w:lang w:eastAsia="en-US"/>
        </w:rPr>
        <w:t xml:space="preserve">άρθρου </w:t>
      </w:r>
      <w:r w:rsidR="00E92107" w:rsidRPr="002041EA">
        <w:rPr>
          <w:b/>
        </w:rPr>
        <w:t>L. 1273-</w:t>
      </w:r>
      <w:r w:rsidR="00E92107">
        <w:rPr>
          <w:b/>
        </w:rPr>
        <w:t>6</w:t>
      </w:r>
      <w:r w:rsidR="00E92107" w:rsidRPr="002041EA">
        <w:rPr>
          <w:b/>
        </w:rPr>
        <w:t xml:space="preserve"> </w:t>
      </w:r>
      <w:r w:rsidR="00A5572D">
        <w:rPr>
          <w:b/>
        </w:rPr>
        <w:t>ΚΔΥ</w:t>
      </w:r>
      <w:r w:rsidR="00E92107">
        <w:t>, εφαρμόζεται το άρθρο 511-13 ΠΚ, σύμφωνα με το οποίο «</w:t>
      </w:r>
      <w:r w:rsidR="00E92107" w:rsidRPr="00A5572D">
        <w:rPr>
          <w:i/>
        </w:rPr>
        <w:t xml:space="preserve">η εξάρτηση της δωρεάς γαμετών από τον ορισμό από το ζευγάρι που θα λάβει τους γαμέτες ενός προσώπου που έχει δεχθεί να προβεί σε μια τέτοια δωρεά προς όφελος ενός τρίτου ανώνυμου ζευγαριού, κατά παράβαση του άρθρου </w:t>
      </w:r>
      <w:r w:rsidR="00E92107" w:rsidRPr="00A5572D">
        <w:rPr>
          <w:i/>
          <w:lang w:val="fr-FR"/>
        </w:rPr>
        <w:t>L</w:t>
      </w:r>
      <w:r w:rsidR="00E92107" w:rsidRPr="00A5572D">
        <w:rPr>
          <w:i/>
        </w:rPr>
        <w:t xml:space="preserve">. 1244-7 </w:t>
      </w:r>
      <w:r w:rsidR="009336DE">
        <w:rPr>
          <w:i/>
        </w:rPr>
        <w:t>ΚΔΥ</w:t>
      </w:r>
      <w:r w:rsidR="00E92107" w:rsidRPr="00A5572D">
        <w:rPr>
          <w:i/>
        </w:rPr>
        <w:t xml:space="preserve"> τιμωρείται με ποινή φυλάκισης δύο (2) ετών και χρηματική ποινή 30.000 ευρώ</w:t>
      </w:r>
      <w:r w:rsidR="00E92107">
        <w:t>».</w:t>
      </w:r>
    </w:p>
    <w:p w14:paraId="533C53AA" w14:textId="77777777" w:rsidR="00287551" w:rsidRDefault="000312B3" w:rsidP="009834A2">
      <w:r>
        <w:lastRenderedPageBreak/>
        <w:t>Αυτό, βέβαια, δε σημαίνει ότι, στην πράξη, ιδίως στη δωρεά ωαρίων, ορισμένα κέντρα ιατρικά</w:t>
      </w:r>
      <w:r w:rsidR="00C830CA">
        <w:t xml:space="preserve"> υποβοηθούμενης αναπαραγωγής δεν </w:t>
      </w:r>
      <w:r>
        <w:t>ενθαρρύνουν τα υποβοηθούμενα ζευγάρια (ληπτών γεννητικού υλικού) να συνοδεύονται από μια δότρια, με αντάλλαγμα ασφαλώς όχι τη λήψη των δικών της ωαρίων, αλλά την επιτάχυνση της περιόδου αναμονής για τη λήψη ωαρίων τρίτης δότριας</w:t>
      </w:r>
      <w:r>
        <w:rPr>
          <w:rStyle w:val="FootnoteReference"/>
        </w:rPr>
        <w:footnoteReference w:id="207"/>
      </w:r>
      <w:r w:rsidR="00096C22">
        <w:t>.</w:t>
      </w:r>
      <w:r w:rsidR="00C830CA">
        <w:t xml:space="preserve"> </w:t>
      </w:r>
    </w:p>
    <w:p w14:paraId="6A7AE2C1" w14:textId="2B08EFC1" w:rsidR="0077027F" w:rsidRDefault="0077027F" w:rsidP="00F276C9">
      <w:pPr>
        <w:pStyle w:val="Heading6"/>
      </w:pPr>
      <w:r>
        <w:t>Δωρεά ωαρίων</w:t>
      </w:r>
      <w:r w:rsidR="00F276C9">
        <w:t xml:space="preserve"> στη Γαλλία και αναπαραγωγικός τουρισμός</w:t>
      </w:r>
      <w:r w:rsidR="00915E5C">
        <w:rPr>
          <w:rStyle w:val="FootnoteReference"/>
        </w:rPr>
        <w:footnoteReference w:id="208"/>
      </w:r>
    </w:p>
    <w:p w14:paraId="782D19C2" w14:textId="3D4D2781" w:rsidR="00384B66" w:rsidRDefault="00034D5F" w:rsidP="00034D5F">
      <w:pPr>
        <w:rPr>
          <w:lang w:val="en-US" w:eastAsia="en-US"/>
        </w:rPr>
      </w:pPr>
      <w:r>
        <w:rPr>
          <w:lang w:val="en-US" w:eastAsia="en-US"/>
        </w:rPr>
        <w:t xml:space="preserve">Όπως αναφέρθηκε ήδη εισαγωγικά, </w:t>
      </w:r>
      <w:r w:rsidR="002860F6">
        <w:rPr>
          <w:rStyle w:val="hps"/>
        </w:rPr>
        <w:t>σ</w:t>
      </w:r>
      <w:r w:rsidR="002860F6">
        <w:rPr>
          <w:lang w:eastAsia="en-US"/>
        </w:rPr>
        <w:t>ύμφωνα με τα στατιστικά στοιχεία του Οργανισμού Βιοϊατρικής, ο αριθμός των τέκνων που γεννήθηκαν στη Γαλλία κατόπιν προσφυγής σε μεθόδους ιατρικά υποβοηθούμενης αναπαραγωγής έφτασε, το 2011, τις 23.127, δηλαδή το 2,8% των συνολικών γεννήσεων για το έτος αυτό</w:t>
      </w:r>
      <w:r w:rsidR="002860F6">
        <w:rPr>
          <w:rStyle w:val="FootnoteReference"/>
          <w:lang w:eastAsia="en-US"/>
        </w:rPr>
        <w:footnoteReference w:id="209"/>
      </w:r>
      <w:r w:rsidR="002860F6">
        <w:rPr>
          <w:lang w:eastAsia="en-US"/>
        </w:rPr>
        <w:t>. Αδιαμφισβήτητο γεγονός αποτελεί, επίσης, η διαπίστωση ότι το 95% των τέκνων αυτών έχουν συλληφθεί με «ενδο-συζυγική» (ομόλογη) ιατρικά υποβοηθούμενη αναπαραγωγή, δηλαδή με γεννητικό υλικό που ανήκει αποκλειστικά και μόνο στο υποβοηθούμενο ζευγάρι</w:t>
      </w:r>
      <w:r w:rsidR="002860F6">
        <w:rPr>
          <w:rStyle w:val="FootnoteReference"/>
          <w:lang w:eastAsia="en-US"/>
        </w:rPr>
        <w:footnoteReference w:id="210"/>
      </w:r>
      <w:r w:rsidR="00AF522B">
        <w:rPr>
          <w:lang w:eastAsia="en-US"/>
        </w:rPr>
        <w:t xml:space="preserve">, ενώ αντίστοιχα μόνο το 0,9% των τέκνων αυτών προήλθε από ιατρικά υποβοηθούμενη αναπαραγωγή με δωρεά ωαρίων </w:t>
      </w:r>
      <w:r w:rsidR="002860F6">
        <w:rPr>
          <w:lang w:eastAsia="en-US"/>
        </w:rPr>
        <w:t>(Πίνακας 5)</w:t>
      </w:r>
      <w:r w:rsidR="00AF522B">
        <w:rPr>
          <w:rStyle w:val="FootnoteReference"/>
          <w:lang w:eastAsia="en-US"/>
        </w:rPr>
        <w:footnoteReference w:id="211"/>
      </w:r>
      <w:r w:rsidR="002860F6">
        <w:rPr>
          <w:lang w:eastAsia="en-US"/>
        </w:rPr>
        <w:t>.</w:t>
      </w:r>
    </w:p>
    <w:p w14:paraId="2BBC05AE" w14:textId="77777777" w:rsidR="008E5EAD" w:rsidRPr="00B67FF9" w:rsidRDefault="008E5EAD" w:rsidP="008E5EAD">
      <w:pPr>
        <w:spacing w:before="240" w:after="240"/>
        <w:ind w:firstLine="0"/>
        <w:rPr>
          <w:b/>
          <w:lang w:eastAsia="en-US"/>
        </w:rPr>
      </w:pPr>
      <w:r w:rsidRPr="00B67FF9">
        <w:rPr>
          <w:b/>
          <w:lang w:eastAsia="en-US"/>
        </w:rPr>
        <w:t xml:space="preserve">Πίνακας </w:t>
      </w:r>
      <w:r>
        <w:rPr>
          <w:b/>
          <w:lang w:eastAsia="en-US"/>
        </w:rPr>
        <w:t>5</w:t>
      </w:r>
      <w:r w:rsidRPr="00B67FF9">
        <w:rPr>
          <w:b/>
          <w:lang w:eastAsia="en-US"/>
        </w:rPr>
        <w:t>. Αποτίμηση δραστηριότητας ΙΥΑ και των αποτελεσμάτων της το 2011</w:t>
      </w:r>
      <w:r>
        <w:rPr>
          <w:rStyle w:val="FootnoteReference"/>
          <w:b/>
          <w:lang w:eastAsia="en-US"/>
        </w:rPr>
        <w:footnoteReference w:id="21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2917"/>
        <w:gridCol w:w="3144"/>
      </w:tblGrid>
      <w:tr w:rsidR="008E5EAD" w14:paraId="07EAFE52" w14:textId="77777777" w:rsidTr="002860F6">
        <w:tc>
          <w:tcPr>
            <w:tcW w:w="3369" w:type="dxa"/>
            <w:tcBorders>
              <w:bottom w:val="single" w:sz="4" w:space="0" w:color="auto"/>
            </w:tcBorders>
            <w:shd w:val="clear" w:color="auto" w:fill="auto"/>
          </w:tcPr>
          <w:p w14:paraId="6732BFB2" w14:textId="77777777" w:rsidR="008E5EAD" w:rsidRPr="002928AF" w:rsidRDefault="008E5EAD" w:rsidP="002860F6">
            <w:pPr>
              <w:spacing w:before="60" w:after="60" w:line="240" w:lineRule="auto"/>
              <w:ind w:firstLine="0"/>
              <w:rPr>
                <w:rStyle w:val="hps"/>
                <w:rFonts w:eastAsia="Calibri"/>
                <w:sz w:val="22"/>
                <w:szCs w:val="22"/>
              </w:rPr>
            </w:pPr>
          </w:p>
        </w:tc>
        <w:tc>
          <w:tcPr>
            <w:tcW w:w="2917" w:type="dxa"/>
            <w:tcBorders>
              <w:bottom w:val="single" w:sz="4" w:space="0" w:color="auto"/>
            </w:tcBorders>
            <w:shd w:val="pct15" w:color="auto" w:fill="auto"/>
          </w:tcPr>
          <w:p w14:paraId="20F1078D" w14:textId="77777777" w:rsidR="008E5EAD" w:rsidRPr="002928AF" w:rsidRDefault="008E5EAD" w:rsidP="002860F6">
            <w:pPr>
              <w:spacing w:before="60" w:after="60" w:line="240" w:lineRule="auto"/>
              <w:ind w:firstLine="0"/>
              <w:jc w:val="center"/>
              <w:rPr>
                <w:rStyle w:val="hps"/>
                <w:rFonts w:eastAsia="Calibri"/>
                <w:b/>
                <w:sz w:val="22"/>
                <w:szCs w:val="22"/>
              </w:rPr>
            </w:pPr>
            <w:r w:rsidRPr="002928AF">
              <w:rPr>
                <w:rStyle w:val="hps"/>
                <w:rFonts w:eastAsia="Calibri"/>
                <w:b/>
                <w:sz w:val="22"/>
                <w:szCs w:val="22"/>
              </w:rPr>
              <w:t>Προσπάθειες</w:t>
            </w:r>
          </w:p>
        </w:tc>
        <w:tc>
          <w:tcPr>
            <w:tcW w:w="3144" w:type="dxa"/>
            <w:tcBorders>
              <w:bottom w:val="single" w:sz="4" w:space="0" w:color="auto"/>
            </w:tcBorders>
            <w:shd w:val="pct15" w:color="auto" w:fill="auto"/>
          </w:tcPr>
          <w:p w14:paraId="59BB77AD" w14:textId="77777777" w:rsidR="008E5EAD" w:rsidRPr="002928AF" w:rsidRDefault="008E5EAD" w:rsidP="002860F6">
            <w:pPr>
              <w:spacing w:before="60" w:after="60" w:line="240" w:lineRule="auto"/>
              <w:ind w:firstLine="0"/>
              <w:jc w:val="center"/>
              <w:rPr>
                <w:rStyle w:val="hps"/>
                <w:rFonts w:eastAsia="Calibri"/>
                <w:b/>
                <w:sz w:val="22"/>
                <w:szCs w:val="22"/>
              </w:rPr>
            </w:pPr>
            <w:r w:rsidRPr="002928AF">
              <w:rPr>
                <w:rStyle w:val="hps"/>
                <w:rFonts w:eastAsia="Calibri"/>
                <w:b/>
                <w:sz w:val="22"/>
                <w:szCs w:val="22"/>
              </w:rPr>
              <w:t xml:space="preserve">Τέκνα που γεννήθηκαν ζωντανά </w:t>
            </w:r>
          </w:p>
        </w:tc>
      </w:tr>
      <w:tr w:rsidR="008E5EAD" w14:paraId="0898A3C9" w14:textId="77777777" w:rsidTr="002860F6">
        <w:tc>
          <w:tcPr>
            <w:tcW w:w="3369" w:type="dxa"/>
            <w:shd w:val="pct15" w:color="auto" w:fill="auto"/>
          </w:tcPr>
          <w:p w14:paraId="5D2B346D" w14:textId="77777777" w:rsidR="008E5EAD" w:rsidRPr="002928AF" w:rsidRDefault="008E5EAD" w:rsidP="002860F6">
            <w:pPr>
              <w:spacing w:before="60" w:after="60" w:line="240" w:lineRule="auto"/>
              <w:ind w:firstLine="0"/>
              <w:rPr>
                <w:rStyle w:val="hps"/>
                <w:rFonts w:eastAsia="Calibri"/>
                <w:b/>
                <w:sz w:val="22"/>
                <w:szCs w:val="22"/>
              </w:rPr>
            </w:pPr>
            <w:r w:rsidRPr="002928AF">
              <w:rPr>
                <w:rStyle w:val="hps"/>
                <w:rFonts w:eastAsia="Calibri"/>
                <w:b/>
                <w:sz w:val="22"/>
                <w:szCs w:val="22"/>
              </w:rPr>
              <w:t>«Ενδο-συζυγική» (ομόλογη) ΙΥΑ</w:t>
            </w:r>
          </w:p>
        </w:tc>
        <w:tc>
          <w:tcPr>
            <w:tcW w:w="2917" w:type="dxa"/>
            <w:shd w:val="pct15" w:color="auto" w:fill="auto"/>
          </w:tcPr>
          <w:p w14:paraId="5D8732FB" w14:textId="77777777" w:rsidR="008E5EAD" w:rsidRPr="002928AF" w:rsidRDefault="008E5EAD" w:rsidP="002860F6">
            <w:pPr>
              <w:spacing w:before="60" w:after="60" w:line="240" w:lineRule="auto"/>
              <w:ind w:firstLine="0"/>
              <w:jc w:val="center"/>
              <w:rPr>
                <w:rStyle w:val="hps"/>
                <w:rFonts w:eastAsia="Calibri"/>
                <w:sz w:val="22"/>
                <w:szCs w:val="22"/>
              </w:rPr>
            </w:pPr>
          </w:p>
        </w:tc>
        <w:tc>
          <w:tcPr>
            <w:tcW w:w="3144" w:type="dxa"/>
            <w:shd w:val="pct15" w:color="auto" w:fill="auto"/>
          </w:tcPr>
          <w:p w14:paraId="26BBAAEA" w14:textId="77777777" w:rsidR="008E5EAD" w:rsidRPr="002928AF" w:rsidRDefault="008E5EAD" w:rsidP="002860F6">
            <w:pPr>
              <w:spacing w:before="60" w:after="60" w:line="240" w:lineRule="auto"/>
              <w:ind w:firstLine="0"/>
              <w:jc w:val="center"/>
              <w:rPr>
                <w:rStyle w:val="hps"/>
                <w:rFonts w:eastAsia="Calibri"/>
                <w:sz w:val="22"/>
                <w:szCs w:val="22"/>
              </w:rPr>
            </w:pPr>
          </w:p>
        </w:tc>
      </w:tr>
      <w:tr w:rsidR="008E5EAD" w14:paraId="501EEF35" w14:textId="77777777" w:rsidTr="002860F6">
        <w:tc>
          <w:tcPr>
            <w:tcW w:w="3369" w:type="dxa"/>
            <w:shd w:val="clear" w:color="auto" w:fill="auto"/>
          </w:tcPr>
          <w:p w14:paraId="62D00227" w14:textId="77777777" w:rsidR="008E5EAD" w:rsidRPr="002928AF" w:rsidRDefault="008E5EAD" w:rsidP="002860F6">
            <w:pPr>
              <w:spacing w:before="60" w:after="60" w:line="240" w:lineRule="auto"/>
              <w:ind w:firstLine="0"/>
              <w:rPr>
                <w:rStyle w:val="hps"/>
                <w:rFonts w:eastAsia="Calibri"/>
                <w:sz w:val="22"/>
                <w:szCs w:val="22"/>
              </w:rPr>
            </w:pPr>
            <w:r w:rsidRPr="002928AF">
              <w:rPr>
                <w:rStyle w:val="hps"/>
                <w:rFonts w:eastAsia="Calibri"/>
                <w:sz w:val="22"/>
                <w:szCs w:val="22"/>
              </w:rPr>
              <w:t>Τεχνητή γονιμοποίηση</w:t>
            </w:r>
          </w:p>
        </w:tc>
        <w:tc>
          <w:tcPr>
            <w:tcW w:w="2917" w:type="dxa"/>
            <w:shd w:val="clear" w:color="auto" w:fill="auto"/>
          </w:tcPr>
          <w:p w14:paraId="60EF6B7B"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54.789</w:t>
            </w:r>
          </w:p>
        </w:tc>
        <w:tc>
          <w:tcPr>
            <w:tcW w:w="3144" w:type="dxa"/>
            <w:shd w:val="clear" w:color="auto" w:fill="auto"/>
          </w:tcPr>
          <w:p w14:paraId="5BFB3B4D"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5.709</w:t>
            </w:r>
          </w:p>
        </w:tc>
      </w:tr>
      <w:tr w:rsidR="008E5EAD" w14:paraId="026EF35D" w14:textId="77777777" w:rsidTr="002860F6">
        <w:tc>
          <w:tcPr>
            <w:tcW w:w="3369" w:type="dxa"/>
            <w:shd w:val="clear" w:color="auto" w:fill="auto"/>
          </w:tcPr>
          <w:p w14:paraId="4DCBB638" w14:textId="77777777" w:rsidR="008E5EAD" w:rsidRPr="002928AF" w:rsidRDefault="008E5EAD" w:rsidP="002860F6">
            <w:pPr>
              <w:spacing w:before="60" w:after="60" w:line="240" w:lineRule="auto"/>
              <w:ind w:firstLine="0"/>
              <w:rPr>
                <w:rStyle w:val="hps"/>
                <w:rFonts w:eastAsia="Calibri"/>
                <w:sz w:val="22"/>
                <w:szCs w:val="22"/>
                <w:lang w:val="en-US"/>
              </w:rPr>
            </w:pPr>
            <w:r w:rsidRPr="002928AF">
              <w:rPr>
                <w:rStyle w:val="hps"/>
                <w:rFonts w:eastAsia="Calibri"/>
                <w:sz w:val="22"/>
                <w:szCs w:val="22"/>
              </w:rPr>
              <w:t xml:space="preserve">Γονιμοποίηση </w:t>
            </w:r>
            <w:r w:rsidRPr="002928AF">
              <w:rPr>
                <w:rStyle w:val="hps"/>
                <w:rFonts w:eastAsia="Calibri"/>
                <w:i/>
                <w:sz w:val="22"/>
                <w:szCs w:val="22"/>
                <w:lang w:val="en-US"/>
              </w:rPr>
              <w:t>in vitro</w:t>
            </w:r>
          </w:p>
        </w:tc>
        <w:tc>
          <w:tcPr>
            <w:tcW w:w="2917" w:type="dxa"/>
            <w:shd w:val="clear" w:color="auto" w:fill="auto"/>
          </w:tcPr>
          <w:p w14:paraId="1B1A66C0"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59.697</w:t>
            </w:r>
          </w:p>
        </w:tc>
        <w:tc>
          <w:tcPr>
            <w:tcW w:w="3144" w:type="dxa"/>
            <w:shd w:val="clear" w:color="auto" w:fill="auto"/>
          </w:tcPr>
          <w:p w14:paraId="5EE49682"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13.239</w:t>
            </w:r>
          </w:p>
        </w:tc>
      </w:tr>
      <w:tr w:rsidR="008E5EAD" w14:paraId="629A66C8" w14:textId="77777777" w:rsidTr="002860F6">
        <w:tc>
          <w:tcPr>
            <w:tcW w:w="3369" w:type="dxa"/>
            <w:tcBorders>
              <w:bottom w:val="single" w:sz="4" w:space="0" w:color="auto"/>
            </w:tcBorders>
            <w:shd w:val="clear" w:color="auto" w:fill="auto"/>
          </w:tcPr>
          <w:p w14:paraId="757AED1B" w14:textId="77777777" w:rsidR="008E5EAD" w:rsidRPr="002928AF" w:rsidRDefault="008E5EAD" w:rsidP="002860F6">
            <w:pPr>
              <w:spacing w:before="60" w:after="60" w:line="240" w:lineRule="auto"/>
              <w:ind w:firstLine="0"/>
              <w:jc w:val="left"/>
              <w:rPr>
                <w:rStyle w:val="hps"/>
                <w:rFonts w:eastAsia="Calibri"/>
                <w:sz w:val="22"/>
                <w:szCs w:val="22"/>
              </w:rPr>
            </w:pPr>
            <w:r w:rsidRPr="002928AF">
              <w:rPr>
                <w:rStyle w:val="hps"/>
                <w:rFonts w:eastAsia="Calibri"/>
                <w:sz w:val="22"/>
                <w:szCs w:val="22"/>
              </w:rPr>
              <w:t xml:space="preserve">Μεταφορά κρυοσυντηρημένων εμβρύων </w:t>
            </w:r>
          </w:p>
        </w:tc>
        <w:tc>
          <w:tcPr>
            <w:tcW w:w="2917" w:type="dxa"/>
            <w:tcBorders>
              <w:bottom w:val="single" w:sz="4" w:space="0" w:color="auto"/>
            </w:tcBorders>
            <w:shd w:val="clear" w:color="auto" w:fill="auto"/>
          </w:tcPr>
          <w:p w14:paraId="07E7191A"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19.832</w:t>
            </w:r>
          </w:p>
        </w:tc>
        <w:tc>
          <w:tcPr>
            <w:tcW w:w="3144" w:type="dxa"/>
            <w:tcBorders>
              <w:bottom w:val="single" w:sz="4" w:space="0" w:color="auto"/>
            </w:tcBorders>
            <w:shd w:val="clear" w:color="auto" w:fill="auto"/>
          </w:tcPr>
          <w:p w14:paraId="47BAC167"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2.849</w:t>
            </w:r>
          </w:p>
        </w:tc>
      </w:tr>
      <w:tr w:rsidR="008E5EAD" w14:paraId="072C3C2B" w14:textId="77777777" w:rsidTr="002860F6">
        <w:tc>
          <w:tcPr>
            <w:tcW w:w="3369" w:type="dxa"/>
            <w:shd w:val="pct15" w:color="auto" w:fill="auto"/>
          </w:tcPr>
          <w:p w14:paraId="5865E2BE" w14:textId="77777777" w:rsidR="008E5EAD" w:rsidRPr="002928AF" w:rsidRDefault="008E5EAD" w:rsidP="002860F6">
            <w:pPr>
              <w:spacing w:before="60" w:after="60" w:line="240" w:lineRule="auto"/>
              <w:ind w:firstLine="0"/>
              <w:rPr>
                <w:rStyle w:val="hps"/>
                <w:rFonts w:eastAsia="Calibri"/>
                <w:b/>
                <w:sz w:val="22"/>
                <w:szCs w:val="22"/>
              </w:rPr>
            </w:pPr>
            <w:r w:rsidRPr="002928AF">
              <w:rPr>
                <w:rStyle w:val="hps"/>
                <w:rFonts w:eastAsia="Calibri"/>
                <w:b/>
                <w:sz w:val="22"/>
                <w:szCs w:val="22"/>
              </w:rPr>
              <w:t>Δωρεά σπέρματος</w:t>
            </w:r>
          </w:p>
        </w:tc>
        <w:tc>
          <w:tcPr>
            <w:tcW w:w="2917" w:type="dxa"/>
            <w:shd w:val="pct15" w:color="auto" w:fill="auto"/>
          </w:tcPr>
          <w:p w14:paraId="57B875ED" w14:textId="77777777" w:rsidR="008E5EAD" w:rsidRPr="002928AF" w:rsidRDefault="008E5EAD" w:rsidP="002860F6">
            <w:pPr>
              <w:spacing w:before="60" w:after="60" w:line="240" w:lineRule="auto"/>
              <w:ind w:firstLine="0"/>
              <w:jc w:val="center"/>
              <w:rPr>
                <w:rStyle w:val="hps"/>
                <w:rFonts w:eastAsia="Calibri"/>
                <w:sz w:val="22"/>
                <w:szCs w:val="22"/>
              </w:rPr>
            </w:pPr>
          </w:p>
        </w:tc>
        <w:tc>
          <w:tcPr>
            <w:tcW w:w="3144" w:type="dxa"/>
            <w:shd w:val="pct15" w:color="auto" w:fill="auto"/>
          </w:tcPr>
          <w:p w14:paraId="5A90FC4F" w14:textId="77777777" w:rsidR="008E5EAD" w:rsidRPr="002928AF" w:rsidRDefault="008E5EAD" w:rsidP="002860F6">
            <w:pPr>
              <w:spacing w:before="60" w:after="60" w:line="240" w:lineRule="auto"/>
              <w:ind w:firstLine="0"/>
              <w:jc w:val="center"/>
              <w:rPr>
                <w:rStyle w:val="hps"/>
                <w:rFonts w:eastAsia="Calibri"/>
                <w:sz w:val="22"/>
                <w:szCs w:val="22"/>
              </w:rPr>
            </w:pPr>
          </w:p>
        </w:tc>
      </w:tr>
      <w:tr w:rsidR="008E5EAD" w14:paraId="6CE90C84" w14:textId="77777777" w:rsidTr="002860F6">
        <w:tc>
          <w:tcPr>
            <w:tcW w:w="3369" w:type="dxa"/>
            <w:shd w:val="clear" w:color="auto" w:fill="auto"/>
          </w:tcPr>
          <w:p w14:paraId="470CEC74" w14:textId="77777777" w:rsidR="008E5EAD" w:rsidRPr="002928AF" w:rsidRDefault="008E5EAD" w:rsidP="002860F6">
            <w:pPr>
              <w:spacing w:before="60" w:after="60" w:line="240" w:lineRule="auto"/>
              <w:ind w:firstLine="0"/>
              <w:rPr>
                <w:rStyle w:val="hps"/>
                <w:rFonts w:eastAsia="Calibri"/>
                <w:sz w:val="22"/>
                <w:szCs w:val="22"/>
              </w:rPr>
            </w:pPr>
            <w:r w:rsidRPr="002928AF">
              <w:rPr>
                <w:rStyle w:val="hps"/>
                <w:rFonts w:eastAsia="Calibri"/>
                <w:sz w:val="22"/>
                <w:szCs w:val="22"/>
              </w:rPr>
              <w:t>Τεχνητή γονιμοποίηση</w:t>
            </w:r>
          </w:p>
        </w:tc>
        <w:tc>
          <w:tcPr>
            <w:tcW w:w="2917" w:type="dxa"/>
            <w:shd w:val="clear" w:color="auto" w:fill="auto"/>
          </w:tcPr>
          <w:p w14:paraId="55D7E5C5"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4.229</w:t>
            </w:r>
          </w:p>
        </w:tc>
        <w:tc>
          <w:tcPr>
            <w:tcW w:w="3144" w:type="dxa"/>
            <w:shd w:val="clear" w:color="auto" w:fill="auto"/>
          </w:tcPr>
          <w:p w14:paraId="5696A948"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748</w:t>
            </w:r>
          </w:p>
        </w:tc>
      </w:tr>
      <w:tr w:rsidR="008E5EAD" w14:paraId="7A61341D" w14:textId="77777777" w:rsidTr="002860F6">
        <w:tc>
          <w:tcPr>
            <w:tcW w:w="3369" w:type="dxa"/>
            <w:shd w:val="clear" w:color="auto" w:fill="auto"/>
          </w:tcPr>
          <w:p w14:paraId="43920A3B" w14:textId="77777777" w:rsidR="008E5EAD" w:rsidRPr="002928AF" w:rsidRDefault="008E5EAD" w:rsidP="002860F6">
            <w:pPr>
              <w:spacing w:before="60" w:after="60" w:line="240" w:lineRule="auto"/>
              <w:ind w:firstLine="0"/>
              <w:rPr>
                <w:rStyle w:val="hps"/>
                <w:rFonts w:eastAsia="Calibri"/>
                <w:sz w:val="22"/>
                <w:szCs w:val="22"/>
                <w:lang w:val="en-US"/>
              </w:rPr>
            </w:pPr>
            <w:r w:rsidRPr="002928AF">
              <w:rPr>
                <w:rStyle w:val="hps"/>
                <w:rFonts w:eastAsia="Calibri"/>
                <w:sz w:val="22"/>
                <w:szCs w:val="22"/>
              </w:rPr>
              <w:t xml:space="preserve">Γονιμοποίηση </w:t>
            </w:r>
            <w:r w:rsidRPr="002928AF">
              <w:rPr>
                <w:rStyle w:val="hps"/>
                <w:rFonts w:eastAsia="Calibri"/>
                <w:i/>
                <w:sz w:val="22"/>
                <w:szCs w:val="22"/>
                <w:lang w:val="en-US"/>
              </w:rPr>
              <w:t>in vitro</w:t>
            </w:r>
          </w:p>
        </w:tc>
        <w:tc>
          <w:tcPr>
            <w:tcW w:w="2917" w:type="dxa"/>
            <w:shd w:val="clear" w:color="auto" w:fill="auto"/>
          </w:tcPr>
          <w:p w14:paraId="549F5106"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1.197</w:t>
            </w:r>
          </w:p>
        </w:tc>
        <w:tc>
          <w:tcPr>
            <w:tcW w:w="3144" w:type="dxa"/>
            <w:shd w:val="clear" w:color="auto" w:fill="auto"/>
          </w:tcPr>
          <w:p w14:paraId="7EF439FA"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280</w:t>
            </w:r>
          </w:p>
        </w:tc>
      </w:tr>
      <w:tr w:rsidR="008E5EAD" w14:paraId="73901F69" w14:textId="77777777" w:rsidTr="002860F6">
        <w:tc>
          <w:tcPr>
            <w:tcW w:w="3369" w:type="dxa"/>
            <w:tcBorders>
              <w:bottom w:val="single" w:sz="4" w:space="0" w:color="auto"/>
            </w:tcBorders>
            <w:shd w:val="clear" w:color="auto" w:fill="auto"/>
          </w:tcPr>
          <w:p w14:paraId="7E1925F5" w14:textId="77777777" w:rsidR="008E5EAD" w:rsidRPr="002928AF" w:rsidRDefault="008E5EAD" w:rsidP="002860F6">
            <w:pPr>
              <w:spacing w:before="60" w:after="60" w:line="240" w:lineRule="auto"/>
              <w:ind w:firstLine="0"/>
              <w:jc w:val="left"/>
              <w:rPr>
                <w:rStyle w:val="hps"/>
                <w:rFonts w:eastAsia="Calibri"/>
                <w:sz w:val="22"/>
                <w:szCs w:val="22"/>
              </w:rPr>
            </w:pPr>
            <w:r w:rsidRPr="002928AF">
              <w:rPr>
                <w:rStyle w:val="hps"/>
                <w:rFonts w:eastAsia="Calibri"/>
                <w:sz w:val="22"/>
                <w:szCs w:val="22"/>
              </w:rPr>
              <w:t xml:space="preserve">Μεταφορά κρυοσυντηρημένων εμβρύων </w:t>
            </w:r>
          </w:p>
        </w:tc>
        <w:tc>
          <w:tcPr>
            <w:tcW w:w="2917" w:type="dxa"/>
            <w:tcBorders>
              <w:bottom w:val="single" w:sz="4" w:space="0" w:color="auto"/>
            </w:tcBorders>
            <w:shd w:val="clear" w:color="auto" w:fill="auto"/>
          </w:tcPr>
          <w:p w14:paraId="25D217B9"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332</w:t>
            </w:r>
          </w:p>
        </w:tc>
        <w:tc>
          <w:tcPr>
            <w:tcW w:w="3144" w:type="dxa"/>
            <w:tcBorders>
              <w:bottom w:val="single" w:sz="4" w:space="0" w:color="auto"/>
            </w:tcBorders>
            <w:shd w:val="clear" w:color="auto" w:fill="auto"/>
          </w:tcPr>
          <w:p w14:paraId="07E4E775"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71</w:t>
            </w:r>
          </w:p>
        </w:tc>
      </w:tr>
      <w:tr w:rsidR="008E5EAD" w14:paraId="2E67702F" w14:textId="77777777" w:rsidTr="002860F6">
        <w:tc>
          <w:tcPr>
            <w:tcW w:w="3369" w:type="dxa"/>
            <w:shd w:val="pct15" w:color="auto" w:fill="auto"/>
          </w:tcPr>
          <w:p w14:paraId="7B11E9EA" w14:textId="77777777" w:rsidR="008E5EAD" w:rsidRPr="002928AF" w:rsidRDefault="008E5EAD" w:rsidP="002860F6">
            <w:pPr>
              <w:spacing w:before="60" w:after="60" w:line="240" w:lineRule="auto"/>
              <w:ind w:firstLine="0"/>
              <w:rPr>
                <w:rStyle w:val="hps"/>
                <w:rFonts w:eastAsia="Calibri"/>
                <w:b/>
                <w:sz w:val="22"/>
                <w:szCs w:val="22"/>
              </w:rPr>
            </w:pPr>
            <w:r w:rsidRPr="002928AF">
              <w:rPr>
                <w:rStyle w:val="hps"/>
                <w:rFonts w:eastAsia="Calibri"/>
                <w:b/>
                <w:sz w:val="22"/>
                <w:szCs w:val="22"/>
              </w:rPr>
              <w:t>Δωρεά ωαρίων</w:t>
            </w:r>
          </w:p>
        </w:tc>
        <w:tc>
          <w:tcPr>
            <w:tcW w:w="2917" w:type="dxa"/>
            <w:shd w:val="pct15" w:color="auto" w:fill="auto"/>
          </w:tcPr>
          <w:p w14:paraId="7947B010" w14:textId="77777777" w:rsidR="008E5EAD" w:rsidRPr="002928AF" w:rsidRDefault="008E5EAD" w:rsidP="002860F6">
            <w:pPr>
              <w:spacing w:before="60" w:after="60" w:line="240" w:lineRule="auto"/>
              <w:ind w:firstLine="0"/>
              <w:jc w:val="center"/>
              <w:rPr>
                <w:rStyle w:val="hps"/>
                <w:rFonts w:eastAsia="Calibri"/>
                <w:sz w:val="22"/>
                <w:szCs w:val="22"/>
              </w:rPr>
            </w:pPr>
          </w:p>
        </w:tc>
        <w:tc>
          <w:tcPr>
            <w:tcW w:w="3144" w:type="dxa"/>
            <w:shd w:val="pct15" w:color="auto" w:fill="auto"/>
          </w:tcPr>
          <w:p w14:paraId="4E3A51F8" w14:textId="77777777" w:rsidR="008E5EAD" w:rsidRPr="002928AF" w:rsidRDefault="008E5EAD" w:rsidP="002860F6">
            <w:pPr>
              <w:spacing w:before="60" w:after="60" w:line="240" w:lineRule="auto"/>
              <w:ind w:firstLine="0"/>
              <w:jc w:val="center"/>
              <w:rPr>
                <w:rStyle w:val="hps"/>
                <w:rFonts w:eastAsia="Calibri"/>
                <w:sz w:val="22"/>
                <w:szCs w:val="22"/>
              </w:rPr>
            </w:pPr>
          </w:p>
        </w:tc>
      </w:tr>
      <w:tr w:rsidR="008E5EAD" w14:paraId="5C4F4121" w14:textId="77777777" w:rsidTr="002860F6">
        <w:tc>
          <w:tcPr>
            <w:tcW w:w="3369" w:type="dxa"/>
            <w:shd w:val="clear" w:color="auto" w:fill="auto"/>
          </w:tcPr>
          <w:p w14:paraId="514793CA" w14:textId="77777777" w:rsidR="008E5EAD" w:rsidRPr="002928AF" w:rsidRDefault="008E5EAD" w:rsidP="002860F6">
            <w:pPr>
              <w:spacing w:before="60" w:after="60" w:line="240" w:lineRule="auto"/>
              <w:ind w:firstLine="0"/>
              <w:rPr>
                <w:rStyle w:val="hps"/>
                <w:rFonts w:eastAsia="Calibri"/>
                <w:sz w:val="22"/>
                <w:szCs w:val="22"/>
              </w:rPr>
            </w:pPr>
            <w:r w:rsidRPr="002928AF">
              <w:rPr>
                <w:rStyle w:val="hps"/>
                <w:rFonts w:eastAsia="Calibri"/>
                <w:sz w:val="22"/>
                <w:szCs w:val="22"/>
              </w:rPr>
              <w:lastRenderedPageBreak/>
              <w:t>Τεχνητή γονιμοποίηση</w:t>
            </w:r>
          </w:p>
        </w:tc>
        <w:tc>
          <w:tcPr>
            <w:tcW w:w="2917" w:type="dxa"/>
            <w:shd w:val="clear" w:color="auto" w:fill="auto"/>
          </w:tcPr>
          <w:p w14:paraId="41FD889F"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815</w:t>
            </w:r>
          </w:p>
        </w:tc>
        <w:tc>
          <w:tcPr>
            <w:tcW w:w="3144" w:type="dxa"/>
            <w:shd w:val="clear" w:color="auto" w:fill="auto"/>
          </w:tcPr>
          <w:p w14:paraId="366F063E"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175</w:t>
            </w:r>
          </w:p>
        </w:tc>
      </w:tr>
      <w:tr w:rsidR="008E5EAD" w14:paraId="24D878C2" w14:textId="77777777" w:rsidTr="002860F6">
        <w:tc>
          <w:tcPr>
            <w:tcW w:w="3369" w:type="dxa"/>
            <w:tcBorders>
              <w:bottom w:val="single" w:sz="4" w:space="0" w:color="auto"/>
            </w:tcBorders>
            <w:shd w:val="clear" w:color="auto" w:fill="auto"/>
          </w:tcPr>
          <w:p w14:paraId="67826933" w14:textId="77777777" w:rsidR="008E5EAD" w:rsidRPr="002928AF" w:rsidRDefault="008E5EAD" w:rsidP="002860F6">
            <w:pPr>
              <w:spacing w:before="60" w:after="60" w:line="240" w:lineRule="auto"/>
              <w:ind w:firstLine="0"/>
              <w:jc w:val="left"/>
              <w:rPr>
                <w:rStyle w:val="hps"/>
                <w:rFonts w:eastAsia="Calibri"/>
                <w:sz w:val="22"/>
                <w:szCs w:val="22"/>
              </w:rPr>
            </w:pPr>
            <w:r w:rsidRPr="002928AF">
              <w:rPr>
                <w:rStyle w:val="hps"/>
                <w:rFonts w:eastAsia="Calibri"/>
                <w:sz w:val="22"/>
                <w:szCs w:val="22"/>
              </w:rPr>
              <w:t>Μεταφορά κρυοσυντηρημένων εμβρύων</w:t>
            </w:r>
          </w:p>
        </w:tc>
        <w:tc>
          <w:tcPr>
            <w:tcW w:w="2917" w:type="dxa"/>
            <w:tcBorders>
              <w:bottom w:val="single" w:sz="4" w:space="0" w:color="auto"/>
            </w:tcBorders>
            <w:shd w:val="clear" w:color="auto" w:fill="auto"/>
          </w:tcPr>
          <w:p w14:paraId="110ABE0B"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303</w:t>
            </w:r>
          </w:p>
        </w:tc>
        <w:tc>
          <w:tcPr>
            <w:tcW w:w="3144" w:type="dxa"/>
            <w:tcBorders>
              <w:bottom w:val="single" w:sz="4" w:space="0" w:color="auto"/>
            </w:tcBorders>
            <w:shd w:val="clear" w:color="auto" w:fill="auto"/>
          </w:tcPr>
          <w:p w14:paraId="642970C7"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33</w:t>
            </w:r>
          </w:p>
        </w:tc>
      </w:tr>
      <w:tr w:rsidR="008E5EAD" w14:paraId="6B4A938F" w14:textId="77777777" w:rsidTr="002860F6">
        <w:tc>
          <w:tcPr>
            <w:tcW w:w="3369" w:type="dxa"/>
            <w:shd w:val="pct15" w:color="auto" w:fill="auto"/>
          </w:tcPr>
          <w:p w14:paraId="1F9D64A0" w14:textId="77777777" w:rsidR="008E5EAD" w:rsidRPr="002928AF" w:rsidRDefault="008E5EAD" w:rsidP="002860F6">
            <w:pPr>
              <w:spacing w:before="60" w:after="60" w:line="240" w:lineRule="auto"/>
              <w:ind w:firstLine="0"/>
              <w:rPr>
                <w:rStyle w:val="hps"/>
                <w:rFonts w:eastAsia="Calibri"/>
                <w:b/>
                <w:sz w:val="22"/>
                <w:szCs w:val="22"/>
              </w:rPr>
            </w:pPr>
            <w:r w:rsidRPr="002928AF">
              <w:rPr>
                <w:rStyle w:val="hps"/>
                <w:rFonts w:eastAsia="Calibri"/>
                <w:b/>
                <w:sz w:val="22"/>
                <w:szCs w:val="22"/>
              </w:rPr>
              <w:t xml:space="preserve">Λήψη εμβρύων </w:t>
            </w:r>
          </w:p>
        </w:tc>
        <w:tc>
          <w:tcPr>
            <w:tcW w:w="2917" w:type="dxa"/>
            <w:shd w:val="pct15" w:color="auto" w:fill="auto"/>
          </w:tcPr>
          <w:p w14:paraId="7429FFCD" w14:textId="77777777" w:rsidR="008E5EAD" w:rsidRPr="002928AF" w:rsidRDefault="008E5EAD" w:rsidP="002860F6">
            <w:pPr>
              <w:spacing w:before="60" w:after="60" w:line="240" w:lineRule="auto"/>
              <w:ind w:firstLine="0"/>
              <w:jc w:val="center"/>
              <w:rPr>
                <w:rStyle w:val="hps"/>
                <w:rFonts w:eastAsia="Calibri"/>
                <w:sz w:val="22"/>
                <w:szCs w:val="22"/>
              </w:rPr>
            </w:pPr>
          </w:p>
        </w:tc>
        <w:tc>
          <w:tcPr>
            <w:tcW w:w="3144" w:type="dxa"/>
            <w:shd w:val="pct15" w:color="auto" w:fill="auto"/>
          </w:tcPr>
          <w:p w14:paraId="0A4745B9" w14:textId="77777777" w:rsidR="008E5EAD" w:rsidRPr="002928AF" w:rsidRDefault="008E5EAD" w:rsidP="002860F6">
            <w:pPr>
              <w:spacing w:before="60" w:after="60" w:line="240" w:lineRule="auto"/>
              <w:ind w:firstLine="0"/>
              <w:jc w:val="center"/>
              <w:rPr>
                <w:rStyle w:val="hps"/>
                <w:rFonts w:eastAsia="Calibri"/>
                <w:sz w:val="22"/>
                <w:szCs w:val="22"/>
              </w:rPr>
            </w:pPr>
          </w:p>
        </w:tc>
      </w:tr>
      <w:tr w:rsidR="008E5EAD" w14:paraId="1218CF1A" w14:textId="77777777" w:rsidTr="002860F6">
        <w:tc>
          <w:tcPr>
            <w:tcW w:w="3369" w:type="dxa"/>
            <w:tcBorders>
              <w:bottom w:val="single" w:sz="4" w:space="0" w:color="auto"/>
            </w:tcBorders>
            <w:shd w:val="clear" w:color="auto" w:fill="auto"/>
          </w:tcPr>
          <w:p w14:paraId="270BCE7C" w14:textId="77777777" w:rsidR="008E5EAD" w:rsidRPr="002928AF" w:rsidRDefault="008E5EAD" w:rsidP="002860F6">
            <w:pPr>
              <w:spacing w:before="60" w:after="60" w:line="240" w:lineRule="auto"/>
              <w:ind w:firstLine="0"/>
              <w:jc w:val="left"/>
              <w:rPr>
                <w:rStyle w:val="hps"/>
                <w:rFonts w:eastAsia="Calibri"/>
                <w:sz w:val="22"/>
                <w:szCs w:val="22"/>
              </w:rPr>
            </w:pPr>
            <w:r w:rsidRPr="002928AF">
              <w:rPr>
                <w:rStyle w:val="hps"/>
                <w:rFonts w:eastAsia="Calibri"/>
                <w:sz w:val="22"/>
                <w:szCs w:val="22"/>
              </w:rPr>
              <w:t>Μεταφορά κρυοσυντηρημένων εμβρύων</w:t>
            </w:r>
          </w:p>
        </w:tc>
        <w:tc>
          <w:tcPr>
            <w:tcW w:w="2917" w:type="dxa"/>
            <w:tcBorders>
              <w:bottom w:val="single" w:sz="4" w:space="0" w:color="auto"/>
            </w:tcBorders>
            <w:shd w:val="clear" w:color="auto" w:fill="auto"/>
          </w:tcPr>
          <w:p w14:paraId="0AFD3681"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83</w:t>
            </w:r>
          </w:p>
        </w:tc>
        <w:tc>
          <w:tcPr>
            <w:tcW w:w="3144" w:type="dxa"/>
            <w:tcBorders>
              <w:bottom w:val="single" w:sz="4" w:space="0" w:color="auto"/>
            </w:tcBorders>
            <w:shd w:val="clear" w:color="auto" w:fill="auto"/>
          </w:tcPr>
          <w:p w14:paraId="2F20A2F8" w14:textId="77777777" w:rsidR="008E5EAD" w:rsidRPr="002928AF" w:rsidRDefault="008E5EAD" w:rsidP="002860F6">
            <w:pPr>
              <w:spacing w:before="240" w:after="60" w:line="240" w:lineRule="auto"/>
              <w:ind w:firstLine="0"/>
              <w:jc w:val="center"/>
              <w:rPr>
                <w:rStyle w:val="hps"/>
                <w:rFonts w:eastAsia="Calibri"/>
                <w:sz w:val="22"/>
                <w:szCs w:val="22"/>
              </w:rPr>
            </w:pPr>
            <w:r w:rsidRPr="002928AF">
              <w:rPr>
                <w:rStyle w:val="hps"/>
                <w:rFonts w:eastAsia="Calibri"/>
                <w:sz w:val="22"/>
                <w:szCs w:val="22"/>
              </w:rPr>
              <w:t>23</w:t>
            </w:r>
          </w:p>
        </w:tc>
      </w:tr>
      <w:tr w:rsidR="008E5EAD" w14:paraId="64E614C1" w14:textId="77777777" w:rsidTr="002860F6">
        <w:tc>
          <w:tcPr>
            <w:tcW w:w="3369" w:type="dxa"/>
            <w:shd w:val="pct15" w:color="auto" w:fill="auto"/>
          </w:tcPr>
          <w:p w14:paraId="5CCDC51A" w14:textId="77777777" w:rsidR="008E5EAD" w:rsidRPr="002928AF" w:rsidRDefault="008E5EAD" w:rsidP="002860F6">
            <w:pPr>
              <w:spacing w:before="60" w:after="60" w:line="240" w:lineRule="auto"/>
              <w:ind w:firstLine="0"/>
              <w:rPr>
                <w:rStyle w:val="hps"/>
                <w:rFonts w:eastAsia="Calibri"/>
                <w:b/>
                <w:sz w:val="22"/>
                <w:szCs w:val="22"/>
              </w:rPr>
            </w:pPr>
            <w:r w:rsidRPr="002928AF">
              <w:rPr>
                <w:rStyle w:val="hps"/>
                <w:rFonts w:eastAsia="Calibri"/>
                <w:b/>
                <w:sz w:val="22"/>
                <w:szCs w:val="22"/>
              </w:rPr>
              <w:t>Σύνολο</w:t>
            </w:r>
          </w:p>
        </w:tc>
        <w:tc>
          <w:tcPr>
            <w:tcW w:w="2917" w:type="dxa"/>
            <w:shd w:val="pct15" w:color="auto" w:fill="auto"/>
          </w:tcPr>
          <w:p w14:paraId="5D0F5A2C"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141.277</w:t>
            </w:r>
          </w:p>
        </w:tc>
        <w:tc>
          <w:tcPr>
            <w:tcW w:w="3144" w:type="dxa"/>
            <w:shd w:val="pct15" w:color="auto" w:fill="auto"/>
          </w:tcPr>
          <w:p w14:paraId="3103411F" w14:textId="77777777" w:rsidR="008E5EAD" w:rsidRPr="002928AF" w:rsidRDefault="008E5EAD" w:rsidP="002860F6">
            <w:pPr>
              <w:spacing w:before="60" w:after="60" w:line="240" w:lineRule="auto"/>
              <w:ind w:firstLine="0"/>
              <w:jc w:val="center"/>
              <w:rPr>
                <w:rStyle w:val="hps"/>
                <w:rFonts w:eastAsia="Calibri"/>
                <w:sz w:val="22"/>
                <w:szCs w:val="22"/>
              </w:rPr>
            </w:pPr>
            <w:r w:rsidRPr="002928AF">
              <w:rPr>
                <w:rStyle w:val="hps"/>
                <w:rFonts w:eastAsia="Calibri"/>
                <w:sz w:val="22"/>
                <w:szCs w:val="22"/>
              </w:rPr>
              <w:t>23.127</w:t>
            </w:r>
          </w:p>
        </w:tc>
      </w:tr>
    </w:tbl>
    <w:p w14:paraId="009A606C" w14:textId="17AF7D0C" w:rsidR="00114C13" w:rsidRDefault="00114C13" w:rsidP="00114C13">
      <w:pPr>
        <w:spacing w:before="240"/>
        <w:rPr>
          <w:lang w:val="en-US" w:eastAsia="en-US"/>
        </w:rPr>
      </w:pPr>
      <w:r>
        <w:rPr>
          <w:lang w:val="en-US" w:eastAsia="en-US"/>
        </w:rPr>
        <w:t>Πράγματι, σύμφωνα με Έκθεση της Γενικής Επιθεώρησης Κοινωνικών Υποθέσεων</w:t>
      </w:r>
      <w:r>
        <w:rPr>
          <w:rStyle w:val="FootnoteReference"/>
          <w:lang w:eastAsia="en-US"/>
        </w:rPr>
        <w:footnoteReference w:id="213"/>
      </w:r>
      <w:r>
        <w:rPr>
          <w:lang w:val="en-US" w:eastAsia="en-US"/>
        </w:rPr>
        <w:t xml:space="preserve">, η δωρεά </w:t>
      </w:r>
      <w:r w:rsidRPr="00114C13">
        <w:rPr>
          <w:lang w:val="en-US" w:eastAsia="en-US"/>
        </w:rPr>
        <w:t xml:space="preserve">ωαρίων </w:t>
      </w:r>
      <w:r>
        <w:rPr>
          <w:lang w:val="en-US" w:eastAsia="en-US"/>
        </w:rPr>
        <w:t xml:space="preserve">στη Γαλλία </w:t>
      </w:r>
      <w:r w:rsidR="0034001A">
        <w:rPr>
          <w:lang w:val="en-US" w:eastAsia="en-US"/>
        </w:rPr>
        <w:t>είναι ανεπαρκής απέναντι στις</w:t>
      </w:r>
      <w:r w:rsidRPr="00114C13">
        <w:rPr>
          <w:lang w:val="en-US" w:eastAsia="en-US"/>
        </w:rPr>
        <w:t xml:space="preserve"> </w:t>
      </w:r>
      <w:r w:rsidR="004C0BA1">
        <w:rPr>
          <w:lang w:eastAsia="en-US"/>
        </w:rPr>
        <w:t xml:space="preserve">διαρκώς αυξανόμενες </w:t>
      </w:r>
      <w:r w:rsidRPr="00114C13">
        <w:rPr>
          <w:lang w:val="en-US" w:eastAsia="en-US"/>
        </w:rPr>
        <w:t>ανάγκες των ζευγαριών</w:t>
      </w:r>
      <w:r w:rsidR="0034001A">
        <w:rPr>
          <w:lang w:val="en-US" w:eastAsia="en-US"/>
        </w:rPr>
        <w:t>. Σύμφωνα με εκτιμήσεις των συντακτών της Έκθεσης, και παραμένοντας εντός του δεοντολογικού πλαισίου που έχει θέσει ο νομοθέτης, κα</w:t>
      </w:r>
      <w:r w:rsidR="004C0BA1">
        <w:rPr>
          <w:lang w:val="en-US" w:eastAsia="en-US"/>
        </w:rPr>
        <w:t xml:space="preserve">θώς επίσης και εκείνου που ισχύει για την ασφαλιστική κάλυψη της ιατρικά υποβοηθούμενης αναπαραγωγής </w:t>
      </w:r>
      <w:r w:rsidR="0034001A">
        <w:rPr>
          <w:lang w:val="en-US" w:eastAsia="en-US"/>
        </w:rPr>
        <w:t>τα ασφαλιστικά ταμεία,</w:t>
      </w:r>
      <w:r w:rsidRPr="00114C13">
        <w:rPr>
          <w:lang w:val="en-US" w:eastAsia="en-US"/>
        </w:rPr>
        <w:t xml:space="preserve"> η πραγματική ζήτηση</w:t>
      </w:r>
      <w:r w:rsidR="004C0BA1">
        <w:rPr>
          <w:lang w:val="en-US" w:eastAsia="en-US"/>
        </w:rPr>
        <w:t xml:space="preserve"> στη δωρεά ωαρίων </w:t>
      </w:r>
      <w:r w:rsidR="0034001A">
        <w:rPr>
          <w:lang w:val="en-US" w:eastAsia="en-US"/>
        </w:rPr>
        <w:t>υπολογίζεται</w:t>
      </w:r>
      <w:r w:rsidRPr="00114C13">
        <w:rPr>
          <w:lang w:val="en-US" w:eastAsia="en-US"/>
        </w:rPr>
        <w:t xml:space="preserve"> </w:t>
      </w:r>
      <w:r w:rsidR="004C0BA1">
        <w:rPr>
          <w:lang w:val="en-US" w:eastAsia="en-US"/>
        </w:rPr>
        <w:t>ότι φτάνει τα</w:t>
      </w:r>
      <w:r w:rsidR="00E65CA6">
        <w:rPr>
          <w:lang w:val="en-US" w:eastAsia="en-US"/>
        </w:rPr>
        <w:t xml:space="preserve"> </w:t>
      </w:r>
      <w:r w:rsidRPr="00114C13">
        <w:rPr>
          <w:lang w:val="en-US" w:eastAsia="en-US"/>
        </w:rPr>
        <w:t>1</w:t>
      </w:r>
      <w:r w:rsidR="0034001A">
        <w:rPr>
          <w:lang w:val="en-US" w:eastAsia="en-US"/>
        </w:rPr>
        <w:t>.</w:t>
      </w:r>
      <w:r w:rsidRPr="00114C13">
        <w:rPr>
          <w:lang w:val="en-US" w:eastAsia="en-US"/>
        </w:rPr>
        <w:t xml:space="preserve">500 </w:t>
      </w:r>
      <w:r w:rsidR="004C0BA1">
        <w:rPr>
          <w:lang w:val="en-US" w:eastAsia="en-US"/>
        </w:rPr>
        <w:t xml:space="preserve">με </w:t>
      </w:r>
      <w:r w:rsidRPr="00114C13">
        <w:rPr>
          <w:lang w:val="en-US" w:eastAsia="en-US"/>
        </w:rPr>
        <w:t>6</w:t>
      </w:r>
      <w:r w:rsidR="004C0BA1">
        <w:rPr>
          <w:lang w:val="en-US" w:eastAsia="en-US"/>
        </w:rPr>
        <w:t>.000 ζευγάρια</w:t>
      </w:r>
      <w:r w:rsidRPr="00114C13">
        <w:rPr>
          <w:lang w:val="en-US" w:eastAsia="en-US"/>
        </w:rPr>
        <w:t xml:space="preserve">. </w:t>
      </w:r>
    </w:p>
    <w:p w14:paraId="71F23672" w14:textId="26A41DF6" w:rsidR="00A668D8" w:rsidRDefault="00E65CA6" w:rsidP="003F2C87">
      <w:pPr>
        <w:rPr>
          <w:lang w:eastAsia="en-US"/>
        </w:rPr>
      </w:pPr>
      <w:r>
        <w:rPr>
          <w:lang w:val="en-US" w:eastAsia="en-US"/>
        </w:rPr>
        <w:t xml:space="preserve">Οι αιτίες </w:t>
      </w:r>
      <w:r w:rsidR="004C0BA1">
        <w:rPr>
          <w:lang w:val="en-US" w:eastAsia="en-US"/>
        </w:rPr>
        <w:t xml:space="preserve">της τόσο σημαντικής έλλειψης </w:t>
      </w:r>
      <w:r>
        <w:rPr>
          <w:lang w:val="en-US" w:eastAsia="en-US"/>
        </w:rPr>
        <w:t xml:space="preserve">είναι πολλές. Καταρχάς, η δωρεά ωαρίων συνιστά μια κάθε άλλο παρά ανώδυνη ιατρική πράξη και προϋποθέτει </w:t>
      </w:r>
      <w:r w:rsidR="003F2C87">
        <w:rPr>
          <w:lang w:val="en-US" w:eastAsia="en-US"/>
        </w:rPr>
        <w:t xml:space="preserve">ειλικρινή </w:t>
      </w:r>
      <w:r>
        <w:rPr>
          <w:lang w:val="en-US" w:eastAsia="en-US"/>
        </w:rPr>
        <w:t xml:space="preserve">δέσμευση από την πλευρά της δότριας. </w:t>
      </w:r>
      <w:r w:rsidR="003F2C87">
        <w:rPr>
          <w:lang w:val="en-US" w:eastAsia="en-US"/>
        </w:rPr>
        <w:t>Θα περίμενε λοιπόν κανείς να είναι κατά τέτοιο τρόπο οργανωμένη η δωρεά ωαρίων ώστε όχι μόνο να μην τίθενται περεταίρω εμπόδια στις δότριες, αλλά αντιθέτως να διευκολύνονται. Ένας ακόμη παράγοντας που συνέβαλε καθοριστικά στη</w:t>
      </w:r>
      <w:r w:rsidR="003F2C87">
        <w:rPr>
          <w:lang w:eastAsia="en-US"/>
        </w:rPr>
        <w:t xml:space="preserve">ν έλλειψη αποθεμάτων ωαρίων στη Γαλλία είναι η άνιση κατανομή πόρων και η ανεπαρκής </w:t>
      </w:r>
      <w:r w:rsidR="004C0BA1">
        <w:rPr>
          <w:lang w:eastAsia="en-US"/>
        </w:rPr>
        <w:t>χρηματοδότηση της δωρεάς ωαρίων</w:t>
      </w:r>
      <w:r w:rsidR="003F2C87">
        <w:rPr>
          <w:lang w:eastAsia="en-US"/>
        </w:rPr>
        <w:t xml:space="preserve"> σε σχέση με τη δωρεά σπέρματος, η οποία είναι </w:t>
      </w:r>
      <w:r w:rsidR="00D139CE">
        <w:rPr>
          <w:lang w:eastAsia="en-US"/>
        </w:rPr>
        <w:t xml:space="preserve">παραδοσιακά καλύτερα οργανωμένη. Στηριζόμενη στον εθελοντισμό, η δωρεά ωαρίων είναι ως εκ τούτου εύθραστη και </w:t>
      </w:r>
      <w:r w:rsidR="004C0BA1">
        <w:rPr>
          <w:lang w:eastAsia="en-US"/>
        </w:rPr>
        <w:t>α</w:t>
      </w:r>
      <w:r w:rsidR="00D139CE">
        <w:rPr>
          <w:lang w:eastAsia="en-US"/>
        </w:rPr>
        <w:t xml:space="preserve">σταθής. Σημειώνεται, δε, ότι το ένα τρίτο των περιοφερειών στη Γαλλία δεν έχουν την απαιτούμενη έγκριση για να προβούν στη διενέργεια λήψης ωαρίων, ενώ, μεταξύ εκείνων που έχουν έγκριση, το μεγαλύτερο μέρος της δραστηριότητας συγκεντρώνεται σε πέντε μόνο περιφέρειες που κάνουν υπερπροσπάθεια για την ανάπτυξη της </w:t>
      </w:r>
      <w:r w:rsidR="004C0BA1">
        <w:rPr>
          <w:lang w:eastAsia="en-US"/>
        </w:rPr>
        <w:t xml:space="preserve">δραστηριότητας </w:t>
      </w:r>
      <w:r w:rsidR="00D139CE">
        <w:rPr>
          <w:lang w:eastAsia="en-US"/>
        </w:rPr>
        <w:t xml:space="preserve">δωρεάς ωαρίων. </w:t>
      </w:r>
    </w:p>
    <w:p w14:paraId="2C16A245" w14:textId="7032B373" w:rsidR="00287551" w:rsidRPr="008322A9" w:rsidRDefault="00D139CE" w:rsidP="008322A9">
      <w:pPr>
        <w:rPr>
          <w:lang w:val="en-US" w:eastAsia="en-US"/>
        </w:rPr>
      </w:pPr>
      <w:r>
        <w:rPr>
          <w:lang w:eastAsia="en-US"/>
        </w:rPr>
        <w:t xml:space="preserve">Η έλλειψη αυτή οδηγεί </w:t>
      </w:r>
      <w:r w:rsidR="00A668D8">
        <w:rPr>
          <w:lang w:eastAsia="en-US"/>
        </w:rPr>
        <w:t xml:space="preserve">αναπόφευκτα σε απώλεια </w:t>
      </w:r>
      <w:r w:rsidR="00E47260">
        <w:rPr>
          <w:lang w:eastAsia="en-US"/>
        </w:rPr>
        <w:t>ευκαιριών</w:t>
      </w:r>
      <w:r w:rsidR="00A668D8">
        <w:rPr>
          <w:lang w:eastAsia="en-US"/>
        </w:rPr>
        <w:t xml:space="preserve"> για τα ζευγάρια, καθώς με το πέρασμα των χρόνων η επίτευξη εγκυμοσύνης </w:t>
      </w:r>
      <w:r w:rsidR="00942749">
        <w:rPr>
          <w:lang w:eastAsia="en-US"/>
        </w:rPr>
        <w:t xml:space="preserve">– </w:t>
      </w:r>
      <w:r w:rsidR="00A668D8">
        <w:rPr>
          <w:lang w:eastAsia="en-US"/>
        </w:rPr>
        <w:t xml:space="preserve">ή η επίτευξη εγκυμοσύνης χωρίς επιπλοκές </w:t>
      </w:r>
      <w:r w:rsidR="00942749">
        <w:rPr>
          <w:lang w:eastAsia="en-US"/>
        </w:rPr>
        <w:t xml:space="preserve">– </w:t>
      </w:r>
      <w:r w:rsidR="00A668D8">
        <w:rPr>
          <w:lang w:eastAsia="en-US"/>
        </w:rPr>
        <w:t xml:space="preserve">γίνεται ακόμη πιο δύσκολη. </w:t>
      </w:r>
      <w:r w:rsidR="00E47260">
        <w:rPr>
          <w:lang w:eastAsia="en-US"/>
        </w:rPr>
        <w:t xml:space="preserve">Λογική και αναπόφευκτη, λοιπόν, </w:t>
      </w:r>
      <w:r>
        <w:rPr>
          <w:lang w:eastAsia="en-US"/>
        </w:rPr>
        <w:t xml:space="preserve">συνέπεια της έλλειψης </w:t>
      </w:r>
      <w:r w:rsidR="00A668D8">
        <w:rPr>
          <w:lang w:eastAsia="en-US"/>
        </w:rPr>
        <w:t>αυτής</w:t>
      </w:r>
      <w:r w:rsidR="00E47260">
        <w:rPr>
          <w:lang w:eastAsia="en-US"/>
        </w:rPr>
        <w:t xml:space="preserve"> </w:t>
      </w:r>
      <w:r>
        <w:rPr>
          <w:lang w:eastAsia="en-US"/>
        </w:rPr>
        <w:t>αποθεμάτων ωαρ</w:t>
      </w:r>
      <w:r w:rsidR="00A668D8">
        <w:rPr>
          <w:lang w:eastAsia="en-US"/>
        </w:rPr>
        <w:t>ίων στη Γαλλία είναι η αναζήτηση λύσης</w:t>
      </w:r>
      <w:r>
        <w:rPr>
          <w:lang w:eastAsia="en-US"/>
        </w:rPr>
        <w:t xml:space="preserve"> στο εξωτερικό, </w:t>
      </w:r>
      <w:r w:rsidR="00E47260">
        <w:rPr>
          <w:lang w:eastAsia="en-US"/>
        </w:rPr>
        <w:t>πρ</w:t>
      </w:r>
      <w:r w:rsidR="008322A9">
        <w:rPr>
          <w:lang w:eastAsia="en-US"/>
        </w:rPr>
        <w:t xml:space="preserve">οκειμένου να αποφευχθεί η μακροχρόνια </w:t>
      </w:r>
      <w:r w:rsidR="00E47260">
        <w:rPr>
          <w:lang w:eastAsia="en-US"/>
        </w:rPr>
        <w:t xml:space="preserve">αναμονή στις γαλλικές δομές ιατρικά υποβοηθούμενης αναπαραγωγής. Επισημαίνεται, δε, ότι η αναμονή αυτή μπορεί να διαρκέσει αρκετά χρόνια, κάτι το οποίο είναι αδιανόητο, ειδικά όταν πρόκειται για ζευγάρια που </w:t>
      </w:r>
      <w:r w:rsidR="00E47260">
        <w:rPr>
          <w:lang w:val="en-US" w:eastAsia="en-US"/>
        </w:rPr>
        <w:t>εξαιτίας σειράς αποτυχυμένων προσπαθε</w:t>
      </w:r>
      <w:r w:rsidR="008322A9">
        <w:rPr>
          <w:lang w:val="en-US" w:eastAsia="en-US"/>
        </w:rPr>
        <w:t>ι</w:t>
      </w:r>
      <w:r w:rsidR="00E47260">
        <w:rPr>
          <w:lang w:val="en-US" w:eastAsia="en-US"/>
        </w:rPr>
        <w:t xml:space="preserve">ών ομόλογης αναπαραγωγής αποφασίζουν να </w:t>
      </w:r>
      <w:r w:rsidR="00E47260">
        <w:rPr>
          <w:lang w:val="en-US" w:eastAsia="en-US"/>
        </w:rPr>
        <w:lastRenderedPageBreak/>
        <w:t xml:space="preserve">επιχειρήσουν την ετερόλογη σε ηλικία μεταξύ 38 έως και 42 ετών. Υπολογίζεται ότι 80% περίπου των ζευγαριών, ένα μεγάλο μέρος των οποίων μάλιστα πληρούν τα κριτήρια πρόσβασης στην ιατρικά υποβοηθούμενη αναπαραγωγή που θέτει ο γάλλος νομοθέτης, στρέφονται </w:t>
      </w:r>
      <w:r w:rsidR="008322A9">
        <w:rPr>
          <w:lang w:val="en-US" w:eastAsia="en-US"/>
        </w:rPr>
        <w:t>σ</w:t>
      </w:r>
      <w:r w:rsidR="00E47260">
        <w:rPr>
          <w:lang w:val="en-US" w:eastAsia="en-US"/>
        </w:rPr>
        <w:t xml:space="preserve">ε δομές του εξωτερικού, ιδίως στην Ισπανία και το Βέλγιο. </w:t>
      </w:r>
      <w:r w:rsidR="00323C0E">
        <w:rPr>
          <w:lang w:val="en-US" w:eastAsia="en-US"/>
        </w:rPr>
        <w:t>Στις έννομες αυτές τάξεις, μάλιστα, το ειδικό νομοθετικό πλαίσιο είναι αρκετά διαφορετικ</w:t>
      </w:r>
      <w:r w:rsidR="008322A9">
        <w:rPr>
          <w:lang w:val="en-US" w:eastAsia="en-US"/>
        </w:rPr>
        <w:t xml:space="preserve">ό σε σύγκριση με </w:t>
      </w:r>
      <w:r w:rsidR="00323C0E">
        <w:rPr>
          <w:lang w:val="en-US" w:eastAsia="en-US"/>
        </w:rPr>
        <w:t xml:space="preserve">το γαλλικό και σε πολλές περιπτώσεις αντίθετο με το πνεύμα του </w:t>
      </w:r>
      <w:r w:rsidR="008322A9">
        <w:rPr>
          <w:lang w:val="en-US" w:eastAsia="en-US"/>
        </w:rPr>
        <w:t xml:space="preserve">γαλλικού </w:t>
      </w:r>
      <w:r w:rsidR="00323C0E">
        <w:rPr>
          <w:lang w:val="en-US" w:eastAsia="en-US"/>
        </w:rPr>
        <w:t xml:space="preserve">νόμου. Οι δύο βασικές αρχές, για παράδειγμα, που διέπουν τη δωρεά γαμετών στη γαλλική έννομη τάξη: </w:t>
      </w:r>
      <w:r w:rsidR="008322A9">
        <w:rPr>
          <w:lang w:val="en-US" w:eastAsia="en-US"/>
        </w:rPr>
        <w:t xml:space="preserve">η </w:t>
      </w:r>
      <w:r w:rsidR="00323C0E">
        <w:rPr>
          <w:lang w:val="en-US" w:eastAsia="en-US"/>
        </w:rPr>
        <w:t xml:space="preserve">έλλειψη ανταλλάγματος και </w:t>
      </w:r>
      <w:r w:rsidR="008322A9">
        <w:rPr>
          <w:lang w:val="en-US" w:eastAsia="en-US"/>
        </w:rPr>
        <w:t xml:space="preserve">η </w:t>
      </w:r>
      <w:r w:rsidR="00323C0E">
        <w:rPr>
          <w:lang w:val="en-US" w:eastAsia="en-US"/>
        </w:rPr>
        <w:t xml:space="preserve">ανωνυμία, δεν ισχύουν στις περισσότερες χώρες του εξωτερικού. </w:t>
      </w:r>
    </w:p>
    <w:p w14:paraId="1DB39AE9" w14:textId="4C6277AD" w:rsidR="00C830CA" w:rsidRDefault="00C830CA" w:rsidP="009834A2">
      <w:r>
        <w:t>Παρότι ο Νόμος του 2011 επιδιώκει να συμβάλει στην ενίσχυση της δωρεάς, και ιδίως της δωρεάς ωαρίων, δεν είναι σίγουρο ότι οι ρυθμίσεις που εισάγει θα συνδράμουν στην εξάλειψη των πρακτικών αυτών. Για το λόγο αυτό, ορισμένοι υποστηρίζουν πως θα ήταν σκοπιμότερο και πιο αποτελεσματικό να αντιμετωπιστούν κατά άμεσο και ευθύ τρόπο από το νομοθέτη, προκειμένου να αποφευχθεί η πίεση που ασκείται στις δότριες και να αποτραπεί η παροχή αμοιβής από τα υποβοηθούμενα ζευγάρια</w:t>
      </w:r>
      <w:r w:rsidR="00C21A5C">
        <w:rPr>
          <w:rStyle w:val="FootnoteReference"/>
        </w:rPr>
        <w:footnoteReference w:id="214"/>
      </w:r>
      <w:r>
        <w:t xml:space="preserve">. </w:t>
      </w:r>
    </w:p>
    <w:p w14:paraId="0E4A8D0D" w14:textId="77777777" w:rsidR="00453AA7" w:rsidRPr="00A65FB0" w:rsidRDefault="00377A65" w:rsidP="009834A2">
      <w:r>
        <w:t>Δεδομέ</w:t>
      </w:r>
      <w:r w:rsidR="009834A2">
        <w:t xml:space="preserve">νου </w:t>
      </w:r>
      <w:r>
        <w:t>του προβληματισμού που εγείρει ως προς το αν συνάδει με διεθνή συμβατικά κείμενα που δεσμεύουν τη Γαλλία (π.χ. άρθρο 7 της Διεθνούς Σύμβασης για τα Δικαιώματα του Παιδιού), καθώς επίσης και της έντονης συζήτησης σχετικά με την κατάργησή της, θα ακολουθήσει εκτενέστερη αναφορά στη αρχή της ανωνυμίας της δωρεάς</w:t>
      </w:r>
      <w:r>
        <w:rPr>
          <w:rStyle w:val="FootnoteReference"/>
        </w:rPr>
        <w:footnoteReference w:id="215"/>
      </w:r>
      <w:r>
        <w:t xml:space="preserve">. </w:t>
      </w:r>
      <w:r w:rsidR="009834A2">
        <w:t>Σημειώνεται, ωστόσο, ότι παρά την απόπειρα κατάργησης της αρχής της ανωνυμίας κατά την πιο πρόσφα</w:t>
      </w:r>
      <w:r w:rsidR="009336DE">
        <w:t xml:space="preserve">τη μεταρρύθμιση των </w:t>
      </w:r>
      <w:r w:rsidR="009336DE" w:rsidRPr="009336DE">
        <w:rPr>
          <w:i/>
        </w:rPr>
        <w:t>Νόμων περί Β</w:t>
      </w:r>
      <w:r w:rsidR="009834A2" w:rsidRPr="009336DE">
        <w:rPr>
          <w:i/>
        </w:rPr>
        <w:t>ιοηθικής</w:t>
      </w:r>
      <w:r w:rsidR="009834A2">
        <w:t xml:space="preserve"> το 2011, ο φόβος για τις επιπτώσεις μιας τόσο σημαντικής αλλαγής τόσο στους δότες, όσο και στα υποβοηθούμενα πρόσωπα και τα τέκνα που θα γεννηθούν οδήγησε τους βουλευτές στη διατήρηση της απαγόρευσης</w:t>
      </w:r>
      <w:r w:rsidR="00383384">
        <w:rPr>
          <w:rStyle w:val="FootnoteReference"/>
        </w:rPr>
        <w:footnoteReference w:id="216"/>
      </w:r>
      <w:r w:rsidR="009834A2">
        <w:t xml:space="preserve">. </w:t>
      </w:r>
    </w:p>
    <w:p w14:paraId="5D11EC3C" w14:textId="49C073E5" w:rsidR="00A65FB0" w:rsidRPr="00A65FB0" w:rsidRDefault="00BA0F1C" w:rsidP="00BA0F1C">
      <w:pPr>
        <w:pStyle w:val="Heading5"/>
      </w:pPr>
      <w:r>
        <w:rPr>
          <w:lang w:val="en-US"/>
        </w:rPr>
        <w:t>ii</w:t>
      </w:r>
      <w:r w:rsidR="00A65FB0">
        <w:rPr>
          <w:lang w:val="en-US"/>
        </w:rPr>
        <w:t xml:space="preserve">. </w:t>
      </w:r>
      <w:r w:rsidR="00A65FB0">
        <w:t>Λήψη εμβρύου ξένου προς το υποβοηθούμενο ζευγάρι</w:t>
      </w:r>
    </w:p>
    <w:p w14:paraId="13A0A2B3" w14:textId="77777777" w:rsidR="00345446" w:rsidRDefault="007D27A7" w:rsidP="007D27A7">
      <w:r>
        <w:t xml:space="preserve">Ο γάλλος νομοθέτης, όπως έχει ήδη αναφερθεί, επιτρέπει επίσης, εκτός από την αναπαραγωγή με δωρεά γαμετών, και την αναπαραγωγή με λήψη εμβρύου τρίτων δοτών, δηλαδή την εμφύτευση στη μήτρα της υποβοηθούμενης γυναίκας εμβρύου που έχει συλληφθεί </w:t>
      </w:r>
      <w:r w:rsidRPr="006400E7">
        <w:rPr>
          <w:i/>
          <w:lang w:val="en-US"/>
        </w:rPr>
        <w:t>in vitro</w:t>
      </w:r>
      <w:r>
        <w:rPr>
          <w:lang w:val="en-US"/>
        </w:rPr>
        <w:t xml:space="preserve"> </w:t>
      </w:r>
      <w:r>
        <w:t xml:space="preserve">από γαμέτες </w:t>
      </w:r>
      <w:r w:rsidR="006400E7">
        <w:t xml:space="preserve">που δεν προέρχονται ούτε από εκείνη ούτε από το σύντροφό της, αλλά ανήκουν σε ζευγάρι τρίτων δοτών. </w:t>
      </w:r>
    </w:p>
    <w:p w14:paraId="148E6BE5" w14:textId="77777777" w:rsidR="006400E7" w:rsidRPr="006400E7" w:rsidRDefault="006400E7" w:rsidP="007D27A7">
      <w:r>
        <w:t xml:space="preserve">Όπως αναφέρει η </w:t>
      </w:r>
      <w:r w:rsidR="00BC0CCA">
        <w:rPr>
          <w:lang w:val="en-US"/>
        </w:rPr>
        <w:t>Aude</w:t>
      </w:r>
      <w:r>
        <w:t xml:space="preserve"> </w:t>
      </w:r>
      <w:r>
        <w:rPr>
          <w:lang w:val="en-US"/>
        </w:rPr>
        <w:t xml:space="preserve">Mirkovic, </w:t>
      </w:r>
      <w:r>
        <w:t>αρνούμενος να τοποθετηθεί ο νομοθέτης σχετικά με το νομικό χαρακτηρισμό του εμβρύου, περιορίζεται στη ρύθμιση των ζητημάτων που αφορούν στη σύλληψή του, τη συντήρησή του και το μέλλον του</w:t>
      </w:r>
      <w:r>
        <w:rPr>
          <w:rStyle w:val="FootnoteReference"/>
        </w:rPr>
        <w:footnoteReference w:id="217"/>
      </w:r>
      <w:r>
        <w:t xml:space="preserve">. </w:t>
      </w:r>
    </w:p>
    <w:p w14:paraId="36CDF2E1" w14:textId="77777777" w:rsidR="00046E0A" w:rsidRDefault="007917BF" w:rsidP="00BD1735">
      <w:pPr>
        <w:rPr>
          <w:rStyle w:val="hps"/>
        </w:rPr>
      </w:pPr>
      <w:r>
        <w:lastRenderedPageBreak/>
        <w:t>Σε ό,τι αφορά στη σύλληψη του εμβρύου, ο Κώδικας Δημόσιας Υγείας την πλαισιώνει με διάφορες ρυθμίσεις και απαγορεύσεις. Το σημείο εκκίνησης συνίσταται στο ότι «</w:t>
      </w:r>
      <w:r w:rsidRPr="00BD1735">
        <w:rPr>
          <w:i/>
        </w:rPr>
        <w:t xml:space="preserve">ένα έμβρυο δε μπορεί να συλληφθεί </w:t>
      </w:r>
      <w:r w:rsidRPr="00BD1735">
        <w:rPr>
          <w:i/>
          <w:lang w:val="en-US"/>
        </w:rPr>
        <w:t xml:space="preserve">in vitro </w:t>
      </w:r>
      <w:r w:rsidRPr="00BD1735">
        <w:rPr>
          <w:i/>
        </w:rPr>
        <w:t xml:space="preserve">παρά μόνο στα πλαίσια και σύμφωνα με τους σκοπούς της ιατρικά υποβοηθούμενης αναπαραγωγής, όπως αυτή ορίζεται στο άρθρο </w:t>
      </w:r>
      <w:r w:rsidRPr="00BD1735">
        <w:rPr>
          <w:i/>
          <w:lang w:val="en-US"/>
        </w:rPr>
        <w:t>L. 2141-1</w:t>
      </w:r>
      <w:r w:rsidR="00BD1735">
        <w:t xml:space="preserve">» και πρέπει να προκύπτει </w:t>
      </w:r>
      <w:r w:rsidR="00BC0CCA">
        <w:t xml:space="preserve">αποκλειστικά και </w:t>
      </w:r>
      <w:r w:rsidR="00BD1735">
        <w:t>μόνο «</w:t>
      </w:r>
      <w:r w:rsidR="00BD1735" w:rsidRPr="00BD1735">
        <w:rPr>
          <w:i/>
        </w:rPr>
        <w:t>από γαμέτες που προέρχονται από ένα τουλάχιστον από τα μέλη του ζευγαριού</w:t>
      </w:r>
      <w:r w:rsidR="00BD1735">
        <w:t xml:space="preserve">» (άρθρο </w:t>
      </w:r>
      <w:r w:rsidR="00BD1735">
        <w:rPr>
          <w:lang w:val="en-US"/>
        </w:rPr>
        <w:t>L. 2141-3</w:t>
      </w:r>
      <w:r w:rsidR="00BD1735">
        <w:t xml:space="preserve"> ΚΔΥ). Πρόκειται ουσιαστικά για την απαγόρευση που εισήγαγε στη γαλλική έννομη τάξη ο Νόμος</w:t>
      </w:r>
      <w:r w:rsidR="00046E0A">
        <w:rPr>
          <w:rStyle w:val="hps"/>
        </w:rPr>
        <w:t xml:space="preserve"> 2004-800 της 6</w:t>
      </w:r>
      <w:r w:rsidR="00046E0A" w:rsidRPr="00882027">
        <w:rPr>
          <w:rStyle w:val="hps"/>
          <w:vertAlign w:val="superscript"/>
        </w:rPr>
        <w:t>ης</w:t>
      </w:r>
      <w:r w:rsidR="00046E0A">
        <w:rPr>
          <w:rStyle w:val="hps"/>
        </w:rPr>
        <w:t xml:space="preserve"> Αυγούστου 2004 </w:t>
      </w:r>
      <w:r w:rsidR="00BD1735">
        <w:rPr>
          <w:rStyle w:val="hps"/>
        </w:rPr>
        <w:t>σχετικά με</w:t>
      </w:r>
      <w:r w:rsidR="00046E0A">
        <w:rPr>
          <w:rStyle w:val="hps"/>
        </w:rPr>
        <w:t xml:space="preserve"> τη «διπλή δωρεά» γαμετών, γεγονός που σημαίνει ότι το γεννητικό υλικό </w:t>
      </w:r>
      <w:r w:rsidR="00BD1735">
        <w:rPr>
          <w:rStyle w:val="hps"/>
        </w:rPr>
        <w:t xml:space="preserve">πρέπει να </w:t>
      </w:r>
      <w:r w:rsidR="00046E0A">
        <w:rPr>
          <w:rStyle w:val="hps"/>
        </w:rPr>
        <w:t xml:space="preserve">προέρχεται υποχρεωτικά κατά το ήμισυ από το υποβοηθούμενο ζευγάρι. </w:t>
      </w:r>
    </w:p>
    <w:p w14:paraId="15EB6E8B" w14:textId="77777777" w:rsidR="0060402E" w:rsidRPr="007F442D" w:rsidRDefault="001D460B" w:rsidP="00C73C42">
      <w:r>
        <w:rPr>
          <w:rStyle w:val="hps"/>
        </w:rPr>
        <w:t>Δηλαδή, με άλλα λόγια, η</w:t>
      </w:r>
      <w:r w:rsidR="00C73C42" w:rsidRPr="007F442D">
        <w:t xml:space="preserve"> γαλλική νομοθεσία απαγορεύει τη «διπλή δωρεά», αλλά </w:t>
      </w:r>
      <w:r>
        <w:t>επιτρέπει στο υποβοηθούμενο ζευγάρι να λάβει έμβρυο προερχόμενο από γαμέτες τρίτων δοτών. Αυτό,</w:t>
      </w:r>
      <w:r w:rsidR="00F529AA">
        <w:t xml:space="preserve"> όπως μας εξήγησε η ιατρός και </w:t>
      </w:r>
      <w:r w:rsidR="00BC0CCA">
        <w:t>επικεφαλής</w:t>
      </w:r>
      <w:r w:rsidR="00F529AA">
        <w:t xml:space="preserve"> του τμήματος </w:t>
      </w:r>
      <w:r w:rsidR="00F529AA" w:rsidRPr="007F442D">
        <w:rPr>
          <w:rStyle w:val="st"/>
        </w:rPr>
        <w:t>Βιολογία</w:t>
      </w:r>
      <w:r w:rsidR="00F529AA">
        <w:rPr>
          <w:rStyle w:val="st"/>
        </w:rPr>
        <w:t>ς</w:t>
      </w:r>
      <w:r w:rsidR="00F529AA" w:rsidRPr="007F442D">
        <w:rPr>
          <w:rStyle w:val="st"/>
        </w:rPr>
        <w:t xml:space="preserve"> της αναπαραγωγής</w:t>
      </w:r>
      <w:r w:rsidR="00F529AA">
        <w:rPr>
          <w:rStyle w:val="st"/>
        </w:rPr>
        <w:t xml:space="preserve"> του</w:t>
      </w:r>
      <w:r w:rsidR="00D178DB">
        <w:rPr>
          <w:rStyle w:val="st"/>
        </w:rPr>
        <w:t xml:space="preserve"> </w:t>
      </w:r>
      <w:r w:rsidR="00F529AA">
        <w:t xml:space="preserve">νοσοκομείου </w:t>
      </w:r>
      <w:r w:rsidR="00F529AA" w:rsidRPr="00504C43">
        <w:rPr>
          <w:rStyle w:val="Emphasis"/>
          <w:i w:val="0"/>
        </w:rPr>
        <w:t>Bichat</w:t>
      </w:r>
      <w:r w:rsidR="00F529AA">
        <w:rPr>
          <w:i/>
        </w:rPr>
        <w:t xml:space="preserve"> </w:t>
      </w:r>
      <w:r w:rsidR="00F529AA" w:rsidRPr="00F4778D">
        <w:t>στο</w:t>
      </w:r>
      <w:r w:rsidR="00F529AA">
        <w:rPr>
          <w:i/>
        </w:rPr>
        <w:t xml:space="preserve"> </w:t>
      </w:r>
      <w:r w:rsidR="00F529AA" w:rsidRPr="007F442D">
        <w:t>Παρίσι</w:t>
      </w:r>
      <w:r w:rsidR="0060402E">
        <w:rPr>
          <w:rStyle w:val="st"/>
        </w:rPr>
        <w:t xml:space="preserve">, </w:t>
      </w:r>
      <w:r w:rsidR="0060402E" w:rsidRPr="007C5B2D">
        <w:rPr>
          <w:rStyle w:val="Emphasis"/>
          <w:i w:val="0"/>
        </w:rPr>
        <w:t>C</w:t>
      </w:r>
      <w:r w:rsidR="0060402E" w:rsidRPr="007F442D">
        <w:rPr>
          <w:rStyle w:val="Emphasis"/>
          <w:i w:val="0"/>
        </w:rPr>
        <w:t>atherine PATRAT</w:t>
      </w:r>
      <w:r w:rsidR="0060402E">
        <w:rPr>
          <w:rStyle w:val="Emphasis"/>
          <w:i w:val="0"/>
        </w:rPr>
        <w:t>,</w:t>
      </w:r>
      <w:r w:rsidR="001B1B5A" w:rsidRPr="001B1B5A">
        <w:t xml:space="preserve"> </w:t>
      </w:r>
      <w:r w:rsidR="00CB7A9B">
        <w:t>απαντά στην ανάγκη να</w:t>
      </w:r>
      <w:r w:rsidR="001B1B5A" w:rsidRPr="007F442D">
        <w:t xml:space="preserve"> </w:t>
      </w:r>
      <w:r w:rsidR="00CB7A9B">
        <w:t>βρεθεί λύση για</w:t>
      </w:r>
      <w:r w:rsidR="001B1B5A" w:rsidRPr="007F442D">
        <w:t xml:space="preserve"> το πρόβλημα των πλεοναζόντων εμβρύων, </w:t>
      </w:r>
      <w:r w:rsidR="00CB7A9B">
        <w:t>αντιμετωπίζοντας ταυτόχρονα την</w:t>
      </w:r>
      <w:r w:rsidR="001B1B5A" w:rsidRPr="007F442D">
        <w:t xml:space="preserve"> έλλειψη ωαρίων</w:t>
      </w:r>
      <w:r w:rsidR="00CB7A9B">
        <w:t xml:space="preserve"> στη Γαλλία. «</w:t>
      </w:r>
      <w:r w:rsidR="00CB7A9B" w:rsidRPr="007F442D">
        <w:t>Εφόσον υπάρχουν τα κρυοσυντηρημένα έμβρυα, γιατί να επι</w:t>
      </w:r>
      <w:r w:rsidR="00BC0CCA">
        <w:t>τρέπεται η λήψη ‘διπλής δωρεάς</w:t>
      </w:r>
      <w:r w:rsidR="00BC0CCA">
        <w:rPr>
          <w:lang w:val="en-US"/>
        </w:rPr>
        <w:t>’</w:t>
      </w:r>
      <w:r w:rsidR="00CB7A9B">
        <w:rPr>
          <w:lang w:val="en-US"/>
        </w:rPr>
        <w:t>;</w:t>
      </w:r>
      <w:r w:rsidR="00CB37F7">
        <w:t xml:space="preserve">», </w:t>
      </w:r>
      <w:r w:rsidR="00BC0CCA">
        <w:t>διερωτάται</w:t>
      </w:r>
      <w:r w:rsidR="00CB37F7">
        <w:t xml:space="preserve"> η κυρία</w:t>
      </w:r>
      <w:r w:rsidR="00CB7A9B">
        <w:t xml:space="preserve"> </w:t>
      </w:r>
      <w:r w:rsidR="00CB7A9B" w:rsidRPr="007F442D">
        <w:rPr>
          <w:rStyle w:val="Emphasis"/>
          <w:i w:val="0"/>
        </w:rPr>
        <w:t>PATRAT</w:t>
      </w:r>
      <w:r w:rsidR="0060402E">
        <w:rPr>
          <w:rStyle w:val="FootnoteReference"/>
          <w:b/>
        </w:rPr>
        <w:footnoteReference w:id="218"/>
      </w:r>
      <w:r w:rsidR="00BC0CCA">
        <w:t xml:space="preserve">. </w:t>
      </w:r>
    </w:p>
    <w:p w14:paraId="03FC84F2" w14:textId="77777777" w:rsidR="00D83F80" w:rsidRDefault="00C002E9" w:rsidP="00992779">
      <w:r>
        <w:rPr>
          <w:rStyle w:val="hps"/>
        </w:rPr>
        <w:t xml:space="preserve">Αντίθετα, από τις συνεντεύξεις με τα πρόσωπα αναφοράς στη Γαλλία προκύπτει ότι δεν αντιλαμβάνονται όλοι οι επαγγελματίες υγείας </w:t>
      </w:r>
      <w:r w:rsidR="008239D9">
        <w:rPr>
          <w:rStyle w:val="hps"/>
        </w:rPr>
        <w:t>τους σκοπούς που εξυπηρετεί</w:t>
      </w:r>
      <w:r>
        <w:rPr>
          <w:rStyle w:val="hps"/>
        </w:rPr>
        <w:t xml:space="preserve"> αυτή</w:t>
      </w:r>
      <w:r w:rsidR="008239D9">
        <w:rPr>
          <w:rStyle w:val="hps"/>
        </w:rPr>
        <w:t xml:space="preserve"> η</w:t>
      </w:r>
      <w:r>
        <w:rPr>
          <w:rStyle w:val="hps"/>
        </w:rPr>
        <w:t xml:space="preserve"> απαγό</w:t>
      </w:r>
      <w:r w:rsidR="008239D9">
        <w:rPr>
          <w:rStyle w:val="hps"/>
        </w:rPr>
        <w:t>ρευση</w:t>
      </w:r>
      <w:r>
        <w:rPr>
          <w:rStyle w:val="hps"/>
        </w:rPr>
        <w:t xml:space="preserve">. </w:t>
      </w:r>
      <w:r w:rsidR="000251EF">
        <w:t>Πιο συγκεκριμένα, τόσο ο καθηγητής ιατρικής και μέλος της Εθνικής Ακαδημίας Ιατρικής, Pierre Jouannet</w:t>
      </w:r>
      <w:r w:rsidR="008239D9">
        <w:t>, όσο και ο κ</w:t>
      </w:r>
      <w:r w:rsidR="000251EF">
        <w:t xml:space="preserve">αθηγητής </w:t>
      </w:r>
      <w:r w:rsidR="008239D9">
        <w:t>ι</w:t>
      </w:r>
      <w:r w:rsidR="000251EF">
        <w:t xml:space="preserve">ατρικής και Πρόεδρος της Επιτροπής Ηθικής της Γαλλικής Ομοσπονδίας των Κέντρων Μελέτης και Συντήρησης </w:t>
      </w:r>
      <w:r w:rsidR="0083348B">
        <w:t>Ανθρωπίνων</w:t>
      </w:r>
      <w:r w:rsidR="000251EF">
        <w:t xml:space="preserve"> Ωαρίων και Σπέρματος (</w:t>
      </w:r>
      <w:r w:rsidR="000251EF">
        <w:rPr>
          <w:i/>
        </w:rPr>
        <w:t>CECOS</w:t>
      </w:r>
      <w:r w:rsidR="000251EF">
        <w:t>), Jean-Francois Guerin</w:t>
      </w:r>
      <w:r w:rsidR="008239D9">
        <w:t xml:space="preserve">, δε βρίσκουν </w:t>
      </w:r>
      <w:r w:rsidR="003F2A9A">
        <w:t xml:space="preserve">λογική </w:t>
      </w:r>
      <w:r w:rsidR="00D92C84">
        <w:t>στην</w:t>
      </w:r>
      <w:r w:rsidR="003F2A9A">
        <w:t xml:space="preserve"> απαγό</w:t>
      </w:r>
      <w:r w:rsidR="00D92C84">
        <w:t>ρευση</w:t>
      </w:r>
      <w:r w:rsidR="003F2A9A">
        <w:t xml:space="preserve"> της </w:t>
      </w:r>
      <w:r w:rsidR="003F2A9A" w:rsidRPr="008771B4">
        <w:t>«διπλή</w:t>
      </w:r>
      <w:r w:rsidR="003F2A9A">
        <w:t>ς</w:t>
      </w:r>
      <w:r w:rsidR="003F2A9A" w:rsidRPr="008771B4">
        <w:t xml:space="preserve"> δωρεά</w:t>
      </w:r>
      <w:r w:rsidR="003F2A9A">
        <w:t>ς</w:t>
      </w:r>
      <w:r w:rsidR="003F2A9A" w:rsidRPr="008771B4">
        <w:t xml:space="preserve">», </w:t>
      </w:r>
      <w:r w:rsidR="00D92C84">
        <w:t>τη στιγμή που</w:t>
      </w:r>
      <w:r w:rsidR="003F2A9A">
        <w:t xml:space="preserve"> η ίδια νομοθεσία </w:t>
      </w:r>
      <w:r w:rsidR="003F2A9A" w:rsidRPr="008771B4">
        <w:t>δέχεται τη λήψη από το υποβοηθούμενο ζευγάρι εμβρύου</w:t>
      </w:r>
      <w:r w:rsidR="003F2A9A">
        <w:t xml:space="preserve"> που έχει συλληφθεί από γαμέτες τρίτων δοτών</w:t>
      </w:r>
      <w:r w:rsidR="003F2A9A" w:rsidRPr="008771B4">
        <w:t>.</w:t>
      </w:r>
      <w:r w:rsidR="00D92C84">
        <w:t xml:space="preserve"> Εκτιμούν</w:t>
      </w:r>
      <w:r w:rsidR="0054457D">
        <w:t>, μάλιστα,</w:t>
      </w:r>
      <w:r w:rsidR="00D92C84">
        <w:t xml:space="preserve"> ότι θα έπρεπε να αρθεί η απαγόρευση αυτή. </w:t>
      </w:r>
      <w:r w:rsidR="0054457D">
        <w:t xml:space="preserve">Ειδικότερα, ο καθηγητής </w:t>
      </w:r>
      <w:r w:rsidR="0054457D">
        <w:rPr>
          <w:lang w:val="en-US"/>
        </w:rPr>
        <w:t xml:space="preserve">Guerin, </w:t>
      </w:r>
      <w:r w:rsidR="0054457D">
        <w:t xml:space="preserve">παρότι αναγνωρίζει ότι η απαγόρευση της «διπλής δωρεάς» </w:t>
      </w:r>
      <w:r w:rsidR="00BC0CCA">
        <w:t>εξυπηρετεί το διττό σκοπό της αντιμετώπισης, αφενός, του προβλήματος</w:t>
      </w:r>
      <w:r w:rsidR="00D92C84" w:rsidRPr="006C12D2">
        <w:t xml:space="preserve"> των πλεοναζόντων εμβρύων</w:t>
      </w:r>
      <w:r w:rsidR="00BC0CCA">
        <w:t>, αφετέρου, της</w:t>
      </w:r>
      <w:r w:rsidR="00992779">
        <w:t xml:space="preserve"> έλλειψη</w:t>
      </w:r>
      <w:r w:rsidR="00BC0CCA">
        <w:t>ς</w:t>
      </w:r>
      <w:r w:rsidR="00992779">
        <w:t xml:space="preserve"> ωαρίων, πιστεύει ότι, στην πραγματικότητα,</w:t>
      </w:r>
      <w:r w:rsidR="00D92C84" w:rsidRPr="006C12D2">
        <w:t xml:space="preserve"> δεν εξυπηρετήθηκε ποτέ αυτός ο σκοπός </w:t>
      </w:r>
      <w:r w:rsidR="00992779">
        <w:t>διότι</w:t>
      </w:r>
      <w:r w:rsidR="00D92C84" w:rsidRPr="006C12D2">
        <w:t xml:space="preserve"> τα ζευγάρι</w:t>
      </w:r>
      <w:r w:rsidR="00BC0CCA">
        <w:t>α δε</w:t>
      </w:r>
      <w:r w:rsidR="00992779">
        <w:t xml:space="preserve"> δωρίζουν τα έμβρυά τους. Και ο</w:t>
      </w:r>
      <w:r w:rsidR="00D92C84" w:rsidRPr="006C12D2">
        <w:t xml:space="preserve"> νομοθέτης δεν το είχε προβλέψει αυτό. </w:t>
      </w:r>
      <w:r w:rsidR="00992779">
        <w:t xml:space="preserve">Σε ό,τι αφορά, δε, στη διάκριση μεταξύ </w:t>
      </w:r>
      <w:r w:rsidR="00D92C84" w:rsidRPr="006C12D2">
        <w:t>«απλή</w:t>
      </w:r>
      <w:r w:rsidR="00992779">
        <w:t>ς δωρεάς» και «διπλής δωρεάς», δε δέχεται</w:t>
      </w:r>
      <w:r w:rsidR="00D92C84" w:rsidRPr="006C12D2">
        <w:t xml:space="preserve"> καμία διαφορά σε επίπεδο ηθικής ή δεοντολογίας. </w:t>
      </w:r>
      <w:r w:rsidR="00992779">
        <w:t xml:space="preserve">Αποδίδει την αυστηρότητα της εν λόγω ρύθμισης στο συντηρητισμό των βουλευτών, την περίοδο κατά την οποία ψηφίστηκε η διάταξη αυτή, οι οποίοι θεωρούσαν </w:t>
      </w:r>
      <w:r w:rsidR="00D92C84" w:rsidRPr="006C12D2">
        <w:t>απαραίτητη την ύπαρξη βιολογικού δεσμού μεταξύ του ζευγαριού και του τέκνου που θα γεννηθεί</w:t>
      </w:r>
      <w:r w:rsidR="005274B8">
        <w:rPr>
          <w:rStyle w:val="FootnoteReference"/>
        </w:rPr>
        <w:footnoteReference w:id="219"/>
      </w:r>
      <w:r w:rsidR="00D92C84" w:rsidRPr="006C12D2">
        <w:t>.</w:t>
      </w:r>
    </w:p>
    <w:p w14:paraId="0984DF1B" w14:textId="77777777" w:rsidR="00F74B5F" w:rsidRDefault="00F51B08" w:rsidP="00F74B5F">
      <w:r>
        <w:lastRenderedPageBreak/>
        <w:t>Τέλος, πριν κλείσο</w:t>
      </w:r>
      <w:r w:rsidR="005B6816">
        <w:t xml:space="preserve">υμε το θέμα της «διπλής δωρεάς», </w:t>
      </w:r>
      <w:r>
        <w:t>ενδιαφέρον παρουσιάζει και</w:t>
      </w:r>
      <w:r w:rsidR="00A65238">
        <w:t xml:space="preserve"> η άποψη της </w:t>
      </w:r>
      <w:r w:rsidR="00A65238">
        <w:rPr>
          <w:lang w:val="en-US"/>
        </w:rPr>
        <w:t xml:space="preserve">Aude </w:t>
      </w:r>
      <w:r>
        <w:rPr>
          <w:lang w:val="en-US"/>
        </w:rPr>
        <w:t xml:space="preserve">Mirkovic, </w:t>
      </w:r>
      <w:r>
        <w:t xml:space="preserve">η οποία τάσσεται κατά της ετερόλογης </w:t>
      </w:r>
      <w:r w:rsidR="00DB2790">
        <w:t xml:space="preserve">γονιμοποίησης, </w:t>
      </w:r>
      <w:r>
        <w:t xml:space="preserve">με την αιτιολογία ότι </w:t>
      </w:r>
      <w:r w:rsidR="005B6816">
        <w:t>«η τεχνική αυτή στερεί ηθελημένα το τέκνο</w:t>
      </w:r>
      <w:r w:rsidR="00F74B5F" w:rsidRPr="00E51344">
        <w:t xml:space="preserve"> από τη βιολογική του καταγωγή. </w:t>
      </w:r>
      <w:r w:rsidR="00CC336B">
        <w:t>Είναι άδικο να στερείται το παιδί</w:t>
      </w:r>
      <w:r w:rsidR="00F74B5F" w:rsidRPr="00E51344">
        <w:t xml:space="preserve"> από τα βιολογικά του θεμέλια, από τους βιολογικούς του γονείς</w:t>
      </w:r>
      <w:r w:rsidR="005B6816">
        <w:t>»</w:t>
      </w:r>
      <w:r w:rsidR="00F74B5F" w:rsidRPr="00E51344">
        <w:t xml:space="preserve">. </w:t>
      </w:r>
      <w:r w:rsidR="005B6816">
        <w:t xml:space="preserve">Η συχνή προσφυγή στην ετερόλογη αναπαραγωγή </w:t>
      </w:r>
      <w:r w:rsidR="00CC336B">
        <w:t xml:space="preserve">αποδεικνύει περίτρανα, όπως ισχυρίζεται η </w:t>
      </w:r>
      <w:r w:rsidR="007D26A9">
        <w:t>λ</w:t>
      </w:r>
      <w:r w:rsidR="00CC336B">
        <w:rPr>
          <w:rStyle w:val="Emphasis"/>
          <w:i w:val="0"/>
        </w:rPr>
        <w:t>έκτορας Ιδιωτικού Δικαίου στο Παν/μιο É</w:t>
      </w:r>
      <w:r w:rsidR="00CC336B">
        <w:rPr>
          <w:rStyle w:val="Emphasis"/>
          <w:i w:val="0"/>
          <w:lang w:val="en-US"/>
        </w:rPr>
        <w:t>vry</w:t>
      </w:r>
      <w:r w:rsidR="00CC336B">
        <w:rPr>
          <w:rStyle w:val="Emphasis"/>
          <w:i w:val="0"/>
        </w:rPr>
        <w:t xml:space="preserve"> στο</w:t>
      </w:r>
      <w:r w:rsidR="00CC336B">
        <w:t xml:space="preserve"> Παρίσι</w:t>
      </w:r>
      <w:r w:rsidR="007D26A9">
        <w:t xml:space="preserve">, ότι </w:t>
      </w:r>
      <w:r w:rsidR="005B6816">
        <w:t>«πολλές φορές π</w:t>
      </w:r>
      <w:r w:rsidR="007D26A9">
        <w:t xml:space="preserve">ροτεραιότητα </w:t>
      </w:r>
      <w:r w:rsidR="005B6816">
        <w:t xml:space="preserve">δεν έχει </w:t>
      </w:r>
      <w:r w:rsidR="007D26A9">
        <w:t>το παιδί, αλλά</w:t>
      </w:r>
      <w:r w:rsidR="005B6816">
        <w:t xml:space="preserve"> η </w:t>
      </w:r>
      <w:r w:rsidR="007D26A9">
        <w:t>ικανοποίηση των εγωιστικών αναγκών των μελλοντικών γονέων</w:t>
      </w:r>
      <w:r w:rsidR="005B6816">
        <w:t>».</w:t>
      </w:r>
      <w:r w:rsidR="007D26A9">
        <w:t xml:space="preserve"> </w:t>
      </w:r>
      <w:r w:rsidR="005B6816">
        <w:t>Τέλος,</w:t>
      </w:r>
      <w:r w:rsidR="00F74B5F" w:rsidRPr="00E51344">
        <w:t xml:space="preserve"> </w:t>
      </w:r>
      <w:r w:rsidR="005B6816">
        <w:t>επισύρει την προσοχή στο γεγονός ότι</w:t>
      </w:r>
      <w:r w:rsidR="00F74B5F" w:rsidRPr="00E51344">
        <w:t xml:space="preserve"> κάθε σύγκριση μεταξύ της υιοθεσίας και της </w:t>
      </w:r>
      <w:r w:rsidR="005B6816">
        <w:t>ιατρικά υποβοηθούμενης αναπαραγωγής, προς επίρρωση των επιχειρημάτων υπέρ της ετερόλογης αναπαραγωγής,</w:t>
      </w:r>
      <w:r w:rsidR="00F74B5F" w:rsidRPr="00E51344">
        <w:t xml:space="preserve"> είναι άστοχη. Η υιοθεσία δε στερεί το παιδί από τους γονείς του, απλά αποκαθιστά την αδικία </w:t>
      </w:r>
      <w:r w:rsidR="00DB2790">
        <w:t>την οποία</w:t>
      </w:r>
      <w:r w:rsidR="00F74B5F" w:rsidRPr="00E51344">
        <w:t xml:space="preserve"> </w:t>
      </w:r>
      <w:r w:rsidR="00322336">
        <w:t xml:space="preserve">αυτό </w:t>
      </w:r>
      <w:r w:rsidR="00F74B5F" w:rsidRPr="00E51344">
        <w:t>έχει</w:t>
      </w:r>
      <w:r w:rsidR="00DB2790">
        <w:t xml:space="preserve"> ήδη</w:t>
      </w:r>
      <w:r w:rsidR="00F74B5F" w:rsidRPr="00E51344">
        <w:t xml:space="preserve"> </w:t>
      </w:r>
      <w:r w:rsidR="00DB2790">
        <w:t>υποστεί χάνοντας</w:t>
      </w:r>
      <w:r w:rsidR="00F74B5F" w:rsidRPr="00E51344">
        <w:t xml:space="preserve"> τους γονείς του. Αντιθέτως, η ετερόλογη γονιμοποίηση δε διορθώνει τίποτα, αλλά στερεί το παιδί από τους βιολογικο</w:t>
      </w:r>
      <w:r w:rsidR="005B6816">
        <w:t>ύς του γονείς</w:t>
      </w:r>
      <w:r w:rsidR="00234FD8">
        <w:rPr>
          <w:rStyle w:val="FootnoteReference"/>
        </w:rPr>
        <w:footnoteReference w:id="220"/>
      </w:r>
      <w:r w:rsidR="005B6816">
        <w:t xml:space="preserve">. </w:t>
      </w:r>
    </w:p>
    <w:p w14:paraId="496FC236" w14:textId="77777777" w:rsidR="002B7744" w:rsidRPr="00390B86" w:rsidRDefault="002B7744" w:rsidP="002B7744">
      <w:r>
        <w:t>Σε κάθε περίπτωση, όποια κι αν είναι η γνώμη της θεωρίας, η οποία αποδεδειγμένα διχάζεται σχετικά με το ζήτημα της α</w:t>
      </w:r>
      <w:r w:rsidRPr="00390B86">
        <w:t>παγόρευση</w:t>
      </w:r>
      <w:r>
        <w:t>ς της «διπλής δωρεάς γαμετών», το Πρώτο</w:t>
      </w:r>
      <w:r w:rsidRPr="00390B86">
        <w:t xml:space="preserve"> Πολιτικό Τμήμα </w:t>
      </w:r>
      <w:r>
        <w:t xml:space="preserve">του Ανώτατου Ακυρωτικού Δικαστηρίου έχει δώσει κατηγορηματική απάντηση στις αιτιάσεις περί παραβίασης της αρχής της ισότητας ενώπιον του νόμου, </w:t>
      </w:r>
      <w:r w:rsidRPr="00390B86">
        <w:t xml:space="preserve">όπως αυτή ορίζεται στο άρθρο 6 της Διακήρυξης των δικαιωμάτων του ανθρώπου και του πολίτη, καθώς επίσης και </w:t>
      </w:r>
      <w:r>
        <w:t>της αρχής</w:t>
      </w:r>
      <w:r w:rsidRPr="00390B86">
        <w:t xml:space="preserve"> </w:t>
      </w:r>
      <w:r>
        <w:t xml:space="preserve">της εγγύησης των προϋποθέσεων της ανάπτυξης της </w:t>
      </w:r>
      <w:r w:rsidRPr="00390B86">
        <w:t>οικογένεια</w:t>
      </w:r>
      <w:r>
        <w:t>ς</w:t>
      </w:r>
      <w:r w:rsidRPr="00390B86">
        <w:t>, όπως αυτή ορίζεται στο Πρ</w:t>
      </w:r>
      <w:r>
        <w:t>οοίμιο του Συντάγματος του 1946</w:t>
      </w:r>
      <w:r>
        <w:rPr>
          <w:rStyle w:val="FootnoteReference"/>
        </w:rPr>
        <w:footnoteReference w:id="221"/>
      </w:r>
      <w:r>
        <w:t xml:space="preserve">. Πιο συγκεκριμένα, στην από 19 Ιανουαρίου 2012 απόφασή του, το </w:t>
      </w:r>
      <w:r w:rsidR="001D346A">
        <w:t xml:space="preserve">Πρώτο Πολιτικό Τμήμα του </w:t>
      </w:r>
      <w:r>
        <w:t>Ανώτατο</w:t>
      </w:r>
      <w:r w:rsidR="001D346A">
        <w:t>υ πολιτικού δικαστηρίου</w:t>
      </w:r>
      <w:r>
        <w:t xml:space="preserve"> της Χώρας</w:t>
      </w:r>
      <w:r w:rsidRPr="00390B86">
        <w:t xml:space="preserve"> </w:t>
      </w:r>
      <w:r>
        <w:t xml:space="preserve">έκρινε ότι δεν υπήρχε λόγος να τεθεί εκ νέου ενώπιον του Συνταγματικού Συμβουλίου ζήτημα αντι-συνταγματικότητας της διάταξης περί απαγόρευσης της «διπλής δωρεάς». Μια σύντομη αναφορά στα πραγματικά περιστατικά της υπόθεσης, όμως, θα βοηθήσει στην καλύτερη κατανόηση της σημαντικής αυτής απόφασης. </w:t>
      </w:r>
    </w:p>
    <w:p w14:paraId="5F7A5C52" w14:textId="09B578DA" w:rsidR="002B7744" w:rsidRDefault="002B7744" w:rsidP="002B7744">
      <w:r>
        <w:t>Προκειμένου να παρακάμψει τη γαλλική νομοθετική απαγόρευση, μ</w:t>
      </w:r>
      <w:r w:rsidRPr="00390B86">
        <w:t xml:space="preserve">ια γυναίκα κατέφυγε σε εξωσωματική γονιμοποίηση </w:t>
      </w:r>
      <w:r w:rsidRPr="00390B86">
        <w:rPr>
          <w:iCs/>
        </w:rPr>
        <w:t>με γαμέτες τρίτων δοτών κατόπιν διπλής δωρεάς στην Ισπανία, όπου κ</w:t>
      </w:r>
      <w:r>
        <w:rPr>
          <w:iCs/>
        </w:rPr>
        <w:t>αι αυτό επιτρέπεται από το νόμο</w:t>
      </w:r>
      <w:r w:rsidRPr="00390B86">
        <w:rPr>
          <w:iCs/>
        </w:rPr>
        <w:t xml:space="preserve">. Η διενέργεια των ιατρικών πράξεων και τεχνικών </w:t>
      </w:r>
      <w:r>
        <w:rPr>
          <w:iCs/>
        </w:rPr>
        <w:t>της ιατρικά υποβοηθούμενης αναπαραγωγής</w:t>
      </w:r>
      <w:r w:rsidRPr="00390B86">
        <w:rPr>
          <w:iCs/>
        </w:rPr>
        <w:t xml:space="preserve"> είχε ένα σημαντικό κόστος, </w:t>
      </w:r>
      <w:r>
        <w:rPr>
          <w:iCs/>
        </w:rPr>
        <w:t xml:space="preserve">του οποίου </w:t>
      </w:r>
      <w:r w:rsidRPr="00390B86">
        <w:rPr>
          <w:iCs/>
        </w:rPr>
        <w:t xml:space="preserve">ζήτησε </w:t>
      </w:r>
      <w:r>
        <w:rPr>
          <w:iCs/>
        </w:rPr>
        <w:t xml:space="preserve">την κάλυψη </w:t>
      </w:r>
      <w:r w:rsidRPr="00390B86">
        <w:rPr>
          <w:iCs/>
        </w:rPr>
        <w:t xml:space="preserve">από το ασφαλιστικό της ταμείο </w:t>
      </w:r>
      <w:r>
        <w:rPr>
          <w:iCs/>
        </w:rPr>
        <w:t xml:space="preserve">όταν επέστρεψε στη Γαλλία. </w:t>
      </w:r>
      <w:r w:rsidRPr="00390B86">
        <w:rPr>
          <w:iCs/>
        </w:rPr>
        <w:t xml:space="preserve">Μετά την άρνηση του ταμείου να της επιστρέψει τις δαπάνες των ιατρικών πράξεων στις οποίες υποβλήθηκε στο πλαίσιο της </w:t>
      </w:r>
      <w:r>
        <w:rPr>
          <w:iCs/>
        </w:rPr>
        <w:t>ιατρικά υποβοηθούμενης αναπαραγωγής</w:t>
      </w:r>
      <w:r w:rsidRPr="00390B86">
        <w:rPr>
          <w:iCs/>
        </w:rPr>
        <w:t>, η γυναίκα προσέφυγε στο Δικαστήριο Υποθέσεων Κοινωνικής Ασφάλειας των Παρισίων (</w:t>
      </w:r>
      <w:r w:rsidRPr="00390B86">
        <w:rPr>
          <w:i/>
          <w:lang w:val="fr-FR"/>
        </w:rPr>
        <w:t>tribunal</w:t>
      </w:r>
      <w:r w:rsidRPr="00390B86">
        <w:rPr>
          <w:i/>
        </w:rPr>
        <w:t xml:space="preserve"> </w:t>
      </w:r>
      <w:r w:rsidRPr="00390B86">
        <w:rPr>
          <w:i/>
          <w:lang w:val="fr-FR"/>
        </w:rPr>
        <w:t>des</w:t>
      </w:r>
      <w:r w:rsidRPr="00390B86">
        <w:rPr>
          <w:i/>
        </w:rPr>
        <w:t xml:space="preserve"> </w:t>
      </w:r>
      <w:r w:rsidRPr="00390B86">
        <w:rPr>
          <w:i/>
          <w:lang w:val="fr-FR"/>
        </w:rPr>
        <w:t>affaires</w:t>
      </w:r>
      <w:r w:rsidRPr="00390B86">
        <w:rPr>
          <w:i/>
        </w:rPr>
        <w:t xml:space="preserve"> </w:t>
      </w:r>
      <w:r w:rsidRPr="00390B86">
        <w:rPr>
          <w:i/>
          <w:lang w:val="fr-FR"/>
        </w:rPr>
        <w:t>de</w:t>
      </w:r>
      <w:r w:rsidRPr="00390B86">
        <w:rPr>
          <w:i/>
        </w:rPr>
        <w:t xml:space="preserve"> </w:t>
      </w:r>
      <w:r w:rsidRPr="00390B86">
        <w:rPr>
          <w:i/>
          <w:lang w:val="fr-FR"/>
        </w:rPr>
        <w:t>la</w:t>
      </w:r>
      <w:r w:rsidRPr="00390B86">
        <w:rPr>
          <w:i/>
        </w:rPr>
        <w:t xml:space="preserve"> </w:t>
      </w:r>
      <w:r w:rsidRPr="00390B86">
        <w:rPr>
          <w:i/>
          <w:lang w:val="fr-FR"/>
        </w:rPr>
        <w:t>s</w:t>
      </w:r>
      <w:r w:rsidRPr="00390B86">
        <w:rPr>
          <w:i/>
        </w:rPr>
        <w:t>é</w:t>
      </w:r>
      <w:r w:rsidRPr="00390B86">
        <w:rPr>
          <w:i/>
          <w:lang w:val="fr-FR"/>
        </w:rPr>
        <w:t>curit</w:t>
      </w:r>
      <w:r w:rsidRPr="00390B86">
        <w:rPr>
          <w:i/>
        </w:rPr>
        <w:t xml:space="preserve">é </w:t>
      </w:r>
      <w:r w:rsidRPr="00390B86">
        <w:rPr>
          <w:i/>
          <w:lang w:val="fr-FR"/>
        </w:rPr>
        <w:t>sociale</w:t>
      </w:r>
      <w:r w:rsidRPr="00390B86">
        <w:rPr>
          <w:i/>
        </w:rPr>
        <w:t xml:space="preserve"> </w:t>
      </w:r>
      <w:r w:rsidRPr="00390B86">
        <w:rPr>
          <w:i/>
          <w:lang w:val="fr-FR"/>
        </w:rPr>
        <w:t>de</w:t>
      </w:r>
      <w:r w:rsidRPr="00390B86">
        <w:rPr>
          <w:i/>
        </w:rPr>
        <w:t xml:space="preserve"> </w:t>
      </w:r>
      <w:r w:rsidRPr="00390B86">
        <w:rPr>
          <w:i/>
          <w:lang w:val="fr-FR"/>
        </w:rPr>
        <w:t>Paris</w:t>
      </w:r>
      <w:r w:rsidR="00CF4413">
        <w:rPr>
          <w:iCs/>
        </w:rPr>
        <w:t xml:space="preserve">) για να ρωτήσει εάν: </w:t>
      </w:r>
      <w:r w:rsidR="00CF4413">
        <w:t>«τ</w:t>
      </w:r>
      <w:r w:rsidRPr="00390B86">
        <w:t xml:space="preserve">ο άρθρο </w:t>
      </w:r>
      <w:r w:rsidRPr="00390B86">
        <w:rPr>
          <w:lang w:val="fr-FR"/>
        </w:rPr>
        <w:t>L</w:t>
      </w:r>
      <w:r w:rsidRPr="00390B86">
        <w:t xml:space="preserve">. 2141-3 </w:t>
      </w:r>
      <w:r>
        <w:t>ΚΔΥ</w:t>
      </w:r>
      <w:r w:rsidRPr="00390B86">
        <w:t xml:space="preserve">, δυνάμει </w:t>
      </w:r>
      <w:r w:rsidRPr="00390B86">
        <w:lastRenderedPageBreak/>
        <w:t xml:space="preserve">των διατάξεων του οποίου ένα έμβρυο δε μπορεί να συλληφθεί </w:t>
      </w:r>
      <w:r w:rsidRPr="00390B86">
        <w:rPr>
          <w:i/>
          <w:iCs/>
          <w:lang w:val="fr-FR"/>
        </w:rPr>
        <w:t>in</w:t>
      </w:r>
      <w:r w:rsidRPr="00390B86">
        <w:rPr>
          <w:i/>
          <w:iCs/>
        </w:rPr>
        <w:t xml:space="preserve"> </w:t>
      </w:r>
      <w:r w:rsidRPr="00390B86">
        <w:rPr>
          <w:i/>
          <w:iCs/>
          <w:lang w:val="fr-FR"/>
        </w:rPr>
        <w:t>vitro</w:t>
      </w:r>
      <w:r w:rsidRPr="00390B86">
        <w:rPr>
          <w:iCs/>
        </w:rPr>
        <w:t xml:space="preserve"> </w:t>
      </w:r>
      <w:r w:rsidRPr="00390B86">
        <w:t xml:space="preserve">με γαμέτες που δεν προέρχονται τουλάχιστο από ένα από τα δύο πρόσωπα που συνθέτουν το υποβοηθούμενο ζευγάρι, εισάγει διάκριση εις βάρος ζευγαριών των οποίων και τα δύο μέλη </w:t>
      </w:r>
      <w:r>
        <w:t>πάσχουν από υπογονιμότητα</w:t>
      </w:r>
      <w:r w:rsidRPr="00390B86">
        <w:t xml:space="preserve">, απαγορεύοντάς τους τη δυνατότητα να προσφύγουν στη διπλή δωρεά γαμετών και </w:t>
      </w:r>
      <w:r w:rsidR="00CF4413">
        <w:t>εάν είναι, για το λόγο αυτό,</w:t>
      </w:r>
      <w:r w:rsidRPr="00390B86">
        <w:t xml:space="preserve"> αντίθετο με την αρχή</w:t>
      </w:r>
      <w:r w:rsidR="00CF4413">
        <w:t xml:space="preserve"> της ισότητας ενώπιον του νόμου, </w:t>
      </w:r>
      <w:r w:rsidRPr="00390B86">
        <w:t>όπως αυτή ορίζεται στο άρθρο 6 της Διακήρυξης των δικαιωμάτων του ανθρώπου και του πολίτη, καθώς επίσης και την αρχή σύμφωνα με την οποία το έθνος οφείλει να εγγυάται στην οικογένεια τις προϋποθέσεις εκείνες που είναι αναγκαίες για την ανάπτυξή της, όπως αυτή ορίζεται στο Προο</w:t>
      </w:r>
      <w:r>
        <w:t xml:space="preserve">ίμιο του Συντάγματος του 1946». </w:t>
      </w:r>
      <w:r w:rsidRPr="00390B86">
        <w:t xml:space="preserve">Το </w:t>
      </w:r>
      <w:r w:rsidRPr="00390B86">
        <w:rPr>
          <w:iCs/>
        </w:rPr>
        <w:t>Δικαστήριο Υποθέσεων Κοινωνικής Ασφάλειας των Παρισίων δ</w:t>
      </w:r>
      <w:r>
        <w:rPr>
          <w:iCs/>
        </w:rPr>
        <w:t xml:space="preserve">ιαβίβασε </w:t>
      </w:r>
      <w:r w:rsidRPr="00390B86">
        <w:rPr>
          <w:iCs/>
        </w:rPr>
        <w:t>με τη σειρά του στο Ανώτατο Ακυρωτικό Δικαστήριο το ως άνω ερώτημα, υπό μορφή Ερώτησης Συνταγματικής Προτεραιότητας (</w:t>
      </w:r>
      <w:r w:rsidRPr="00390B86">
        <w:rPr>
          <w:i/>
          <w:lang w:val="fr-FR"/>
        </w:rPr>
        <w:t>Q</w:t>
      </w:r>
      <w:r w:rsidRPr="00390B86">
        <w:rPr>
          <w:i/>
          <w:lang w:val="en-US"/>
        </w:rPr>
        <w:t>uestion</w:t>
      </w:r>
      <w:r w:rsidRPr="00390B86">
        <w:rPr>
          <w:i/>
        </w:rPr>
        <w:t xml:space="preserve"> </w:t>
      </w:r>
      <w:r w:rsidRPr="00390B86">
        <w:rPr>
          <w:i/>
          <w:lang w:val="fr-FR"/>
        </w:rPr>
        <w:t>Prioritaire</w:t>
      </w:r>
      <w:r w:rsidRPr="00390B86">
        <w:rPr>
          <w:i/>
        </w:rPr>
        <w:t xml:space="preserve"> </w:t>
      </w:r>
      <w:r w:rsidRPr="00390B86">
        <w:rPr>
          <w:i/>
          <w:lang w:val="fr-FR"/>
        </w:rPr>
        <w:t>de</w:t>
      </w:r>
      <w:r w:rsidRPr="00390B86">
        <w:rPr>
          <w:i/>
        </w:rPr>
        <w:t xml:space="preserve"> </w:t>
      </w:r>
      <w:r w:rsidRPr="00390B86">
        <w:rPr>
          <w:i/>
          <w:lang w:val="fr-FR"/>
        </w:rPr>
        <w:t>Constitutionnali</w:t>
      </w:r>
      <w:r w:rsidRPr="00390B86">
        <w:rPr>
          <w:i/>
        </w:rPr>
        <w:t xml:space="preserve">té, </w:t>
      </w:r>
      <w:r w:rsidRPr="00390B86">
        <w:rPr>
          <w:i/>
          <w:lang w:val="fr-FR"/>
        </w:rPr>
        <w:t>QPC</w:t>
      </w:r>
      <w:r w:rsidRPr="00390B86">
        <w:rPr>
          <w:iCs/>
        </w:rPr>
        <w:t>)</w:t>
      </w:r>
      <w:r>
        <w:rPr>
          <w:iCs/>
        </w:rPr>
        <w:t xml:space="preserve">. </w:t>
      </w:r>
    </w:p>
    <w:p w14:paraId="7434934C" w14:textId="77777777" w:rsidR="002B7744" w:rsidRPr="00E262A9" w:rsidRDefault="002B7744" w:rsidP="002B7744">
      <w:pPr>
        <w:rPr>
          <w:iCs/>
        </w:rPr>
      </w:pPr>
      <w:r>
        <w:t xml:space="preserve">Το Ανώτατο Ακυρωτικό Δικαστήριο, ωστόσο, έκρινε ότι δε </w:t>
      </w:r>
      <w:r w:rsidRPr="00390B86">
        <w:t>συγκεντρώνονταν οι αναγκαίες προϋποθέσεις που ορίζει ο νόμος προκειμένου να διαβιβάσει στο Συνταγματικό Συμβούλιο (</w:t>
      </w:r>
      <w:r w:rsidRPr="00390B86">
        <w:rPr>
          <w:i/>
          <w:lang w:val="fr-FR"/>
        </w:rPr>
        <w:t>Conseil</w:t>
      </w:r>
      <w:r w:rsidRPr="00390B86">
        <w:rPr>
          <w:i/>
        </w:rPr>
        <w:t xml:space="preserve"> </w:t>
      </w:r>
      <w:r w:rsidRPr="00390B86">
        <w:rPr>
          <w:i/>
          <w:lang w:val="fr-FR"/>
        </w:rPr>
        <w:t>constitutionnel</w:t>
      </w:r>
      <w:r w:rsidRPr="00390B86">
        <w:t xml:space="preserve">) την </w:t>
      </w:r>
      <w:r w:rsidRPr="00390B86">
        <w:rPr>
          <w:iCs/>
        </w:rPr>
        <w:t>Ερώτη</w:t>
      </w:r>
      <w:r>
        <w:rPr>
          <w:iCs/>
        </w:rPr>
        <w:t xml:space="preserve">ση Συνταγματικής Προτεραιότητας. Ειδικότερα, το Ανώτατο πολιτικό δικαστήριο επεσήμανε </w:t>
      </w:r>
      <w:r w:rsidRPr="00390B86">
        <w:rPr>
          <w:iCs/>
        </w:rPr>
        <w:t xml:space="preserve">ότι το </w:t>
      </w:r>
      <w:r w:rsidRPr="00390B86">
        <w:t>Συνταγματικό Συμβούλιο</w:t>
      </w:r>
      <w:r w:rsidRPr="00390B86">
        <w:rPr>
          <w:iCs/>
        </w:rPr>
        <w:t xml:space="preserve"> έχει </w:t>
      </w:r>
      <w:r>
        <w:rPr>
          <w:iCs/>
        </w:rPr>
        <w:t xml:space="preserve">ήδη </w:t>
      </w:r>
      <w:r w:rsidRPr="00390B86">
        <w:rPr>
          <w:iCs/>
        </w:rPr>
        <w:t>αποφανθεί ε</w:t>
      </w:r>
      <w:r>
        <w:rPr>
          <w:iCs/>
        </w:rPr>
        <w:t>πί του συγκεκριμένου ζητήματος</w:t>
      </w:r>
      <w:r>
        <w:rPr>
          <w:rStyle w:val="FootnoteReference"/>
          <w:iCs/>
        </w:rPr>
        <w:footnoteReference w:id="222"/>
      </w:r>
      <w:r w:rsidRPr="00390B86">
        <w:rPr>
          <w:iCs/>
        </w:rPr>
        <w:t xml:space="preserve"> με την από 27 Ιουλίου 1994 απόφασή του. </w:t>
      </w:r>
      <w:r w:rsidR="001177BD">
        <w:rPr>
          <w:iCs/>
        </w:rPr>
        <w:t xml:space="preserve">Σύμφωνα με την απόφασή του αυτή, τόσο ο πρώτος </w:t>
      </w:r>
      <w:r w:rsidR="001177BD" w:rsidRPr="001177BD">
        <w:rPr>
          <w:i/>
          <w:iCs/>
        </w:rPr>
        <w:t>Ν</w:t>
      </w:r>
      <w:r w:rsidRPr="001177BD">
        <w:rPr>
          <w:i/>
          <w:iCs/>
        </w:rPr>
        <w:t xml:space="preserve">όμος </w:t>
      </w:r>
      <w:r w:rsidR="001177BD" w:rsidRPr="001177BD">
        <w:rPr>
          <w:i/>
          <w:iCs/>
        </w:rPr>
        <w:t>περί</w:t>
      </w:r>
      <w:r w:rsidRPr="001177BD">
        <w:rPr>
          <w:i/>
          <w:iCs/>
        </w:rPr>
        <w:t xml:space="preserve"> Βιοηθικής</w:t>
      </w:r>
      <w:r w:rsidRPr="00390B86">
        <w:rPr>
          <w:iCs/>
        </w:rPr>
        <w:t xml:space="preserve"> (1994), όσο και η ειδικότερη διάταξη σχετικά με την πρόσβαση στην </w:t>
      </w:r>
      <w:r>
        <w:rPr>
          <w:iCs/>
        </w:rPr>
        <w:t>ιατρικά υποβοηθούμενη αναπαραγωγή συνάδουν με τις συνταγματικές προσταγές</w:t>
      </w:r>
      <w:r w:rsidRPr="00390B86">
        <w:rPr>
          <w:iCs/>
        </w:rPr>
        <w:t xml:space="preserve">. Συμπληρώνει μάλιστα το </w:t>
      </w:r>
      <w:r w:rsidRPr="00390B86">
        <w:t>Ανώτατο Ακυρωτικό Δικαστήριο ότι δε με</w:t>
      </w:r>
      <w:r>
        <w:t xml:space="preserve">σολάβησε καμία αλλαγή συνθηκών, νομικών ή πραγματικών, </w:t>
      </w:r>
      <w:r w:rsidRPr="00390B86">
        <w:t xml:space="preserve">η οποία να δικαιολογεί τον επανέλεγχο </w:t>
      </w:r>
      <w:r w:rsidR="001177BD" w:rsidRPr="00390B86">
        <w:t xml:space="preserve">από το Συνταγματικό </w:t>
      </w:r>
      <w:r w:rsidR="001177BD">
        <w:t>Συμβούλιο</w:t>
      </w:r>
      <w:r w:rsidR="001177BD" w:rsidRPr="00390B86">
        <w:t xml:space="preserve"> </w:t>
      </w:r>
      <w:r w:rsidRPr="00390B86">
        <w:t>της συμφωνίας της εν λόγω διάταξης με το Σύνταγμα</w:t>
      </w:r>
      <w:r>
        <w:t>. Κριτές εν προκειμένω</w:t>
      </w:r>
      <w:r w:rsidRPr="00390B86">
        <w:t xml:space="preserve"> των νέων στοιχείων που θα δικαιολογή</w:t>
      </w:r>
      <w:r w:rsidR="001177BD">
        <w:t>σουν την αλλαγή νομολογίας του σ</w:t>
      </w:r>
      <w:r w:rsidRPr="00390B86">
        <w:t>υνταγματικού δικαστή παραμένουν το Ανώτατο Ακυρωτικό Δικαστήριο και το Συμβούλιο της Επικρατείας</w:t>
      </w:r>
      <w:r>
        <w:rPr>
          <w:rStyle w:val="FootnoteReference"/>
        </w:rPr>
        <w:footnoteReference w:id="223"/>
      </w:r>
      <w:r w:rsidRPr="00390B86">
        <w:t>.</w:t>
      </w:r>
    </w:p>
    <w:p w14:paraId="2003BED3" w14:textId="77777777" w:rsidR="00F22037" w:rsidRPr="007F51EF" w:rsidRDefault="007F51EF" w:rsidP="00F74B5F">
      <w:pPr>
        <w:rPr>
          <w:rStyle w:val="hps"/>
        </w:rPr>
      </w:pPr>
      <w:r>
        <w:rPr>
          <w:rStyle w:val="hps"/>
        </w:rPr>
        <w:t>Αναφορικά, μάλιστα, με την από 27 Ιουλίου 1994 πολύ γνωστή απόφαση του Συνταγματικού Συμβουλίου</w:t>
      </w:r>
      <w:r w:rsidR="00F22037">
        <w:rPr>
          <w:rStyle w:val="FootnoteReference"/>
        </w:rPr>
        <w:footnoteReference w:id="224"/>
      </w:r>
      <w:r>
        <w:rPr>
          <w:rStyle w:val="hps"/>
        </w:rPr>
        <w:t xml:space="preserve"> σχετικά με τη συνταγματικότητ</w:t>
      </w:r>
      <w:r w:rsidR="007855D2">
        <w:rPr>
          <w:rStyle w:val="hps"/>
        </w:rPr>
        <w:t xml:space="preserve">α των διατάξεων του πρώτου </w:t>
      </w:r>
      <w:r w:rsidR="007855D2" w:rsidRPr="007855D2">
        <w:rPr>
          <w:rStyle w:val="hps"/>
          <w:i/>
        </w:rPr>
        <w:lastRenderedPageBreak/>
        <w:t>Νόμου περί Β</w:t>
      </w:r>
      <w:r w:rsidRPr="007855D2">
        <w:rPr>
          <w:rStyle w:val="hps"/>
          <w:i/>
        </w:rPr>
        <w:t>ιοηθικής</w:t>
      </w:r>
      <w:r>
        <w:rPr>
          <w:rStyle w:val="hps"/>
        </w:rPr>
        <w:t xml:space="preserve"> </w:t>
      </w:r>
      <w:r w:rsidR="007855D2">
        <w:rPr>
          <w:rStyle w:val="hps"/>
        </w:rPr>
        <w:t>(1994)</w:t>
      </w:r>
      <w:r>
        <w:rPr>
          <w:rStyle w:val="hps"/>
        </w:rPr>
        <w:t>,</w:t>
      </w:r>
      <w:r w:rsidR="007855D2">
        <w:rPr>
          <w:rStyle w:val="hps"/>
        </w:rPr>
        <w:t xml:space="preserve"> γενικότερα</w:t>
      </w:r>
      <w:r>
        <w:rPr>
          <w:rStyle w:val="hps"/>
        </w:rPr>
        <w:t xml:space="preserve"> και της απαγόρευσης της «διπλής δωρεάς» ειδικότερα, </w:t>
      </w:r>
      <w:r w:rsidR="00A341C6">
        <w:rPr>
          <w:rStyle w:val="hps"/>
        </w:rPr>
        <w:t>επισημαίνεται</w:t>
      </w:r>
      <w:r>
        <w:rPr>
          <w:rStyle w:val="hps"/>
        </w:rPr>
        <w:t xml:space="preserve"> ότι </w:t>
      </w:r>
      <w:r w:rsidR="00694705">
        <w:rPr>
          <w:rStyle w:val="hps"/>
        </w:rPr>
        <w:t>ο γάλλος συνταγματικός δικαστής</w:t>
      </w:r>
      <w:r w:rsidR="007B4CFA" w:rsidRPr="00390B86">
        <w:t xml:space="preserve"> </w:t>
      </w:r>
      <w:r w:rsidR="00B41719">
        <w:t xml:space="preserve">έκρινε ότι, σε ό,τι αφορά </w:t>
      </w:r>
      <w:r w:rsidR="00B24036" w:rsidRPr="00390B86">
        <w:t xml:space="preserve">στη δωρεά γαμετών ή εμβρύων, καμία διάταξη του Προοιμίου του Συντάγματος του 1946 δεν αποτελεί εμπόδιο στις προϋποθέσεις της ανάπτυξης της οικογένειας </w:t>
      </w:r>
      <w:r w:rsidR="00B41719">
        <w:t>με δωρεά</w:t>
      </w:r>
      <w:r w:rsidR="00B24036" w:rsidRPr="00390B86">
        <w:t xml:space="preserve"> γαμετών ή εμβρύων υπό προϋποθέσεις που ορίζονται από το νομοθέτη</w:t>
      </w:r>
      <w:r w:rsidR="00AC0B3F">
        <w:t xml:space="preserve">. </w:t>
      </w:r>
      <w:r w:rsidR="00A341C6">
        <w:t>Άρα δεν τίθεται κανένα ζήτημα αντισυνταγματικότητας των διατάξεων περί δωρεάς γαμετών</w:t>
      </w:r>
      <w:r w:rsidR="000401E7">
        <w:rPr>
          <w:rStyle w:val="FootnoteReference"/>
        </w:rPr>
        <w:footnoteReference w:id="225"/>
      </w:r>
      <w:r w:rsidR="00A341C6">
        <w:t xml:space="preserve">. </w:t>
      </w:r>
    </w:p>
    <w:p w14:paraId="4ABC7400" w14:textId="77777777" w:rsidR="00831986" w:rsidRDefault="00897180" w:rsidP="00831986">
      <w:r>
        <w:rPr>
          <w:rStyle w:val="hps"/>
        </w:rPr>
        <w:t xml:space="preserve">Η απαγόρευση </w:t>
      </w:r>
      <w:r w:rsidR="006B1E64">
        <w:rPr>
          <w:rStyle w:val="hps"/>
        </w:rPr>
        <w:t>της «διπλής δωρεάς»</w:t>
      </w:r>
      <w:r>
        <w:rPr>
          <w:rStyle w:val="hps"/>
        </w:rPr>
        <w:t xml:space="preserve"> συνοδεύεται και από άλλες ρητές απαγορεύσε</w:t>
      </w:r>
      <w:r w:rsidR="00737845">
        <w:rPr>
          <w:rStyle w:val="hps"/>
        </w:rPr>
        <w:t>ις: απαγόρευση σύλληψης εμβρύου</w:t>
      </w:r>
      <w:r>
        <w:rPr>
          <w:rStyle w:val="hps"/>
        </w:rPr>
        <w:t xml:space="preserve"> ή κλωνοποίησής του ή χρήσης του για εμπορικούς ή βιομηχανικούς σκοπούς (άρθρα </w:t>
      </w:r>
      <w:r>
        <w:rPr>
          <w:rStyle w:val="hps"/>
          <w:lang w:val="en-US"/>
        </w:rPr>
        <w:t xml:space="preserve">L. 2141-8 </w:t>
      </w:r>
      <w:r>
        <w:rPr>
          <w:rStyle w:val="hps"/>
        </w:rPr>
        <w:t xml:space="preserve">και </w:t>
      </w:r>
      <w:r>
        <w:rPr>
          <w:rStyle w:val="hps"/>
          <w:lang w:val="en-US"/>
        </w:rPr>
        <w:t>L. 2151-3 ΚΔΥ</w:t>
      </w:r>
      <w:r>
        <w:rPr>
          <w:rStyle w:val="hps"/>
        </w:rPr>
        <w:t xml:space="preserve">), απαγόρευση σύλληψης </w:t>
      </w:r>
      <w:r w:rsidRPr="00897180">
        <w:rPr>
          <w:rStyle w:val="hps"/>
          <w:i/>
          <w:lang w:val="en-US"/>
        </w:rPr>
        <w:t>in vitro</w:t>
      </w:r>
      <w:r>
        <w:rPr>
          <w:rStyle w:val="hps"/>
          <w:lang w:val="en-US"/>
        </w:rPr>
        <w:t xml:space="preserve"> </w:t>
      </w:r>
      <w:r>
        <w:rPr>
          <w:rStyle w:val="hps"/>
        </w:rPr>
        <w:t xml:space="preserve">ή με κλωνοποίηση </w:t>
      </w:r>
      <w:r w:rsidR="00653769">
        <w:rPr>
          <w:rStyle w:val="hps"/>
        </w:rPr>
        <w:t>ανθρωπίνου</w:t>
      </w:r>
      <w:r>
        <w:rPr>
          <w:rStyle w:val="hps"/>
        </w:rPr>
        <w:t xml:space="preserve"> εμβρύου για ερευνητικούς σκοπούς (άρθρο </w:t>
      </w:r>
      <w:r>
        <w:rPr>
          <w:rStyle w:val="hps"/>
          <w:lang w:val="en-US"/>
        </w:rPr>
        <w:t xml:space="preserve">L. 2151-2 </w:t>
      </w:r>
      <w:r>
        <w:rPr>
          <w:rStyle w:val="hps"/>
        </w:rPr>
        <w:t xml:space="preserve">ΚΔΥ) ή για θεραπευτικούς σκοπούς (άρθρο </w:t>
      </w:r>
      <w:r>
        <w:rPr>
          <w:rStyle w:val="hps"/>
          <w:lang w:val="en-US"/>
        </w:rPr>
        <w:t xml:space="preserve">L. 2151-4 </w:t>
      </w:r>
      <w:r w:rsidR="00240F44">
        <w:rPr>
          <w:rStyle w:val="hps"/>
        </w:rPr>
        <w:t>ΚΔΥ), καθώς επίσης και</w:t>
      </w:r>
      <w:r>
        <w:rPr>
          <w:rStyle w:val="hps"/>
        </w:rPr>
        <w:t>, από το Νόμο της 7</w:t>
      </w:r>
      <w:r w:rsidRPr="00897180">
        <w:rPr>
          <w:rStyle w:val="hps"/>
          <w:vertAlign w:val="superscript"/>
        </w:rPr>
        <w:t>ης</w:t>
      </w:r>
      <w:r>
        <w:rPr>
          <w:rStyle w:val="hps"/>
        </w:rPr>
        <w:t xml:space="preserve"> Ιουλίου 2011, </w:t>
      </w:r>
      <w:r w:rsidR="00240F44">
        <w:rPr>
          <w:rStyle w:val="hps"/>
        </w:rPr>
        <w:t xml:space="preserve">απαγόρευση δημιουργίας διαγενικών ή χιμαιρικών εμβρύων (άρθρο </w:t>
      </w:r>
      <w:r w:rsidR="00240F44">
        <w:rPr>
          <w:rStyle w:val="hps"/>
          <w:lang w:val="en-US"/>
        </w:rPr>
        <w:t xml:space="preserve">L. 2151-2, </w:t>
      </w:r>
      <w:r w:rsidR="00240F44">
        <w:rPr>
          <w:rStyle w:val="hps"/>
        </w:rPr>
        <w:t>παρ. 2, ΚΔΥ)</w:t>
      </w:r>
      <w:r w:rsidR="00FB1155">
        <w:rPr>
          <w:rStyle w:val="FootnoteReference"/>
        </w:rPr>
        <w:footnoteReference w:id="226"/>
      </w:r>
      <w:r w:rsidR="00240F44">
        <w:rPr>
          <w:rStyle w:val="hps"/>
        </w:rPr>
        <w:t xml:space="preserve">. </w:t>
      </w:r>
      <w:r w:rsidR="00831986">
        <w:t>Στο</w:t>
      </w:r>
      <w:r w:rsidR="00831986" w:rsidRPr="004E7F62">
        <w:t xml:space="preserve"> </w:t>
      </w:r>
      <w:r w:rsidR="00831986">
        <w:t>ίδιο</w:t>
      </w:r>
      <w:r w:rsidR="00831986" w:rsidRPr="004E7F62">
        <w:t xml:space="preserve"> </w:t>
      </w:r>
      <w:r w:rsidR="00831986">
        <w:t>πλαίσιο</w:t>
      </w:r>
      <w:r w:rsidR="00831986" w:rsidRPr="004E7F62">
        <w:t xml:space="preserve">, </w:t>
      </w:r>
      <w:r w:rsidR="00831986">
        <w:t xml:space="preserve">δυνάμει των διατάξεων του άρθρου </w:t>
      </w:r>
      <w:r w:rsidR="00831986" w:rsidRPr="00861093">
        <w:rPr>
          <w:b/>
          <w:lang w:val="en-US"/>
        </w:rPr>
        <w:t>L</w:t>
      </w:r>
      <w:r w:rsidR="00831986" w:rsidRPr="00861093">
        <w:rPr>
          <w:b/>
        </w:rPr>
        <w:t>. 2141-</w:t>
      </w:r>
      <w:r w:rsidR="00831986">
        <w:rPr>
          <w:b/>
        </w:rPr>
        <w:t>9</w:t>
      </w:r>
      <w:r w:rsidR="00831986" w:rsidRPr="00861093">
        <w:rPr>
          <w:b/>
        </w:rPr>
        <w:t xml:space="preserve"> </w:t>
      </w:r>
      <w:r w:rsidR="00831986">
        <w:rPr>
          <w:b/>
        </w:rPr>
        <w:t>ΚΔΥ</w:t>
      </w:r>
      <w:r w:rsidR="00831986">
        <w:t>, μόνο τα έμβρυα που συνελήφθησαν με γαμέτες ενός τουλάχιστον εκ των υποβοηθούμενων προσώπων και με σεβασμό στις θεμελιώδεις αρχές που ορίζονται στα άρθρα 16 έως 16-8 ΑΚ μπορούν να εισαχθούν στη γαλλική επικράτεια ή να βγουν από αυτήν. Οι μετακινήσεις αυτές εμβρύων στόχο τους έχουν αποκλειστικά και μόνο να επιτρέψουν την ευόδωση του «</w:t>
      </w:r>
      <w:r w:rsidR="00B91D30">
        <w:rPr>
          <w:rStyle w:val="hps"/>
        </w:rPr>
        <w:t>οικογενειακού προγραμματισμού</w:t>
      </w:r>
      <w:r w:rsidR="00831986">
        <w:t>» (</w:t>
      </w:r>
      <w:r w:rsidR="00831986" w:rsidRPr="004E7F62">
        <w:rPr>
          <w:i/>
          <w:lang w:val="fr-FR"/>
        </w:rPr>
        <w:t>projet</w:t>
      </w:r>
      <w:r w:rsidR="00831986" w:rsidRPr="004E7F62">
        <w:rPr>
          <w:i/>
        </w:rPr>
        <w:t xml:space="preserve"> </w:t>
      </w:r>
      <w:r w:rsidR="00831986" w:rsidRPr="004E7F62">
        <w:rPr>
          <w:i/>
          <w:lang w:val="fr-FR"/>
        </w:rPr>
        <w:t>parental</w:t>
      </w:r>
      <w:r w:rsidR="00831986">
        <w:t xml:space="preserve">) του </w:t>
      </w:r>
      <w:r w:rsidR="00737845">
        <w:t>ενδιαφερόμενου υποβοηθούμενου</w:t>
      </w:r>
      <w:r w:rsidR="00831986">
        <w:t xml:space="preserve"> ζευγαριού. Υπόκεινται επίσης σε έγκριση του Οργανισμού Βιοϊατρικής. </w:t>
      </w:r>
    </w:p>
    <w:p w14:paraId="3ABB0B8D" w14:textId="547CC856" w:rsidR="004412FC" w:rsidRDefault="004412FC" w:rsidP="004412FC">
      <w:r w:rsidRPr="004412FC">
        <w:rPr>
          <w:b/>
        </w:rPr>
        <w:lastRenderedPageBreak/>
        <w:t>Εξαίρεση από τον κανόνα της απαγόρευσης της διπλής δωρεάς (</w:t>
      </w:r>
      <w:r w:rsidRPr="004412FC">
        <w:rPr>
          <w:b/>
          <w:i/>
          <w:lang w:val="en-US"/>
        </w:rPr>
        <w:t>double</w:t>
      </w:r>
      <w:r w:rsidRPr="004412FC">
        <w:rPr>
          <w:b/>
          <w:i/>
        </w:rPr>
        <w:t xml:space="preserve"> </w:t>
      </w:r>
      <w:r w:rsidRPr="004412FC">
        <w:rPr>
          <w:b/>
          <w:i/>
          <w:lang w:val="en-US"/>
        </w:rPr>
        <w:t>don</w:t>
      </w:r>
      <w:r w:rsidRPr="004412FC">
        <w:rPr>
          <w:b/>
        </w:rPr>
        <w:t>)</w:t>
      </w:r>
      <w:r>
        <w:t xml:space="preserve"> προβλέπεται μόνο στην περίπτωση του </w:t>
      </w:r>
      <w:r w:rsidRPr="00A93578">
        <w:rPr>
          <w:b/>
        </w:rPr>
        <w:t xml:space="preserve">άρθρου </w:t>
      </w:r>
      <w:r w:rsidRPr="00A93578">
        <w:rPr>
          <w:b/>
          <w:lang w:val="en-US"/>
        </w:rPr>
        <w:t>L</w:t>
      </w:r>
      <w:r w:rsidRPr="00A93578">
        <w:rPr>
          <w:b/>
        </w:rPr>
        <w:t xml:space="preserve">. 2141-6 </w:t>
      </w:r>
      <w:r>
        <w:rPr>
          <w:b/>
        </w:rPr>
        <w:t>ΚΔΥ</w:t>
      </w:r>
      <w:r>
        <w:t xml:space="preserve">, δυνάμει των διατάξεων του οποίου ένα ζευγάρι που πληροί τις προϋποθέσεις του </w:t>
      </w:r>
      <w:r w:rsidRPr="00A93578">
        <w:t xml:space="preserve">άρθρου </w:t>
      </w:r>
      <w:r w:rsidRPr="00A93578">
        <w:rPr>
          <w:lang w:val="en-US"/>
        </w:rPr>
        <w:t>L</w:t>
      </w:r>
      <w:r w:rsidRPr="00A93578">
        <w:t>. 2141-2</w:t>
      </w:r>
      <w:r w:rsidR="00737845">
        <w:t xml:space="preserve"> ΚΔΥ</w:t>
      </w:r>
      <w:r w:rsidR="00C05142">
        <w:t xml:space="preserve"> [όροι πρόσβασης και γενικές προϋποθέσεις προσφυγής στην ιατρικά υποβοηθούμενη αναπαραγωγή]</w:t>
      </w:r>
      <w:r>
        <w:rPr>
          <w:b/>
        </w:rPr>
        <w:t xml:space="preserve"> </w:t>
      </w:r>
      <w:r w:rsidRPr="00861093">
        <w:t xml:space="preserve">μπορεί να </w:t>
      </w:r>
      <w:r w:rsidR="00C05142">
        <w:t xml:space="preserve">λάβει ένα έμβρυο, </w:t>
      </w:r>
      <w:r>
        <w:t xml:space="preserve">υπό </w:t>
      </w:r>
      <w:r w:rsidR="006D282D">
        <w:t>τον όρο ότι η εφαρμογή των λοιπώ</w:t>
      </w:r>
      <w:r>
        <w:t xml:space="preserve">ν μεθόδων ιατρικά υποβοηθούμενης αναπαραγωγής στο ενδιαφερόμενο ζευγάρι δε δύναται να οδηγήσει στο επιθυμητό αποτέλεσμα και ότι το ζευγάρι στο οποίο ανήκει το έμβρυο, πλήρως ενημερωμένο, όπως ορίζει το άρθρο </w:t>
      </w:r>
      <w:r w:rsidRPr="00A93578">
        <w:rPr>
          <w:lang w:val="en-US"/>
        </w:rPr>
        <w:t>L</w:t>
      </w:r>
      <w:r w:rsidRPr="00A93578">
        <w:t>. 2141-10</w:t>
      </w:r>
      <w:r w:rsidR="00737845">
        <w:t xml:space="preserve"> ΚΔΥ</w:t>
      </w:r>
      <w:r w:rsidRPr="00A93578">
        <w:t>,</w:t>
      </w:r>
      <w:r>
        <w:t xml:space="preserve"> παραιτείται από αυτό. </w:t>
      </w:r>
    </w:p>
    <w:p w14:paraId="34B6FB1D" w14:textId="77777777" w:rsidR="004412FC" w:rsidRDefault="004412FC" w:rsidP="004412FC">
      <w:r>
        <w:t xml:space="preserve">Η λήψη του εμβρύου υπόκειται στην κρίση της δικαστικής εξουσίας, η οποία δέχεται προηγουμένως τη συναίνεση του ζευγαριού που παραχωρεί το έμβρυο. Ο δικαστής βεβαιώνεται ότι το ζευγάρι που θα λάβει το έμβρυο πληροί τις προϋποθέσεις που προβλέπονται στο άρθρο </w:t>
      </w:r>
      <w:r w:rsidRPr="00A93578">
        <w:rPr>
          <w:lang w:val="en-US"/>
        </w:rPr>
        <w:t>L</w:t>
      </w:r>
      <w:r w:rsidRPr="00A93578">
        <w:t>. 2141-2</w:t>
      </w:r>
      <w:r>
        <w:t xml:space="preserve"> ΚΔΥ και ζητάει να διεξαχθεί κάθε αναγκαία διαδικασία διερεύνησης και εκτίμησης των συνθηκών υποδοχή</w:t>
      </w:r>
      <w:r w:rsidR="00D9501C">
        <w:t>ς του εμβρύου από το ζευγάρι</w:t>
      </w:r>
      <w:r>
        <w:t xml:space="preserve">. Η άδεια λήψης του εμβρύου εκδίδεται για διάρκεια τριών (3) ετών με δυνατότητα ανανέωσης. </w:t>
      </w:r>
    </w:p>
    <w:p w14:paraId="6ACC47AC" w14:textId="77777777" w:rsidR="004412FC" w:rsidRDefault="004412FC" w:rsidP="004412FC">
      <w:r w:rsidRPr="00B849B3">
        <w:t>Τα δύο ζευγάρια [αυτό των ληπτών και αυτό των δοτών</w:t>
      </w:r>
      <w:r>
        <w:t xml:space="preserve"> </w:t>
      </w:r>
      <w:r w:rsidRPr="00B849B3">
        <w:t xml:space="preserve">του εμβρύου] δε δύνανται να γνωρίζουν </w:t>
      </w:r>
      <w:r w:rsidR="007F7A3E">
        <w:t xml:space="preserve">το ένα την ταυτότητα του άλλου. </w:t>
      </w:r>
      <w:r>
        <w:t xml:space="preserve">Παρόλα αυτά, σε περίπτωση θεραπευτικής ανάγκης, ένας ιατρός μπορεί να έχει πρόσβαση σε μη-αναγνωρίσιμες ιατρικές πληροφορίες σχετικά με το ζευγάρι που παραχώρησε το έμβρυο. </w:t>
      </w:r>
    </w:p>
    <w:p w14:paraId="39E67DE8" w14:textId="77777777" w:rsidR="004412FC" w:rsidRDefault="004412FC" w:rsidP="004412FC">
      <w:r>
        <w:t xml:space="preserve">Κανενός είδους αμοιβή δε μπορεί να παρασχεθεί στο ζευγάρι που παραχωρεί το έμβρυο. </w:t>
      </w:r>
    </w:p>
    <w:p w14:paraId="5A7900D3" w14:textId="77777777" w:rsidR="004412FC" w:rsidRDefault="004412FC" w:rsidP="004412FC">
      <w:r>
        <w:t>Η λήψη του εμβρύου υπόκειται σε κανόνες υγειονομικής ασφάλειας, οι οποίοι περιλαμβάνουν ιδίως αναλύσεις εντοπισμού μολυσματικών ασθενειών. Μόνο τα δημόσια ή τα ιδιωτικά ιδρύματα μη κερδοσκοπικού χαρακτήρα που έχουν άδεια για το σκοπό αυτό μπορούν να κρυοσυντηρούν τα έμβρυα και να θέτουν σε εφαρμογή τη διαδικασία υποδοχής</w:t>
      </w:r>
      <w:r w:rsidR="00514AD7">
        <w:rPr>
          <w:rStyle w:val="FootnoteReference"/>
        </w:rPr>
        <w:footnoteReference w:id="227"/>
      </w:r>
      <w:r>
        <w:t xml:space="preserve">. </w:t>
      </w:r>
    </w:p>
    <w:p w14:paraId="6F218CCB" w14:textId="77777777" w:rsidR="004412FC" w:rsidRDefault="004412FC" w:rsidP="004412FC">
      <w:r>
        <w:t xml:space="preserve">Σύμφωνα, δε, με το </w:t>
      </w:r>
      <w:r w:rsidRPr="00673272">
        <w:t>πρώτο άρθρο της Υπουργικής απόφασης της 22</w:t>
      </w:r>
      <w:r w:rsidRPr="00D9287C">
        <w:rPr>
          <w:vertAlign w:val="superscript"/>
        </w:rPr>
        <w:t>ας</w:t>
      </w:r>
      <w:r w:rsidRPr="00673272">
        <w:t xml:space="preserve"> Αυγούστου 2008 σχετικά με τη συναίνεση και την επιβεβαίωση της συναίνεσης ενός ζευγαριού ή του επιζώντος μέλους του ζευγαριού</w:t>
      </w:r>
      <w:r w:rsidR="006C4838">
        <w:t xml:space="preserve"> σε περίπτωση θανάτου του άλλου</w:t>
      </w:r>
      <w:r w:rsidRPr="00673272">
        <w:t xml:space="preserve"> ως προς τη λήψη </w:t>
      </w:r>
      <w:r w:rsidR="009F13AC">
        <w:t>του ή των εμβρύων του</w:t>
      </w:r>
      <w:r w:rsidRPr="00673272">
        <w:t xml:space="preserve"> από τρίτο ζευγάρι</w:t>
      </w:r>
      <w:r>
        <w:rPr>
          <w:rStyle w:val="FootnoteReference"/>
          <w:rFonts w:cs="CCBFOG+TimesNewRoman"/>
          <w:b/>
        </w:rPr>
        <w:footnoteReference w:id="228"/>
      </w:r>
      <w:r>
        <w:t>:</w:t>
      </w:r>
    </w:p>
    <w:p w14:paraId="75234865" w14:textId="77777777" w:rsidR="004412FC" w:rsidRPr="006C4838" w:rsidRDefault="004412FC" w:rsidP="004412FC">
      <w:pPr>
        <w:rPr>
          <w:i/>
        </w:rPr>
      </w:pPr>
      <w:r w:rsidRPr="00673272">
        <w:t>«</w:t>
      </w:r>
      <w:r w:rsidRPr="009F13AC">
        <w:rPr>
          <w:i/>
          <w:lang w:val="fr-FR"/>
        </w:rPr>
        <w:t>I</w:t>
      </w:r>
      <w:r w:rsidRPr="009F13AC">
        <w:rPr>
          <w:i/>
        </w:rPr>
        <w:t>.</w:t>
      </w:r>
      <w:r w:rsidRPr="006C4838">
        <w:rPr>
          <w:i/>
        </w:rPr>
        <w:t xml:space="preserve"> Η συναίνεση ενός ζευγαριού ή του επιζώντος μέλους του ζευγαριού</w:t>
      </w:r>
      <w:r w:rsidR="009F13AC">
        <w:rPr>
          <w:i/>
        </w:rPr>
        <w:t xml:space="preserve"> σε περίπτωση θανάτου του άλλου</w:t>
      </w:r>
      <w:r w:rsidRPr="006C4838">
        <w:rPr>
          <w:i/>
        </w:rPr>
        <w:t xml:space="preserve"> ως προς τη λήψη του ή των εμβρύων του από τρίτο ζευγάρι εκφράζεται </w:t>
      </w:r>
      <w:r w:rsidRPr="006C4838">
        <w:rPr>
          <w:i/>
        </w:rPr>
        <w:lastRenderedPageBreak/>
        <w:t xml:space="preserve">εγγράφως, με τυποποιημένο έγγραφο που δημοσιεύεται στο Παράρτημα Ι ή το Παράρτημα ΙΙ της παρούσας Απόφασης. </w:t>
      </w:r>
    </w:p>
    <w:p w14:paraId="659D463F" w14:textId="77777777" w:rsidR="004412FC" w:rsidRPr="00897180" w:rsidRDefault="004412FC" w:rsidP="004412FC">
      <w:r w:rsidRPr="006C4838">
        <w:rPr>
          <w:i/>
        </w:rPr>
        <w:t xml:space="preserve">ΙΙ. Η επιβεβαίωση της συναίνεσης αυτής εκφράζεται, εγγράφως, μετά το πέρας μιας περιόδου σκέψης τουλάχιστον τριών </w:t>
      </w:r>
      <w:r w:rsidR="009F13AC">
        <w:rPr>
          <w:i/>
        </w:rPr>
        <w:t xml:space="preserve">(3) </w:t>
      </w:r>
      <w:r w:rsidRPr="006C4838">
        <w:rPr>
          <w:i/>
        </w:rPr>
        <w:t xml:space="preserve">μηνών οι οποίοι αρχίζουν να τρέχουν από την ημερομηνία της υπογραφής του εγγράφου που αναφέρεται στο Ι του παρόντος άρθρου, με τυποποιημένο έγγραφο που δημοσιεύεται στο Παράρτημα ΙΙ ή το Παράρτημα </w:t>
      </w:r>
      <w:r w:rsidRPr="006C4838">
        <w:rPr>
          <w:i/>
          <w:lang w:val="fr-FR"/>
        </w:rPr>
        <w:t>IV</w:t>
      </w:r>
      <w:r w:rsidRPr="006C4838">
        <w:rPr>
          <w:i/>
        </w:rPr>
        <w:t xml:space="preserve"> της παρούσας Απόφασης</w:t>
      </w:r>
      <w:r>
        <w:t>».</w:t>
      </w:r>
    </w:p>
    <w:p w14:paraId="5D9CCCF4" w14:textId="77777777" w:rsidR="00E73168" w:rsidRDefault="00E73168" w:rsidP="00E73168">
      <w:r>
        <w:t xml:space="preserve">Σε ό,τι αφορά </w:t>
      </w:r>
      <w:r w:rsidR="003B57CB">
        <w:t xml:space="preserve">στην επιλογή </w:t>
      </w:r>
      <w:r>
        <w:t>της ιατρικά υποβοηθούμενης αναπαραγωγής</w:t>
      </w:r>
      <w:r w:rsidR="003B57CB">
        <w:t xml:space="preserve"> με τρίτο δότη ή </w:t>
      </w:r>
      <w:r w:rsidR="009F13AC">
        <w:t xml:space="preserve">τη </w:t>
      </w:r>
      <w:r w:rsidR="003B57CB">
        <w:t>λήψη εμβρύου από τρίτους δότες</w:t>
      </w:r>
      <w:r w:rsidRPr="00FA0918">
        <w:t xml:space="preserve">, τα </w:t>
      </w:r>
      <w:r w:rsidRPr="009C7BC9">
        <w:rPr>
          <w:b/>
        </w:rPr>
        <w:t>κριτήρια είναι πάντα ιατρικής φύσης</w:t>
      </w:r>
      <w:r w:rsidRPr="00FA0918">
        <w:t xml:space="preserve">. Με την </w:t>
      </w:r>
      <w:r w:rsidR="00A3024B">
        <w:t xml:space="preserve">ετερόλογη γονιμοποίηση </w:t>
      </w:r>
      <w:r w:rsidRPr="00FA0918">
        <w:t xml:space="preserve">επιχειρείται να παρακαμφθούν </w:t>
      </w:r>
      <w:r w:rsidR="00A3024B">
        <w:t xml:space="preserve">συγκεκριμένοι ιατρικοί λόγοι που εμποδίζουν τη φυσιολογική σύλληψη του εμβρύου από το υποψήφιο υποβοηθούμενο ζευγάρι ή να αντιμετωπιστεί ο κίνδυνος μετάδοσης σοβαρής ασθένειας στο έτερο μέλος του ζευγαριού ή στο τέκνο που θα γεννηθεί. </w:t>
      </w:r>
    </w:p>
    <w:p w14:paraId="636FA653" w14:textId="77777777" w:rsidR="00E73168" w:rsidRDefault="00E73168" w:rsidP="00E73168">
      <w:r>
        <w:t>Άλλωστε, όπως έχουμε ήδη προαναφέρει, αυτός είναι, μεταξύ άλλων, και ο σκοπός των</w:t>
      </w:r>
      <w:r w:rsidRPr="00513C39">
        <w:rPr>
          <w:rFonts w:eastAsia="Calibri"/>
        </w:rPr>
        <w:t xml:space="preserve"> διαγνωστικών εξετάσεων (</w:t>
      </w:r>
      <w:r w:rsidRPr="00513C39">
        <w:rPr>
          <w:i/>
        </w:rPr>
        <w:t>bilan diagnostique</w:t>
      </w:r>
      <w:r>
        <w:t>) στις οποίες υποβάλλεται</w:t>
      </w:r>
      <w:r w:rsidRPr="00513C39">
        <w:rPr>
          <w:rFonts w:eastAsia="Calibri"/>
        </w:rPr>
        <w:t xml:space="preserve"> το ζευγάρι πριν ξεκινήσει </w:t>
      </w:r>
      <w:r>
        <w:rPr>
          <w:rFonts w:eastAsia="Calibri"/>
        </w:rPr>
        <w:t>την ιατρικά υποβοηθούμενη αναπαραγωγή</w:t>
      </w:r>
      <w:r w:rsidR="00ED6363">
        <w:t xml:space="preserve">: η διερεύνηση της καλύτερης δυνατής και αποτελεσματικότερης, </w:t>
      </w:r>
      <w:r w:rsidR="00ED6363" w:rsidRPr="00513C39">
        <w:t>προσαρμοσμένη</w:t>
      </w:r>
      <w:r w:rsidR="00ED6363">
        <w:t>ς</w:t>
      </w:r>
      <w:r w:rsidR="00ED6363" w:rsidRPr="00513C39">
        <w:t xml:space="preserve"> στις ανάγκες του</w:t>
      </w:r>
      <w:r w:rsidR="00ED6363">
        <w:t xml:space="preserve"> υποβοηθούμενου ζευγαριού,</w:t>
      </w:r>
      <w:r w:rsidR="00ED6363" w:rsidRPr="00513C39">
        <w:t xml:space="preserve"> πορεία</w:t>
      </w:r>
      <w:r w:rsidR="00ED6363">
        <w:t>ς</w:t>
      </w:r>
      <w:r w:rsidR="00ED6363" w:rsidRPr="00513C39">
        <w:t xml:space="preserve"> </w:t>
      </w:r>
      <w:r w:rsidR="00ED6363">
        <w:t xml:space="preserve">ιατρικά υποβοηθούμενης αναπαραγωγής. </w:t>
      </w:r>
      <w:r>
        <w:t xml:space="preserve">Τα αποτελέσματα των </w:t>
      </w:r>
      <w:r w:rsidR="00ED6363">
        <w:t xml:space="preserve">διαγνωστικών </w:t>
      </w:r>
      <w:r>
        <w:t xml:space="preserve">εξετάσεων </w:t>
      </w:r>
      <w:r w:rsidR="00ED6363">
        <w:t>στις οποίες υποβάλλεται το ζευγάρι</w:t>
      </w:r>
      <w:r>
        <w:t xml:space="preserve"> θα επιτρέψουν στη </w:t>
      </w:r>
      <w:r w:rsidRPr="00513C39">
        <w:t xml:space="preserve">διεπιστημονική ομάδα του κέντρου </w:t>
      </w:r>
      <w:r>
        <w:t>ιατρικά υποβοηθούμενης αναπαραγωγής</w:t>
      </w:r>
      <w:r w:rsidRPr="00513C39">
        <w:t xml:space="preserve"> να αξιολογήσει τις πιθανότητες φυσιολογικής σύλληψης, το αναμενόμενο ποσοστό επιτυχίας ενδεχόμενης </w:t>
      </w:r>
      <w:r>
        <w:t>ιατρικά υποβοηθούμενης αναπαραγωγής</w:t>
      </w:r>
      <w:r w:rsidRPr="00513C39">
        <w:t xml:space="preserve">, τους κινδύνους των διαφόρων θεραπειών, καθώς επίσης και το ιδανικό χρονικό διάστημα κατά το οποίο πρέπει να πραγματοποιηθεί η </w:t>
      </w:r>
      <w:r>
        <w:t>ιατρικά υποβοηθούμενη αναπαραγωγή</w:t>
      </w:r>
      <w:r w:rsidRPr="00513C39">
        <w:t>. Μετά από</w:t>
      </w:r>
      <w:r>
        <w:t xml:space="preserve"> μελέτη του συνόλου των ανωτέρω</w:t>
      </w:r>
      <w:r w:rsidRPr="00513C39">
        <w:t xml:space="preserve"> εξετάσεων υπογονιμότητας και συζήτηση εντός της διεπιστημονικής ομάδας, ο ιατρός προτείνει στο ζευγάρι προσαρμοσμένη στις ανάγκες του πορεία </w:t>
      </w:r>
      <w:r>
        <w:t>ιατρικά υποβοηθούμενης αναπαραγωγής</w:t>
      </w:r>
      <w:r>
        <w:rPr>
          <w:rStyle w:val="FootnoteReference"/>
        </w:rPr>
        <w:footnoteReference w:id="229"/>
      </w:r>
      <w:r w:rsidRPr="00513C39">
        <w:t>.</w:t>
      </w:r>
      <w:r>
        <w:t xml:space="preserve"> </w:t>
      </w:r>
    </w:p>
    <w:p w14:paraId="4D4C9764" w14:textId="77777777" w:rsidR="007D4E1A" w:rsidRDefault="00E73168" w:rsidP="004412FC">
      <w:r w:rsidRPr="00FA0918">
        <w:t>Ανεξαρτήτως</w:t>
      </w:r>
      <w:r>
        <w:t xml:space="preserve"> ωστόσο</w:t>
      </w:r>
      <w:r w:rsidRPr="00FA0918">
        <w:t xml:space="preserve"> της τελικής επιλογής μεθόδου </w:t>
      </w:r>
      <w:r>
        <w:t>ιατρικά υποβοηθούμενης αναπαραγωγής</w:t>
      </w:r>
      <w:r w:rsidRPr="00FA0918">
        <w:t xml:space="preserve"> για την κάθε επί μέρους περίπτωση, κατά την εφαρμογή </w:t>
      </w:r>
      <w:r>
        <w:t>της ιατρικά υποβοηθούμενης αναπαραγωγής</w:t>
      </w:r>
      <w:r w:rsidRPr="00FA0918">
        <w:t xml:space="preserve"> </w:t>
      </w:r>
      <w:r>
        <w:t>πρέπει να πληρούται το σύνολο των όρων και προϋποθέσεων για την πρόσβαση στην ιατρικά υποβοηθούμενη αναπαραγωγή που θέτει ο γάλλος νομοθέτης και οι οποίες προαναφέρθηκαν</w:t>
      </w:r>
      <w:r w:rsidR="004A00BC">
        <w:rPr>
          <w:rStyle w:val="FootnoteReference"/>
        </w:rPr>
        <w:footnoteReference w:id="230"/>
      </w:r>
      <w:r>
        <w:t xml:space="preserve">.  </w:t>
      </w:r>
    </w:p>
    <w:p w14:paraId="30057482" w14:textId="3A49E6B4" w:rsidR="007D3F1B" w:rsidRDefault="007D3F1B" w:rsidP="007D3F1B">
      <w:pPr>
        <w:pStyle w:val="Heading4"/>
      </w:pPr>
      <w:bookmarkStart w:id="131" w:name="_Toc276574412"/>
      <w:r>
        <w:lastRenderedPageBreak/>
        <w:t>§</w:t>
      </w:r>
      <w:r w:rsidR="00BA0F1C">
        <w:t>2</w:t>
      </w:r>
      <w:r>
        <w:t>. Συνέπειες μη συμμόρφωσης με τις νομοθετικές προσταγές</w:t>
      </w:r>
      <w:bookmarkEnd w:id="131"/>
      <w:r>
        <w:t xml:space="preserve"> </w:t>
      </w:r>
    </w:p>
    <w:p w14:paraId="0E58BDFC" w14:textId="77777777" w:rsidR="0017366A" w:rsidRPr="004933B9" w:rsidRDefault="0017366A" w:rsidP="0017366A">
      <w:r>
        <w:t xml:space="preserve">Σε περίπτωση παραβίασης των όρων πρόσβασης στην υποβοηθούμενη αναπαραγωγή ή των γενικών προϋποθέσεων που ορίζει ο νόμος, οι συνέπειες μπορεί να είναι διοικητικής, αστικής και ποινικής φύσης και αφορούν όχι μόνο στον ιατρό και το κέντρο ιατρικά υποβοηθούμενης αναπαραγωγής στο οποίο απευθύνθηκε το υποψήφιο υποβοηθούμενο ζευγάρι, αλλά και στα ίδια τα υποβοηθούμενα πρόσωπα. </w:t>
      </w:r>
    </w:p>
    <w:p w14:paraId="7D7D1A2D" w14:textId="77777777" w:rsidR="0017366A" w:rsidRPr="004042D4" w:rsidRDefault="0017366A" w:rsidP="00B27D8D">
      <w:pPr>
        <w:pStyle w:val="Heading6"/>
      </w:pPr>
      <w:r w:rsidRPr="004042D4">
        <w:t>Συνέπειες διοικητικής φύσης:</w:t>
      </w:r>
    </w:p>
    <w:p w14:paraId="436221F0" w14:textId="77777777" w:rsidR="0017366A" w:rsidRDefault="0017366A" w:rsidP="0017366A">
      <w:r>
        <w:t>Οι διοικητικής φύσης συνέπειες αφορούν στον ιατρό και το κέντρο ιατρικά υποβοηθούμενης αναπαραγωγής και τ</w:t>
      </w:r>
      <w:r w:rsidRPr="00FA0918">
        <w:t xml:space="preserve">ο περιεχόμενο </w:t>
      </w:r>
      <w:r>
        <w:t xml:space="preserve">τους </w:t>
      </w:r>
      <w:r w:rsidRPr="00FA0918">
        <w:t>εξαρτάται από</w:t>
      </w:r>
      <w:r>
        <w:t xml:space="preserve"> τους όρους πρόσβασης (π.χ. αδυναμία απόκτησης τέκνου με φυσικό τρόπο, αποφυγή μετάδοσης σοβαρής ασθένειας στο τέκνο ή το/τη σύντροφο) ή τις γενικές προϋποθέσεις </w:t>
      </w:r>
      <w:r w:rsidRPr="00FA0918">
        <w:t xml:space="preserve">εφαρμογής </w:t>
      </w:r>
      <w:r>
        <w:t xml:space="preserve">(π.χ. ηλικία, υγεία, συναίνεση ή ενημέρωση υποβοηθούμενων προσώπων) </w:t>
      </w:r>
      <w:r w:rsidRPr="00FA0918">
        <w:t xml:space="preserve">της </w:t>
      </w:r>
      <w:r>
        <w:t xml:space="preserve">ιατρικά υποβοηθούμενης αναπαραγωγής </w:t>
      </w:r>
      <w:r w:rsidRPr="00FA0918">
        <w:t>που παραβιάζονται</w:t>
      </w:r>
      <w:r w:rsidR="004042D4">
        <w:t>.</w:t>
      </w:r>
    </w:p>
    <w:p w14:paraId="26BCDC1D" w14:textId="1B5146B0" w:rsidR="004042D4" w:rsidRDefault="004042D4" w:rsidP="004042D4">
      <w:r w:rsidRPr="00EE4056">
        <w:t xml:space="preserve">Όπως έχει </w:t>
      </w:r>
      <w:r>
        <w:t>κατ’ επανάληψη σημειωθεί</w:t>
      </w:r>
      <w:r>
        <w:rPr>
          <w:rStyle w:val="FootnoteReference"/>
        </w:rPr>
        <w:footnoteReference w:id="231"/>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rsidR="00DD0107">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p>
    <w:p w14:paraId="36551BE7" w14:textId="77777777" w:rsidR="00FC33BA" w:rsidRPr="00710478" w:rsidRDefault="00FC33BA" w:rsidP="00B27D8D">
      <w:pPr>
        <w:pStyle w:val="Heading6"/>
      </w:pPr>
      <w:r w:rsidRPr="00710478">
        <w:t>Συνέπειες ποινικής φύσης:</w:t>
      </w:r>
    </w:p>
    <w:p w14:paraId="7A1C3ED0" w14:textId="77777777" w:rsidR="00FC33BA" w:rsidRPr="00465E5D" w:rsidRDefault="00FC33BA" w:rsidP="00FC33BA">
      <w:r>
        <w:t xml:space="preserve">Οι συνέπειες ποινικής φύσης για την </w:t>
      </w:r>
      <w:r w:rsidRPr="00FA0918">
        <w:t>παραβ</w:t>
      </w:r>
      <w:r>
        <w:t>ίαση των προϋποθέσεων του νόμου αφορούν στον ιατρό και το κέντρο ιατρικά υποβοηθούμενης αναπαραγωγής και το περιεχόμενό τους</w:t>
      </w:r>
      <w:r w:rsidRPr="00FA0918">
        <w:t xml:space="preserve"> εξαρτάται από</w:t>
      </w:r>
      <w:r>
        <w:t xml:space="preserve"> τους όρους πρόσβασης (π.χ. αδυναμία απόκτησης τέκνου με φυσικό τρόπο, αποφυγή μετάδοσης σοβαρής ασθένειας στο τέκνο ή το/τη σύντροφο) και  τις γενικές προϋποθέσεις </w:t>
      </w:r>
      <w:r w:rsidRPr="00FA0918">
        <w:t xml:space="preserve">εφαρμογής </w:t>
      </w:r>
      <w:r>
        <w:t xml:space="preserve">(π.χ. ηλικία, υγεία, συναίνεση ή ενημέρωση υποβοηθούμενων προσώπων) </w:t>
      </w:r>
      <w:r w:rsidRPr="00FA0918">
        <w:t xml:space="preserve">της </w:t>
      </w:r>
      <w:r>
        <w:t xml:space="preserve">ιατρικά υποβοηθούμενης </w:t>
      </w:r>
      <w:r w:rsidRPr="00FA0918">
        <w:t xml:space="preserve"> </w:t>
      </w:r>
      <w:r>
        <w:t xml:space="preserve">αναπαραγωγής </w:t>
      </w:r>
      <w:r w:rsidRPr="00FA0918">
        <w:t>που παραβιάζονται</w:t>
      </w:r>
      <w:r>
        <w:t xml:space="preserve">. </w:t>
      </w:r>
    </w:p>
    <w:p w14:paraId="28A29FDC" w14:textId="3E3889D9" w:rsidR="00FC33BA" w:rsidRPr="00C51393" w:rsidRDefault="00FC33BA" w:rsidP="00FC33BA">
      <w:r w:rsidRPr="00C51393">
        <w:t xml:space="preserve">Σύμφωνα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w:t>
      </w:r>
      <w:r w:rsidR="002F61A0">
        <w:t>511-24 ΠΚ</w:t>
      </w:r>
      <w:r w:rsidRPr="00C51393">
        <w:t>, «</w:t>
      </w:r>
      <w:r w:rsidRPr="00C51393">
        <w:rPr>
          <w:i/>
        </w:rPr>
        <w:t xml:space="preserve">η διενέργεια δραστηριοτήτων ιατρικά υποβοηθούμενης αναπαραγωγής </w:t>
      </w:r>
      <w:r w:rsidRPr="00C51393">
        <w:rPr>
          <w:i/>
        </w:rPr>
        <w:lastRenderedPageBreak/>
        <w:t xml:space="preserve">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01DB7CCA" w14:textId="77777777" w:rsidR="004042D4" w:rsidRPr="00642B1A" w:rsidRDefault="00FC33BA" w:rsidP="00FC33BA">
      <w:pPr>
        <w:rPr>
          <w:b/>
          <w:highlight w:val="lightGray"/>
        </w:rPr>
      </w:pPr>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232"/>
      </w:r>
      <w:r w:rsidRPr="0059473C">
        <w:t>.</w:t>
      </w:r>
    </w:p>
    <w:p w14:paraId="5C4EF7E5" w14:textId="77777777" w:rsidR="008512AF" w:rsidRPr="00FC33BA" w:rsidRDefault="008512AF" w:rsidP="00B27D8D">
      <w:pPr>
        <w:pStyle w:val="Heading6"/>
      </w:pPr>
      <w:r w:rsidRPr="00FC33BA">
        <w:t>Συνέπειες αστικής φύσης :</w:t>
      </w:r>
    </w:p>
    <w:p w14:paraId="5C88F3F8" w14:textId="77777777" w:rsidR="008512AF" w:rsidRDefault="008512AF" w:rsidP="008512AF">
      <w:r>
        <w:t>Οι συνέπειες αστικής φύσης αφορούν στα υποβοηθούμενα πρόσωπα</w:t>
      </w:r>
      <w:r w:rsidR="0036076F">
        <w:rPr>
          <w:rStyle w:val="FootnoteReference"/>
        </w:rPr>
        <w:footnoteReference w:id="233"/>
      </w:r>
      <w:r>
        <w:t xml:space="preserve"> και το περιεχόμενό</w:t>
      </w:r>
      <w:r w:rsidRPr="00FA0918">
        <w:t xml:space="preserve"> </w:t>
      </w:r>
      <w:r>
        <w:t>τους</w:t>
      </w:r>
      <w:r w:rsidRPr="00FA0918">
        <w:t xml:space="preserve"> εξαρτάται από</w:t>
      </w:r>
      <w:r>
        <w:t xml:space="preserve"> τους όρους πρόσβασης (π.χ. αδυναμία απόκτησης τέκνου με φυσικό τρόπο, αποφυγή μετάδοσης σοβαρής ασθένειας στο τέκνο ή το/τη σύντροφο) και  τις γενικές προϋποθέσεις </w:t>
      </w:r>
      <w:r w:rsidRPr="00FA0918">
        <w:t xml:space="preserve">εφαρμογής </w:t>
      </w:r>
      <w:r>
        <w:t xml:space="preserve">(π.χ. ηλικία, υγεία, συναίνεση ή ενημέρωση υποβοηθούμενων προσώπων) </w:t>
      </w:r>
      <w:r w:rsidRPr="00FA0918">
        <w:t xml:space="preserve">της </w:t>
      </w:r>
      <w:r>
        <w:t xml:space="preserve">ιατρικά υποβοηθούμενης αναπαραγωγής </w:t>
      </w:r>
      <w:r w:rsidRPr="00FA0918">
        <w:t>που παραβιάζονται</w:t>
      </w:r>
      <w:r>
        <w:t xml:space="preserve">. </w:t>
      </w:r>
    </w:p>
    <w:p w14:paraId="0D045188" w14:textId="77777777" w:rsidR="008512AF" w:rsidRDefault="008512AF" w:rsidP="008512AF">
      <w:r w:rsidRPr="00FA0918">
        <w:t>Η</w:t>
      </w:r>
      <w:r>
        <w:t xml:space="preserve"> γενική προϋπόθεση</w:t>
      </w:r>
      <w:r w:rsidRPr="00FA0918">
        <w:t xml:space="preserve"> για την εφαρμογή των μεθόδων </w:t>
      </w:r>
      <w:r w:rsidR="00576C9E">
        <w:t>ιατρικά υποβοηθούμενης αναπαραγωγής</w:t>
      </w:r>
      <w:r w:rsidRPr="00FA0918">
        <w:t xml:space="preserve"> που μας ενδιαφέρει εδώ είναι η λήψη </w:t>
      </w:r>
      <w:r>
        <w:t>της έγγραφης συναίνεσης</w:t>
      </w:r>
      <w:r w:rsidRPr="00FA0918">
        <w:t xml:space="preserve"> των προσώπων που επιθυμούν να τεκνοποιήσουν και, προκειμένου να απαντηθεί η παρούσα ερώτηση, κρίσιμο είναι να διερευνηθεί ποιες είναι οι συνέπειες αστικής φύσης της μη έγκυρης λήψης </w:t>
      </w:r>
      <w:r>
        <w:t>της απαραίτητης συναίνεσης</w:t>
      </w:r>
      <w:r w:rsidRPr="00FA0918">
        <w:t xml:space="preserve"> των ενδιαφερόμενων προσώπων</w:t>
      </w:r>
      <w:r>
        <w:t xml:space="preserve">. </w:t>
      </w:r>
    </w:p>
    <w:p w14:paraId="79B8791D" w14:textId="77777777" w:rsidR="00C700B7" w:rsidRDefault="00C700B7" w:rsidP="00C700B7">
      <w:r>
        <w:t>Τα πράγματα περιπλέκονται, ωστόσο, σε σύγκριση με την ομόλογη αναπαραγωγή, όταν το τέκνο δεν είναι προϊόν «ενδο</w:t>
      </w:r>
      <w:r w:rsidR="00AB4962">
        <w:t>-συζυγι</w:t>
      </w:r>
      <w:r>
        <w:t xml:space="preserve">κής αναπαραγωγής», αλλά έχει συλληφθεί με παρέμβαση τρίτου δότη, είτε </w:t>
      </w:r>
      <w:r w:rsidR="00576C9E">
        <w:t>κατόπιν</w:t>
      </w:r>
      <w:r>
        <w:t xml:space="preserve"> χρήση</w:t>
      </w:r>
      <w:r w:rsidR="00576C9E">
        <w:t>ς</w:t>
      </w:r>
      <w:r>
        <w:t xml:space="preserve"> γαμετών τρίτου δότη, είτε </w:t>
      </w:r>
      <w:r w:rsidR="00576C9E">
        <w:t>κατόπιν λήψης</w:t>
      </w:r>
      <w:r>
        <w:t xml:space="preserve"> εμβρύων τρίτου ζευγαριού. Στην περίπτωση αυτή, λοιπόν, η νομική συγγένεια του τέκνου φαίνεται να είναι πιο προβληματική, δεδομένου ότι το τέκνο δε θα έχει εξ αίματος συγγένεια είτε με έναν από τους δύο γονείς του, είτε με κανέναν. Για το λόγο αυτό, λοιπόν, ο γάλλος νομοθέτης, το 1994, επέβαλε την πατρότητα και τη μητρότητα στον άνδρα και τη γυναίκα των οποίων ικανοποιήθηκε η επιθυμία να γίνουν γονείς, απαγορεύοντας ταυτόχρονα κάθε αναζήτηση συγγένειας ή διερεύνηση τυχόν ευθύνης έναντι του δότη ή των δοτών του γεννητικού υλικού. Οι ρυθμίσεις αυτές διατηρήθηκαν με ελάχιστες παραλλαγές </w:t>
      </w:r>
      <w:r w:rsidR="00A47609">
        <w:t>στον τύπο</w:t>
      </w:r>
      <w:r>
        <w:t xml:space="preserve"> ή και την ουσία, με την Υπουργική Απόφαση της 4</w:t>
      </w:r>
      <w:r w:rsidRPr="009D6930">
        <w:rPr>
          <w:vertAlign w:val="superscript"/>
        </w:rPr>
        <w:t>ης</w:t>
      </w:r>
      <w:r>
        <w:t xml:space="preserve"> Ιουλίου 2005 κ</w:t>
      </w:r>
      <w:r w:rsidR="00B27D8D">
        <w:t xml:space="preserve">αι, μετέπειτα, με το </w:t>
      </w:r>
      <w:r w:rsidR="00B27D8D" w:rsidRPr="00B27D8D">
        <w:rPr>
          <w:i/>
        </w:rPr>
        <w:t>Νόμο περί Β</w:t>
      </w:r>
      <w:r w:rsidRPr="00B27D8D">
        <w:rPr>
          <w:i/>
        </w:rPr>
        <w:t>ιοηθικής</w:t>
      </w:r>
      <w:r>
        <w:t xml:space="preserve"> της 7</w:t>
      </w:r>
      <w:r w:rsidRPr="009D6930">
        <w:rPr>
          <w:vertAlign w:val="superscript"/>
        </w:rPr>
        <w:t>ης</w:t>
      </w:r>
      <w:r>
        <w:t xml:space="preserve"> Ιουλίου 2011</w:t>
      </w:r>
      <w:r w:rsidR="008511BE">
        <w:rPr>
          <w:rStyle w:val="FootnoteReference"/>
        </w:rPr>
        <w:footnoteReference w:id="234"/>
      </w:r>
      <w:r>
        <w:t xml:space="preserve">. </w:t>
      </w:r>
    </w:p>
    <w:p w14:paraId="350B3BE8" w14:textId="77777777" w:rsidR="00740D69" w:rsidRDefault="00431569" w:rsidP="00EB7009">
      <w:pPr>
        <w:rPr>
          <w:rStyle w:val="hps"/>
        </w:rPr>
      </w:pPr>
      <w:r>
        <w:lastRenderedPageBreak/>
        <w:t>Στον κανόνα της</w:t>
      </w:r>
      <w:r w:rsidR="00C700B7">
        <w:t xml:space="preserve"> απαγόρευση</w:t>
      </w:r>
      <w:r>
        <w:t>ς</w:t>
      </w:r>
      <w:r w:rsidR="00C700B7">
        <w:t xml:space="preserve"> αμφισβήτησης της πατρότητας, όταν το υποψήφιο υποβοηθούμενο πρόσωπο έχει συναινέσει στη διενέργεια μεθόδων ιατρικά υποβοηθούμενης αναπαραγωγή</w:t>
      </w:r>
      <w:r>
        <w:t>ς, δ</w:t>
      </w:r>
      <w:r w:rsidR="00C700B7" w:rsidRPr="00124194">
        <w:rPr>
          <w:rStyle w:val="hps"/>
        </w:rPr>
        <w:t>ύο</w:t>
      </w:r>
      <w:r>
        <w:rPr>
          <w:rStyle w:val="hps"/>
        </w:rPr>
        <w:t xml:space="preserve"> είναι οι</w:t>
      </w:r>
      <w:r w:rsidR="00C700B7" w:rsidRPr="00124194">
        <w:rPr>
          <w:rStyle w:val="hps"/>
        </w:rPr>
        <w:t xml:space="preserve"> εξαιρέσεις </w:t>
      </w:r>
      <w:r>
        <w:rPr>
          <w:rStyle w:val="hps"/>
        </w:rPr>
        <w:t xml:space="preserve">που </w:t>
      </w:r>
      <w:r w:rsidR="00C700B7">
        <w:rPr>
          <w:rStyle w:val="hps"/>
        </w:rPr>
        <w:t xml:space="preserve">προβλέπονται και συνίστανται είτε στην περίπτωση όπου υποστηρίζεται </w:t>
      </w:r>
      <w:r w:rsidR="00C700B7" w:rsidRPr="003646B4">
        <w:rPr>
          <w:rStyle w:val="hps"/>
        </w:rPr>
        <w:t>ότι το τέκνο δεν προήλθε από ια</w:t>
      </w:r>
      <w:r w:rsidR="00C700B7">
        <w:rPr>
          <w:rStyle w:val="hps"/>
        </w:rPr>
        <w:t xml:space="preserve">τρικά υποβοηθούμενη αναπαραγωγή, είτε στην περίπτωση της </w:t>
      </w:r>
      <w:r w:rsidR="00C700B7" w:rsidRPr="003646B4">
        <w:rPr>
          <w:rStyle w:val="hps"/>
        </w:rPr>
        <w:t>συναίνεση</w:t>
      </w:r>
      <w:r w:rsidR="00C700B7">
        <w:rPr>
          <w:rStyle w:val="hps"/>
        </w:rPr>
        <w:t>ς</w:t>
      </w:r>
      <w:r w:rsidR="00C700B7" w:rsidRPr="003646B4">
        <w:rPr>
          <w:rStyle w:val="hps"/>
        </w:rPr>
        <w:t xml:space="preserve"> </w:t>
      </w:r>
      <w:r w:rsidR="00C700B7">
        <w:rPr>
          <w:rStyle w:val="hps"/>
        </w:rPr>
        <w:t>χωρίς νομική ισχύ</w:t>
      </w:r>
      <w:r w:rsidR="00C700B7">
        <w:rPr>
          <w:rStyle w:val="FootnoteReference"/>
        </w:rPr>
        <w:footnoteReference w:id="235"/>
      </w:r>
      <w:r w:rsidR="00C700B7" w:rsidRPr="003646B4">
        <w:rPr>
          <w:rStyle w:val="hps"/>
        </w:rPr>
        <w:t>.</w:t>
      </w:r>
      <w:bookmarkStart w:id="132" w:name="_Toc394082556"/>
    </w:p>
    <w:p w14:paraId="11A3D164" w14:textId="3A375976" w:rsidR="00A048D2" w:rsidRDefault="00C8614B" w:rsidP="004F69DE">
      <w:pPr>
        <w:rPr>
          <w:rStyle w:val="hps"/>
        </w:rPr>
      </w:pPr>
      <w:r>
        <w:rPr>
          <w:rStyle w:val="hps"/>
        </w:rPr>
        <w:t>Κλείνοντας την ενότητα σχετικά με τις επιτρεπτές μορφές ιατρικά υποβοηθούμενης αναπαραγωγής, θα ήταν μάλλον έλλειψη της παρούσας Έκθεσης να μην κάνει αναφορά</w:t>
      </w:r>
      <w:r w:rsidR="00534FD3">
        <w:rPr>
          <w:rStyle w:val="hps"/>
        </w:rPr>
        <w:t xml:space="preserve"> σε στατιστικά στοιχεία που αφορούν</w:t>
      </w:r>
      <w:r w:rsidR="00B01E7C">
        <w:rPr>
          <w:rStyle w:val="hps"/>
        </w:rPr>
        <w:t xml:space="preserve"> </w:t>
      </w:r>
      <w:r>
        <w:rPr>
          <w:rStyle w:val="hps"/>
        </w:rPr>
        <w:t>στις δομές οι οποίες είναι εξουσιοδοτημένες να διενεργούν τις διάφορες τεχνικές</w:t>
      </w:r>
      <w:r w:rsidR="00A048D2">
        <w:rPr>
          <w:rStyle w:val="hps"/>
        </w:rPr>
        <w:t xml:space="preserve"> υποβοήθησης στην αναπαραγωγή, τα αριθμητικά μεγέθη των οποίων ελέγχονται αυστηρά από τον Οργανισμό Βιοϊα</w:t>
      </w:r>
      <w:r w:rsidR="006B58FC">
        <w:rPr>
          <w:rStyle w:val="hps"/>
        </w:rPr>
        <w:t>τ</w:t>
      </w:r>
      <w:r w:rsidR="00A048D2">
        <w:rPr>
          <w:rStyle w:val="hps"/>
        </w:rPr>
        <w:t xml:space="preserve">ρικής. </w:t>
      </w:r>
      <w:r w:rsidR="006B58FC">
        <w:rPr>
          <w:rStyle w:val="hps"/>
        </w:rPr>
        <w:t>Ειδικότερα, σύμφωνα με την πιο πρόσφατη Ετήσια Έκθεση του Οργανισμού Βιοϊατρικής (2012), την 31</w:t>
      </w:r>
      <w:r w:rsidR="006B58FC" w:rsidRPr="006B58FC">
        <w:rPr>
          <w:rStyle w:val="hps"/>
          <w:vertAlign w:val="superscript"/>
        </w:rPr>
        <w:t>η</w:t>
      </w:r>
      <w:r w:rsidR="006B58FC">
        <w:rPr>
          <w:rStyle w:val="hps"/>
        </w:rPr>
        <w:t xml:space="preserve"> Δεκεμβρίου 2012, τα κέντρα ιατρικά υποβοηθούμενης αναπαραγωγής στη γαλλική επικράτεια ήταν 113, ενώ ο συνολικός αριθμός κέντρων και εργαστηρίων ειδικά εξουσιοδοτημένων για τη διενέργεια βιολογικών διεργασιών ιατρικά υποβοηθούμενης αναπαραγωγής άγγιζε τα 205. Από αυτά, όπως θα δούμε και πιο κάτω</w:t>
      </w:r>
      <w:r w:rsidR="006B58FC">
        <w:rPr>
          <w:rStyle w:val="FootnoteReference"/>
        </w:rPr>
        <w:footnoteReference w:id="236"/>
      </w:r>
      <w:r w:rsidR="006B58FC">
        <w:rPr>
          <w:rStyle w:val="hps"/>
        </w:rPr>
        <w:t>, μόνο 4 έχουν σήμερα την έγκριση του Οργανισμού Βιοϊατρικής για τη διενέργεια προε</w:t>
      </w:r>
      <w:r w:rsidR="00C24C9B">
        <w:rPr>
          <w:rStyle w:val="hps"/>
        </w:rPr>
        <w:t>μφυτευτικής διάγνωσης (Πίνακας 6</w:t>
      </w:r>
      <w:r w:rsidR="006B58FC">
        <w:rPr>
          <w:rStyle w:val="hps"/>
        </w:rPr>
        <w:t>)</w:t>
      </w:r>
      <w:r w:rsidR="00F35A2D">
        <w:rPr>
          <w:rStyle w:val="FootnoteReference"/>
        </w:rPr>
        <w:footnoteReference w:id="237"/>
      </w:r>
      <w:r w:rsidR="006B58FC">
        <w:rPr>
          <w:rStyle w:val="hps"/>
        </w:rPr>
        <w:t xml:space="preserve">. </w:t>
      </w:r>
    </w:p>
    <w:p w14:paraId="54A4A5CB" w14:textId="36044C3C" w:rsidR="00A048D2" w:rsidRPr="00A048D2" w:rsidRDefault="00C24C9B" w:rsidP="00793036">
      <w:pPr>
        <w:spacing w:before="240" w:after="240"/>
        <w:ind w:firstLine="0"/>
        <w:rPr>
          <w:rStyle w:val="hps"/>
          <w:b/>
        </w:rPr>
      </w:pPr>
      <w:r>
        <w:rPr>
          <w:rStyle w:val="hps"/>
          <w:b/>
        </w:rPr>
        <w:t>Πίνακας 6</w:t>
      </w:r>
      <w:r w:rsidR="00A048D2" w:rsidRPr="00A048D2">
        <w:rPr>
          <w:rStyle w:val="hps"/>
          <w:b/>
        </w:rPr>
        <w:t xml:space="preserve">. Αριθμός Κέντρων και Εργαστηρίων </w:t>
      </w:r>
      <w:r w:rsidR="00B67FF9">
        <w:rPr>
          <w:rStyle w:val="hps"/>
          <w:b/>
        </w:rPr>
        <w:t>ΙΥΑ</w:t>
      </w:r>
      <w:r w:rsidR="00A048D2">
        <w:rPr>
          <w:rStyle w:val="hps"/>
          <w:b/>
        </w:rPr>
        <w:t xml:space="preserve"> (την 31</w:t>
      </w:r>
      <w:r w:rsidR="00A048D2" w:rsidRPr="00A048D2">
        <w:rPr>
          <w:rStyle w:val="hps"/>
          <w:b/>
          <w:vertAlign w:val="superscript"/>
        </w:rPr>
        <w:t>η</w:t>
      </w:r>
      <w:r w:rsidR="00A048D2">
        <w:rPr>
          <w:rStyle w:val="hps"/>
          <w:b/>
        </w:rPr>
        <w:t xml:space="preserve"> Δεκεμβρίου 2012)</w:t>
      </w:r>
      <w:r w:rsidR="00A048D2" w:rsidRPr="00A048D2">
        <w:rPr>
          <w:rStyle w:val="hps"/>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8"/>
        <w:gridCol w:w="1242"/>
      </w:tblGrid>
      <w:tr w:rsidR="00A048D2" w:rsidRPr="002928AF" w14:paraId="0974D3F6" w14:textId="77777777" w:rsidTr="002928AF">
        <w:tc>
          <w:tcPr>
            <w:tcW w:w="8188" w:type="dxa"/>
            <w:shd w:val="clear" w:color="auto" w:fill="auto"/>
          </w:tcPr>
          <w:p w14:paraId="4B794CFD" w14:textId="77777777" w:rsidR="00A048D2" w:rsidRPr="002928AF" w:rsidRDefault="00A048D2" w:rsidP="002928AF">
            <w:pPr>
              <w:spacing w:before="60" w:after="60" w:line="240" w:lineRule="auto"/>
              <w:ind w:firstLine="0"/>
              <w:rPr>
                <w:rFonts w:eastAsia="Calibri"/>
                <w:sz w:val="22"/>
                <w:szCs w:val="22"/>
              </w:rPr>
            </w:pPr>
            <w:r w:rsidRPr="002928AF">
              <w:rPr>
                <w:rFonts w:eastAsia="Calibri"/>
                <w:sz w:val="22"/>
                <w:szCs w:val="22"/>
              </w:rPr>
              <w:t>Κέντρα ή Εργαστήρια εξουσιοδοτημένα για τη διενέργεια βιολογικών διεργασιών ΙΥΑ*</w:t>
            </w:r>
          </w:p>
        </w:tc>
        <w:tc>
          <w:tcPr>
            <w:tcW w:w="1242" w:type="dxa"/>
            <w:shd w:val="pct15" w:color="auto" w:fill="auto"/>
          </w:tcPr>
          <w:p w14:paraId="078B6380" w14:textId="77777777" w:rsidR="00A048D2" w:rsidRPr="002928AF" w:rsidRDefault="00A048D2" w:rsidP="002928AF">
            <w:pPr>
              <w:spacing w:before="60" w:after="60" w:line="240" w:lineRule="auto"/>
              <w:ind w:firstLine="0"/>
              <w:jc w:val="right"/>
              <w:rPr>
                <w:rFonts w:eastAsia="Calibri"/>
                <w:sz w:val="22"/>
                <w:szCs w:val="22"/>
              </w:rPr>
            </w:pPr>
            <w:r w:rsidRPr="002928AF">
              <w:rPr>
                <w:rFonts w:eastAsia="Calibri"/>
                <w:sz w:val="22"/>
                <w:szCs w:val="22"/>
              </w:rPr>
              <w:t>205</w:t>
            </w:r>
          </w:p>
        </w:tc>
      </w:tr>
      <w:tr w:rsidR="00A048D2" w:rsidRPr="002928AF" w14:paraId="000DCAE7" w14:textId="77777777" w:rsidTr="002928AF">
        <w:tc>
          <w:tcPr>
            <w:tcW w:w="8188" w:type="dxa"/>
            <w:shd w:val="clear" w:color="auto" w:fill="auto"/>
          </w:tcPr>
          <w:p w14:paraId="61F42928" w14:textId="77777777" w:rsidR="00A048D2" w:rsidRPr="002928AF" w:rsidRDefault="00A048D2" w:rsidP="002928AF">
            <w:pPr>
              <w:spacing w:before="60" w:after="60" w:line="240" w:lineRule="auto"/>
              <w:ind w:firstLine="0"/>
              <w:rPr>
                <w:rFonts w:eastAsia="Calibri"/>
                <w:sz w:val="22"/>
                <w:szCs w:val="22"/>
              </w:rPr>
            </w:pPr>
            <w:r w:rsidRPr="002928AF">
              <w:rPr>
                <w:rFonts w:eastAsia="Calibri"/>
                <w:sz w:val="22"/>
                <w:szCs w:val="22"/>
              </w:rPr>
              <w:t>Κέντρα εξουσιοδοτημένα για τη διενέργεια κλινικών διεργασιών ΙΥΑ*</w:t>
            </w:r>
          </w:p>
        </w:tc>
        <w:tc>
          <w:tcPr>
            <w:tcW w:w="1242" w:type="dxa"/>
            <w:shd w:val="pct15" w:color="auto" w:fill="auto"/>
          </w:tcPr>
          <w:p w14:paraId="6EDBC47C" w14:textId="77777777" w:rsidR="00A048D2" w:rsidRPr="002928AF" w:rsidRDefault="00A048D2" w:rsidP="002928AF">
            <w:pPr>
              <w:spacing w:before="60" w:after="60" w:line="240" w:lineRule="auto"/>
              <w:ind w:firstLine="0"/>
              <w:jc w:val="right"/>
              <w:rPr>
                <w:rFonts w:eastAsia="Calibri"/>
                <w:sz w:val="22"/>
                <w:szCs w:val="22"/>
              </w:rPr>
            </w:pPr>
            <w:r w:rsidRPr="002928AF">
              <w:rPr>
                <w:rFonts w:eastAsia="Calibri"/>
                <w:sz w:val="22"/>
                <w:szCs w:val="22"/>
              </w:rPr>
              <w:t>113</w:t>
            </w:r>
          </w:p>
        </w:tc>
      </w:tr>
      <w:tr w:rsidR="00A048D2" w:rsidRPr="002928AF" w14:paraId="324185D7" w14:textId="77777777" w:rsidTr="002928AF">
        <w:tc>
          <w:tcPr>
            <w:tcW w:w="8188" w:type="dxa"/>
            <w:shd w:val="clear" w:color="auto" w:fill="auto"/>
          </w:tcPr>
          <w:p w14:paraId="2C2DAB27" w14:textId="77777777" w:rsidR="00A048D2" w:rsidRPr="002928AF" w:rsidRDefault="00A048D2" w:rsidP="002928AF">
            <w:pPr>
              <w:spacing w:before="60" w:after="60" w:line="240" w:lineRule="auto"/>
              <w:ind w:firstLine="0"/>
              <w:rPr>
                <w:rFonts w:eastAsia="Calibri"/>
                <w:sz w:val="22"/>
                <w:szCs w:val="22"/>
              </w:rPr>
            </w:pPr>
            <w:r w:rsidRPr="002928AF">
              <w:rPr>
                <w:rFonts w:eastAsia="Calibri"/>
                <w:sz w:val="22"/>
                <w:szCs w:val="22"/>
              </w:rPr>
              <w:t>Εργαστήρια εξουσιοδοτημένα για τη διενέργεια μίας ή περισσοτέρων διεργασιών Προγεννητικής διάγνωσης*</w:t>
            </w:r>
          </w:p>
        </w:tc>
        <w:tc>
          <w:tcPr>
            <w:tcW w:w="1242" w:type="dxa"/>
            <w:shd w:val="pct15" w:color="auto" w:fill="auto"/>
          </w:tcPr>
          <w:p w14:paraId="6F0BC997" w14:textId="77777777" w:rsidR="00A048D2" w:rsidRPr="002928AF" w:rsidRDefault="00A048D2" w:rsidP="002928AF">
            <w:pPr>
              <w:spacing w:before="240" w:after="60" w:line="240" w:lineRule="auto"/>
              <w:ind w:firstLine="0"/>
              <w:jc w:val="right"/>
              <w:rPr>
                <w:rFonts w:eastAsia="Calibri"/>
                <w:sz w:val="22"/>
                <w:szCs w:val="22"/>
              </w:rPr>
            </w:pPr>
            <w:r w:rsidRPr="002928AF">
              <w:rPr>
                <w:rFonts w:eastAsia="Calibri"/>
                <w:sz w:val="22"/>
                <w:szCs w:val="22"/>
              </w:rPr>
              <w:t>140</w:t>
            </w:r>
          </w:p>
        </w:tc>
      </w:tr>
      <w:tr w:rsidR="00A048D2" w:rsidRPr="002928AF" w14:paraId="11A5E499" w14:textId="77777777" w:rsidTr="002928AF">
        <w:tc>
          <w:tcPr>
            <w:tcW w:w="8188" w:type="dxa"/>
            <w:shd w:val="clear" w:color="auto" w:fill="auto"/>
          </w:tcPr>
          <w:p w14:paraId="16B856CF" w14:textId="77777777" w:rsidR="00A048D2" w:rsidRPr="002928AF" w:rsidRDefault="00A048D2" w:rsidP="002928AF">
            <w:pPr>
              <w:spacing w:before="60" w:after="60" w:line="240" w:lineRule="auto"/>
              <w:ind w:firstLine="0"/>
              <w:rPr>
                <w:rFonts w:eastAsia="Calibri"/>
                <w:sz w:val="22"/>
                <w:szCs w:val="22"/>
              </w:rPr>
            </w:pPr>
            <w:r w:rsidRPr="002928AF">
              <w:rPr>
                <w:rFonts w:eastAsia="Calibri"/>
                <w:sz w:val="22"/>
                <w:szCs w:val="22"/>
              </w:rPr>
              <w:t>Διεπιστημονικά κέντρα Προγεννητικής διάγνωσης</w:t>
            </w:r>
          </w:p>
        </w:tc>
        <w:tc>
          <w:tcPr>
            <w:tcW w:w="1242" w:type="dxa"/>
            <w:shd w:val="pct15" w:color="auto" w:fill="auto"/>
          </w:tcPr>
          <w:p w14:paraId="38E7048A" w14:textId="77777777" w:rsidR="00A048D2" w:rsidRPr="002928AF" w:rsidRDefault="00A048D2" w:rsidP="002928AF">
            <w:pPr>
              <w:spacing w:before="60" w:after="60" w:line="240" w:lineRule="auto"/>
              <w:ind w:firstLine="0"/>
              <w:jc w:val="right"/>
              <w:rPr>
                <w:rFonts w:eastAsia="Calibri"/>
                <w:sz w:val="22"/>
                <w:szCs w:val="22"/>
              </w:rPr>
            </w:pPr>
            <w:r w:rsidRPr="002928AF">
              <w:rPr>
                <w:rFonts w:eastAsia="Calibri"/>
                <w:sz w:val="22"/>
                <w:szCs w:val="22"/>
              </w:rPr>
              <w:t>48</w:t>
            </w:r>
          </w:p>
        </w:tc>
      </w:tr>
      <w:tr w:rsidR="00A048D2" w:rsidRPr="002928AF" w14:paraId="307EF034" w14:textId="77777777" w:rsidTr="002928AF">
        <w:tc>
          <w:tcPr>
            <w:tcW w:w="8188" w:type="dxa"/>
            <w:shd w:val="clear" w:color="auto" w:fill="auto"/>
          </w:tcPr>
          <w:p w14:paraId="243F797B" w14:textId="77777777" w:rsidR="00A048D2" w:rsidRPr="002928AF" w:rsidRDefault="00A048D2" w:rsidP="002928AF">
            <w:pPr>
              <w:spacing w:before="60" w:after="60" w:line="240" w:lineRule="auto"/>
              <w:ind w:firstLine="0"/>
              <w:rPr>
                <w:rFonts w:eastAsia="Calibri"/>
                <w:sz w:val="22"/>
                <w:szCs w:val="22"/>
              </w:rPr>
            </w:pPr>
            <w:r w:rsidRPr="002928AF">
              <w:rPr>
                <w:rFonts w:eastAsia="Calibri"/>
                <w:sz w:val="22"/>
                <w:szCs w:val="22"/>
              </w:rPr>
              <w:t xml:space="preserve">Κέντρα Προεμφυτευτικής Διάγνωσης </w:t>
            </w:r>
          </w:p>
        </w:tc>
        <w:tc>
          <w:tcPr>
            <w:tcW w:w="1242" w:type="dxa"/>
            <w:shd w:val="pct15" w:color="auto" w:fill="auto"/>
          </w:tcPr>
          <w:p w14:paraId="32242A7E" w14:textId="77777777" w:rsidR="00A048D2" w:rsidRPr="002928AF" w:rsidRDefault="00A048D2" w:rsidP="002928AF">
            <w:pPr>
              <w:spacing w:before="60" w:after="60" w:line="240" w:lineRule="auto"/>
              <w:ind w:firstLine="0"/>
              <w:jc w:val="right"/>
              <w:rPr>
                <w:rFonts w:eastAsia="Calibri"/>
                <w:sz w:val="22"/>
                <w:szCs w:val="22"/>
              </w:rPr>
            </w:pPr>
            <w:r w:rsidRPr="002928AF">
              <w:rPr>
                <w:rFonts w:eastAsia="Calibri"/>
                <w:sz w:val="22"/>
                <w:szCs w:val="22"/>
              </w:rPr>
              <w:t>4</w:t>
            </w:r>
          </w:p>
        </w:tc>
      </w:tr>
      <w:tr w:rsidR="00A048D2" w:rsidRPr="002928AF" w14:paraId="14D5C360" w14:textId="77777777" w:rsidTr="002928AF">
        <w:tc>
          <w:tcPr>
            <w:tcW w:w="8188" w:type="dxa"/>
            <w:shd w:val="clear" w:color="auto" w:fill="auto"/>
          </w:tcPr>
          <w:p w14:paraId="10D1B8DC" w14:textId="77777777" w:rsidR="00A048D2" w:rsidRPr="002928AF" w:rsidRDefault="00A048D2" w:rsidP="002928AF">
            <w:pPr>
              <w:spacing w:before="60" w:after="60" w:line="240" w:lineRule="auto"/>
              <w:ind w:firstLine="0"/>
              <w:rPr>
                <w:rFonts w:eastAsia="Calibri"/>
                <w:sz w:val="22"/>
                <w:szCs w:val="22"/>
              </w:rPr>
            </w:pPr>
            <w:r w:rsidRPr="002928AF">
              <w:rPr>
                <w:rFonts w:eastAsia="Calibri"/>
                <w:sz w:val="22"/>
                <w:szCs w:val="22"/>
              </w:rPr>
              <w:t>Κέντρα ή Εργαστήρια εξουσιοδοτημένα για τη διενέργεια διεργασιών μεταγεννητικής γενετικής*</w:t>
            </w:r>
          </w:p>
        </w:tc>
        <w:tc>
          <w:tcPr>
            <w:tcW w:w="1242" w:type="dxa"/>
            <w:shd w:val="pct15" w:color="auto" w:fill="auto"/>
          </w:tcPr>
          <w:p w14:paraId="58AD8BB7" w14:textId="77777777" w:rsidR="00A048D2" w:rsidRPr="002928AF" w:rsidRDefault="00A048D2" w:rsidP="002928AF">
            <w:pPr>
              <w:spacing w:before="240" w:after="60" w:line="240" w:lineRule="auto"/>
              <w:ind w:firstLine="0"/>
              <w:jc w:val="right"/>
              <w:rPr>
                <w:rFonts w:eastAsia="Calibri"/>
                <w:sz w:val="22"/>
                <w:szCs w:val="22"/>
              </w:rPr>
            </w:pPr>
            <w:r w:rsidRPr="002928AF">
              <w:rPr>
                <w:rFonts w:eastAsia="Calibri"/>
                <w:sz w:val="22"/>
                <w:szCs w:val="22"/>
              </w:rPr>
              <w:t>124</w:t>
            </w:r>
          </w:p>
        </w:tc>
      </w:tr>
      <w:tr w:rsidR="006B58FC" w:rsidRPr="002928AF" w14:paraId="2361431A" w14:textId="77777777" w:rsidTr="002928AF">
        <w:tc>
          <w:tcPr>
            <w:tcW w:w="9430" w:type="dxa"/>
            <w:gridSpan w:val="2"/>
            <w:shd w:val="clear" w:color="auto" w:fill="auto"/>
          </w:tcPr>
          <w:p w14:paraId="67B4EFD2" w14:textId="77777777" w:rsidR="006B58FC" w:rsidRPr="002928AF" w:rsidRDefault="006B58FC" w:rsidP="002928AF">
            <w:pPr>
              <w:spacing w:before="60" w:after="60" w:line="240" w:lineRule="auto"/>
              <w:ind w:firstLine="0"/>
              <w:jc w:val="left"/>
              <w:rPr>
                <w:rFonts w:eastAsia="Calibri"/>
                <w:sz w:val="22"/>
                <w:szCs w:val="22"/>
              </w:rPr>
            </w:pPr>
            <w:r w:rsidRPr="002928AF">
              <w:rPr>
                <w:rFonts w:eastAsia="Calibri"/>
                <w:sz w:val="20"/>
                <w:szCs w:val="20"/>
              </w:rPr>
              <w:t>* Σύμφωνα με τα στοιχεία που παρασχέθηκαν από τους Περιφερειακούς Οργανισμούς Υγείας</w:t>
            </w:r>
          </w:p>
        </w:tc>
      </w:tr>
    </w:tbl>
    <w:p w14:paraId="7C28850C" w14:textId="77777777" w:rsidR="002B0FA3" w:rsidRDefault="002B0FA3" w:rsidP="002B0FA3">
      <w:pPr>
        <w:pStyle w:val="Heading2"/>
      </w:pPr>
      <w:bookmarkStart w:id="133" w:name="_Toc394082557"/>
      <w:bookmarkStart w:id="134" w:name="_Ref273524717"/>
      <w:bookmarkStart w:id="135" w:name="_Toc275535603"/>
      <w:bookmarkStart w:id="136" w:name="_Toc276574413"/>
      <w:bookmarkEnd w:id="132"/>
      <w:r w:rsidRPr="00C77F71">
        <w:t xml:space="preserve">Δ. </w:t>
      </w:r>
      <w:r w:rsidR="006D1A3C">
        <w:t>Ζητήματα σχετιζό</w:t>
      </w:r>
      <w:r w:rsidR="006D1A3C" w:rsidRPr="00C77F71">
        <w:t>μενα με το γεννητικ</w:t>
      </w:r>
      <w:r w:rsidR="006D1A3C">
        <w:t>ό υλικο στο πλαίσιο της Ιατρικά Υποβοηθούμενης Α</w:t>
      </w:r>
      <w:r w:rsidR="006D1A3C" w:rsidRPr="00C77F71">
        <w:t>ναπαραγωγ</w:t>
      </w:r>
      <w:bookmarkEnd w:id="133"/>
      <w:bookmarkEnd w:id="134"/>
      <w:bookmarkEnd w:id="135"/>
      <w:r w:rsidR="006D1A3C">
        <w:t>ής</w:t>
      </w:r>
      <w:bookmarkEnd w:id="136"/>
    </w:p>
    <w:p w14:paraId="39850E5A" w14:textId="77777777" w:rsidR="00646B17" w:rsidRPr="00646B17" w:rsidRDefault="001148B9" w:rsidP="001148B9">
      <w:r>
        <w:t xml:space="preserve">Μια σε βάθος μελέτη του ρυθμιστικού της ιατρικά υποβοηθούμενης αναπαραγωγής πλαισίου στη Γαλλία δε θα ήταν ολοκληρωμένη χωρίς παράλληλη αναφορά, εκτός από τους όρους και τις </w:t>
      </w:r>
      <w:r w:rsidRPr="007F1B6B">
        <w:t xml:space="preserve">προϋποθέσεις προσφυγής </w:t>
      </w:r>
      <w:r>
        <w:t xml:space="preserve">στην υποβοηθούμενη αναπαραγωγή ή </w:t>
      </w:r>
      <w:r w:rsidRPr="007F1B6B">
        <w:t>τις τεχνικές μέσω των οποίων αυτή διενεργείται,</w:t>
      </w:r>
      <w:r>
        <w:t xml:space="preserve"> σε κάθε άλλο </w:t>
      </w:r>
      <w:r w:rsidRPr="007F1B6B">
        <w:t xml:space="preserve">ζήτημα σχετιζόμενο </w:t>
      </w:r>
      <w:r>
        <w:t xml:space="preserve">με το γεννητικό υλικό. Για το λόγο αυτό, στην παρούσα ενότητα θα επιχειρηθεί σύντομη ανάλυση τεσσάρων </w:t>
      </w:r>
      <w:r>
        <w:lastRenderedPageBreak/>
        <w:t xml:space="preserve">ζητημάτων θεμελιώδους σημασίας για την εφαρμογή των μεθόδων ιατρικής υποβοήθησης στην </w:t>
      </w:r>
      <w:r w:rsidR="00F149BA">
        <w:t>αναπαραγωγή</w:t>
      </w:r>
      <w:r w:rsidRPr="001148B9">
        <w:t xml:space="preserve">. Ειδικότερα, αφού εξεταστεί </w:t>
      </w:r>
      <w:r w:rsidR="00F149BA" w:rsidRPr="001148B9">
        <w:t>εάν</w:t>
      </w:r>
      <w:r w:rsidRPr="001148B9">
        <w:t xml:space="preserve"> στη γαλλική έννομη τάξη προβλέπεται ρητά περιορισμός ως προς τον α</w:t>
      </w:r>
      <w:r w:rsidR="00646B17" w:rsidRPr="001148B9">
        <w:t xml:space="preserve">ριθμό μεταφερόμενων </w:t>
      </w:r>
      <w:r w:rsidRPr="001148B9">
        <w:t>εμβρύων</w:t>
      </w:r>
      <w:r w:rsidR="00646B17" w:rsidRPr="001148B9">
        <w:t xml:space="preserve"> (α), </w:t>
      </w:r>
      <w:r w:rsidRPr="001148B9">
        <w:t xml:space="preserve">θα </w:t>
      </w:r>
      <w:r>
        <w:t xml:space="preserve">ακολουθήσει σύντομη </w:t>
      </w:r>
      <w:r w:rsidR="00F149BA">
        <w:t>παρουσίαση</w:t>
      </w:r>
      <w:r>
        <w:t xml:space="preserve"> των προϋποθέσεων</w:t>
      </w:r>
      <w:r w:rsidR="00F149BA">
        <w:t xml:space="preserve"> ή</w:t>
      </w:r>
      <w:r>
        <w:t xml:space="preserve"> άλλων περιορισμών που αφορούν στην </w:t>
      </w:r>
      <w:r w:rsidR="00646B17" w:rsidRPr="001148B9">
        <w:t>κρυοσυντήρηση</w:t>
      </w:r>
      <w:r>
        <w:t xml:space="preserve"> του γεννητικού υλικού, οι οποίοι μάλιστα διαφοροποιούνται ανάλογα με </w:t>
      </w:r>
      <w:r w:rsidR="00F149BA">
        <w:t>τη φύση του γεννητικού υλικού</w:t>
      </w:r>
      <w:r>
        <w:t xml:space="preserve"> (β). </w:t>
      </w:r>
      <w:r w:rsidR="00F149BA">
        <w:t>Παρότι</w:t>
      </w:r>
      <w:r>
        <w:t>, όμως</w:t>
      </w:r>
      <w:r w:rsidR="00F149BA">
        <w:t>,</w:t>
      </w:r>
      <w:r>
        <w:t xml:space="preserve"> ο γάλλος νομοθέτης έχει </w:t>
      </w:r>
      <w:r w:rsidR="00F149BA">
        <w:t>μεριμνήσει για την τύχη του κρυοσυντηρημένου γεννητικού υλικού, δε φαίνεται να προβλέπει χρονικό ορίζοντα για τη συντήρηση του μη-κρυοσυντηρημένου</w:t>
      </w:r>
      <w:r w:rsidR="00646B17" w:rsidRPr="001148B9">
        <w:t xml:space="preserve"> (γ)</w:t>
      </w:r>
      <w:r w:rsidR="00F149BA">
        <w:t>. Τέλος, από τη στιγμή που αναγνωρίζεται η δυνατότητα των υποβοηθούμενων προσώπων να κρυοσυντηρούν το γεννητικό τους υλικό, δε θα μπορούσε να απουσιάζει από τη γαλλική έννομη τάξη ένα παράλληλο προστατευτικό πλαίσιο που να ρυθμίζει την τύχη του πλεονάζοντος γεννητικού υλικού (δ)</w:t>
      </w:r>
      <w:r w:rsidR="00646B17" w:rsidRPr="001148B9">
        <w:t>.</w:t>
      </w:r>
      <w:r w:rsidR="00646B17">
        <w:t xml:space="preserve"> </w:t>
      </w:r>
    </w:p>
    <w:p w14:paraId="4084693D" w14:textId="77777777" w:rsidR="002B0FA3" w:rsidRPr="004933B9" w:rsidRDefault="00C4415A" w:rsidP="002B0FA3">
      <w:pPr>
        <w:pStyle w:val="Heading3"/>
      </w:pPr>
      <w:bookmarkStart w:id="137" w:name="_Toc394082558"/>
      <w:bookmarkStart w:id="138" w:name="_Toc275535604"/>
      <w:bookmarkStart w:id="139" w:name="_Toc276574414"/>
      <w:r>
        <w:t>α</w:t>
      </w:r>
      <w:r w:rsidR="002B0FA3" w:rsidRPr="004933B9">
        <w:t xml:space="preserve">. </w:t>
      </w:r>
      <w:r w:rsidR="00646B17">
        <w:t>Επιτρεπτός αριθμός μεταφερόμενων γονιμοποιημένων ωαρί</w:t>
      </w:r>
      <w:r w:rsidR="00646B17" w:rsidRPr="004933B9">
        <w:t>ων</w:t>
      </w:r>
      <w:bookmarkEnd w:id="137"/>
      <w:bookmarkEnd w:id="138"/>
      <w:bookmarkEnd w:id="139"/>
    </w:p>
    <w:p w14:paraId="32C61B22" w14:textId="77777777" w:rsidR="00953C2C" w:rsidRDefault="00953C2C" w:rsidP="00953C2C">
      <w:pPr>
        <w:rPr>
          <w:rFonts w:eastAsia="Calibri"/>
          <w:lang w:eastAsia="en-US"/>
        </w:rPr>
      </w:pPr>
      <w:r>
        <w:t xml:space="preserve">Στη Γαλλία, </w:t>
      </w:r>
      <w:r w:rsidR="00A2099C">
        <w:t xml:space="preserve">υφίσταται σχετικός περιορισμός ως προς τον αριθμό των μεταφερόμενων γονιμοποιημένων ωαρίων, χωρίς παρόλα αυτά </w:t>
      </w:r>
      <w:r w:rsidR="003E1496">
        <w:t>ο νομοθέτης να</w:t>
      </w:r>
      <w:r>
        <w:t xml:space="preserve"> προσδιορίζει ρητά και με ακρίβεια το μέγιστο </w:t>
      </w:r>
      <w:r w:rsidR="003E1496">
        <w:t xml:space="preserve">αυτό </w:t>
      </w:r>
      <w:r>
        <w:t xml:space="preserve">αριθμό. </w:t>
      </w:r>
      <w:r w:rsidR="003E1496">
        <w:t>Στην</w:t>
      </w:r>
      <w:r w:rsidR="00674292">
        <w:t xml:space="preserve"> πραγματικότητα, οι </w:t>
      </w:r>
      <w:r w:rsidR="00674292" w:rsidRPr="00674292">
        <w:rPr>
          <w:i/>
        </w:rPr>
        <w:t>Νόμοι περί Β</w:t>
      </w:r>
      <w:r w:rsidR="003E1496" w:rsidRPr="00674292">
        <w:rPr>
          <w:i/>
        </w:rPr>
        <w:t>ιοηθικής</w:t>
      </w:r>
      <w:r w:rsidR="003E1496">
        <w:t xml:space="preserve"> δεν κάνουν καμία αναφορά στον αριθμό των μεταφερόμενων εμβρύων, αφήνοντας την ειδικότερη αυτή ρύθμιση στην εκτελεστική εξουσία. </w:t>
      </w:r>
      <w:r w:rsidR="00412193">
        <w:t xml:space="preserve">Οι </w:t>
      </w:r>
      <w:r w:rsidR="003E1496">
        <w:t>σχετικές αναφορές</w:t>
      </w:r>
      <w:r w:rsidR="00412193">
        <w:t>, συνεπώς, δε βρίσκονται</w:t>
      </w:r>
      <w:r w:rsidR="003E1496">
        <w:t xml:space="preserve"> στον Κώδικα Δημόσιας Υγείας, αλλά στον </w:t>
      </w:r>
      <w:r w:rsidR="003E1496" w:rsidRPr="003E1496">
        <w:rPr>
          <w:b/>
        </w:rPr>
        <w:t>Οδηγό</w:t>
      </w:r>
      <w:r w:rsidRPr="0020586F">
        <w:rPr>
          <w:rFonts w:eastAsia="Calibri"/>
          <w:b/>
          <w:lang w:eastAsia="en-US"/>
        </w:rPr>
        <w:t xml:space="preserve"> καλών κλινικών και βιολογικών </w:t>
      </w:r>
      <w:r>
        <w:rPr>
          <w:rFonts w:eastAsia="Calibri"/>
          <w:b/>
          <w:lang w:eastAsia="en-US"/>
        </w:rPr>
        <w:t xml:space="preserve">πρακτικών </w:t>
      </w:r>
      <w:r w:rsidR="0004076A">
        <w:rPr>
          <w:rFonts w:eastAsia="Calibri"/>
          <w:b/>
          <w:lang w:eastAsia="en-US"/>
        </w:rPr>
        <w:t>στην ιατρικά υποβοηθούμενη αναπαραγωγή</w:t>
      </w:r>
      <w:r w:rsidR="003E1496">
        <w:rPr>
          <w:rStyle w:val="FootnoteReference"/>
          <w:rFonts w:eastAsia="Calibri"/>
          <w:b/>
          <w:lang w:eastAsia="en-US"/>
        </w:rPr>
        <w:footnoteReference w:id="238"/>
      </w:r>
      <w:r w:rsidRPr="00412193">
        <w:rPr>
          <w:rFonts w:eastAsia="Calibri"/>
        </w:rPr>
        <w:t xml:space="preserve">, </w:t>
      </w:r>
      <w:r w:rsidR="003E1496" w:rsidRPr="00412193">
        <w:rPr>
          <w:rFonts w:eastAsia="Calibri"/>
        </w:rPr>
        <w:t xml:space="preserve">ο οποίος </w:t>
      </w:r>
      <w:r w:rsidRPr="008E6190">
        <w:rPr>
          <w:rFonts w:eastAsia="Calibri"/>
          <w:lang w:eastAsia="en-US"/>
        </w:rPr>
        <w:t>παρέχει</w:t>
      </w:r>
      <w:r>
        <w:rPr>
          <w:rFonts w:eastAsia="Calibri"/>
          <w:lang w:eastAsia="en-US"/>
        </w:rPr>
        <w:t xml:space="preserve"> κατευθυντήριες οδηγίες</w:t>
      </w:r>
      <w:r w:rsidR="00412193">
        <w:rPr>
          <w:rFonts w:eastAsia="Calibri"/>
          <w:lang w:eastAsia="en-US"/>
        </w:rPr>
        <w:t xml:space="preserve"> που ο ιατρός </w:t>
      </w:r>
      <w:r>
        <w:rPr>
          <w:rFonts w:eastAsia="Calibri"/>
          <w:lang w:eastAsia="en-US"/>
        </w:rPr>
        <w:t xml:space="preserve">και η διεπιστημονική ομάδα που τον πλαισιώνει </w:t>
      </w:r>
      <w:r w:rsidR="00412193">
        <w:rPr>
          <w:rFonts w:eastAsia="Calibri"/>
          <w:lang w:eastAsia="en-US"/>
        </w:rPr>
        <w:t xml:space="preserve">οφείλουν </w:t>
      </w:r>
      <w:r>
        <w:rPr>
          <w:rFonts w:eastAsia="Calibri"/>
          <w:lang w:eastAsia="en-US"/>
        </w:rPr>
        <w:t xml:space="preserve">να σεβαστούν. </w:t>
      </w:r>
    </w:p>
    <w:p w14:paraId="750BB640" w14:textId="77777777" w:rsidR="00953C2C" w:rsidRDefault="00953C2C" w:rsidP="00953C2C">
      <w:pPr>
        <w:rPr>
          <w:rFonts w:eastAsia="Calibri"/>
          <w:b/>
        </w:rPr>
      </w:pPr>
      <w:r>
        <w:rPr>
          <w:rFonts w:eastAsia="Calibri"/>
          <w:lang w:eastAsia="en-US"/>
        </w:rPr>
        <w:t xml:space="preserve">Πιο συγκεκριμένα, στον τίτλο </w:t>
      </w:r>
      <w:r w:rsidRPr="00BC5976">
        <w:rPr>
          <w:rFonts w:eastAsia="Calibri"/>
          <w:b/>
          <w:lang w:eastAsia="en-US"/>
        </w:rPr>
        <w:t>ΙΙΙ.</w:t>
      </w:r>
      <w:r w:rsidRPr="001114CB">
        <w:rPr>
          <w:rFonts w:eastAsia="Calibri"/>
          <w:b/>
          <w:lang w:eastAsia="en-US"/>
        </w:rPr>
        <w:t xml:space="preserve"> </w:t>
      </w:r>
      <w:r w:rsidRPr="00FF7088">
        <w:rPr>
          <w:rFonts w:eastAsia="Calibri"/>
          <w:b/>
          <w:i/>
          <w:lang w:eastAsia="en-US"/>
        </w:rPr>
        <w:t>Ειδικότερες Διατάξεις σχετικά με τις διάφορες μεθόδους της ιατρικά υποβοηθούμενης αναπαραγωγής</w:t>
      </w:r>
      <w:r>
        <w:rPr>
          <w:rFonts w:eastAsia="Calibri"/>
          <w:b/>
          <w:lang w:eastAsia="en-US"/>
        </w:rPr>
        <w:t xml:space="preserve"> </w:t>
      </w:r>
      <w:r>
        <w:rPr>
          <w:rFonts w:eastAsia="Calibri"/>
          <w:lang w:eastAsia="en-US"/>
        </w:rPr>
        <w:t xml:space="preserve"> και, </w:t>
      </w:r>
      <w:r w:rsidR="00FF7088">
        <w:rPr>
          <w:rFonts w:eastAsia="Calibri"/>
          <w:lang w:eastAsia="en-US"/>
        </w:rPr>
        <w:t>πιο συγκεκριμένα</w:t>
      </w:r>
      <w:r>
        <w:rPr>
          <w:rFonts w:eastAsia="Calibri"/>
          <w:lang w:eastAsia="en-US"/>
        </w:rPr>
        <w:t xml:space="preserve">, στο </w:t>
      </w:r>
      <w:r w:rsidRPr="00BC5976">
        <w:rPr>
          <w:rFonts w:eastAsia="Calibri"/>
          <w:b/>
          <w:i/>
          <w:lang w:eastAsia="en-US"/>
        </w:rPr>
        <w:t>ΙΙΙ.2.3</w:t>
      </w:r>
      <w:r w:rsidRPr="001114CB">
        <w:rPr>
          <w:rFonts w:eastAsia="Calibri"/>
          <w:b/>
          <w:lang w:eastAsia="en-US"/>
        </w:rPr>
        <w:t xml:space="preserve"> </w:t>
      </w:r>
      <w:r>
        <w:rPr>
          <w:rFonts w:eastAsia="Calibri"/>
          <w:lang w:eastAsia="en-US"/>
        </w:rPr>
        <w:t xml:space="preserve">που τιτλοφορείται </w:t>
      </w:r>
      <w:r w:rsidRPr="00FF7088">
        <w:rPr>
          <w:rFonts w:eastAsia="Calibri"/>
          <w:b/>
          <w:i/>
          <w:lang w:eastAsia="en-US"/>
        </w:rPr>
        <w:t>Μεταφορά εμβρύων</w:t>
      </w:r>
      <w:r>
        <w:rPr>
          <w:rFonts w:eastAsia="Calibri"/>
          <w:lang w:eastAsia="en-US"/>
        </w:rPr>
        <w:t xml:space="preserve">, </w:t>
      </w:r>
      <w:r w:rsidR="00FF7088">
        <w:rPr>
          <w:rFonts w:eastAsia="Calibri"/>
          <w:lang w:eastAsia="en-US"/>
        </w:rPr>
        <w:t xml:space="preserve">ορίζονται </w:t>
      </w:r>
      <w:r>
        <w:rPr>
          <w:rFonts w:eastAsia="Calibri"/>
          <w:lang w:eastAsia="en-US"/>
        </w:rPr>
        <w:t xml:space="preserve">τα ακόλουθα: </w:t>
      </w:r>
    </w:p>
    <w:p w14:paraId="5D5B995A" w14:textId="77777777" w:rsidR="00953C2C" w:rsidRDefault="00953C2C" w:rsidP="00953C2C">
      <w:pPr>
        <w:rPr>
          <w:szCs w:val="22"/>
        </w:rPr>
      </w:pPr>
      <w:r>
        <w:rPr>
          <w:szCs w:val="22"/>
        </w:rPr>
        <w:t xml:space="preserve">Ο αριθμός των </w:t>
      </w:r>
      <w:r w:rsidR="00B10D1B">
        <w:rPr>
          <w:szCs w:val="22"/>
        </w:rPr>
        <w:t>γονιμοποιημένων ωαρίων που θα μεταφερθούν τελικά</w:t>
      </w:r>
      <w:r>
        <w:rPr>
          <w:szCs w:val="22"/>
        </w:rPr>
        <w:t xml:space="preserve"> αποτελεί αντικείμενο συζήτησης μεταξύ του ζευγαριού, του ιατρού και του βιολόγου. Ο αριθμός αυτός εξαρτάται από την κινητικότητα διάσπασης και τη μορφολογία των εμβρύων, τα αποτελέσματα των ενδεχόμενων προηγούμενων προσπαθειών, την ηλικία της ασθενούς και το ιστορικό της. Γίνεται προσπάθεια, πάντως, ο αριθμός αυτός να περιορίζεται </w:t>
      </w:r>
      <w:r w:rsidRPr="001114CB">
        <w:rPr>
          <w:b/>
          <w:szCs w:val="22"/>
        </w:rPr>
        <w:t>στα δύο μεταφερόμενα έμβρυα</w:t>
      </w:r>
      <w:r>
        <w:rPr>
          <w:szCs w:val="22"/>
        </w:rPr>
        <w:t xml:space="preserve"> ή ακόμη </w:t>
      </w:r>
      <w:r w:rsidRPr="001114CB">
        <w:rPr>
          <w:b/>
          <w:szCs w:val="22"/>
        </w:rPr>
        <w:t>και στο ένα</w:t>
      </w:r>
      <w:r>
        <w:rPr>
          <w:szCs w:val="22"/>
        </w:rPr>
        <w:t xml:space="preserve">, σε ορισμένες περιπτώσεις, ανάλογα με τις ενδείξεις. </w:t>
      </w:r>
    </w:p>
    <w:p w14:paraId="1E170550" w14:textId="1997ACCD" w:rsidR="00953C2C" w:rsidRDefault="00335E5D" w:rsidP="00953C2C">
      <w:pPr>
        <w:rPr>
          <w:szCs w:val="22"/>
        </w:rPr>
      </w:pPr>
      <w:r>
        <w:rPr>
          <w:szCs w:val="22"/>
        </w:rPr>
        <w:lastRenderedPageBreak/>
        <w:t>Κατά παρέκκλιση</w:t>
      </w:r>
      <w:r w:rsidR="00953C2C">
        <w:rPr>
          <w:szCs w:val="22"/>
        </w:rPr>
        <w:t xml:space="preserve">, μπορεί να μεταφερθούν περισσότερα των δύο εμβρύων (το μέγιστο έως τρία), ωστόσο ο λόγος θα πρέπει να αιτιολογηθεί τεκμηριωμένα στον ιατρικό φάκελο του ζευγαριού. </w:t>
      </w:r>
    </w:p>
    <w:p w14:paraId="74338BF3" w14:textId="77777777" w:rsidR="0093492F" w:rsidRDefault="00BC5976" w:rsidP="00DF2F75">
      <w:r>
        <w:rPr>
          <w:szCs w:val="22"/>
          <w:lang w:val="en-US"/>
        </w:rPr>
        <w:t xml:space="preserve">Σύμφωνα με τον καθηγητή Pierre </w:t>
      </w:r>
      <w:r w:rsidR="0017492B">
        <w:rPr>
          <w:szCs w:val="22"/>
          <w:lang w:val="en-US"/>
        </w:rPr>
        <w:t>J</w:t>
      </w:r>
      <w:r w:rsidR="00DF2F75">
        <w:rPr>
          <w:szCs w:val="22"/>
          <w:lang w:val="en-US"/>
        </w:rPr>
        <w:t>ouannet</w:t>
      </w:r>
      <w:r w:rsidR="0017492B">
        <w:rPr>
          <w:szCs w:val="22"/>
          <w:lang w:val="en-US"/>
        </w:rPr>
        <w:t xml:space="preserve">, </w:t>
      </w:r>
      <w:r w:rsidR="0017492B">
        <w:t>«</w:t>
      </w:r>
      <w:r w:rsidR="0017492B">
        <w:rPr>
          <w:szCs w:val="22"/>
          <w:lang w:val="en-US"/>
        </w:rPr>
        <w:t xml:space="preserve">ορθώς ο νόμος </w:t>
      </w:r>
      <w:r w:rsidR="00DF2F75" w:rsidRPr="008771B4">
        <w:t xml:space="preserve">δεν προβλέπει </w:t>
      </w:r>
      <w:r w:rsidR="0017492B">
        <w:t xml:space="preserve">τον ακριβή αριθμό μεταφερόμενων εμβρύων, δεδομένου </w:t>
      </w:r>
      <w:r>
        <w:t xml:space="preserve">ότι </w:t>
      </w:r>
      <w:r w:rsidR="00DF2F75" w:rsidRPr="008771B4">
        <w:t xml:space="preserve">πρόκειται για ιατρικό ζήτημα για το οποίο δεν αποφασίζει και δεν πρέπει να αποφασίζει ο νομοθέτης. Πρέπει να αφήσουμε τον ιατρό να κάνει τη δουλειά του με τον καλύτερο </w:t>
      </w:r>
      <w:r w:rsidR="0017492B">
        <w:t>κ</w:t>
      </w:r>
      <w:r w:rsidR="00DF2F75" w:rsidRPr="008771B4">
        <w:t>αι πιο αποτελεσματικό τρόπο για την επιτυχία τη</w:t>
      </w:r>
      <w:r w:rsidR="0017492B">
        <w:t>ς αναπαραγωγής. Πολλώ δε μάλλον όταν</w:t>
      </w:r>
      <w:r w:rsidR="00DF2F75" w:rsidRPr="008771B4">
        <w:t xml:space="preserve"> η επιτυχία της εξαρτάται από μεγάλο αριθμό </w:t>
      </w:r>
      <w:r w:rsidR="0017492B">
        <w:t>παραμέτρων, όπως εξάλλου</w:t>
      </w:r>
      <w:r w:rsidR="00DF2F75" w:rsidRPr="008771B4">
        <w:t xml:space="preserve"> ισχύει και για κάθε άλλη ιατρική πράξη</w:t>
      </w:r>
      <w:r w:rsidR="0017492B">
        <w:t>»</w:t>
      </w:r>
      <w:r w:rsidR="0017492B">
        <w:rPr>
          <w:rStyle w:val="FootnoteReference"/>
        </w:rPr>
        <w:footnoteReference w:id="239"/>
      </w:r>
      <w:r w:rsidR="00DF2F75" w:rsidRPr="008771B4">
        <w:t>.</w:t>
      </w:r>
      <w:r w:rsidR="0093492F">
        <w:t xml:space="preserve"> </w:t>
      </w:r>
      <w:r w:rsidR="00C52C21">
        <w:t xml:space="preserve">Την ίδια γνώμη έχει και η </w:t>
      </w:r>
      <w:r w:rsidR="0093492F" w:rsidRPr="007C5B2D">
        <w:rPr>
          <w:rStyle w:val="Emphasis"/>
          <w:i w:val="0"/>
        </w:rPr>
        <w:t>C</w:t>
      </w:r>
      <w:r w:rsidR="0093492F" w:rsidRPr="007F442D">
        <w:rPr>
          <w:rStyle w:val="Emphasis"/>
          <w:i w:val="0"/>
        </w:rPr>
        <w:t>atherine PATRAT</w:t>
      </w:r>
      <w:r w:rsidR="00C52C21">
        <w:rPr>
          <w:rStyle w:val="Emphasis"/>
          <w:i w:val="0"/>
        </w:rPr>
        <w:t xml:space="preserve">, η οποία αναφέρει ότι ο κανόνας παραμένει η εμφύτευση </w:t>
      </w:r>
      <w:r w:rsidR="00B178E0">
        <w:t>ενός έως</w:t>
      </w:r>
      <w:r w:rsidR="00C52C21">
        <w:t xml:space="preserve"> </w:t>
      </w:r>
      <w:r w:rsidR="00B178E0">
        <w:t>δύο</w:t>
      </w:r>
      <w:r w:rsidR="00C52C21" w:rsidRPr="00207743">
        <w:t xml:space="preserve"> </w:t>
      </w:r>
      <w:r w:rsidR="00C52C21">
        <w:t xml:space="preserve">γονιμοποιημένων ωαρίων, ενώ </w:t>
      </w:r>
      <w:r w:rsidR="00C52C21" w:rsidRPr="00207743">
        <w:t xml:space="preserve">για την εμφύτευση </w:t>
      </w:r>
      <w:r w:rsidR="00B178E0">
        <w:t>τριών</w:t>
      </w:r>
      <w:r w:rsidR="00C52C21" w:rsidRPr="00207743">
        <w:t xml:space="preserve"> χρειάζεται </w:t>
      </w:r>
      <w:r w:rsidR="00FD216D">
        <w:t xml:space="preserve">ειδική και εμπεριστατωμένη </w:t>
      </w:r>
      <w:r w:rsidR="00C52C21" w:rsidRPr="00207743">
        <w:t>αιτιολόγηση</w:t>
      </w:r>
      <w:r w:rsidR="00FD216D">
        <w:t xml:space="preserve"> του ιατρού σε συνεργασία με την ομάδα του. Η προσέγγιση είναι πάντα ιατρική και η</w:t>
      </w:r>
      <w:r w:rsidR="00FD216D" w:rsidRPr="007F442D">
        <w:t xml:space="preserve"> απόφαση </w:t>
      </w:r>
      <w:r w:rsidR="00FD216D">
        <w:t xml:space="preserve">είναι κοινή: </w:t>
      </w:r>
      <w:r w:rsidR="00FD216D" w:rsidRPr="007F442D">
        <w:t>του ζευγαριού, του ιατρού και του βιολόγου</w:t>
      </w:r>
      <w:r w:rsidR="00FD216D">
        <w:t>, αφού προηγηθεί συζήτηση.</w:t>
      </w:r>
      <w:r w:rsidR="00FD216D" w:rsidRPr="00FD216D">
        <w:t xml:space="preserve"> </w:t>
      </w:r>
      <w:r w:rsidR="00FD216D">
        <w:t xml:space="preserve">Η ιατρός, μάλιστα, </w:t>
      </w:r>
      <w:r w:rsidR="00B178E0">
        <w:t>επισημαίνει</w:t>
      </w:r>
      <w:r w:rsidR="00FD216D">
        <w:t xml:space="preserve"> ότι σ</w:t>
      </w:r>
      <w:r w:rsidR="00FD216D" w:rsidRPr="007F442D">
        <w:t xml:space="preserve">τα 4 χρόνια δραστηριότητας στο Κέντρο μόνο μία τριπλή εγκυμοσύνη προέκυψε, κι αυτό ήταν πράγματι </w:t>
      </w:r>
      <w:r w:rsidR="00B10D1B">
        <w:t xml:space="preserve">μια </w:t>
      </w:r>
      <w:r w:rsidR="00FD216D" w:rsidRPr="007F442D">
        <w:t>εξαιρετική περίπτωση, γυναίκας που ήταν στην 5</w:t>
      </w:r>
      <w:r w:rsidR="00FD216D" w:rsidRPr="007F442D">
        <w:rPr>
          <w:vertAlign w:val="superscript"/>
        </w:rPr>
        <w:t>η</w:t>
      </w:r>
      <w:r w:rsidR="00FD216D" w:rsidRPr="007F442D">
        <w:t xml:space="preserve"> της από</w:t>
      </w:r>
      <w:r w:rsidR="006F7F4C">
        <w:t>πειρα, όπου ο συγκεκριμένος χειρισμός υπαγορευόταν από τις ιατρικές ενδείξεις</w:t>
      </w:r>
      <w:r w:rsidR="0093492F" w:rsidRPr="006F7F4C">
        <w:rPr>
          <w:rStyle w:val="FootnoteReference"/>
        </w:rPr>
        <w:footnoteReference w:id="240"/>
      </w:r>
      <w:r w:rsidR="0093492F">
        <w:t>.</w:t>
      </w:r>
      <w:r w:rsidR="009D7298">
        <w:t xml:space="preserve"> Β</w:t>
      </w:r>
      <w:r w:rsidR="00D41C90">
        <w:t>έβαια</w:t>
      </w:r>
      <w:r w:rsidR="009D7298">
        <w:t xml:space="preserve">, </w:t>
      </w:r>
      <w:r w:rsidR="006F7F4C">
        <w:t xml:space="preserve">χαρακτηριστική είναι η παρατήρηση του </w:t>
      </w:r>
      <w:r w:rsidR="006F7F4C">
        <w:rPr>
          <w:lang w:val="en-US"/>
        </w:rPr>
        <w:t xml:space="preserve">Pierre </w:t>
      </w:r>
      <w:r w:rsidR="009D7298">
        <w:rPr>
          <w:lang w:val="en-US"/>
        </w:rPr>
        <w:t xml:space="preserve">Jouannet, </w:t>
      </w:r>
      <w:r w:rsidR="009D7298">
        <w:t xml:space="preserve">ο οποίος πολύ χαρακτηριστικά </w:t>
      </w:r>
      <w:r w:rsidR="006F7F4C">
        <w:t>ανέφερε ότι, σε κάθε περίπτωση,</w:t>
      </w:r>
      <w:r w:rsidR="009D7298">
        <w:t xml:space="preserve"> κάθε κέντρο ιατρικά υποβοηθούμενης αναπαραγωγής αξιολογείται και κρίνεται για τη δουλειά και τα αποτελέσματά του</w:t>
      </w:r>
      <w:r w:rsidR="009D7298">
        <w:rPr>
          <w:rStyle w:val="FootnoteReference"/>
        </w:rPr>
        <w:footnoteReference w:id="241"/>
      </w:r>
      <w:r w:rsidR="009D7298">
        <w:t xml:space="preserve">. </w:t>
      </w:r>
    </w:p>
    <w:p w14:paraId="788CEAD3" w14:textId="5526F1CA" w:rsidR="00B44CE9" w:rsidRDefault="00B44CE9" w:rsidP="0098540A">
      <w:pPr>
        <w:rPr>
          <w:lang w:eastAsia="en-US"/>
        </w:rPr>
      </w:pPr>
      <w:r>
        <w:t xml:space="preserve">Σε ό,τι αφορά στον Κώδικα Δημόσιας Υγείας, μπορεί </w:t>
      </w:r>
      <w:r w:rsidR="0098540A">
        <w:t>να μην κάνει ευθεία αναφορά στο μέγιστο επιτρεπόμενο αριθμό «μεταφερόμενων» εμβρύων, περιλαμβάνει ωστόσο ρύθμιση σχετικά με τον αριθμό των κρυσυντηρούμενων εμβρύων. Ειδικότερα, σύμφωνα με τις διατάξεις του</w:t>
      </w:r>
      <w:r>
        <w:rPr>
          <w:lang w:eastAsia="en-US"/>
        </w:rPr>
        <w:t xml:space="preserve"> </w:t>
      </w:r>
      <w:r w:rsidRPr="00E24DBD">
        <w:rPr>
          <w:b/>
          <w:lang w:eastAsia="en-US"/>
        </w:rPr>
        <w:t xml:space="preserve">άρθρου </w:t>
      </w:r>
      <w:r w:rsidRPr="00E24DBD">
        <w:rPr>
          <w:b/>
          <w:lang w:val="en-US" w:eastAsia="en-US"/>
        </w:rPr>
        <w:t>L. 2141-3, παρ. 2, ΚΔΥ,</w:t>
      </w:r>
      <w:r>
        <w:rPr>
          <w:lang w:val="en-US" w:eastAsia="en-US"/>
        </w:rPr>
        <w:t xml:space="preserve"> </w:t>
      </w:r>
      <w:r>
        <w:t>«</w:t>
      </w:r>
      <w:r w:rsidRPr="009B017E">
        <w:rPr>
          <w:i/>
          <w:lang w:val="en-US" w:eastAsia="en-US"/>
        </w:rPr>
        <w:t xml:space="preserve">λαμβάνοντας υπόψη την εξέλιξη των ιατρικών τεχνικών, το υποβοηθούμενο ζευγάρι μπορεί να συναινέσει εγγράφως στη γονιμοποίηση αριθμού ωαρίων, ο οποίος να καθιστά αναγκαία τη συντήρηση των εμβρύων με σκοπό τη μεταγενέστερη υλοποίηση του οικογενειακού </w:t>
      </w:r>
      <w:r w:rsidR="005C4EA5">
        <w:rPr>
          <w:i/>
          <w:lang w:val="en-US" w:eastAsia="en-US"/>
        </w:rPr>
        <w:t xml:space="preserve">του </w:t>
      </w:r>
      <w:r w:rsidRPr="009B017E">
        <w:rPr>
          <w:i/>
          <w:lang w:val="en-US" w:eastAsia="en-US"/>
        </w:rPr>
        <w:t>προγραμματισμού</w:t>
      </w:r>
      <w:r w:rsidR="0098540A">
        <w:rPr>
          <w:i/>
          <w:lang w:val="en-US" w:eastAsia="en-US"/>
        </w:rPr>
        <w:t xml:space="preserve">. Στην περίπτωση αυτή, ο εν λόγω αριθμός περιορίζεται στον απολύτως αναγκαίο για την επιτυχία της ιατρικής υποβοήθησης στην αναπαραγωγή, </w:t>
      </w:r>
      <w:r w:rsidR="00BC5D31">
        <w:rPr>
          <w:i/>
          <w:lang w:val="en-US" w:eastAsia="en-US"/>
        </w:rPr>
        <w:t>ανάλογα με</w:t>
      </w:r>
      <w:r w:rsidR="0098540A">
        <w:rPr>
          <w:i/>
          <w:lang w:val="en-US" w:eastAsia="en-US"/>
        </w:rPr>
        <w:t xml:space="preserve"> την τεχνική που τίθεται σε εφαρμογή</w:t>
      </w:r>
      <w:r w:rsidRPr="00364E4F">
        <w:t>»</w:t>
      </w:r>
      <w:r>
        <w:t xml:space="preserve">. </w:t>
      </w:r>
    </w:p>
    <w:p w14:paraId="5119A31A" w14:textId="77777777" w:rsidR="00C20446" w:rsidRDefault="00816A50" w:rsidP="00E00F64">
      <w:r>
        <w:t>Τα δεδομένα αυτά επαληθεύονται και από την Ετήσια Έκθεση του Οργανισμού Βιοϊατρικής για</w:t>
      </w:r>
      <w:r w:rsidR="00192084">
        <w:t xml:space="preserve"> το έτος 2012</w:t>
      </w:r>
      <w:r w:rsidR="004E613F">
        <w:t xml:space="preserve">, </w:t>
      </w:r>
      <w:r w:rsidR="000B3664">
        <w:t xml:space="preserve">σύμφωνα με τα </w:t>
      </w:r>
      <w:r w:rsidR="00336D48">
        <w:t xml:space="preserve">οποία η διαρκής και σταδιακή μείωση του αριθμού των μεταφερόμενων εμβρύων συνιστά μία </w:t>
      </w:r>
      <w:r w:rsidR="00295882">
        <w:t>εκ των σημαντικότερων</w:t>
      </w:r>
      <w:r w:rsidR="00336D48">
        <w:t xml:space="preserve"> θετικών εξελίξεων που παρατηρούνται τα τελευταία δέκα χρόνια</w:t>
      </w:r>
      <w:r w:rsidR="00ED44C7">
        <w:rPr>
          <w:rStyle w:val="FootnoteReference"/>
        </w:rPr>
        <w:footnoteReference w:id="242"/>
      </w:r>
      <w:r w:rsidR="00336D48">
        <w:t xml:space="preserve">. </w:t>
      </w:r>
      <w:r w:rsidR="00B80D4F">
        <w:t xml:space="preserve">Για ταυτόχρονη επίτευξη αποτελεσματικότητας και ασφάλειας, μια διπλή στραγητική τέθηκε σε εφαρμογή: ο </w:t>
      </w:r>
      <w:r w:rsidR="00B80D4F">
        <w:lastRenderedPageBreak/>
        <w:t>αναγκαίος περιορισμός των μεταφερόμενων εμβρύων σε ένα ή δύο</w:t>
      </w:r>
      <w:r w:rsidR="00295882">
        <w:t xml:space="preserve"> ανά εμφύτευση</w:t>
      </w:r>
      <w:r w:rsidR="0047332D">
        <w:t>, προκειμένου να μειωθεί</w:t>
      </w:r>
      <w:r w:rsidR="00295882">
        <w:t xml:space="preserve"> σημαντικά</w:t>
      </w:r>
      <w:r w:rsidR="0047332D">
        <w:t xml:space="preserve"> ο</w:t>
      </w:r>
      <w:r w:rsidR="00B80D4F">
        <w:t xml:space="preserve"> κίνδυνο</w:t>
      </w:r>
      <w:r w:rsidR="0047332D">
        <w:t>ς</w:t>
      </w:r>
      <w:r w:rsidR="00B80D4F">
        <w:t xml:space="preserve"> πολλαπλής κύησης, </w:t>
      </w:r>
      <w:r w:rsidR="0047332D">
        <w:t>σε συνδυασμό με τη δυνατότητα κρυοσυντήρησης των «πλεοναζόντων» εμβρύων και μεταγενέστερης εμφύτευσής τους</w:t>
      </w:r>
      <w:r w:rsidR="00295882">
        <w:rPr>
          <w:rStyle w:val="FootnoteReference"/>
        </w:rPr>
        <w:footnoteReference w:id="243"/>
      </w:r>
      <w:r w:rsidR="00295882">
        <w:t xml:space="preserve">. </w:t>
      </w:r>
    </w:p>
    <w:p w14:paraId="5F92FF6D" w14:textId="77777777" w:rsidR="00256127" w:rsidRDefault="00336D48" w:rsidP="00136AAC">
      <w:r>
        <w:t>Ειδι</w:t>
      </w:r>
      <w:r w:rsidR="00916551">
        <w:t>κότερα, όπως προκύπτει από τον Π</w:t>
      </w:r>
      <w:r>
        <w:t xml:space="preserve">ίνακα </w:t>
      </w:r>
      <w:r w:rsidR="00BA0480">
        <w:t>6</w:t>
      </w:r>
      <w:r>
        <w:t xml:space="preserve">, από το 2009 έως το 2012, η αύξηση των περιπτώσεων μεταφοράς μόνο ενός εμβρύου είναι σημαντική (από 32% το 2009 σε 40% το 2012), ενώ αντίστροφα εξακολουθεί να μειώνεται και ο αριθμός των περιπτώσεων μεταφοράς τριών ή περισσοτέρων εμβρύων (από 9% το 2009 σε 6% το 2012). </w:t>
      </w:r>
      <w:r w:rsidR="00256127">
        <w:t>Το 2010, στην ομόλογη εξωσωματική γονιμοποίηση, ο μέσος όρος των εμβρύων που μεταφέρθηκαν ήταν της τάξης του 1.8</w:t>
      </w:r>
      <w:r w:rsidR="00AD6C66">
        <w:t xml:space="preserve">, ενώ στο 90% των περιπτώσεων εμβρυομεταφοράς </w:t>
      </w:r>
      <w:r w:rsidR="00F13486">
        <w:t>εμφυτεύτηκαν</w:t>
      </w:r>
      <w:r w:rsidR="00AD6C66">
        <w:t xml:space="preserve"> ένα με δύο έμβρυα. Για την ίδια περίοδο, ο μέσος αριθμός εμβρύων που κρυοσυντηρήθηκαν είναι 1.1  ανά προσπάθεια. </w:t>
      </w:r>
    </w:p>
    <w:p w14:paraId="1B1147DB" w14:textId="5AA8306E" w:rsidR="00C77CD7" w:rsidRDefault="00336D48" w:rsidP="00793036">
      <w:r>
        <w:t>Όπως τονίζει ο Οργανισμός Βιοϊατρικής στην Έκθεσή του, η εξέλιξη αυτή αντανακλά μια συνετή πολιτική μεταφοράς εμβρύων</w:t>
      </w:r>
      <w:r w:rsidR="00F13486">
        <w:t>, η οποία</w:t>
      </w:r>
      <w:r>
        <w:t xml:space="preserve"> απώτερο στόχο της έχει τη μείωση των πολλαπλών κυήσεων</w:t>
      </w:r>
      <w:r w:rsidR="0090120D">
        <w:t xml:space="preserve"> και την πρόληψη των επιπλοκών που δύνανται να δημιουργηθούν σε σχέση τόσο με τη μητέρα, όσο και με το έμβρυο. Αντίθετα, δυστυχώς παρατηρείται ότι το ένα τέταρτο των περιπτώσεων κατά τις οποίες εμφυτεύονται δύο ή περισσότερα γονιμοποιημένα ωάρια είναι πολλαπλές κυήσεις</w:t>
      </w:r>
      <w:r w:rsidR="00C24C9B">
        <w:t xml:space="preserve"> (Πίνακας 7)</w:t>
      </w:r>
      <w:r w:rsidR="008A074B">
        <w:t xml:space="preserve">. </w:t>
      </w:r>
      <w:r w:rsidR="0090120D">
        <w:t xml:space="preserve"> </w:t>
      </w:r>
    </w:p>
    <w:p w14:paraId="00FE4BC5" w14:textId="7754FE96" w:rsidR="00192084" w:rsidRPr="0074615E" w:rsidRDefault="009B3C64" w:rsidP="00793036">
      <w:pPr>
        <w:spacing w:before="240" w:after="240"/>
        <w:ind w:firstLine="0"/>
        <w:rPr>
          <w:b/>
          <w:szCs w:val="22"/>
        </w:rPr>
      </w:pPr>
      <w:r>
        <w:rPr>
          <w:b/>
          <w:szCs w:val="22"/>
        </w:rPr>
        <w:t xml:space="preserve">Πίνακας </w:t>
      </w:r>
      <w:r w:rsidR="00C24C9B">
        <w:rPr>
          <w:b/>
          <w:szCs w:val="22"/>
        </w:rPr>
        <w:t>7</w:t>
      </w:r>
      <w:r w:rsidR="0074615E">
        <w:rPr>
          <w:b/>
          <w:szCs w:val="22"/>
        </w:rPr>
        <w:t>.</w:t>
      </w:r>
      <w:r w:rsidR="0090120D" w:rsidRPr="0074615E">
        <w:rPr>
          <w:b/>
          <w:szCs w:val="22"/>
        </w:rPr>
        <w:t xml:space="preserve"> Μεταφορά εμβρύων και πολλαπλές κυήσεις από το 2009 έως 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1134"/>
        <w:gridCol w:w="1276"/>
        <w:gridCol w:w="1134"/>
        <w:gridCol w:w="1242"/>
      </w:tblGrid>
      <w:tr w:rsidR="0090120D" w:rsidRPr="00EF0C73" w14:paraId="375A4F58" w14:textId="77777777" w:rsidTr="00914B8C">
        <w:tc>
          <w:tcPr>
            <w:tcW w:w="4644" w:type="dxa"/>
            <w:tcBorders>
              <w:bottom w:val="single" w:sz="4" w:space="0" w:color="auto"/>
            </w:tcBorders>
            <w:shd w:val="clear" w:color="auto" w:fill="auto"/>
          </w:tcPr>
          <w:p w14:paraId="36AD6250" w14:textId="77777777" w:rsidR="0090120D" w:rsidRPr="00EF0C73" w:rsidRDefault="0090120D" w:rsidP="00EF0C73">
            <w:pPr>
              <w:spacing w:before="40" w:after="40" w:line="240" w:lineRule="auto"/>
              <w:ind w:firstLine="0"/>
              <w:jc w:val="center"/>
              <w:rPr>
                <w:rFonts w:eastAsia="Calibri"/>
                <w:sz w:val="22"/>
                <w:szCs w:val="22"/>
              </w:rPr>
            </w:pPr>
          </w:p>
        </w:tc>
        <w:tc>
          <w:tcPr>
            <w:tcW w:w="1134" w:type="dxa"/>
            <w:tcBorders>
              <w:bottom w:val="single" w:sz="4" w:space="0" w:color="auto"/>
            </w:tcBorders>
            <w:shd w:val="pct15" w:color="auto" w:fill="auto"/>
          </w:tcPr>
          <w:p w14:paraId="34A1752D" w14:textId="77777777" w:rsidR="0090120D" w:rsidRPr="00EF0C73" w:rsidRDefault="0090120D" w:rsidP="00EF0C73">
            <w:pPr>
              <w:spacing w:before="40" w:after="40" w:line="240" w:lineRule="auto"/>
              <w:ind w:firstLine="0"/>
              <w:jc w:val="center"/>
              <w:rPr>
                <w:rFonts w:eastAsia="Calibri"/>
                <w:b/>
                <w:sz w:val="22"/>
                <w:szCs w:val="22"/>
              </w:rPr>
            </w:pPr>
            <w:r w:rsidRPr="00EF0C73">
              <w:rPr>
                <w:rFonts w:eastAsia="Calibri"/>
                <w:b/>
                <w:sz w:val="22"/>
                <w:szCs w:val="22"/>
              </w:rPr>
              <w:t>2009</w:t>
            </w:r>
          </w:p>
        </w:tc>
        <w:tc>
          <w:tcPr>
            <w:tcW w:w="1276" w:type="dxa"/>
            <w:tcBorders>
              <w:bottom w:val="single" w:sz="4" w:space="0" w:color="auto"/>
            </w:tcBorders>
            <w:shd w:val="pct15" w:color="auto" w:fill="auto"/>
          </w:tcPr>
          <w:p w14:paraId="311903AF" w14:textId="77777777" w:rsidR="0090120D" w:rsidRPr="00EF0C73" w:rsidRDefault="0090120D" w:rsidP="00EF0C73">
            <w:pPr>
              <w:spacing w:before="40" w:after="40" w:line="240" w:lineRule="auto"/>
              <w:ind w:firstLine="0"/>
              <w:jc w:val="center"/>
              <w:rPr>
                <w:rFonts w:eastAsia="Calibri"/>
                <w:b/>
                <w:sz w:val="22"/>
                <w:szCs w:val="22"/>
              </w:rPr>
            </w:pPr>
            <w:r w:rsidRPr="00EF0C73">
              <w:rPr>
                <w:rFonts w:eastAsia="Calibri"/>
                <w:b/>
                <w:sz w:val="22"/>
                <w:szCs w:val="22"/>
              </w:rPr>
              <w:t>2010</w:t>
            </w:r>
          </w:p>
        </w:tc>
        <w:tc>
          <w:tcPr>
            <w:tcW w:w="1134" w:type="dxa"/>
            <w:tcBorders>
              <w:bottom w:val="single" w:sz="4" w:space="0" w:color="auto"/>
            </w:tcBorders>
            <w:shd w:val="pct15" w:color="auto" w:fill="auto"/>
          </w:tcPr>
          <w:p w14:paraId="27AF1D3A" w14:textId="77777777" w:rsidR="0090120D" w:rsidRPr="00EF0C73" w:rsidRDefault="0090120D" w:rsidP="00EF0C73">
            <w:pPr>
              <w:spacing w:before="40" w:after="40" w:line="240" w:lineRule="auto"/>
              <w:ind w:firstLine="0"/>
              <w:jc w:val="center"/>
              <w:rPr>
                <w:rFonts w:eastAsia="Calibri"/>
                <w:b/>
                <w:sz w:val="22"/>
                <w:szCs w:val="22"/>
              </w:rPr>
            </w:pPr>
            <w:r w:rsidRPr="00EF0C73">
              <w:rPr>
                <w:rFonts w:eastAsia="Calibri"/>
                <w:b/>
                <w:sz w:val="22"/>
                <w:szCs w:val="22"/>
              </w:rPr>
              <w:t>2011</w:t>
            </w:r>
          </w:p>
        </w:tc>
        <w:tc>
          <w:tcPr>
            <w:tcW w:w="1242" w:type="dxa"/>
            <w:tcBorders>
              <w:bottom w:val="single" w:sz="4" w:space="0" w:color="auto"/>
            </w:tcBorders>
            <w:shd w:val="pct15" w:color="auto" w:fill="auto"/>
          </w:tcPr>
          <w:p w14:paraId="04010CF2" w14:textId="77777777" w:rsidR="0090120D" w:rsidRPr="00EF0C73" w:rsidRDefault="0090120D" w:rsidP="00EF0C73">
            <w:pPr>
              <w:spacing w:before="40" w:after="40" w:line="240" w:lineRule="auto"/>
              <w:ind w:firstLine="0"/>
              <w:jc w:val="center"/>
              <w:rPr>
                <w:rFonts w:eastAsia="Calibri"/>
                <w:b/>
                <w:sz w:val="22"/>
                <w:szCs w:val="22"/>
              </w:rPr>
            </w:pPr>
            <w:r w:rsidRPr="00EF0C73">
              <w:rPr>
                <w:rFonts w:eastAsia="Calibri"/>
                <w:b/>
                <w:sz w:val="22"/>
                <w:szCs w:val="22"/>
              </w:rPr>
              <w:t>2012</w:t>
            </w:r>
          </w:p>
        </w:tc>
      </w:tr>
      <w:tr w:rsidR="0090120D" w:rsidRPr="00EF0C73" w14:paraId="03F9E4AD" w14:textId="77777777" w:rsidTr="00EF0C73">
        <w:tc>
          <w:tcPr>
            <w:tcW w:w="4644" w:type="dxa"/>
            <w:shd w:val="pct15" w:color="auto" w:fill="auto"/>
          </w:tcPr>
          <w:p w14:paraId="1EA2BBFC" w14:textId="77777777" w:rsidR="0090120D" w:rsidRPr="00EF0C73" w:rsidRDefault="0090120D" w:rsidP="00EF0C73">
            <w:pPr>
              <w:spacing w:before="40" w:after="40" w:line="240" w:lineRule="auto"/>
              <w:ind w:firstLine="0"/>
              <w:rPr>
                <w:rFonts w:eastAsia="Calibri"/>
                <w:b/>
                <w:sz w:val="22"/>
                <w:szCs w:val="22"/>
              </w:rPr>
            </w:pPr>
            <w:r w:rsidRPr="00EF0C73">
              <w:rPr>
                <w:rFonts w:eastAsia="Calibri"/>
                <w:b/>
                <w:sz w:val="22"/>
                <w:szCs w:val="22"/>
              </w:rPr>
              <w:t xml:space="preserve">Αριθμός μεταφερόμενων εμβρύων </w:t>
            </w:r>
          </w:p>
        </w:tc>
        <w:tc>
          <w:tcPr>
            <w:tcW w:w="1134" w:type="dxa"/>
            <w:shd w:val="pct15" w:color="auto" w:fill="auto"/>
          </w:tcPr>
          <w:p w14:paraId="6412844B" w14:textId="77777777" w:rsidR="0090120D" w:rsidRPr="00EF0C73" w:rsidRDefault="0090120D" w:rsidP="00EF0C73">
            <w:pPr>
              <w:spacing w:before="40" w:after="40" w:line="240" w:lineRule="auto"/>
              <w:ind w:firstLine="0"/>
              <w:jc w:val="center"/>
              <w:rPr>
                <w:rFonts w:eastAsia="Calibri"/>
                <w:sz w:val="22"/>
                <w:szCs w:val="22"/>
              </w:rPr>
            </w:pPr>
          </w:p>
        </w:tc>
        <w:tc>
          <w:tcPr>
            <w:tcW w:w="1276" w:type="dxa"/>
            <w:shd w:val="pct15" w:color="auto" w:fill="auto"/>
          </w:tcPr>
          <w:p w14:paraId="356A119B" w14:textId="77777777" w:rsidR="0090120D" w:rsidRPr="00EF0C73" w:rsidRDefault="0090120D" w:rsidP="00EF0C73">
            <w:pPr>
              <w:spacing w:before="40" w:after="40" w:line="240" w:lineRule="auto"/>
              <w:ind w:firstLine="0"/>
              <w:jc w:val="center"/>
              <w:rPr>
                <w:rFonts w:eastAsia="Calibri"/>
                <w:sz w:val="22"/>
                <w:szCs w:val="22"/>
              </w:rPr>
            </w:pPr>
          </w:p>
        </w:tc>
        <w:tc>
          <w:tcPr>
            <w:tcW w:w="1134" w:type="dxa"/>
            <w:shd w:val="pct15" w:color="auto" w:fill="auto"/>
          </w:tcPr>
          <w:p w14:paraId="4132316A" w14:textId="77777777" w:rsidR="0090120D" w:rsidRPr="00EF0C73" w:rsidRDefault="0090120D" w:rsidP="00EF0C73">
            <w:pPr>
              <w:spacing w:before="40" w:after="40" w:line="240" w:lineRule="auto"/>
              <w:ind w:firstLine="0"/>
              <w:jc w:val="center"/>
              <w:rPr>
                <w:rFonts w:eastAsia="Calibri"/>
                <w:sz w:val="22"/>
                <w:szCs w:val="22"/>
              </w:rPr>
            </w:pPr>
          </w:p>
        </w:tc>
        <w:tc>
          <w:tcPr>
            <w:tcW w:w="1242" w:type="dxa"/>
            <w:shd w:val="pct15" w:color="auto" w:fill="auto"/>
          </w:tcPr>
          <w:p w14:paraId="3D9E7BA3" w14:textId="77777777" w:rsidR="0090120D" w:rsidRPr="00EF0C73" w:rsidRDefault="0090120D" w:rsidP="00EF0C73">
            <w:pPr>
              <w:spacing w:before="40" w:after="40" w:line="240" w:lineRule="auto"/>
              <w:ind w:firstLine="0"/>
              <w:jc w:val="center"/>
              <w:rPr>
                <w:rFonts w:eastAsia="Calibri"/>
                <w:sz w:val="22"/>
                <w:szCs w:val="22"/>
              </w:rPr>
            </w:pPr>
          </w:p>
        </w:tc>
      </w:tr>
      <w:tr w:rsidR="0090120D" w:rsidRPr="00EF0C73" w14:paraId="199F4BC8" w14:textId="77777777" w:rsidTr="00EF0C73">
        <w:tc>
          <w:tcPr>
            <w:tcW w:w="4644" w:type="dxa"/>
            <w:shd w:val="clear" w:color="auto" w:fill="auto"/>
          </w:tcPr>
          <w:p w14:paraId="24C666C3" w14:textId="77777777" w:rsidR="0090120D" w:rsidRPr="00EF0C73" w:rsidRDefault="0090120D" w:rsidP="00EF0C73">
            <w:pPr>
              <w:spacing w:before="40" w:after="40" w:line="240" w:lineRule="auto"/>
              <w:ind w:firstLine="0"/>
              <w:rPr>
                <w:rFonts w:eastAsia="Calibri"/>
                <w:sz w:val="22"/>
                <w:szCs w:val="22"/>
              </w:rPr>
            </w:pPr>
            <w:r w:rsidRPr="00EF0C73">
              <w:rPr>
                <w:rFonts w:eastAsia="Calibri"/>
                <w:sz w:val="22"/>
                <w:szCs w:val="22"/>
              </w:rPr>
              <w:t>1 μεταφερόμενο έμβρυο</w:t>
            </w:r>
          </w:p>
        </w:tc>
        <w:tc>
          <w:tcPr>
            <w:tcW w:w="1134" w:type="dxa"/>
            <w:shd w:val="clear" w:color="auto" w:fill="auto"/>
          </w:tcPr>
          <w:p w14:paraId="6A611D3B"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31,7</w:t>
            </w:r>
            <w:r w:rsidR="007166E3">
              <w:rPr>
                <w:rFonts w:eastAsia="Calibri"/>
                <w:sz w:val="22"/>
                <w:szCs w:val="22"/>
              </w:rPr>
              <w:t xml:space="preserve"> </w:t>
            </w:r>
            <w:r w:rsidRPr="00EF0C73">
              <w:rPr>
                <w:rFonts w:eastAsia="Calibri"/>
                <w:sz w:val="22"/>
                <w:szCs w:val="22"/>
              </w:rPr>
              <w:t>%</w:t>
            </w:r>
          </w:p>
        </w:tc>
        <w:tc>
          <w:tcPr>
            <w:tcW w:w="1276" w:type="dxa"/>
            <w:shd w:val="clear" w:color="auto" w:fill="auto"/>
          </w:tcPr>
          <w:p w14:paraId="2AAB4AD5"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33,4</w:t>
            </w:r>
            <w:r w:rsidR="007166E3">
              <w:rPr>
                <w:rFonts w:eastAsia="Calibri"/>
                <w:sz w:val="22"/>
                <w:szCs w:val="22"/>
              </w:rPr>
              <w:t xml:space="preserve"> </w:t>
            </w:r>
            <w:r w:rsidRPr="00EF0C73">
              <w:rPr>
                <w:rFonts w:eastAsia="Calibri"/>
                <w:sz w:val="22"/>
                <w:szCs w:val="22"/>
              </w:rPr>
              <w:t>%</w:t>
            </w:r>
          </w:p>
        </w:tc>
        <w:tc>
          <w:tcPr>
            <w:tcW w:w="1134" w:type="dxa"/>
            <w:shd w:val="clear" w:color="auto" w:fill="auto"/>
          </w:tcPr>
          <w:p w14:paraId="0862A486"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36,5</w:t>
            </w:r>
            <w:r w:rsidR="007166E3">
              <w:rPr>
                <w:rFonts w:eastAsia="Calibri"/>
                <w:sz w:val="22"/>
                <w:szCs w:val="22"/>
              </w:rPr>
              <w:t xml:space="preserve"> </w:t>
            </w:r>
            <w:r w:rsidRPr="00EF0C73">
              <w:rPr>
                <w:rFonts w:eastAsia="Calibri"/>
                <w:sz w:val="22"/>
                <w:szCs w:val="22"/>
              </w:rPr>
              <w:t>%</w:t>
            </w:r>
          </w:p>
        </w:tc>
        <w:tc>
          <w:tcPr>
            <w:tcW w:w="1242" w:type="dxa"/>
            <w:shd w:val="clear" w:color="auto" w:fill="auto"/>
          </w:tcPr>
          <w:p w14:paraId="4B4E65AC"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39,8</w:t>
            </w:r>
            <w:r w:rsidR="007166E3">
              <w:rPr>
                <w:rFonts w:eastAsia="Calibri"/>
                <w:sz w:val="22"/>
                <w:szCs w:val="22"/>
              </w:rPr>
              <w:t xml:space="preserve"> </w:t>
            </w:r>
            <w:r w:rsidRPr="00EF0C73">
              <w:rPr>
                <w:rFonts w:eastAsia="Calibri"/>
                <w:sz w:val="22"/>
                <w:szCs w:val="22"/>
              </w:rPr>
              <w:t>%</w:t>
            </w:r>
          </w:p>
        </w:tc>
      </w:tr>
      <w:tr w:rsidR="0090120D" w:rsidRPr="00EF0C73" w14:paraId="4B21B1B4" w14:textId="77777777" w:rsidTr="00EF0C73">
        <w:tc>
          <w:tcPr>
            <w:tcW w:w="4644" w:type="dxa"/>
            <w:shd w:val="clear" w:color="auto" w:fill="auto"/>
          </w:tcPr>
          <w:p w14:paraId="0F2AF866" w14:textId="77777777" w:rsidR="0090120D" w:rsidRPr="00EF0C73" w:rsidRDefault="0090120D" w:rsidP="00EF0C73">
            <w:pPr>
              <w:spacing w:before="40" w:after="40" w:line="240" w:lineRule="auto"/>
              <w:ind w:firstLine="0"/>
              <w:rPr>
                <w:rFonts w:eastAsia="Calibri"/>
                <w:sz w:val="22"/>
                <w:szCs w:val="22"/>
              </w:rPr>
            </w:pPr>
            <w:r w:rsidRPr="00EF0C73">
              <w:rPr>
                <w:rFonts w:eastAsia="Calibri"/>
                <w:sz w:val="22"/>
                <w:szCs w:val="22"/>
              </w:rPr>
              <w:t xml:space="preserve">2 μεταφερόμενα έμβρυα </w:t>
            </w:r>
          </w:p>
        </w:tc>
        <w:tc>
          <w:tcPr>
            <w:tcW w:w="1134" w:type="dxa"/>
            <w:shd w:val="clear" w:color="auto" w:fill="auto"/>
          </w:tcPr>
          <w:p w14:paraId="7E881221"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59</w:t>
            </w:r>
            <w:r w:rsidR="007166E3">
              <w:rPr>
                <w:rFonts w:eastAsia="Calibri"/>
                <w:sz w:val="22"/>
                <w:szCs w:val="22"/>
              </w:rPr>
              <w:t xml:space="preserve"> </w:t>
            </w:r>
            <w:r w:rsidRPr="00EF0C73">
              <w:rPr>
                <w:rFonts w:eastAsia="Calibri"/>
                <w:sz w:val="22"/>
                <w:szCs w:val="22"/>
              </w:rPr>
              <w:t>%</w:t>
            </w:r>
          </w:p>
        </w:tc>
        <w:tc>
          <w:tcPr>
            <w:tcW w:w="1276" w:type="dxa"/>
            <w:shd w:val="clear" w:color="auto" w:fill="auto"/>
          </w:tcPr>
          <w:p w14:paraId="452C7B37"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57,4</w:t>
            </w:r>
            <w:r w:rsidR="007166E3">
              <w:rPr>
                <w:rFonts w:eastAsia="Calibri"/>
                <w:sz w:val="22"/>
                <w:szCs w:val="22"/>
              </w:rPr>
              <w:t xml:space="preserve"> </w:t>
            </w:r>
            <w:r w:rsidRPr="00EF0C73">
              <w:rPr>
                <w:rFonts w:eastAsia="Calibri"/>
                <w:sz w:val="22"/>
                <w:szCs w:val="22"/>
              </w:rPr>
              <w:t>%</w:t>
            </w:r>
          </w:p>
        </w:tc>
        <w:tc>
          <w:tcPr>
            <w:tcW w:w="1134" w:type="dxa"/>
            <w:shd w:val="clear" w:color="auto" w:fill="auto"/>
          </w:tcPr>
          <w:p w14:paraId="567FD74D"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55,9</w:t>
            </w:r>
            <w:r w:rsidR="007166E3">
              <w:rPr>
                <w:rFonts w:eastAsia="Calibri"/>
                <w:sz w:val="22"/>
                <w:szCs w:val="22"/>
              </w:rPr>
              <w:t xml:space="preserve"> </w:t>
            </w:r>
            <w:r w:rsidRPr="00EF0C73">
              <w:rPr>
                <w:rFonts w:eastAsia="Calibri"/>
                <w:sz w:val="22"/>
                <w:szCs w:val="22"/>
              </w:rPr>
              <w:t>%</w:t>
            </w:r>
          </w:p>
        </w:tc>
        <w:tc>
          <w:tcPr>
            <w:tcW w:w="1242" w:type="dxa"/>
            <w:shd w:val="clear" w:color="auto" w:fill="auto"/>
          </w:tcPr>
          <w:p w14:paraId="01739B83"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54,3</w:t>
            </w:r>
            <w:r w:rsidR="007166E3">
              <w:rPr>
                <w:rFonts w:eastAsia="Calibri"/>
                <w:sz w:val="22"/>
                <w:szCs w:val="22"/>
              </w:rPr>
              <w:t xml:space="preserve"> </w:t>
            </w:r>
            <w:r w:rsidRPr="00EF0C73">
              <w:rPr>
                <w:rFonts w:eastAsia="Calibri"/>
                <w:sz w:val="22"/>
                <w:szCs w:val="22"/>
              </w:rPr>
              <w:t>%</w:t>
            </w:r>
          </w:p>
        </w:tc>
      </w:tr>
      <w:tr w:rsidR="0090120D" w:rsidRPr="00EF0C73" w14:paraId="1725F138" w14:textId="77777777" w:rsidTr="00EF0C73">
        <w:tc>
          <w:tcPr>
            <w:tcW w:w="4644" w:type="dxa"/>
            <w:tcBorders>
              <w:bottom w:val="single" w:sz="4" w:space="0" w:color="auto"/>
            </w:tcBorders>
            <w:shd w:val="clear" w:color="auto" w:fill="auto"/>
          </w:tcPr>
          <w:p w14:paraId="66AB1A4F" w14:textId="77777777" w:rsidR="0090120D" w:rsidRPr="00EF0C73" w:rsidRDefault="0090120D" w:rsidP="00EF0C73">
            <w:pPr>
              <w:spacing w:before="40" w:after="40" w:line="240" w:lineRule="auto"/>
              <w:ind w:firstLine="0"/>
              <w:rPr>
                <w:rFonts w:eastAsia="Calibri"/>
                <w:sz w:val="22"/>
                <w:szCs w:val="22"/>
              </w:rPr>
            </w:pPr>
            <w:r w:rsidRPr="00EF0C73">
              <w:rPr>
                <w:rFonts w:eastAsia="Calibri"/>
                <w:sz w:val="22"/>
                <w:szCs w:val="22"/>
              </w:rPr>
              <w:t xml:space="preserve">3 ή περισσότερα μεταφερόμενα έμβρυα </w:t>
            </w:r>
          </w:p>
        </w:tc>
        <w:tc>
          <w:tcPr>
            <w:tcW w:w="1134" w:type="dxa"/>
            <w:tcBorders>
              <w:bottom w:val="single" w:sz="4" w:space="0" w:color="auto"/>
            </w:tcBorders>
            <w:shd w:val="clear" w:color="auto" w:fill="auto"/>
          </w:tcPr>
          <w:p w14:paraId="4D1D3EC9"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9,3</w:t>
            </w:r>
            <w:r w:rsidR="007166E3">
              <w:rPr>
                <w:rFonts w:eastAsia="Calibri"/>
                <w:sz w:val="22"/>
                <w:szCs w:val="22"/>
              </w:rPr>
              <w:t xml:space="preserve"> </w:t>
            </w:r>
            <w:r w:rsidRPr="00EF0C73">
              <w:rPr>
                <w:rFonts w:eastAsia="Calibri"/>
                <w:sz w:val="22"/>
                <w:szCs w:val="22"/>
              </w:rPr>
              <w:t>%</w:t>
            </w:r>
          </w:p>
        </w:tc>
        <w:tc>
          <w:tcPr>
            <w:tcW w:w="1276" w:type="dxa"/>
            <w:tcBorders>
              <w:bottom w:val="single" w:sz="4" w:space="0" w:color="auto"/>
            </w:tcBorders>
            <w:shd w:val="clear" w:color="auto" w:fill="auto"/>
          </w:tcPr>
          <w:p w14:paraId="75FE890C"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8,5</w:t>
            </w:r>
            <w:r w:rsidR="007166E3">
              <w:rPr>
                <w:rFonts w:eastAsia="Calibri"/>
                <w:sz w:val="22"/>
                <w:szCs w:val="22"/>
              </w:rPr>
              <w:t xml:space="preserve"> </w:t>
            </w:r>
            <w:r w:rsidRPr="00EF0C73">
              <w:rPr>
                <w:rFonts w:eastAsia="Calibri"/>
                <w:sz w:val="22"/>
                <w:szCs w:val="22"/>
              </w:rPr>
              <w:t>%</w:t>
            </w:r>
          </w:p>
        </w:tc>
        <w:tc>
          <w:tcPr>
            <w:tcW w:w="1134" w:type="dxa"/>
            <w:tcBorders>
              <w:bottom w:val="single" w:sz="4" w:space="0" w:color="auto"/>
            </w:tcBorders>
            <w:shd w:val="clear" w:color="auto" w:fill="auto"/>
          </w:tcPr>
          <w:p w14:paraId="40DC7E01"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7,6</w:t>
            </w:r>
            <w:r w:rsidR="007166E3">
              <w:rPr>
                <w:rFonts w:eastAsia="Calibri"/>
                <w:sz w:val="22"/>
                <w:szCs w:val="22"/>
              </w:rPr>
              <w:t xml:space="preserve"> </w:t>
            </w:r>
            <w:r w:rsidRPr="00EF0C73">
              <w:rPr>
                <w:rFonts w:eastAsia="Calibri"/>
                <w:sz w:val="22"/>
                <w:szCs w:val="22"/>
              </w:rPr>
              <w:t>%</w:t>
            </w:r>
          </w:p>
        </w:tc>
        <w:tc>
          <w:tcPr>
            <w:tcW w:w="1242" w:type="dxa"/>
            <w:tcBorders>
              <w:bottom w:val="single" w:sz="4" w:space="0" w:color="auto"/>
            </w:tcBorders>
            <w:shd w:val="clear" w:color="auto" w:fill="auto"/>
          </w:tcPr>
          <w:p w14:paraId="65DAD4E3"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5,9</w:t>
            </w:r>
            <w:r w:rsidR="007166E3">
              <w:rPr>
                <w:rFonts w:eastAsia="Calibri"/>
                <w:sz w:val="22"/>
                <w:szCs w:val="22"/>
              </w:rPr>
              <w:t xml:space="preserve"> </w:t>
            </w:r>
            <w:r w:rsidRPr="00EF0C73">
              <w:rPr>
                <w:rFonts w:eastAsia="Calibri"/>
                <w:sz w:val="22"/>
                <w:szCs w:val="22"/>
              </w:rPr>
              <w:t>%</w:t>
            </w:r>
          </w:p>
        </w:tc>
      </w:tr>
      <w:tr w:rsidR="0090120D" w:rsidRPr="00EF0C73" w14:paraId="1E0CE09A" w14:textId="77777777" w:rsidTr="00EF0C73">
        <w:tc>
          <w:tcPr>
            <w:tcW w:w="4644" w:type="dxa"/>
            <w:shd w:val="pct15" w:color="auto" w:fill="auto"/>
          </w:tcPr>
          <w:p w14:paraId="25A3A246" w14:textId="77777777" w:rsidR="0090120D" w:rsidRPr="00EF0C73" w:rsidRDefault="0090120D" w:rsidP="00EF0C73">
            <w:pPr>
              <w:spacing w:before="40" w:after="40" w:line="240" w:lineRule="auto"/>
              <w:ind w:firstLine="0"/>
              <w:rPr>
                <w:rFonts w:eastAsia="Calibri"/>
                <w:b/>
                <w:sz w:val="22"/>
                <w:szCs w:val="22"/>
              </w:rPr>
            </w:pPr>
            <w:r w:rsidRPr="00EF0C73">
              <w:rPr>
                <w:rFonts w:eastAsia="Calibri"/>
                <w:b/>
                <w:sz w:val="22"/>
                <w:szCs w:val="22"/>
              </w:rPr>
              <w:t xml:space="preserve">Πολλαπλές κυήσεις </w:t>
            </w:r>
          </w:p>
        </w:tc>
        <w:tc>
          <w:tcPr>
            <w:tcW w:w="1134" w:type="dxa"/>
            <w:shd w:val="pct15" w:color="auto" w:fill="auto"/>
          </w:tcPr>
          <w:p w14:paraId="1195225C" w14:textId="77777777" w:rsidR="0090120D" w:rsidRPr="00EF0C73" w:rsidRDefault="0090120D" w:rsidP="00EF0C73">
            <w:pPr>
              <w:spacing w:before="40" w:after="40" w:line="240" w:lineRule="auto"/>
              <w:ind w:firstLine="0"/>
              <w:jc w:val="center"/>
              <w:rPr>
                <w:rFonts w:eastAsia="Calibri"/>
                <w:sz w:val="22"/>
                <w:szCs w:val="22"/>
              </w:rPr>
            </w:pPr>
          </w:p>
        </w:tc>
        <w:tc>
          <w:tcPr>
            <w:tcW w:w="1276" w:type="dxa"/>
            <w:shd w:val="pct15" w:color="auto" w:fill="auto"/>
          </w:tcPr>
          <w:p w14:paraId="2153EF7A" w14:textId="77777777" w:rsidR="0090120D" w:rsidRPr="00EF0C73" w:rsidRDefault="0090120D" w:rsidP="00EF0C73">
            <w:pPr>
              <w:spacing w:before="40" w:after="40" w:line="240" w:lineRule="auto"/>
              <w:ind w:firstLine="0"/>
              <w:jc w:val="center"/>
              <w:rPr>
                <w:rFonts w:eastAsia="Calibri"/>
                <w:sz w:val="22"/>
                <w:szCs w:val="22"/>
              </w:rPr>
            </w:pPr>
          </w:p>
        </w:tc>
        <w:tc>
          <w:tcPr>
            <w:tcW w:w="1134" w:type="dxa"/>
            <w:shd w:val="pct15" w:color="auto" w:fill="auto"/>
          </w:tcPr>
          <w:p w14:paraId="2C16DCCF" w14:textId="77777777" w:rsidR="0090120D" w:rsidRPr="00EF0C73" w:rsidRDefault="0090120D" w:rsidP="00EF0C73">
            <w:pPr>
              <w:spacing w:before="40" w:after="40" w:line="240" w:lineRule="auto"/>
              <w:ind w:firstLine="0"/>
              <w:jc w:val="center"/>
              <w:rPr>
                <w:rFonts w:eastAsia="Calibri"/>
                <w:sz w:val="22"/>
                <w:szCs w:val="22"/>
              </w:rPr>
            </w:pPr>
          </w:p>
        </w:tc>
        <w:tc>
          <w:tcPr>
            <w:tcW w:w="1242" w:type="dxa"/>
            <w:shd w:val="pct15" w:color="auto" w:fill="auto"/>
          </w:tcPr>
          <w:p w14:paraId="0421C19A" w14:textId="77777777" w:rsidR="0090120D" w:rsidRPr="00EF0C73" w:rsidRDefault="0090120D" w:rsidP="00EF0C73">
            <w:pPr>
              <w:spacing w:before="40" w:after="40" w:line="240" w:lineRule="auto"/>
              <w:ind w:firstLine="0"/>
              <w:jc w:val="center"/>
              <w:rPr>
                <w:rFonts w:eastAsia="Calibri"/>
                <w:sz w:val="22"/>
                <w:szCs w:val="22"/>
              </w:rPr>
            </w:pPr>
          </w:p>
        </w:tc>
      </w:tr>
      <w:tr w:rsidR="0090120D" w:rsidRPr="00EF0C73" w14:paraId="55B1E79E" w14:textId="77777777" w:rsidTr="00EF0C73">
        <w:tc>
          <w:tcPr>
            <w:tcW w:w="4644" w:type="dxa"/>
            <w:shd w:val="clear" w:color="auto" w:fill="auto"/>
          </w:tcPr>
          <w:p w14:paraId="6F113B80" w14:textId="77777777" w:rsidR="0090120D" w:rsidRPr="00EF0C73" w:rsidRDefault="00A07F1A" w:rsidP="00EF0C73">
            <w:pPr>
              <w:spacing w:before="40" w:after="40" w:line="240" w:lineRule="auto"/>
              <w:ind w:firstLine="0"/>
              <w:rPr>
                <w:rFonts w:eastAsia="Calibri"/>
                <w:sz w:val="22"/>
                <w:szCs w:val="22"/>
              </w:rPr>
            </w:pPr>
            <w:r>
              <w:rPr>
                <w:rFonts w:eastAsia="Calibri"/>
                <w:sz w:val="22"/>
                <w:szCs w:val="22"/>
              </w:rPr>
              <w:t>Διπλές</w:t>
            </w:r>
            <w:r w:rsidR="0090120D" w:rsidRPr="00EF0C73">
              <w:rPr>
                <w:rFonts w:eastAsia="Calibri"/>
                <w:sz w:val="22"/>
                <w:szCs w:val="22"/>
              </w:rPr>
              <w:t xml:space="preserve"> κυήσεις </w:t>
            </w:r>
          </w:p>
        </w:tc>
        <w:tc>
          <w:tcPr>
            <w:tcW w:w="1134" w:type="dxa"/>
            <w:shd w:val="clear" w:color="auto" w:fill="auto"/>
          </w:tcPr>
          <w:p w14:paraId="03248940"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16,7</w:t>
            </w:r>
            <w:r w:rsidR="007166E3">
              <w:rPr>
                <w:rFonts w:eastAsia="Calibri"/>
                <w:sz w:val="22"/>
                <w:szCs w:val="22"/>
              </w:rPr>
              <w:t xml:space="preserve"> </w:t>
            </w:r>
            <w:r w:rsidRPr="00EF0C73">
              <w:rPr>
                <w:rFonts w:eastAsia="Calibri"/>
                <w:sz w:val="22"/>
                <w:szCs w:val="22"/>
              </w:rPr>
              <w:t>%</w:t>
            </w:r>
          </w:p>
        </w:tc>
        <w:tc>
          <w:tcPr>
            <w:tcW w:w="1276" w:type="dxa"/>
            <w:shd w:val="clear" w:color="auto" w:fill="auto"/>
          </w:tcPr>
          <w:p w14:paraId="2BB21785"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16,2</w:t>
            </w:r>
            <w:r w:rsidR="007166E3">
              <w:rPr>
                <w:rFonts w:eastAsia="Calibri"/>
                <w:sz w:val="22"/>
                <w:szCs w:val="22"/>
              </w:rPr>
              <w:t xml:space="preserve"> </w:t>
            </w:r>
            <w:r w:rsidRPr="00EF0C73">
              <w:rPr>
                <w:rFonts w:eastAsia="Calibri"/>
                <w:sz w:val="22"/>
                <w:szCs w:val="22"/>
              </w:rPr>
              <w:t>%</w:t>
            </w:r>
          </w:p>
        </w:tc>
        <w:tc>
          <w:tcPr>
            <w:tcW w:w="1134" w:type="dxa"/>
            <w:shd w:val="clear" w:color="auto" w:fill="auto"/>
          </w:tcPr>
          <w:p w14:paraId="6A3D16CB"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15,9</w:t>
            </w:r>
            <w:r w:rsidR="007166E3">
              <w:rPr>
                <w:rFonts w:eastAsia="Calibri"/>
                <w:sz w:val="22"/>
                <w:szCs w:val="22"/>
              </w:rPr>
              <w:t xml:space="preserve"> </w:t>
            </w:r>
            <w:r w:rsidRPr="00EF0C73">
              <w:rPr>
                <w:rFonts w:eastAsia="Calibri"/>
                <w:sz w:val="22"/>
                <w:szCs w:val="22"/>
              </w:rPr>
              <w:t>%</w:t>
            </w:r>
          </w:p>
        </w:tc>
        <w:tc>
          <w:tcPr>
            <w:tcW w:w="1242" w:type="dxa"/>
            <w:shd w:val="clear" w:color="auto" w:fill="auto"/>
          </w:tcPr>
          <w:p w14:paraId="44A0538B"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14,5</w:t>
            </w:r>
            <w:r w:rsidR="007166E3">
              <w:rPr>
                <w:rFonts w:eastAsia="Calibri"/>
                <w:sz w:val="22"/>
                <w:szCs w:val="22"/>
              </w:rPr>
              <w:t xml:space="preserve"> </w:t>
            </w:r>
            <w:r w:rsidRPr="00EF0C73">
              <w:rPr>
                <w:rFonts w:eastAsia="Calibri"/>
                <w:sz w:val="22"/>
                <w:szCs w:val="22"/>
              </w:rPr>
              <w:t>%</w:t>
            </w:r>
          </w:p>
        </w:tc>
      </w:tr>
      <w:tr w:rsidR="0090120D" w:rsidRPr="00EF0C73" w14:paraId="34FEC334" w14:textId="77777777" w:rsidTr="00EF0C73">
        <w:tc>
          <w:tcPr>
            <w:tcW w:w="4644" w:type="dxa"/>
            <w:shd w:val="clear" w:color="auto" w:fill="auto"/>
          </w:tcPr>
          <w:p w14:paraId="250F765C" w14:textId="77777777" w:rsidR="0090120D" w:rsidRPr="00EF0C73" w:rsidRDefault="00A07F1A" w:rsidP="00EF0C73">
            <w:pPr>
              <w:spacing w:before="40" w:after="40" w:line="240" w:lineRule="auto"/>
              <w:ind w:firstLine="0"/>
              <w:rPr>
                <w:rFonts w:eastAsia="Calibri"/>
                <w:sz w:val="22"/>
                <w:szCs w:val="22"/>
              </w:rPr>
            </w:pPr>
            <w:r>
              <w:rPr>
                <w:rFonts w:eastAsia="Calibri"/>
                <w:sz w:val="22"/>
                <w:szCs w:val="22"/>
              </w:rPr>
              <w:t>Τριπλές ή πολλαπλές</w:t>
            </w:r>
            <w:r w:rsidR="0090120D" w:rsidRPr="00EF0C73">
              <w:rPr>
                <w:rFonts w:eastAsia="Calibri"/>
                <w:sz w:val="22"/>
                <w:szCs w:val="22"/>
              </w:rPr>
              <w:t xml:space="preserve"> κυήσεις </w:t>
            </w:r>
          </w:p>
        </w:tc>
        <w:tc>
          <w:tcPr>
            <w:tcW w:w="1134" w:type="dxa"/>
            <w:shd w:val="clear" w:color="auto" w:fill="auto"/>
          </w:tcPr>
          <w:p w14:paraId="5D3C78B8"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0,3</w:t>
            </w:r>
            <w:r w:rsidR="007166E3">
              <w:rPr>
                <w:rFonts w:eastAsia="Calibri"/>
                <w:sz w:val="22"/>
                <w:szCs w:val="22"/>
              </w:rPr>
              <w:t xml:space="preserve"> </w:t>
            </w:r>
            <w:r w:rsidRPr="00EF0C73">
              <w:rPr>
                <w:rFonts w:eastAsia="Calibri"/>
                <w:sz w:val="22"/>
                <w:szCs w:val="22"/>
              </w:rPr>
              <w:t>%</w:t>
            </w:r>
          </w:p>
        </w:tc>
        <w:tc>
          <w:tcPr>
            <w:tcW w:w="1276" w:type="dxa"/>
            <w:shd w:val="clear" w:color="auto" w:fill="auto"/>
          </w:tcPr>
          <w:p w14:paraId="73F007C1"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0,2</w:t>
            </w:r>
            <w:r w:rsidR="007166E3">
              <w:rPr>
                <w:rFonts w:eastAsia="Calibri"/>
                <w:sz w:val="22"/>
                <w:szCs w:val="22"/>
              </w:rPr>
              <w:t xml:space="preserve"> </w:t>
            </w:r>
            <w:r w:rsidRPr="00EF0C73">
              <w:rPr>
                <w:rFonts w:eastAsia="Calibri"/>
                <w:sz w:val="22"/>
                <w:szCs w:val="22"/>
              </w:rPr>
              <w:t>%</w:t>
            </w:r>
          </w:p>
        </w:tc>
        <w:tc>
          <w:tcPr>
            <w:tcW w:w="1134" w:type="dxa"/>
            <w:shd w:val="clear" w:color="auto" w:fill="auto"/>
          </w:tcPr>
          <w:p w14:paraId="5A6659F1"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0,2</w:t>
            </w:r>
            <w:r w:rsidR="007166E3">
              <w:rPr>
                <w:rFonts w:eastAsia="Calibri"/>
                <w:sz w:val="22"/>
                <w:szCs w:val="22"/>
              </w:rPr>
              <w:t xml:space="preserve"> </w:t>
            </w:r>
            <w:r w:rsidRPr="00EF0C73">
              <w:rPr>
                <w:rFonts w:eastAsia="Calibri"/>
                <w:sz w:val="22"/>
                <w:szCs w:val="22"/>
              </w:rPr>
              <w:t>%</w:t>
            </w:r>
          </w:p>
        </w:tc>
        <w:tc>
          <w:tcPr>
            <w:tcW w:w="1242" w:type="dxa"/>
            <w:shd w:val="clear" w:color="auto" w:fill="auto"/>
          </w:tcPr>
          <w:p w14:paraId="239562DF" w14:textId="77777777" w:rsidR="0090120D" w:rsidRPr="00EF0C73" w:rsidRDefault="007E177B" w:rsidP="00EF0C73">
            <w:pPr>
              <w:spacing w:before="40" w:after="40" w:line="240" w:lineRule="auto"/>
              <w:ind w:firstLine="0"/>
              <w:jc w:val="center"/>
              <w:rPr>
                <w:rFonts w:eastAsia="Calibri"/>
                <w:sz w:val="22"/>
                <w:szCs w:val="22"/>
              </w:rPr>
            </w:pPr>
            <w:r w:rsidRPr="00EF0C73">
              <w:rPr>
                <w:rFonts w:eastAsia="Calibri"/>
                <w:sz w:val="22"/>
                <w:szCs w:val="22"/>
              </w:rPr>
              <w:t>0,2</w:t>
            </w:r>
            <w:r w:rsidR="007166E3">
              <w:rPr>
                <w:rFonts w:eastAsia="Calibri"/>
                <w:sz w:val="22"/>
                <w:szCs w:val="22"/>
              </w:rPr>
              <w:t xml:space="preserve"> </w:t>
            </w:r>
            <w:r w:rsidRPr="00EF0C73">
              <w:rPr>
                <w:rFonts w:eastAsia="Calibri"/>
                <w:sz w:val="22"/>
                <w:szCs w:val="22"/>
              </w:rPr>
              <w:t>%</w:t>
            </w:r>
          </w:p>
        </w:tc>
      </w:tr>
      <w:tr w:rsidR="0090120D" w:rsidRPr="00EF0C73" w14:paraId="2F9FD662" w14:textId="77777777" w:rsidTr="00EF0C73">
        <w:tc>
          <w:tcPr>
            <w:tcW w:w="9430" w:type="dxa"/>
            <w:gridSpan w:val="5"/>
            <w:shd w:val="clear" w:color="auto" w:fill="auto"/>
          </w:tcPr>
          <w:p w14:paraId="2C937297" w14:textId="77777777" w:rsidR="0090120D" w:rsidRPr="00EF0C73" w:rsidRDefault="0090120D" w:rsidP="00EF0C73">
            <w:pPr>
              <w:spacing w:before="40" w:after="40" w:line="240" w:lineRule="auto"/>
              <w:ind w:firstLine="0"/>
              <w:rPr>
                <w:rFonts w:eastAsia="Calibri"/>
                <w:sz w:val="20"/>
                <w:szCs w:val="20"/>
              </w:rPr>
            </w:pPr>
            <w:r w:rsidRPr="00EF0C73">
              <w:rPr>
                <w:rFonts w:eastAsia="Calibri"/>
                <w:sz w:val="20"/>
                <w:szCs w:val="20"/>
              </w:rPr>
              <w:t xml:space="preserve">* Όποια κι αν είναι η τεχνική που χρησιμοποιήθηκε (σπερματέγχυση ή εξωσωματική γονιμοποίηση) ή η προέλευση των γαμετών. </w:t>
            </w:r>
          </w:p>
        </w:tc>
      </w:tr>
    </w:tbl>
    <w:p w14:paraId="0FBDEC5A" w14:textId="2E322447" w:rsidR="00C77CD7" w:rsidRDefault="00F77B9E" w:rsidP="00793036">
      <w:pPr>
        <w:spacing w:before="240"/>
      </w:pPr>
      <w:r>
        <w:t xml:space="preserve">Επίσης, </w:t>
      </w:r>
      <w:r w:rsidR="00916551">
        <w:t>παρατηρείται</w:t>
      </w:r>
      <w:r w:rsidR="00E822A5">
        <w:t xml:space="preserve"> </w:t>
      </w:r>
      <w:r w:rsidR="00FD2D60">
        <w:t xml:space="preserve">ότι </w:t>
      </w:r>
      <w:r w:rsidR="00916551" w:rsidRPr="00FA3095">
        <w:t>ο μέσος όρος εμβρύων που μεταφέρθηκαν με τη μέθοδο της εξωσωματικής γονιμοποίησης</w:t>
      </w:r>
      <w:r w:rsidR="00916551">
        <w:t xml:space="preserve"> (εκτός της τεχνικής </w:t>
      </w:r>
      <w:r w:rsidR="00916551" w:rsidRPr="00FA3095">
        <w:rPr>
          <w:i/>
          <w:lang w:val="en-US"/>
        </w:rPr>
        <w:t>ICSI</w:t>
      </w:r>
      <w:bookmarkStart w:id="140" w:name="_Ref276109411"/>
      <w:r w:rsidR="00F13486" w:rsidRPr="00F13486">
        <w:rPr>
          <w:rStyle w:val="FootnoteReference"/>
          <w:szCs w:val="22"/>
        </w:rPr>
        <w:footnoteReference w:id="244"/>
      </w:r>
      <w:bookmarkEnd w:id="140"/>
      <w:r w:rsidR="00916551">
        <w:t>)</w:t>
      </w:r>
      <w:r w:rsidR="00916551" w:rsidRPr="00FA3095">
        <w:t xml:space="preserve"> </w:t>
      </w:r>
      <w:r w:rsidR="00916551">
        <w:t xml:space="preserve">ήταν </w:t>
      </w:r>
      <w:r w:rsidR="00916551" w:rsidRPr="00FA3095">
        <w:t>1.8</w:t>
      </w:r>
      <w:r w:rsidR="00F51915">
        <w:t>3 το 2009 και μειώθηκε</w:t>
      </w:r>
      <w:r w:rsidR="00916551">
        <w:t xml:space="preserve"> στο </w:t>
      </w:r>
      <w:r w:rsidR="00916551">
        <w:lastRenderedPageBreak/>
        <w:t xml:space="preserve">1.72 το 2012. </w:t>
      </w:r>
      <w:r w:rsidR="00902A21">
        <w:t>Αντίθετα,</w:t>
      </w:r>
      <w:r w:rsidR="00FD2D60">
        <w:t xml:space="preserve"> </w:t>
      </w:r>
      <w:r w:rsidR="00902A21">
        <w:t>αύξηση</w:t>
      </w:r>
      <w:r w:rsidR="00FD2D60">
        <w:t xml:space="preserve"> παρατηρεί</w:t>
      </w:r>
      <w:r w:rsidR="00902A21">
        <w:t xml:space="preserve">ται </w:t>
      </w:r>
      <w:r w:rsidR="00FD2D60">
        <w:t>στο ποσοστό εμφύτευσης, το οποίο αυξήθηκε από 16.9 το 2009 σε 17.8 το 2012</w:t>
      </w:r>
      <w:r w:rsidR="00603D71">
        <w:t xml:space="preserve"> (Πίνακας 8</w:t>
      </w:r>
      <w:r w:rsidR="00E822A5">
        <w:t>)</w:t>
      </w:r>
      <w:r w:rsidR="008A074B">
        <w:rPr>
          <w:rStyle w:val="FootnoteReference"/>
        </w:rPr>
        <w:footnoteReference w:id="245"/>
      </w:r>
      <w:r w:rsidR="008A074B">
        <w:t>.</w:t>
      </w:r>
    </w:p>
    <w:p w14:paraId="0420F28B" w14:textId="158D84BF" w:rsidR="00842D4B" w:rsidRPr="0074615E" w:rsidRDefault="00603D71" w:rsidP="00793036">
      <w:pPr>
        <w:spacing w:before="240" w:after="240"/>
        <w:ind w:firstLine="0"/>
        <w:rPr>
          <w:b/>
          <w:szCs w:val="22"/>
        </w:rPr>
      </w:pPr>
      <w:r>
        <w:rPr>
          <w:b/>
          <w:szCs w:val="22"/>
        </w:rPr>
        <w:t>Πίνακας 8</w:t>
      </w:r>
      <w:r w:rsidR="00842D4B">
        <w:rPr>
          <w:b/>
          <w:szCs w:val="22"/>
        </w:rPr>
        <w:t>.</w:t>
      </w:r>
      <w:r w:rsidR="00842D4B" w:rsidRPr="0074615E">
        <w:rPr>
          <w:b/>
          <w:szCs w:val="22"/>
        </w:rPr>
        <w:t xml:space="preserve"> </w:t>
      </w:r>
      <w:r w:rsidR="00CC6323">
        <w:rPr>
          <w:b/>
          <w:szCs w:val="22"/>
        </w:rPr>
        <w:t>Ομόλογη</w:t>
      </w:r>
      <w:r w:rsidR="00842D4B">
        <w:rPr>
          <w:b/>
          <w:szCs w:val="22"/>
        </w:rPr>
        <w:t xml:space="preserve"> εξωσωματική </w:t>
      </w:r>
      <w:r w:rsidR="00CC6323">
        <w:rPr>
          <w:b/>
          <w:szCs w:val="22"/>
        </w:rPr>
        <w:t>γονιμοποίηση</w:t>
      </w:r>
      <w:r w:rsidR="00842D4B">
        <w:rPr>
          <w:b/>
          <w:szCs w:val="22"/>
        </w:rPr>
        <w:t xml:space="preserve"> (εκτός της ICSI</w:t>
      </w:r>
      <w:r w:rsidR="00842D4B">
        <w:rPr>
          <w:rStyle w:val="FootnoteReference"/>
          <w:b/>
          <w:szCs w:val="22"/>
        </w:rPr>
        <w:footnoteReference w:id="246"/>
      </w:r>
      <w:r w:rsidR="00842D4B">
        <w:rPr>
          <w:b/>
          <w:szCs w:val="22"/>
        </w:rPr>
        <w:t>): μεταφορά ωαρίων και εμβρύων από το 2009 έως 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1134"/>
        <w:gridCol w:w="1134"/>
        <w:gridCol w:w="1134"/>
        <w:gridCol w:w="1100"/>
      </w:tblGrid>
      <w:tr w:rsidR="00842D4B" w:rsidRPr="00CC6323" w14:paraId="7A4C05D1" w14:textId="77777777" w:rsidTr="00914B8C">
        <w:tc>
          <w:tcPr>
            <w:tcW w:w="4928" w:type="dxa"/>
            <w:tcBorders>
              <w:bottom w:val="single" w:sz="4" w:space="0" w:color="auto"/>
            </w:tcBorders>
            <w:shd w:val="clear" w:color="auto" w:fill="auto"/>
          </w:tcPr>
          <w:p w14:paraId="7F057AA9" w14:textId="77777777" w:rsidR="00842D4B" w:rsidRPr="00CC6323" w:rsidRDefault="00842D4B" w:rsidP="00CC6323">
            <w:pPr>
              <w:spacing w:before="40" w:after="40" w:line="240" w:lineRule="auto"/>
              <w:ind w:firstLine="0"/>
              <w:jc w:val="center"/>
              <w:rPr>
                <w:rFonts w:eastAsia="Calibri"/>
                <w:sz w:val="22"/>
                <w:szCs w:val="22"/>
              </w:rPr>
            </w:pPr>
          </w:p>
        </w:tc>
        <w:tc>
          <w:tcPr>
            <w:tcW w:w="1134" w:type="dxa"/>
            <w:tcBorders>
              <w:bottom w:val="single" w:sz="4" w:space="0" w:color="auto"/>
            </w:tcBorders>
            <w:shd w:val="pct15" w:color="auto" w:fill="auto"/>
          </w:tcPr>
          <w:p w14:paraId="103FA021" w14:textId="77777777" w:rsidR="00842D4B" w:rsidRPr="00CC6323" w:rsidRDefault="00842D4B" w:rsidP="00CC6323">
            <w:pPr>
              <w:spacing w:before="40" w:after="40" w:line="240" w:lineRule="auto"/>
              <w:ind w:firstLine="0"/>
              <w:jc w:val="center"/>
              <w:rPr>
                <w:rFonts w:eastAsia="Calibri"/>
                <w:b/>
                <w:sz w:val="22"/>
                <w:szCs w:val="22"/>
              </w:rPr>
            </w:pPr>
            <w:r w:rsidRPr="00CC6323">
              <w:rPr>
                <w:rFonts w:eastAsia="Calibri"/>
                <w:b/>
                <w:sz w:val="22"/>
                <w:szCs w:val="22"/>
              </w:rPr>
              <w:t>2009</w:t>
            </w:r>
          </w:p>
        </w:tc>
        <w:tc>
          <w:tcPr>
            <w:tcW w:w="1134" w:type="dxa"/>
            <w:tcBorders>
              <w:bottom w:val="single" w:sz="4" w:space="0" w:color="auto"/>
            </w:tcBorders>
            <w:shd w:val="pct15" w:color="auto" w:fill="auto"/>
          </w:tcPr>
          <w:p w14:paraId="73EED9D7" w14:textId="77777777" w:rsidR="00842D4B" w:rsidRPr="00CC6323" w:rsidRDefault="00842D4B" w:rsidP="00CC6323">
            <w:pPr>
              <w:spacing w:before="40" w:after="40" w:line="240" w:lineRule="auto"/>
              <w:ind w:firstLine="0"/>
              <w:jc w:val="center"/>
              <w:rPr>
                <w:rFonts w:eastAsia="Calibri"/>
                <w:b/>
                <w:sz w:val="22"/>
                <w:szCs w:val="22"/>
              </w:rPr>
            </w:pPr>
            <w:r w:rsidRPr="00CC6323">
              <w:rPr>
                <w:rFonts w:eastAsia="Calibri"/>
                <w:b/>
                <w:sz w:val="22"/>
                <w:szCs w:val="22"/>
              </w:rPr>
              <w:t>2010</w:t>
            </w:r>
          </w:p>
        </w:tc>
        <w:tc>
          <w:tcPr>
            <w:tcW w:w="1134" w:type="dxa"/>
            <w:tcBorders>
              <w:bottom w:val="single" w:sz="4" w:space="0" w:color="auto"/>
            </w:tcBorders>
            <w:shd w:val="pct15" w:color="auto" w:fill="auto"/>
          </w:tcPr>
          <w:p w14:paraId="2D2814BA" w14:textId="77777777" w:rsidR="00842D4B" w:rsidRPr="00CC6323" w:rsidRDefault="00842D4B" w:rsidP="00CC6323">
            <w:pPr>
              <w:spacing w:before="40" w:after="40" w:line="240" w:lineRule="auto"/>
              <w:ind w:firstLine="0"/>
              <w:jc w:val="center"/>
              <w:rPr>
                <w:rFonts w:eastAsia="Calibri"/>
                <w:b/>
                <w:sz w:val="22"/>
                <w:szCs w:val="22"/>
              </w:rPr>
            </w:pPr>
            <w:r w:rsidRPr="00CC6323">
              <w:rPr>
                <w:rFonts w:eastAsia="Calibri"/>
                <w:b/>
                <w:sz w:val="22"/>
                <w:szCs w:val="22"/>
              </w:rPr>
              <w:t>2011</w:t>
            </w:r>
          </w:p>
        </w:tc>
        <w:tc>
          <w:tcPr>
            <w:tcW w:w="1100" w:type="dxa"/>
            <w:tcBorders>
              <w:bottom w:val="single" w:sz="4" w:space="0" w:color="auto"/>
            </w:tcBorders>
            <w:shd w:val="pct15" w:color="auto" w:fill="auto"/>
          </w:tcPr>
          <w:p w14:paraId="75AFF4B7" w14:textId="77777777" w:rsidR="00842D4B" w:rsidRPr="00CC6323" w:rsidRDefault="00842D4B" w:rsidP="00CC6323">
            <w:pPr>
              <w:spacing w:before="40" w:after="40" w:line="240" w:lineRule="auto"/>
              <w:ind w:firstLine="0"/>
              <w:jc w:val="center"/>
              <w:rPr>
                <w:rFonts w:eastAsia="Calibri"/>
                <w:b/>
                <w:sz w:val="22"/>
                <w:szCs w:val="22"/>
              </w:rPr>
            </w:pPr>
            <w:r w:rsidRPr="00CC6323">
              <w:rPr>
                <w:rFonts w:eastAsia="Calibri"/>
                <w:b/>
                <w:sz w:val="22"/>
                <w:szCs w:val="22"/>
              </w:rPr>
              <w:t>2012</w:t>
            </w:r>
          </w:p>
        </w:tc>
      </w:tr>
      <w:tr w:rsidR="00842D4B" w:rsidRPr="00CC6323" w14:paraId="46F333E7" w14:textId="77777777" w:rsidTr="00A07F1A">
        <w:tc>
          <w:tcPr>
            <w:tcW w:w="4928" w:type="dxa"/>
            <w:shd w:val="pct15" w:color="auto" w:fill="auto"/>
          </w:tcPr>
          <w:p w14:paraId="51880E26" w14:textId="77777777" w:rsidR="00842D4B" w:rsidRPr="00CC6323" w:rsidRDefault="00842D4B" w:rsidP="00C77CD7">
            <w:pPr>
              <w:spacing w:before="40" w:after="40" w:line="240" w:lineRule="auto"/>
              <w:ind w:firstLine="0"/>
              <w:jc w:val="left"/>
              <w:rPr>
                <w:rFonts w:eastAsia="Calibri"/>
                <w:b/>
                <w:sz w:val="22"/>
                <w:szCs w:val="22"/>
              </w:rPr>
            </w:pPr>
            <w:r w:rsidRPr="00CC6323">
              <w:rPr>
                <w:rFonts w:eastAsia="Calibri"/>
                <w:b/>
                <w:sz w:val="22"/>
                <w:szCs w:val="22"/>
              </w:rPr>
              <w:t xml:space="preserve">Ωάρια </w:t>
            </w:r>
          </w:p>
        </w:tc>
        <w:tc>
          <w:tcPr>
            <w:tcW w:w="1134" w:type="dxa"/>
            <w:shd w:val="pct15" w:color="auto" w:fill="auto"/>
          </w:tcPr>
          <w:p w14:paraId="6B939EF2" w14:textId="77777777" w:rsidR="00842D4B" w:rsidRPr="00CC6323" w:rsidRDefault="00842D4B" w:rsidP="00CC6323">
            <w:pPr>
              <w:spacing w:before="40" w:after="40" w:line="240" w:lineRule="auto"/>
              <w:ind w:firstLine="0"/>
              <w:jc w:val="center"/>
              <w:rPr>
                <w:rFonts w:eastAsia="Calibri"/>
                <w:sz w:val="22"/>
                <w:szCs w:val="22"/>
              </w:rPr>
            </w:pPr>
          </w:p>
        </w:tc>
        <w:tc>
          <w:tcPr>
            <w:tcW w:w="1134" w:type="dxa"/>
            <w:shd w:val="pct15" w:color="auto" w:fill="auto"/>
          </w:tcPr>
          <w:p w14:paraId="19458D46" w14:textId="77777777" w:rsidR="00842D4B" w:rsidRPr="00CC6323" w:rsidRDefault="00842D4B" w:rsidP="00CC6323">
            <w:pPr>
              <w:spacing w:before="40" w:after="40" w:line="240" w:lineRule="auto"/>
              <w:ind w:firstLine="0"/>
              <w:jc w:val="center"/>
              <w:rPr>
                <w:rFonts w:eastAsia="Calibri"/>
                <w:sz w:val="22"/>
                <w:szCs w:val="22"/>
              </w:rPr>
            </w:pPr>
          </w:p>
        </w:tc>
        <w:tc>
          <w:tcPr>
            <w:tcW w:w="1134" w:type="dxa"/>
            <w:shd w:val="pct15" w:color="auto" w:fill="auto"/>
          </w:tcPr>
          <w:p w14:paraId="1C496483" w14:textId="77777777" w:rsidR="00842D4B" w:rsidRPr="00CC6323" w:rsidRDefault="00842D4B" w:rsidP="00CC6323">
            <w:pPr>
              <w:spacing w:before="40" w:after="40" w:line="240" w:lineRule="auto"/>
              <w:ind w:firstLine="0"/>
              <w:jc w:val="center"/>
              <w:rPr>
                <w:rFonts w:eastAsia="Calibri"/>
                <w:sz w:val="22"/>
                <w:szCs w:val="22"/>
              </w:rPr>
            </w:pPr>
          </w:p>
        </w:tc>
        <w:tc>
          <w:tcPr>
            <w:tcW w:w="1100" w:type="dxa"/>
            <w:shd w:val="pct15" w:color="auto" w:fill="auto"/>
          </w:tcPr>
          <w:p w14:paraId="46A1C444" w14:textId="77777777" w:rsidR="00842D4B" w:rsidRPr="00CC6323" w:rsidRDefault="00842D4B" w:rsidP="00CC6323">
            <w:pPr>
              <w:spacing w:before="40" w:after="40" w:line="240" w:lineRule="auto"/>
              <w:ind w:firstLine="0"/>
              <w:jc w:val="center"/>
              <w:rPr>
                <w:rFonts w:eastAsia="Calibri"/>
                <w:sz w:val="22"/>
                <w:szCs w:val="22"/>
              </w:rPr>
            </w:pPr>
          </w:p>
        </w:tc>
      </w:tr>
      <w:tr w:rsidR="00842D4B" w:rsidRPr="00CC6323" w14:paraId="3C6B8DD5" w14:textId="77777777" w:rsidTr="00A07F1A">
        <w:tc>
          <w:tcPr>
            <w:tcW w:w="4928" w:type="dxa"/>
            <w:shd w:val="clear" w:color="auto" w:fill="auto"/>
          </w:tcPr>
          <w:p w14:paraId="7B1AFE87" w14:textId="77777777" w:rsidR="00842D4B" w:rsidRPr="00CC6323" w:rsidRDefault="00842D4B" w:rsidP="00C77CD7">
            <w:pPr>
              <w:spacing w:before="40" w:after="40" w:line="240" w:lineRule="auto"/>
              <w:ind w:firstLine="0"/>
              <w:jc w:val="left"/>
              <w:rPr>
                <w:rFonts w:eastAsia="Calibri"/>
                <w:sz w:val="22"/>
                <w:szCs w:val="22"/>
              </w:rPr>
            </w:pPr>
            <w:r w:rsidRPr="00CC6323">
              <w:rPr>
                <w:rFonts w:eastAsia="Calibri"/>
                <w:sz w:val="22"/>
                <w:szCs w:val="22"/>
              </w:rPr>
              <w:t xml:space="preserve">Ωάρια που λήφθηκαν </w:t>
            </w:r>
          </w:p>
        </w:tc>
        <w:tc>
          <w:tcPr>
            <w:tcW w:w="1134" w:type="dxa"/>
            <w:shd w:val="clear" w:color="auto" w:fill="auto"/>
          </w:tcPr>
          <w:p w14:paraId="55A38A89"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176</w:t>
            </w:r>
            <w:r w:rsidR="00122364" w:rsidRPr="00CC6323">
              <w:rPr>
                <w:rFonts w:eastAsia="Calibri"/>
                <w:sz w:val="22"/>
                <w:szCs w:val="22"/>
              </w:rPr>
              <w:t>.</w:t>
            </w:r>
            <w:r w:rsidRPr="00CC6323">
              <w:rPr>
                <w:rFonts w:eastAsia="Calibri"/>
                <w:sz w:val="22"/>
                <w:szCs w:val="22"/>
              </w:rPr>
              <w:t>752</w:t>
            </w:r>
          </w:p>
        </w:tc>
        <w:tc>
          <w:tcPr>
            <w:tcW w:w="1134" w:type="dxa"/>
            <w:shd w:val="clear" w:color="auto" w:fill="auto"/>
          </w:tcPr>
          <w:p w14:paraId="7E068F98"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184</w:t>
            </w:r>
            <w:r w:rsidR="00122364" w:rsidRPr="00CC6323">
              <w:rPr>
                <w:rFonts w:eastAsia="Calibri"/>
                <w:sz w:val="22"/>
                <w:szCs w:val="22"/>
              </w:rPr>
              <w:t>.</w:t>
            </w:r>
            <w:r w:rsidRPr="00CC6323">
              <w:rPr>
                <w:rFonts w:eastAsia="Calibri"/>
                <w:sz w:val="22"/>
                <w:szCs w:val="22"/>
              </w:rPr>
              <w:t>187</w:t>
            </w:r>
          </w:p>
        </w:tc>
        <w:tc>
          <w:tcPr>
            <w:tcW w:w="1134" w:type="dxa"/>
            <w:shd w:val="clear" w:color="auto" w:fill="auto"/>
          </w:tcPr>
          <w:p w14:paraId="5CBFB4A6"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182</w:t>
            </w:r>
            <w:r w:rsidR="00122364" w:rsidRPr="00CC6323">
              <w:rPr>
                <w:rFonts w:eastAsia="Calibri"/>
                <w:sz w:val="22"/>
                <w:szCs w:val="22"/>
              </w:rPr>
              <w:t>.</w:t>
            </w:r>
            <w:r w:rsidRPr="00CC6323">
              <w:rPr>
                <w:rFonts w:eastAsia="Calibri"/>
                <w:sz w:val="22"/>
                <w:szCs w:val="22"/>
              </w:rPr>
              <w:t>833</w:t>
            </w:r>
          </w:p>
        </w:tc>
        <w:tc>
          <w:tcPr>
            <w:tcW w:w="1100" w:type="dxa"/>
            <w:shd w:val="clear" w:color="auto" w:fill="auto"/>
          </w:tcPr>
          <w:p w14:paraId="41823D04"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181</w:t>
            </w:r>
            <w:r w:rsidR="00122364" w:rsidRPr="00CC6323">
              <w:rPr>
                <w:rFonts w:eastAsia="Calibri"/>
                <w:sz w:val="22"/>
                <w:szCs w:val="22"/>
              </w:rPr>
              <w:t>.</w:t>
            </w:r>
            <w:r w:rsidRPr="00CC6323">
              <w:rPr>
                <w:rFonts w:eastAsia="Calibri"/>
                <w:sz w:val="22"/>
                <w:szCs w:val="22"/>
              </w:rPr>
              <w:t>818</w:t>
            </w:r>
          </w:p>
        </w:tc>
      </w:tr>
      <w:tr w:rsidR="00842D4B" w:rsidRPr="00CC6323" w14:paraId="2DAA1D94" w14:textId="77777777" w:rsidTr="00A07F1A">
        <w:tc>
          <w:tcPr>
            <w:tcW w:w="4928" w:type="dxa"/>
            <w:shd w:val="clear" w:color="auto" w:fill="auto"/>
          </w:tcPr>
          <w:p w14:paraId="052CF3E2" w14:textId="77777777" w:rsidR="00842D4B" w:rsidRPr="00CC6323" w:rsidRDefault="00842D4B" w:rsidP="00C77CD7">
            <w:pPr>
              <w:spacing w:before="40" w:after="40" w:line="240" w:lineRule="auto"/>
              <w:ind w:firstLine="0"/>
              <w:jc w:val="left"/>
              <w:rPr>
                <w:rFonts w:eastAsia="Calibri"/>
                <w:sz w:val="22"/>
                <w:szCs w:val="22"/>
              </w:rPr>
            </w:pPr>
            <w:r w:rsidRPr="00CC6323">
              <w:rPr>
                <w:rFonts w:eastAsia="Calibri"/>
                <w:sz w:val="22"/>
                <w:szCs w:val="22"/>
              </w:rPr>
              <w:t xml:space="preserve">Ωάρια που γονιμοποιήθηκαν  </w:t>
            </w:r>
          </w:p>
        </w:tc>
        <w:tc>
          <w:tcPr>
            <w:tcW w:w="1134" w:type="dxa"/>
            <w:shd w:val="clear" w:color="auto" w:fill="auto"/>
          </w:tcPr>
          <w:p w14:paraId="2894CDDD"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167</w:t>
            </w:r>
            <w:r w:rsidR="00122364" w:rsidRPr="00CC6323">
              <w:rPr>
                <w:rFonts w:eastAsia="Calibri"/>
                <w:sz w:val="22"/>
                <w:szCs w:val="22"/>
              </w:rPr>
              <w:t>.</w:t>
            </w:r>
            <w:r w:rsidRPr="00CC6323">
              <w:rPr>
                <w:rFonts w:eastAsia="Calibri"/>
                <w:sz w:val="22"/>
                <w:szCs w:val="22"/>
              </w:rPr>
              <w:t>652</w:t>
            </w:r>
          </w:p>
        </w:tc>
        <w:tc>
          <w:tcPr>
            <w:tcW w:w="1134" w:type="dxa"/>
            <w:shd w:val="clear" w:color="auto" w:fill="auto"/>
          </w:tcPr>
          <w:p w14:paraId="6FAA69EE"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174</w:t>
            </w:r>
            <w:r w:rsidR="00122364" w:rsidRPr="00CC6323">
              <w:rPr>
                <w:rFonts w:eastAsia="Calibri"/>
                <w:sz w:val="22"/>
                <w:szCs w:val="22"/>
              </w:rPr>
              <w:t>.</w:t>
            </w:r>
            <w:r w:rsidRPr="00CC6323">
              <w:rPr>
                <w:rFonts w:eastAsia="Calibri"/>
                <w:sz w:val="22"/>
                <w:szCs w:val="22"/>
              </w:rPr>
              <w:t>300</w:t>
            </w:r>
          </w:p>
        </w:tc>
        <w:tc>
          <w:tcPr>
            <w:tcW w:w="1134" w:type="dxa"/>
            <w:shd w:val="clear" w:color="auto" w:fill="auto"/>
          </w:tcPr>
          <w:p w14:paraId="77AEB6B6"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175</w:t>
            </w:r>
            <w:r w:rsidR="00122364" w:rsidRPr="00CC6323">
              <w:rPr>
                <w:rFonts w:eastAsia="Calibri"/>
                <w:sz w:val="22"/>
                <w:szCs w:val="22"/>
              </w:rPr>
              <w:t>.</w:t>
            </w:r>
            <w:r w:rsidRPr="00CC6323">
              <w:rPr>
                <w:rFonts w:eastAsia="Calibri"/>
                <w:sz w:val="22"/>
                <w:szCs w:val="22"/>
              </w:rPr>
              <w:t>764</w:t>
            </w:r>
          </w:p>
        </w:tc>
        <w:tc>
          <w:tcPr>
            <w:tcW w:w="1100" w:type="dxa"/>
            <w:shd w:val="clear" w:color="auto" w:fill="auto"/>
          </w:tcPr>
          <w:p w14:paraId="04A449A6"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174</w:t>
            </w:r>
            <w:r w:rsidR="00122364" w:rsidRPr="00CC6323">
              <w:rPr>
                <w:rFonts w:eastAsia="Calibri"/>
                <w:sz w:val="22"/>
                <w:szCs w:val="22"/>
              </w:rPr>
              <w:t>.</w:t>
            </w:r>
            <w:r w:rsidRPr="00CC6323">
              <w:rPr>
                <w:rFonts w:eastAsia="Calibri"/>
                <w:sz w:val="22"/>
                <w:szCs w:val="22"/>
              </w:rPr>
              <w:t>237</w:t>
            </w:r>
          </w:p>
        </w:tc>
      </w:tr>
      <w:tr w:rsidR="00842D4B" w:rsidRPr="00CC6323" w14:paraId="5DF64DDD" w14:textId="77777777" w:rsidTr="00A07F1A">
        <w:trPr>
          <w:trHeight w:val="208"/>
        </w:trPr>
        <w:tc>
          <w:tcPr>
            <w:tcW w:w="4928" w:type="dxa"/>
            <w:tcBorders>
              <w:bottom w:val="single" w:sz="4" w:space="0" w:color="auto"/>
            </w:tcBorders>
            <w:shd w:val="clear" w:color="auto" w:fill="auto"/>
          </w:tcPr>
          <w:p w14:paraId="723D7A0C" w14:textId="77777777" w:rsidR="00842D4B" w:rsidRPr="00CC6323" w:rsidRDefault="00A07F1A" w:rsidP="00C77CD7">
            <w:pPr>
              <w:spacing w:before="40" w:after="40" w:line="240" w:lineRule="auto"/>
              <w:ind w:firstLine="0"/>
              <w:jc w:val="left"/>
              <w:rPr>
                <w:rFonts w:eastAsia="Calibri"/>
                <w:sz w:val="22"/>
                <w:szCs w:val="22"/>
              </w:rPr>
            </w:pPr>
            <w:r w:rsidRPr="00CC6323">
              <w:rPr>
                <w:rFonts w:eastAsia="Calibri"/>
                <w:sz w:val="22"/>
                <w:szCs w:val="22"/>
              </w:rPr>
              <w:t>Κρυοσυντηρημένα ωάρια που δε γονιμοποιήθηκαν</w:t>
            </w:r>
          </w:p>
        </w:tc>
        <w:tc>
          <w:tcPr>
            <w:tcW w:w="1134" w:type="dxa"/>
            <w:shd w:val="clear" w:color="auto" w:fill="auto"/>
          </w:tcPr>
          <w:p w14:paraId="3B8022E8" w14:textId="77777777" w:rsidR="00842D4B" w:rsidRPr="00CC6323" w:rsidRDefault="00842D4B" w:rsidP="00CC6323">
            <w:pPr>
              <w:spacing w:before="40" w:after="40" w:line="240" w:lineRule="auto"/>
              <w:ind w:firstLine="0"/>
              <w:jc w:val="center"/>
              <w:rPr>
                <w:rFonts w:eastAsia="Calibri"/>
                <w:sz w:val="22"/>
                <w:szCs w:val="22"/>
              </w:rPr>
            </w:pPr>
          </w:p>
        </w:tc>
        <w:tc>
          <w:tcPr>
            <w:tcW w:w="1134" w:type="dxa"/>
            <w:shd w:val="clear" w:color="auto" w:fill="auto"/>
          </w:tcPr>
          <w:p w14:paraId="3DC8048F" w14:textId="77777777" w:rsidR="00842D4B" w:rsidRPr="00CC6323" w:rsidRDefault="00842D4B" w:rsidP="00CC6323">
            <w:pPr>
              <w:spacing w:before="40" w:after="40" w:line="240" w:lineRule="auto"/>
              <w:ind w:firstLine="0"/>
              <w:rPr>
                <w:rFonts w:eastAsia="Calibri"/>
                <w:sz w:val="22"/>
                <w:szCs w:val="22"/>
              </w:rPr>
            </w:pPr>
          </w:p>
        </w:tc>
        <w:tc>
          <w:tcPr>
            <w:tcW w:w="1134" w:type="dxa"/>
            <w:shd w:val="clear" w:color="auto" w:fill="auto"/>
          </w:tcPr>
          <w:p w14:paraId="3D63B977" w14:textId="77777777" w:rsidR="00842D4B" w:rsidRPr="00CC6323" w:rsidRDefault="00842D4B" w:rsidP="00CC6323">
            <w:pPr>
              <w:spacing w:before="40" w:after="40" w:line="240" w:lineRule="auto"/>
              <w:ind w:firstLine="0"/>
              <w:rPr>
                <w:rFonts w:eastAsia="Calibri"/>
                <w:sz w:val="22"/>
                <w:szCs w:val="22"/>
              </w:rPr>
            </w:pPr>
          </w:p>
        </w:tc>
        <w:tc>
          <w:tcPr>
            <w:tcW w:w="1100" w:type="dxa"/>
            <w:shd w:val="clear" w:color="auto" w:fill="auto"/>
          </w:tcPr>
          <w:p w14:paraId="35CEEA11"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1</w:t>
            </w:r>
            <w:r w:rsidR="00122364" w:rsidRPr="00CC6323">
              <w:rPr>
                <w:rFonts w:eastAsia="Calibri"/>
                <w:sz w:val="22"/>
                <w:szCs w:val="22"/>
              </w:rPr>
              <w:t>.</w:t>
            </w:r>
            <w:r w:rsidRPr="00CC6323">
              <w:rPr>
                <w:rFonts w:eastAsia="Calibri"/>
                <w:sz w:val="22"/>
                <w:szCs w:val="22"/>
              </w:rPr>
              <w:t>377</w:t>
            </w:r>
          </w:p>
        </w:tc>
      </w:tr>
      <w:tr w:rsidR="00842D4B" w:rsidRPr="00CC6323" w14:paraId="7C307ABA" w14:textId="77777777" w:rsidTr="00A07F1A">
        <w:trPr>
          <w:trHeight w:val="208"/>
        </w:trPr>
        <w:tc>
          <w:tcPr>
            <w:tcW w:w="4928" w:type="dxa"/>
            <w:tcBorders>
              <w:bottom w:val="single" w:sz="4" w:space="0" w:color="auto"/>
            </w:tcBorders>
            <w:shd w:val="clear" w:color="auto" w:fill="auto"/>
          </w:tcPr>
          <w:p w14:paraId="4D160042" w14:textId="77777777" w:rsidR="00842D4B" w:rsidRPr="00CC6323" w:rsidRDefault="00CC6323" w:rsidP="00C77CD7">
            <w:pPr>
              <w:spacing w:before="40" w:after="40" w:line="240" w:lineRule="auto"/>
              <w:ind w:firstLine="0"/>
              <w:jc w:val="left"/>
              <w:rPr>
                <w:rFonts w:eastAsia="Calibri"/>
                <w:sz w:val="22"/>
                <w:szCs w:val="22"/>
              </w:rPr>
            </w:pPr>
            <w:r w:rsidRPr="00CC6323">
              <w:rPr>
                <w:rFonts w:eastAsia="Calibri"/>
                <w:sz w:val="22"/>
                <w:szCs w:val="22"/>
              </w:rPr>
              <w:t>Γονιμοποιημένα</w:t>
            </w:r>
            <w:r w:rsidR="00A07F1A" w:rsidRPr="00CC6323">
              <w:rPr>
                <w:rFonts w:eastAsia="Calibri"/>
                <w:sz w:val="22"/>
                <w:szCs w:val="22"/>
              </w:rPr>
              <w:t xml:space="preserve"> ωάρια/ωάρια που λήφθηκαν </w:t>
            </w:r>
          </w:p>
        </w:tc>
        <w:tc>
          <w:tcPr>
            <w:tcW w:w="1134" w:type="dxa"/>
            <w:tcBorders>
              <w:bottom w:val="single" w:sz="4" w:space="0" w:color="auto"/>
            </w:tcBorders>
            <w:shd w:val="clear" w:color="auto" w:fill="auto"/>
          </w:tcPr>
          <w:p w14:paraId="6014D02C" w14:textId="77777777" w:rsidR="00842D4B" w:rsidRPr="00CC6323" w:rsidRDefault="007166E3" w:rsidP="00CC6323">
            <w:pPr>
              <w:spacing w:before="40" w:after="40" w:line="240" w:lineRule="auto"/>
              <w:ind w:firstLine="0"/>
              <w:jc w:val="center"/>
              <w:rPr>
                <w:rFonts w:eastAsia="Calibri"/>
                <w:sz w:val="22"/>
                <w:szCs w:val="22"/>
              </w:rPr>
            </w:pPr>
            <w:r w:rsidRPr="00CC6323">
              <w:rPr>
                <w:rFonts w:eastAsia="Calibri"/>
                <w:sz w:val="22"/>
                <w:szCs w:val="22"/>
              </w:rPr>
              <w:t>94,9</w:t>
            </w:r>
            <w:r w:rsidR="00122364" w:rsidRPr="00CC6323">
              <w:rPr>
                <w:rFonts w:eastAsia="Calibri"/>
                <w:sz w:val="22"/>
                <w:szCs w:val="22"/>
              </w:rPr>
              <w:t xml:space="preserve"> </w:t>
            </w:r>
            <w:r w:rsidRPr="00CC6323">
              <w:rPr>
                <w:rFonts w:eastAsia="Calibri"/>
                <w:sz w:val="22"/>
                <w:szCs w:val="22"/>
              </w:rPr>
              <w:t>%</w:t>
            </w:r>
          </w:p>
        </w:tc>
        <w:tc>
          <w:tcPr>
            <w:tcW w:w="1134" w:type="dxa"/>
            <w:tcBorders>
              <w:bottom w:val="single" w:sz="4" w:space="0" w:color="auto"/>
            </w:tcBorders>
            <w:shd w:val="clear" w:color="auto" w:fill="auto"/>
          </w:tcPr>
          <w:p w14:paraId="19830CEA" w14:textId="77777777" w:rsidR="00842D4B" w:rsidRPr="00CC6323" w:rsidRDefault="007166E3" w:rsidP="00CC6323">
            <w:pPr>
              <w:spacing w:before="40" w:after="40" w:line="240" w:lineRule="auto"/>
              <w:ind w:firstLine="0"/>
              <w:jc w:val="center"/>
              <w:rPr>
                <w:rFonts w:eastAsia="Calibri"/>
                <w:sz w:val="22"/>
                <w:szCs w:val="22"/>
              </w:rPr>
            </w:pPr>
            <w:r w:rsidRPr="00CC6323">
              <w:rPr>
                <w:rFonts w:eastAsia="Calibri"/>
                <w:sz w:val="22"/>
                <w:szCs w:val="22"/>
              </w:rPr>
              <w:t>94,6</w:t>
            </w:r>
            <w:r w:rsidR="00122364" w:rsidRPr="00CC6323">
              <w:rPr>
                <w:rFonts w:eastAsia="Calibri"/>
                <w:sz w:val="22"/>
                <w:szCs w:val="22"/>
              </w:rPr>
              <w:t xml:space="preserve"> </w:t>
            </w:r>
            <w:r w:rsidRPr="00CC6323">
              <w:rPr>
                <w:rFonts w:eastAsia="Calibri"/>
                <w:sz w:val="22"/>
                <w:szCs w:val="22"/>
              </w:rPr>
              <w:t>%</w:t>
            </w:r>
          </w:p>
        </w:tc>
        <w:tc>
          <w:tcPr>
            <w:tcW w:w="1134" w:type="dxa"/>
            <w:tcBorders>
              <w:bottom w:val="single" w:sz="4" w:space="0" w:color="auto"/>
            </w:tcBorders>
            <w:shd w:val="clear" w:color="auto" w:fill="auto"/>
          </w:tcPr>
          <w:p w14:paraId="53933A2F" w14:textId="77777777" w:rsidR="00842D4B" w:rsidRPr="00CC6323" w:rsidRDefault="007166E3" w:rsidP="00CC6323">
            <w:pPr>
              <w:spacing w:before="40" w:after="40" w:line="240" w:lineRule="auto"/>
              <w:ind w:firstLine="0"/>
              <w:jc w:val="center"/>
              <w:rPr>
                <w:rFonts w:eastAsia="Calibri"/>
                <w:sz w:val="22"/>
                <w:szCs w:val="22"/>
              </w:rPr>
            </w:pPr>
            <w:r w:rsidRPr="00CC6323">
              <w:rPr>
                <w:rFonts w:eastAsia="Calibri"/>
                <w:sz w:val="22"/>
                <w:szCs w:val="22"/>
              </w:rPr>
              <w:t>96,1</w:t>
            </w:r>
            <w:r w:rsidR="00122364" w:rsidRPr="00CC6323">
              <w:rPr>
                <w:rFonts w:eastAsia="Calibri"/>
                <w:sz w:val="22"/>
                <w:szCs w:val="22"/>
              </w:rPr>
              <w:t xml:space="preserve"> </w:t>
            </w:r>
            <w:r w:rsidRPr="00CC6323">
              <w:rPr>
                <w:rFonts w:eastAsia="Calibri"/>
                <w:sz w:val="22"/>
                <w:szCs w:val="22"/>
              </w:rPr>
              <w:t>%</w:t>
            </w:r>
          </w:p>
        </w:tc>
        <w:tc>
          <w:tcPr>
            <w:tcW w:w="1100" w:type="dxa"/>
            <w:tcBorders>
              <w:bottom w:val="single" w:sz="4" w:space="0" w:color="auto"/>
            </w:tcBorders>
            <w:shd w:val="clear" w:color="auto" w:fill="auto"/>
          </w:tcPr>
          <w:p w14:paraId="522BFA5C" w14:textId="77777777" w:rsidR="00842D4B" w:rsidRPr="00CC6323" w:rsidRDefault="00A07F1A" w:rsidP="00CC6323">
            <w:pPr>
              <w:spacing w:before="40" w:after="40" w:line="240" w:lineRule="auto"/>
              <w:ind w:firstLine="0"/>
              <w:jc w:val="center"/>
              <w:rPr>
                <w:rFonts w:eastAsia="Calibri"/>
                <w:sz w:val="22"/>
                <w:szCs w:val="22"/>
              </w:rPr>
            </w:pPr>
            <w:r w:rsidRPr="00CC6323">
              <w:rPr>
                <w:rFonts w:eastAsia="Calibri"/>
                <w:sz w:val="22"/>
                <w:szCs w:val="22"/>
              </w:rPr>
              <w:t>95,8</w:t>
            </w:r>
            <w:r w:rsidR="00122364" w:rsidRPr="00CC6323">
              <w:rPr>
                <w:rFonts w:eastAsia="Calibri"/>
                <w:sz w:val="22"/>
                <w:szCs w:val="22"/>
              </w:rPr>
              <w:t xml:space="preserve"> </w:t>
            </w:r>
            <w:r w:rsidRPr="00CC6323">
              <w:rPr>
                <w:rFonts w:eastAsia="Calibri"/>
                <w:sz w:val="22"/>
                <w:szCs w:val="22"/>
              </w:rPr>
              <w:t>%</w:t>
            </w:r>
          </w:p>
        </w:tc>
      </w:tr>
      <w:tr w:rsidR="00842D4B" w:rsidRPr="00CC6323" w14:paraId="1E7BDEA3" w14:textId="77777777" w:rsidTr="00A07F1A">
        <w:tc>
          <w:tcPr>
            <w:tcW w:w="4928" w:type="dxa"/>
            <w:shd w:val="pct15" w:color="auto" w:fill="auto"/>
          </w:tcPr>
          <w:p w14:paraId="6AE13392" w14:textId="77777777" w:rsidR="00842D4B" w:rsidRPr="00CC6323" w:rsidRDefault="007166E3" w:rsidP="00C77CD7">
            <w:pPr>
              <w:spacing w:before="40" w:after="40" w:line="240" w:lineRule="auto"/>
              <w:ind w:firstLine="0"/>
              <w:jc w:val="left"/>
              <w:rPr>
                <w:rFonts w:eastAsia="Calibri"/>
                <w:b/>
                <w:sz w:val="22"/>
                <w:szCs w:val="22"/>
              </w:rPr>
            </w:pPr>
            <w:r w:rsidRPr="00CC6323">
              <w:rPr>
                <w:rFonts w:eastAsia="Calibri"/>
                <w:b/>
                <w:sz w:val="22"/>
                <w:szCs w:val="22"/>
              </w:rPr>
              <w:t>Έμβρυα</w:t>
            </w:r>
            <w:r w:rsidR="00842D4B" w:rsidRPr="00CC6323">
              <w:rPr>
                <w:rFonts w:eastAsia="Calibri"/>
                <w:b/>
                <w:sz w:val="22"/>
                <w:szCs w:val="22"/>
              </w:rPr>
              <w:t xml:space="preserve"> </w:t>
            </w:r>
          </w:p>
        </w:tc>
        <w:tc>
          <w:tcPr>
            <w:tcW w:w="1134" w:type="dxa"/>
            <w:shd w:val="pct15" w:color="auto" w:fill="auto"/>
          </w:tcPr>
          <w:p w14:paraId="5C844792" w14:textId="77777777" w:rsidR="00842D4B" w:rsidRPr="00CC6323" w:rsidRDefault="00842D4B" w:rsidP="00CC6323">
            <w:pPr>
              <w:spacing w:before="40" w:after="40" w:line="240" w:lineRule="auto"/>
              <w:ind w:firstLine="0"/>
              <w:jc w:val="center"/>
              <w:rPr>
                <w:rFonts w:eastAsia="Calibri"/>
                <w:sz w:val="22"/>
                <w:szCs w:val="22"/>
              </w:rPr>
            </w:pPr>
          </w:p>
        </w:tc>
        <w:tc>
          <w:tcPr>
            <w:tcW w:w="1134" w:type="dxa"/>
            <w:shd w:val="pct15" w:color="auto" w:fill="auto"/>
          </w:tcPr>
          <w:p w14:paraId="59BA9CA8" w14:textId="77777777" w:rsidR="00842D4B" w:rsidRPr="00CC6323" w:rsidRDefault="00842D4B" w:rsidP="00CC6323">
            <w:pPr>
              <w:spacing w:before="40" w:after="40" w:line="240" w:lineRule="auto"/>
              <w:ind w:firstLine="0"/>
              <w:jc w:val="center"/>
              <w:rPr>
                <w:rFonts w:eastAsia="Calibri"/>
                <w:sz w:val="22"/>
                <w:szCs w:val="22"/>
              </w:rPr>
            </w:pPr>
          </w:p>
        </w:tc>
        <w:tc>
          <w:tcPr>
            <w:tcW w:w="1134" w:type="dxa"/>
            <w:shd w:val="pct15" w:color="auto" w:fill="auto"/>
          </w:tcPr>
          <w:p w14:paraId="6718B318" w14:textId="77777777" w:rsidR="00842D4B" w:rsidRPr="00CC6323" w:rsidRDefault="00842D4B" w:rsidP="00CC6323">
            <w:pPr>
              <w:spacing w:before="40" w:after="40" w:line="240" w:lineRule="auto"/>
              <w:ind w:firstLine="0"/>
              <w:jc w:val="center"/>
              <w:rPr>
                <w:rFonts w:eastAsia="Calibri"/>
                <w:sz w:val="22"/>
                <w:szCs w:val="22"/>
              </w:rPr>
            </w:pPr>
          </w:p>
        </w:tc>
        <w:tc>
          <w:tcPr>
            <w:tcW w:w="1100" w:type="dxa"/>
            <w:shd w:val="pct15" w:color="auto" w:fill="auto"/>
          </w:tcPr>
          <w:p w14:paraId="399B864C" w14:textId="77777777" w:rsidR="00842D4B" w:rsidRPr="00CC6323" w:rsidRDefault="00842D4B" w:rsidP="00CC6323">
            <w:pPr>
              <w:spacing w:before="40" w:after="40" w:line="240" w:lineRule="auto"/>
              <w:ind w:firstLine="0"/>
              <w:jc w:val="center"/>
              <w:rPr>
                <w:rFonts w:eastAsia="Calibri"/>
                <w:sz w:val="22"/>
                <w:szCs w:val="22"/>
              </w:rPr>
            </w:pPr>
          </w:p>
        </w:tc>
      </w:tr>
      <w:tr w:rsidR="00842D4B" w:rsidRPr="00CC6323" w14:paraId="1892743C" w14:textId="77777777" w:rsidTr="00A07F1A">
        <w:tc>
          <w:tcPr>
            <w:tcW w:w="4928" w:type="dxa"/>
            <w:shd w:val="clear" w:color="auto" w:fill="auto"/>
          </w:tcPr>
          <w:p w14:paraId="1118E291" w14:textId="77777777" w:rsidR="00842D4B" w:rsidRPr="00CC6323" w:rsidRDefault="00566AFC" w:rsidP="00C77CD7">
            <w:pPr>
              <w:spacing w:before="40" w:after="40" w:line="240" w:lineRule="auto"/>
              <w:ind w:firstLine="0"/>
              <w:jc w:val="left"/>
              <w:rPr>
                <w:rFonts w:eastAsia="Calibri"/>
                <w:sz w:val="22"/>
                <w:szCs w:val="22"/>
              </w:rPr>
            </w:pPr>
            <w:r w:rsidRPr="00CC6323">
              <w:rPr>
                <w:rFonts w:eastAsia="Calibri"/>
                <w:sz w:val="22"/>
                <w:szCs w:val="22"/>
              </w:rPr>
              <w:t>Έμβρυα που έχουν συλληφθεί</w:t>
            </w:r>
            <w:r w:rsidR="00842D4B" w:rsidRPr="00CC6323">
              <w:rPr>
                <w:rFonts w:eastAsia="Calibri"/>
                <w:sz w:val="22"/>
                <w:szCs w:val="22"/>
              </w:rPr>
              <w:t xml:space="preserve"> </w:t>
            </w:r>
          </w:p>
        </w:tc>
        <w:tc>
          <w:tcPr>
            <w:tcW w:w="1134" w:type="dxa"/>
            <w:shd w:val="clear" w:color="auto" w:fill="auto"/>
          </w:tcPr>
          <w:p w14:paraId="02B895DE"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100.398</w:t>
            </w:r>
          </w:p>
        </w:tc>
        <w:tc>
          <w:tcPr>
            <w:tcW w:w="1134" w:type="dxa"/>
            <w:shd w:val="clear" w:color="auto" w:fill="auto"/>
          </w:tcPr>
          <w:p w14:paraId="7E5A1A2B"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107.907</w:t>
            </w:r>
          </w:p>
        </w:tc>
        <w:tc>
          <w:tcPr>
            <w:tcW w:w="1134" w:type="dxa"/>
            <w:shd w:val="clear" w:color="auto" w:fill="auto"/>
          </w:tcPr>
          <w:p w14:paraId="61AAF07D"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106.350</w:t>
            </w:r>
          </w:p>
        </w:tc>
        <w:tc>
          <w:tcPr>
            <w:tcW w:w="1100" w:type="dxa"/>
            <w:shd w:val="clear" w:color="auto" w:fill="auto"/>
          </w:tcPr>
          <w:p w14:paraId="75D8C88B"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107.106</w:t>
            </w:r>
          </w:p>
        </w:tc>
      </w:tr>
      <w:tr w:rsidR="00842D4B" w:rsidRPr="00CC6323" w14:paraId="41155A29" w14:textId="77777777" w:rsidTr="00A07F1A">
        <w:trPr>
          <w:trHeight w:val="208"/>
        </w:trPr>
        <w:tc>
          <w:tcPr>
            <w:tcW w:w="4928" w:type="dxa"/>
            <w:shd w:val="clear" w:color="auto" w:fill="auto"/>
          </w:tcPr>
          <w:p w14:paraId="4581DF76" w14:textId="77777777" w:rsidR="00842D4B" w:rsidRPr="00CC6323" w:rsidRDefault="00566AFC" w:rsidP="00C77CD7">
            <w:pPr>
              <w:spacing w:before="40" w:after="40" w:line="240" w:lineRule="auto"/>
              <w:ind w:firstLine="0"/>
              <w:jc w:val="left"/>
              <w:rPr>
                <w:rFonts w:eastAsia="Calibri"/>
                <w:sz w:val="22"/>
                <w:szCs w:val="22"/>
              </w:rPr>
            </w:pPr>
            <w:r w:rsidRPr="00CC6323">
              <w:rPr>
                <w:rFonts w:eastAsia="Calibri"/>
                <w:sz w:val="22"/>
                <w:szCs w:val="22"/>
              </w:rPr>
              <w:t>Έμβρυα που</w:t>
            </w:r>
            <w:r w:rsidR="00842D4B" w:rsidRPr="00CC6323">
              <w:rPr>
                <w:rFonts w:eastAsia="Calibri"/>
                <w:sz w:val="22"/>
                <w:szCs w:val="22"/>
              </w:rPr>
              <w:t xml:space="preserve"> </w:t>
            </w:r>
            <w:r w:rsidRPr="00CC6323">
              <w:rPr>
                <w:rFonts w:eastAsia="Calibri"/>
                <w:sz w:val="22"/>
                <w:szCs w:val="22"/>
              </w:rPr>
              <w:t>έχουν μεταφερθεί</w:t>
            </w:r>
          </w:p>
        </w:tc>
        <w:tc>
          <w:tcPr>
            <w:tcW w:w="1134" w:type="dxa"/>
            <w:shd w:val="clear" w:color="auto" w:fill="auto"/>
          </w:tcPr>
          <w:p w14:paraId="22669E84"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31.165</w:t>
            </w:r>
          </w:p>
        </w:tc>
        <w:tc>
          <w:tcPr>
            <w:tcW w:w="1134" w:type="dxa"/>
            <w:shd w:val="clear" w:color="auto" w:fill="auto"/>
          </w:tcPr>
          <w:p w14:paraId="55DBEFF7"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32.541</w:t>
            </w:r>
          </w:p>
        </w:tc>
        <w:tc>
          <w:tcPr>
            <w:tcW w:w="1134" w:type="dxa"/>
            <w:shd w:val="clear" w:color="auto" w:fill="auto"/>
          </w:tcPr>
          <w:p w14:paraId="7191B18A"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31.098</w:t>
            </w:r>
          </w:p>
        </w:tc>
        <w:tc>
          <w:tcPr>
            <w:tcW w:w="1100" w:type="dxa"/>
            <w:shd w:val="clear" w:color="auto" w:fill="auto"/>
          </w:tcPr>
          <w:p w14:paraId="7D550107" w14:textId="77777777" w:rsidR="00842D4B" w:rsidRPr="00CC6323" w:rsidRDefault="00B45DF1" w:rsidP="00CC6323">
            <w:pPr>
              <w:spacing w:before="40" w:after="40" w:line="240" w:lineRule="auto"/>
              <w:ind w:firstLine="0"/>
              <w:jc w:val="center"/>
              <w:rPr>
                <w:rFonts w:eastAsia="Calibri"/>
                <w:sz w:val="22"/>
                <w:szCs w:val="22"/>
              </w:rPr>
            </w:pPr>
            <w:r>
              <w:rPr>
                <w:rFonts w:eastAsia="Calibri"/>
                <w:sz w:val="22"/>
                <w:szCs w:val="22"/>
              </w:rPr>
              <w:t>29.312</w:t>
            </w:r>
          </w:p>
        </w:tc>
      </w:tr>
      <w:tr w:rsidR="00842D4B" w:rsidRPr="00CC6323" w14:paraId="5F334F15" w14:textId="77777777" w:rsidTr="00A07F1A">
        <w:trPr>
          <w:trHeight w:val="208"/>
        </w:trPr>
        <w:tc>
          <w:tcPr>
            <w:tcW w:w="4928" w:type="dxa"/>
            <w:shd w:val="clear" w:color="auto" w:fill="auto"/>
          </w:tcPr>
          <w:p w14:paraId="6B30B108" w14:textId="77777777" w:rsidR="00842D4B" w:rsidRPr="00CC6323" w:rsidRDefault="00566AFC" w:rsidP="00C77CD7">
            <w:pPr>
              <w:spacing w:before="40" w:after="40" w:line="240" w:lineRule="auto"/>
              <w:ind w:firstLine="0"/>
              <w:jc w:val="left"/>
              <w:rPr>
                <w:rFonts w:eastAsia="Calibri"/>
                <w:sz w:val="22"/>
                <w:szCs w:val="22"/>
              </w:rPr>
            </w:pPr>
            <w:r w:rsidRPr="00CC6323">
              <w:rPr>
                <w:rFonts w:eastAsia="Calibri"/>
                <w:sz w:val="22"/>
                <w:szCs w:val="22"/>
              </w:rPr>
              <w:t>Κρυοσυντηρημένα έμβρυα</w:t>
            </w:r>
          </w:p>
        </w:tc>
        <w:tc>
          <w:tcPr>
            <w:tcW w:w="1134" w:type="dxa"/>
            <w:shd w:val="clear" w:color="auto" w:fill="auto"/>
          </w:tcPr>
          <w:p w14:paraId="46046D74" w14:textId="77777777" w:rsidR="00842D4B" w:rsidRPr="00CC6323" w:rsidRDefault="00B45DF1" w:rsidP="00B45DF1">
            <w:pPr>
              <w:spacing w:before="40" w:after="40" w:line="240" w:lineRule="auto"/>
              <w:ind w:firstLine="0"/>
              <w:jc w:val="center"/>
              <w:rPr>
                <w:rFonts w:eastAsia="Calibri"/>
                <w:sz w:val="22"/>
                <w:szCs w:val="22"/>
              </w:rPr>
            </w:pPr>
            <w:r>
              <w:rPr>
                <w:rFonts w:eastAsia="Calibri"/>
                <w:sz w:val="22"/>
                <w:szCs w:val="22"/>
              </w:rPr>
              <w:t>23.041</w:t>
            </w:r>
          </w:p>
        </w:tc>
        <w:tc>
          <w:tcPr>
            <w:tcW w:w="1134" w:type="dxa"/>
            <w:shd w:val="clear" w:color="auto" w:fill="auto"/>
          </w:tcPr>
          <w:p w14:paraId="32E7C432" w14:textId="77777777" w:rsidR="00842D4B" w:rsidRPr="00CC6323" w:rsidRDefault="00B45DF1" w:rsidP="00B45DF1">
            <w:pPr>
              <w:spacing w:before="40" w:after="40" w:line="240" w:lineRule="auto"/>
              <w:ind w:firstLine="0"/>
              <w:jc w:val="center"/>
              <w:rPr>
                <w:rFonts w:eastAsia="Calibri"/>
                <w:sz w:val="22"/>
                <w:szCs w:val="22"/>
              </w:rPr>
            </w:pPr>
            <w:r>
              <w:rPr>
                <w:rFonts w:eastAsia="Calibri"/>
                <w:sz w:val="22"/>
                <w:szCs w:val="22"/>
              </w:rPr>
              <w:t>24.658</w:t>
            </w:r>
          </w:p>
        </w:tc>
        <w:tc>
          <w:tcPr>
            <w:tcW w:w="1134" w:type="dxa"/>
            <w:shd w:val="clear" w:color="auto" w:fill="auto"/>
          </w:tcPr>
          <w:p w14:paraId="005E8FD4" w14:textId="77777777" w:rsidR="00842D4B" w:rsidRPr="00CC6323" w:rsidRDefault="00B45DF1" w:rsidP="00B45DF1">
            <w:pPr>
              <w:spacing w:before="40" w:after="40" w:line="240" w:lineRule="auto"/>
              <w:ind w:firstLine="0"/>
              <w:jc w:val="center"/>
              <w:rPr>
                <w:rFonts w:eastAsia="Calibri"/>
                <w:sz w:val="22"/>
                <w:szCs w:val="22"/>
              </w:rPr>
            </w:pPr>
            <w:r>
              <w:rPr>
                <w:rFonts w:eastAsia="Calibri"/>
                <w:sz w:val="22"/>
                <w:szCs w:val="22"/>
              </w:rPr>
              <w:t>24.291</w:t>
            </w:r>
          </w:p>
        </w:tc>
        <w:tc>
          <w:tcPr>
            <w:tcW w:w="1100" w:type="dxa"/>
            <w:shd w:val="clear" w:color="auto" w:fill="auto"/>
          </w:tcPr>
          <w:p w14:paraId="46C06D70" w14:textId="77777777" w:rsidR="00842D4B" w:rsidRPr="00CC6323" w:rsidRDefault="00B45DF1" w:rsidP="00B45DF1">
            <w:pPr>
              <w:spacing w:before="40" w:after="40" w:line="240" w:lineRule="auto"/>
              <w:ind w:firstLine="0"/>
              <w:jc w:val="center"/>
              <w:rPr>
                <w:rFonts w:eastAsia="Calibri"/>
                <w:sz w:val="22"/>
                <w:szCs w:val="22"/>
              </w:rPr>
            </w:pPr>
            <w:r>
              <w:rPr>
                <w:rFonts w:eastAsia="Calibri"/>
                <w:sz w:val="22"/>
                <w:szCs w:val="22"/>
              </w:rPr>
              <w:t>22.665</w:t>
            </w:r>
          </w:p>
        </w:tc>
      </w:tr>
      <w:tr w:rsidR="00842D4B" w:rsidRPr="00CC6323" w14:paraId="622E9EC7" w14:textId="77777777" w:rsidTr="00A07F1A">
        <w:trPr>
          <w:trHeight w:val="220"/>
        </w:trPr>
        <w:tc>
          <w:tcPr>
            <w:tcW w:w="4928" w:type="dxa"/>
            <w:shd w:val="clear" w:color="auto" w:fill="auto"/>
          </w:tcPr>
          <w:p w14:paraId="4E6DC859" w14:textId="77777777" w:rsidR="00842D4B" w:rsidRPr="00CC6323" w:rsidRDefault="00566AFC" w:rsidP="00C77CD7">
            <w:pPr>
              <w:spacing w:before="40" w:after="40" w:line="240" w:lineRule="auto"/>
              <w:ind w:firstLine="0"/>
              <w:jc w:val="left"/>
              <w:rPr>
                <w:rFonts w:eastAsia="Calibri"/>
                <w:sz w:val="22"/>
                <w:szCs w:val="22"/>
              </w:rPr>
            </w:pPr>
            <w:r w:rsidRPr="00CC6323">
              <w:rPr>
                <w:rFonts w:eastAsia="Calibri"/>
                <w:sz w:val="22"/>
                <w:szCs w:val="22"/>
              </w:rPr>
              <w:t xml:space="preserve">Έμβρυα που δε μεταφέρθηκαν, ούτε κρυοσυντηρήθηκαν </w:t>
            </w:r>
          </w:p>
        </w:tc>
        <w:tc>
          <w:tcPr>
            <w:tcW w:w="1134" w:type="dxa"/>
            <w:shd w:val="clear" w:color="auto" w:fill="auto"/>
          </w:tcPr>
          <w:p w14:paraId="64ABD180" w14:textId="77777777" w:rsidR="00842D4B" w:rsidRPr="00CC6323" w:rsidRDefault="003D2498" w:rsidP="003D2498">
            <w:pPr>
              <w:spacing w:after="40" w:line="240" w:lineRule="auto"/>
              <w:ind w:firstLine="0"/>
              <w:jc w:val="center"/>
              <w:rPr>
                <w:rFonts w:eastAsia="Calibri"/>
                <w:sz w:val="22"/>
                <w:szCs w:val="22"/>
              </w:rPr>
            </w:pPr>
            <w:r>
              <w:rPr>
                <w:rFonts w:eastAsia="Calibri"/>
                <w:sz w:val="22"/>
                <w:szCs w:val="22"/>
              </w:rPr>
              <w:t>46.238</w:t>
            </w:r>
          </w:p>
        </w:tc>
        <w:tc>
          <w:tcPr>
            <w:tcW w:w="1134" w:type="dxa"/>
            <w:shd w:val="clear" w:color="auto" w:fill="auto"/>
          </w:tcPr>
          <w:p w14:paraId="2E910D2B" w14:textId="77777777" w:rsidR="00842D4B" w:rsidRPr="00CC6323" w:rsidRDefault="003D2498" w:rsidP="003D2498">
            <w:pPr>
              <w:spacing w:after="40" w:line="240" w:lineRule="auto"/>
              <w:ind w:firstLine="0"/>
              <w:jc w:val="center"/>
              <w:rPr>
                <w:rFonts w:eastAsia="Calibri"/>
                <w:sz w:val="22"/>
                <w:szCs w:val="22"/>
              </w:rPr>
            </w:pPr>
            <w:r>
              <w:rPr>
                <w:rFonts w:eastAsia="Calibri"/>
                <w:sz w:val="22"/>
                <w:szCs w:val="22"/>
              </w:rPr>
              <w:t>50.555</w:t>
            </w:r>
          </w:p>
        </w:tc>
        <w:tc>
          <w:tcPr>
            <w:tcW w:w="1134" w:type="dxa"/>
            <w:shd w:val="clear" w:color="auto" w:fill="auto"/>
          </w:tcPr>
          <w:p w14:paraId="0DB2F328" w14:textId="77777777" w:rsidR="00842D4B" w:rsidRPr="00CC6323" w:rsidRDefault="003D2498" w:rsidP="003D2498">
            <w:pPr>
              <w:spacing w:after="40" w:line="240" w:lineRule="auto"/>
              <w:ind w:firstLine="34"/>
              <w:jc w:val="center"/>
              <w:rPr>
                <w:rFonts w:eastAsia="Calibri"/>
                <w:sz w:val="22"/>
                <w:szCs w:val="22"/>
              </w:rPr>
            </w:pPr>
            <w:r>
              <w:rPr>
                <w:rFonts w:eastAsia="Calibri"/>
                <w:sz w:val="22"/>
                <w:szCs w:val="22"/>
              </w:rPr>
              <w:t>50.961</w:t>
            </w:r>
          </w:p>
        </w:tc>
        <w:tc>
          <w:tcPr>
            <w:tcW w:w="1100" w:type="dxa"/>
            <w:shd w:val="clear" w:color="auto" w:fill="auto"/>
          </w:tcPr>
          <w:p w14:paraId="2526F26A" w14:textId="77777777" w:rsidR="00842D4B" w:rsidRPr="00CC6323" w:rsidRDefault="003D2498" w:rsidP="003D2498">
            <w:pPr>
              <w:spacing w:after="40" w:line="240" w:lineRule="auto"/>
              <w:ind w:firstLine="34"/>
              <w:jc w:val="center"/>
              <w:rPr>
                <w:rFonts w:eastAsia="Calibri"/>
                <w:sz w:val="22"/>
                <w:szCs w:val="22"/>
              </w:rPr>
            </w:pPr>
            <w:r>
              <w:rPr>
                <w:rFonts w:eastAsia="Calibri"/>
                <w:sz w:val="22"/>
                <w:szCs w:val="22"/>
              </w:rPr>
              <w:t>54.749</w:t>
            </w:r>
          </w:p>
        </w:tc>
      </w:tr>
      <w:tr w:rsidR="00842D4B" w:rsidRPr="00CC6323" w14:paraId="7296C756" w14:textId="77777777" w:rsidTr="00A07F1A">
        <w:trPr>
          <w:trHeight w:val="293"/>
        </w:trPr>
        <w:tc>
          <w:tcPr>
            <w:tcW w:w="4928" w:type="dxa"/>
            <w:shd w:val="clear" w:color="auto" w:fill="auto"/>
          </w:tcPr>
          <w:p w14:paraId="318E2311" w14:textId="77777777" w:rsidR="00842D4B" w:rsidRPr="00CC6323" w:rsidRDefault="00566AFC" w:rsidP="00C77CD7">
            <w:pPr>
              <w:spacing w:before="40" w:after="40" w:line="240" w:lineRule="auto"/>
              <w:ind w:firstLine="0"/>
              <w:jc w:val="left"/>
              <w:rPr>
                <w:rFonts w:eastAsia="Calibri"/>
                <w:sz w:val="22"/>
                <w:szCs w:val="22"/>
              </w:rPr>
            </w:pPr>
            <w:r w:rsidRPr="00CC6323">
              <w:rPr>
                <w:rFonts w:eastAsia="Calibri"/>
                <w:sz w:val="22"/>
                <w:szCs w:val="22"/>
              </w:rPr>
              <w:t>Μ.Ο. εμβρύων που μεταφέρθηκαν</w:t>
            </w:r>
            <w:r w:rsidR="009017D9">
              <w:rPr>
                <w:rFonts w:eastAsia="Calibri"/>
                <w:sz w:val="22"/>
                <w:szCs w:val="22"/>
              </w:rPr>
              <w:t xml:space="preserve">/μεταφορά </w:t>
            </w:r>
          </w:p>
        </w:tc>
        <w:tc>
          <w:tcPr>
            <w:tcW w:w="1134" w:type="dxa"/>
            <w:shd w:val="clear" w:color="auto" w:fill="auto"/>
          </w:tcPr>
          <w:p w14:paraId="34E416CC" w14:textId="77777777" w:rsidR="00842D4B" w:rsidRPr="00CC6323" w:rsidRDefault="009017D9" w:rsidP="009017D9">
            <w:pPr>
              <w:spacing w:before="40" w:after="40" w:line="240" w:lineRule="auto"/>
              <w:ind w:firstLine="0"/>
              <w:jc w:val="center"/>
              <w:rPr>
                <w:rFonts w:eastAsia="Calibri"/>
                <w:sz w:val="22"/>
                <w:szCs w:val="22"/>
              </w:rPr>
            </w:pPr>
            <w:r>
              <w:rPr>
                <w:rFonts w:eastAsia="Calibri"/>
                <w:sz w:val="22"/>
                <w:szCs w:val="22"/>
              </w:rPr>
              <w:t>1.83</w:t>
            </w:r>
          </w:p>
        </w:tc>
        <w:tc>
          <w:tcPr>
            <w:tcW w:w="1134" w:type="dxa"/>
            <w:shd w:val="clear" w:color="auto" w:fill="auto"/>
          </w:tcPr>
          <w:p w14:paraId="2D4B5EDC" w14:textId="77777777" w:rsidR="00842D4B" w:rsidRPr="00CC6323" w:rsidRDefault="009017D9" w:rsidP="009017D9">
            <w:pPr>
              <w:spacing w:before="40" w:after="40" w:line="240" w:lineRule="auto"/>
              <w:ind w:firstLine="0"/>
              <w:jc w:val="center"/>
              <w:rPr>
                <w:rFonts w:eastAsia="Calibri"/>
                <w:sz w:val="22"/>
                <w:szCs w:val="22"/>
              </w:rPr>
            </w:pPr>
            <w:r>
              <w:rPr>
                <w:rFonts w:eastAsia="Calibri"/>
                <w:sz w:val="22"/>
                <w:szCs w:val="22"/>
              </w:rPr>
              <w:t>1.82</w:t>
            </w:r>
          </w:p>
        </w:tc>
        <w:tc>
          <w:tcPr>
            <w:tcW w:w="1134" w:type="dxa"/>
            <w:shd w:val="clear" w:color="auto" w:fill="auto"/>
          </w:tcPr>
          <w:p w14:paraId="3F82F417" w14:textId="77777777" w:rsidR="00842D4B" w:rsidRPr="00CC6323" w:rsidRDefault="009017D9" w:rsidP="009017D9">
            <w:pPr>
              <w:spacing w:before="40" w:after="40" w:line="240" w:lineRule="auto"/>
              <w:ind w:firstLine="34"/>
              <w:jc w:val="center"/>
              <w:rPr>
                <w:rFonts w:eastAsia="Calibri"/>
                <w:sz w:val="22"/>
                <w:szCs w:val="22"/>
              </w:rPr>
            </w:pPr>
            <w:r>
              <w:rPr>
                <w:rFonts w:eastAsia="Calibri"/>
                <w:sz w:val="22"/>
                <w:szCs w:val="22"/>
              </w:rPr>
              <w:t>1.77</w:t>
            </w:r>
          </w:p>
        </w:tc>
        <w:tc>
          <w:tcPr>
            <w:tcW w:w="1100" w:type="dxa"/>
            <w:shd w:val="clear" w:color="auto" w:fill="auto"/>
          </w:tcPr>
          <w:p w14:paraId="1DDAEBDA" w14:textId="77777777" w:rsidR="00842D4B" w:rsidRPr="00CC6323" w:rsidRDefault="009017D9" w:rsidP="009017D9">
            <w:pPr>
              <w:spacing w:before="40" w:after="40" w:line="240" w:lineRule="auto"/>
              <w:ind w:firstLine="0"/>
              <w:jc w:val="center"/>
              <w:rPr>
                <w:rFonts w:eastAsia="Calibri"/>
                <w:sz w:val="22"/>
                <w:szCs w:val="22"/>
              </w:rPr>
            </w:pPr>
            <w:r>
              <w:rPr>
                <w:rFonts w:eastAsia="Calibri"/>
                <w:sz w:val="22"/>
                <w:szCs w:val="22"/>
              </w:rPr>
              <w:t>1.72</w:t>
            </w:r>
          </w:p>
        </w:tc>
      </w:tr>
      <w:tr w:rsidR="00842D4B" w:rsidRPr="00CC6323" w14:paraId="7D18F955" w14:textId="77777777" w:rsidTr="00A07F1A">
        <w:trPr>
          <w:trHeight w:val="256"/>
        </w:trPr>
        <w:tc>
          <w:tcPr>
            <w:tcW w:w="4928" w:type="dxa"/>
            <w:shd w:val="clear" w:color="auto" w:fill="auto"/>
          </w:tcPr>
          <w:p w14:paraId="1D6A107A" w14:textId="77777777" w:rsidR="00842D4B" w:rsidRPr="00CC6323" w:rsidRDefault="00CC6323" w:rsidP="00C77CD7">
            <w:pPr>
              <w:spacing w:before="40" w:after="40" w:line="240" w:lineRule="auto"/>
              <w:ind w:firstLine="0"/>
              <w:jc w:val="left"/>
              <w:rPr>
                <w:rFonts w:eastAsia="Calibri"/>
                <w:sz w:val="22"/>
                <w:szCs w:val="22"/>
              </w:rPr>
            </w:pPr>
            <w:r w:rsidRPr="00CC6323">
              <w:rPr>
                <w:rFonts w:eastAsia="Calibri"/>
                <w:sz w:val="22"/>
                <w:szCs w:val="22"/>
              </w:rPr>
              <w:t>Έμβρυα που έχουν συλληφθεί/γονιμοποιημένα ωάρια</w:t>
            </w:r>
          </w:p>
        </w:tc>
        <w:tc>
          <w:tcPr>
            <w:tcW w:w="1134" w:type="dxa"/>
            <w:shd w:val="clear" w:color="auto" w:fill="auto"/>
          </w:tcPr>
          <w:p w14:paraId="0906D0E5"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59.9</w:t>
            </w:r>
            <w:r w:rsidR="003F1D8C" w:rsidRPr="00CC6323">
              <w:rPr>
                <w:rFonts w:eastAsia="Calibri"/>
                <w:sz w:val="22"/>
                <w:szCs w:val="22"/>
              </w:rPr>
              <w:t xml:space="preserve"> %</w:t>
            </w:r>
          </w:p>
        </w:tc>
        <w:tc>
          <w:tcPr>
            <w:tcW w:w="1134" w:type="dxa"/>
            <w:shd w:val="clear" w:color="auto" w:fill="auto"/>
          </w:tcPr>
          <w:p w14:paraId="658899FC"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61.9</w:t>
            </w:r>
            <w:r w:rsidR="003F1D8C" w:rsidRPr="00CC6323">
              <w:rPr>
                <w:rFonts w:eastAsia="Calibri"/>
                <w:sz w:val="22"/>
                <w:szCs w:val="22"/>
              </w:rPr>
              <w:t xml:space="preserve"> %</w:t>
            </w:r>
          </w:p>
        </w:tc>
        <w:tc>
          <w:tcPr>
            <w:tcW w:w="1134" w:type="dxa"/>
            <w:shd w:val="clear" w:color="auto" w:fill="auto"/>
          </w:tcPr>
          <w:p w14:paraId="44884C9C" w14:textId="77777777" w:rsidR="00842D4B" w:rsidRPr="00CC6323" w:rsidRDefault="0041661F" w:rsidP="0041661F">
            <w:pPr>
              <w:spacing w:after="40" w:line="240" w:lineRule="auto"/>
              <w:ind w:firstLine="34"/>
              <w:jc w:val="center"/>
              <w:rPr>
                <w:rFonts w:eastAsia="Calibri"/>
                <w:sz w:val="22"/>
                <w:szCs w:val="22"/>
              </w:rPr>
            </w:pPr>
            <w:r>
              <w:rPr>
                <w:rFonts w:eastAsia="Calibri"/>
                <w:sz w:val="22"/>
                <w:szCs w:val="22"/>
              </w:rPr>
              <w:t>60.5</w:t>
            </w:r>
            <w:r w:rsidR="003F1D8C" w:rsidRPr="00CC6323">
              <w:rPr>
                <w:rFonts w:eastAsia="Calibri"/>
                <w:sz w:val="22"/>
                <w:szCs w:val="22"/>
              </w:rPr>
              <w:t xml:space="preserve"> %</w:t>
            </w:r>
          </w:p>
        </w:tc>
        <w:tc>
          <w:tcPr>
            <w:tcW w:w="1100" w:type="dxa"/>
            <w:shd w:val="clear" w:color="auto" w:fill="auto"/>
          </w:tcPr>
          <w:p w14:paraId="3BEFE460" w14:textId="77777777" w:rsidR="00842D4B" w:rsidRPr="00CC6323" w:rsidRDefault="0041661F" w:rsidP="0041661F">
            <w:pPr>
              <w:spacing w:after="40" w:line="240" w:lineRule="auto"/>
              <w:ind w:firstLine="34"/>
              <w:jc w:val="center"/>
              <w:rPr>
                <w:rFonts w:eastAsia="Calibri"/>
                <w:sz w:val="22"/>
                <w:szCs w:val="22"/>
              </w:rPr>
            </w:pPr>
            <w:r>
              <w:rPr>
                <w:rFonts w:eastAsia="Calibri"/>
                <w:sz w:val="22"/>
                <w:szCs w:val="22"/>
              </w:rPr>
              <w:t>61.5</w:t>
            </w:r>
            <w:r w:rsidR="003F1D8C" w:rsidRPr="00CC6323">
              <w:rPr>
                <w:rFonts w:eastAsia="Calibri"/>
                <w:sz w:val="22"/>
                <w:szCs w:val="22"/>
              </w:rPr>
              <w:t xml:space="preserve"> %</w:t>
            </w:r>
          </w:p>
        </w:tc>
      </w:tr>
      <w:tr w:rsidR="00842D4B" w:rsidRPr="00CC6323" w14:paraId="4FE4D8AA" w14:textId="77777777" w:rsidTr="00A07F1A">
        <w:trPr>
          <w:trHeight w:val="172"/>
        </w:trPr>
        <w:tc>
          <w:tcPr>
            <w:tcW w:w="4928" w:type="dxa"/>
            <w:shd w:val="clear" w:color="auto" w:fill="auto"/>
          </w:tcPr>
          <w:p w14:paraId="42223681" w14:textId="77777777" w:rsidR="00842D4B" w:rsidRPr="00CC6323" w:rsidRDefault="00CC6323" w:rsidP="00C77CD7">
            <w:pPr>
              <w:spacing w:before="40" w:after="40" w:line="240" w:lineRule="auto"/>
              <w:ind w:firstLine="0"/>
              <w:jc w:val="left"/>
              <w:rPr>
                <w:rFonts w:eastAsia="Calibri"/>
                <w:sz w:val="22"/>
                <w:szCs w:val="22"/>
              </w:rPr>
            </w:pPr>
            <w:r w:rsidRPr="00CC6323">
              <w:rPr>
                <w:rFonts w:eastAsia="Calibri"/>
                <w:sz w:val="22"/>
                <w:szCs w:val="22"/>
              </w:rPr>
              <w:t>Κρυοσυντηρημένα έμβρυα/έμβρυα που έχουν συλληφθεί</w:t>
            </w:r>
          </w:p>
        </w:tc>
        <w:tc>
          <w:tcPr>
            <w:tcW w:w="1134" w:type="dxa"/>
            <w:shd w:val="clear" w:color="auto" w:fill="auto"/>
          </w:tcPr>
          <w:p w14:paraId="3591B9D2"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22.9</w:t>
            </w:r>
            <w:r w:rsidR="003F1D8C" w:rsidRPr="00CC6323">
              <w:rPr>
                <w:rFonts w:eastAsia="Calibri"/>
                <w:sz w:val="22"/>
                <w:szCs w:val="22"/>
              </w:rPr>
              <w:t xml:space="preserve"> %</w:t>
            </w:r>
          </w:p>
        </w:tc>
        <w:tc>
          <w:tcPr>
            <w:tcW w:w="1134" w:type="dxa"/>
            <w:shd w:val="clear" w:color="auto" w:fill="auto"/>
          </w:tcPr>
          <w:p w14:paraId="329287A7"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22.9</w:t>
            </w:r>
            <w:r w:rsidR="003F1D8C" w:rsidRPr="00CC6323">
              <w:rPr>
                <w:rFonts w:eastAsia="Calibri"/>
                <w:sz w:val="22"/>
                <w:szCs w:val="22"/>
              </w:rPr>
              <w:t xml:space="preserve"> %</w:t>
            </w:r>
          </w:p>
        </w:tc>
        <w:tc>
          <w:tcPr>
            <w:tcW w:w="1134" w:type="dxa"/>
            <w:shd w:val="clear" w:color="auto" w:fill="auto"/>
          </w:tcPr>
          <w:p w14:paraId="3A6AEDC1"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22.8</w:t>
            </w:r>
            <w:r w:rsidR="003F1D8C" w:rsidRPr="00CC6323">
              <w:rPr>
                <w:rFonts w:eastAsia="Calibri"/>
                <w:sz w:val="22"/>
                <w:szCs w:val="22"/>
              </w:rPr>
              <w:t xml:space="preserve"> %</w:t>
            </w:r>
          </w:p>
        </w:tc>
        <w:tc>
          <w:tcPr>
            <w:tcW w:w="1100" w:type="dxa"/>
            <w:shd w:val="clear" w:color="auto" w:fill="auto"/>
          </w:tcPr>
          <w:p w14:paraId="332FE805"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21.2</w:t>
            </w:r>
            <w:r w:rsidR="003F1D8C" w:rsidRPr="00CC6323">
              <w:rPr>
                <w:rFonts w:eastAsia="Calibri"/>
                <w:sz w:val="22"/>
                <w:szCs w:val="22"/>
              </w:rPr>
              <w:t xml:space="preserve"> %</w:t>
            </w:r>
          </w:p>
        </w:tc>
      </w:tr>
      <w:tr w:rsidR="00842D4B" w:rsidRPr="00CC6323" w14:paraId="5B137F1E" w14:textId="77777777" w:rsidTr="00CC6323">
        <w:trPr>
          <w:trHeight w:val="172"/>
        </w:trPr>
        <w:tc>
          <w:tcPr>
            <w:tcW w:w="4928" w:type="dxa"/>
            <w:tcBorders>
              <w:bottom w:val="single" w:sz="4" w:space="0" w:color="auto"/>
            </w:tcBorders>
            <w:shd w:val="clear" w:color="auto" w:fill="auto"/>
          </w:tcPr>
          <w:p w14:paraId="1958CB3A" w14:textId="77777777" w:rsidR="00842D4B" w:rsidRPr="00CC6323" w:rsidRDefault="00CC6323" w:rsidP="00C77CD7">
            <w:pPr>
              <w:spacing w:before="40" w:after="40" w:line="240" w:lineRule="auto"/>
              <w:ind w:firstLine="0"/>
              <w:jc w:val="left"/>
              <w:rPr>
                <w:rFonts w:eastAsia="Calibri"/>
                <w:sz w:val="22"/>
                <w:szCs w:val="22"/>
              </w:rPr>
            </w:pPr>
            <w:r w:rsidRPr="00CC6323">
              <w:rPr>
                <w:rFonts w:eastAsia="Calibri"/>
                <w:sz w:val="22"/>
                <w:szCs w:val="22"/>
              </w:rPr>
              <w:t>Έ</w:t>
            </w:r>
            <w:r>
              <w:rPr>
                <w:rFonts w:eastAsia="Calibri"/>
                <w:sz w:val="22"/>
                <w:szCs w:val="22"/>
              </w:rPr>
              <w:t>μβρ</w:t>
            </w:r>
            <w:r w:rsidRPr="00CC6323">
              <w:rPr>
                <w:rFonts w:eastAsia="Calibri"/>
                <w:sz w:val="22"/>
                <w:szCs w:val="22"/>
              </w:rPr>
              <w:t>υα που έχουν μεταφερθεί ή κρυοσυντηρηθεί/έμβρυα που έχουν συλληφθεί</w:t>
            </w:r>
          </w:p>
        </w:tc>
        <w:tc>
          <w:tcPr>
            <w:tcW w:w="1134" w:type="dxa"/>
            <w:tcBorders>
              <w:bottom w:val="single" w:sz="4" w:space="0" w:color="auto"/>
            </w:tcBorders>
            <w:shd w:val="clear" w:color="auto" w:fill="auto"/>
          </w:tcPr>
          <w:p w14:paraId="7E791EE6"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54</w:t>
            </w:r>
            <w:r w:rsidR="003F1D8C" w:rsidRPr="00CC6323">
              <w:rPr>
                <w:rFonts w:eastAsia="Calibri"/>
                <w:sz w:val="22"/>
                <w:szCs w:val="22"/>
              </w:rPr>
              <w:t xml:space="preserve"> %</w:t>
            </w:r>
          </w:p>
        </w:tc>
        <w:tc>
          <w:tcPr>
            <w:tcW w:w="1134" w:type="dxa"/>
            <w:tcBorders>
              <w:bottom w:val="single" w:sz="4" w:space="0" w:color="auto"/>
            </w:tcBorders>
            <w:shd w:val="clear" w:color="auto" w:fill="auto"/>
          </w:tcPr>
          <w:p w14:paraId="07A34B8E"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53</w:t>
            </w:r>
            <w:r w:rsidR="003F1D8C" w:rsidRPr="00CC6323">
              <w:rPr>
                <w:rFonts w:eastAsia="Calibri"/>
                <w:sz w:val="22"/>
                <w:szCs w:val="22"/>
              </w:rPr>
              <w:t xml:space="preserve"> %</w:t>
            </w:r>
          </w:p>
        </w:tc>
        <w:tc>
          <w:tcPr>
            <w:tcW w:w="1134" w:type="dxa"/>
            <w:tcBorders>
              <w:bottom w:val="single" w:sz="4" w:space="0" w:color="auto"/>
            </w:tcBorders>
            <w:shd w:val="clear" w:color="auto" w:fill="auto"/>
          </w:tcPr>
          <w:p w14:paraId="1E962C94"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52.1</w:t>
            </w:r>
            <w:r w:rsidR="003F1D8C" w:rsidRPr="00CC6323">
              <w:rPr>
                <w:rFonts w:eastAsia="Calibri"/>
                <w:sz w:val="22"/>
                <w:szCs w:val="22"/>
              </w:rPr>
              <w:t xml:space="preserve"> %</w:t>
            </w:r>
          </w:p>
        </w:tc>
        <w:tc>
          <w:tcPr>
            <w:tcW w:w="1100" w:type="dxa"/>
            <w:tcBorders>
              <w:bottom w:val="single" w:sz="4" w:space="0" w:color="auto"/>
            </w:tcBorders>
            <w:shd w:val="clear" w:color="auto" w:fill="auto"/>
          </w:tcPr>
          <w:p w14:paraId="0238E0C4" w14:textId="77777777" w:rsidR="00842D4B" w:rsidRPr="00CC6323" w:rsidRDefault="0041661F" w:rsidP="0041661F">
            <w:pPr>
              <w:spacing w:after="40" w:line="240" w:lineRule="auto"/>
              <w:ind w:firstLine="0"/>
              <w:jc w:val="center"/>
              <w:rPr>
                <w:rFonts w:eastAsia="Calibri"/>
                <w:sz w:val="22"/>
                <w:szCs w:val="22"/>
              </w:rPr>
            </w:pPr>
            <w:r>
              <w:rPr>
                <w:rFonts w:eastAsia="Calibri"/>
                <w:sz w:val="22"/>
                <w:szCs w:val="22"/>
              </w:rPr>
              <w:t>48.5</w:t>
            </w:r>
            <w:r w:rsidR="003F1D8C" w:rsidRPr="00CC6323">
              <w:rPr>
                <w:rFonts w:eastAsia="Calibri"/>
                <w:sz w:val="22"/>
                <w:szCs w:val="22"/>
              </w:rPr>
              <w:t xml:space="preserve"> %</w:t>
            </w:r>
          </w:p>
        </w:tc>
      </w:tr>
      <w:tr w:rsidR="00842D4B" w:rsidRPr="00CC6323" w14:paraId="5CA37B28" w14:textId="77777777" w:rsidTr="00CC6323">
        <w:trPr>
          <w:trHeight w:val="354"/>
        </w:trPr>
        <w:tc>
          <w:tcPr>
            <w:tcW w:w="4928" w:type="dxa"/>
            <w:shd w:val="pct15" w:color="auto" w:fill="auto"/>
          </w:tcPr>
          <w:p w14:paraId="1600796B" w14:textId="77777777" w:rsidR="00842D4B" w:rsidRPr="00B45DF1" w:rsidRDefault="00CC6323" w:rsidP="00C77CD7">
            <w:pPr>
              <w:spacing w:before="40" w:after="40" w:line="240" w:lineRule="auto"/>
              <w:ind w:firstLine="0"/>
              <w:jc w:val="left"/>
              <w:rPr>
                <w:rFonts w:eastAsia="Calibri"/>
                <w:b/>
                <w:sz w:val="22"/>
                <w:szCs w:val="22"/>
              </w:rPr>
            </w:pPr>
            <w:r w:rsidRPr="00B45DF1">
              <w:rPr>
                <w:rFonts w:eastAsia="Calibri"/>
                <w:b/>
                <w:sz w:val="22"/>
                <w:szCs w:val="22"/>
              </w:rPr>
              <w:t xml:space="preserve">Ποσοστό εμφύτευσης </w:t>
            </w:r>
          </w:p>
        </w:tc>
        <w:tc>
          <w:tcPr>
            <w:tcW w:w="1134" w:type="dxa"/>
            <w:shd w:val="pct15" w:color="auto" w:fill="auto"/>
          </w:tcPr>
          <w:p w14:paraId="2B3ECE58" w14:textId="77777777" w:rsidR="00842D4B" w:rsidRPr="00B45DF1" w:rsidRDefault="00CC6323" w:rsidP="00CC6323">
            <w:pPr>
              <w:spacing w:before="40" w:after="40" w:line="240" w:lineRule="auto"/>
              <w:ind w:firstLine="0"/>
              <w:jc w:val="center"/>
              <w:rPr>
                <w:rFonts w:eastAsia="Calibri"/>
                <w:b/>
                <w:sz w:val="22"/>
                <w:szCs w:val="22"/>
              </w:rPr>
            </w:pPr>
            <w:r w:rsidRPr="00B45DF1">
              <w:rPr>
                <w:rFonts w:eastAsia="Calibri"/>
                <w:b/>
                <w:sz w:val="22"/>
                <w:szCs w:val="22"/>
              </w:rPr>
              <w:t>16.9</w:t>
            </w:r>
          </w:p>
        </w:tc>
        <w:tc>
          <w:tcPr>
            <w:tcW w:w="1134" w:type="dxa"/>
            <w:shd w:val="pct15" w:color="auto" w:fill="auto"/>
          </w:tcPr>
          <w:p w14:paraId="237EE2F5" w14:textId="77777777" w:rsidR="00842D4B" w:rsidRPr="00B45DF1" w:rsidRDefault="00CC6323" w:rsidP="00CC6323">
            <w:pPr>
              <w:spacing w:before="40" w:after="40" w:line="240" w:lineRule="auto"/>
              <w:ind w:firstLine="0"/>
              <w:jc w:val="center"/>
              <w:rPr>
                <w:rFonts w:eastAsia="Calibri"/>
                <w:b/>
                <w:sz w:val="22"/>
                <w:szCs w:val="22"/>
              </w:rPr>
            </w:pPr>
            <w:r w:rsidRPr="00B45DF1">
              <w:rPr>
                <w:rFonts w:eastAsia="Calibri"/>
                <w:b/>
                <w:sz w:val="22"/>
                <w:szCs w:val="22"/>
              </w:rPr>
              <w:t>16.3</w:t>
            </w:r>
          </w:p>
        </w:tc>
        <w:tc>
          <w:tcPr>
            <w:tcW w:w="1134" w:type="dxa"/>
            <w:shd w:val="pct15" w:color="auto" w:fill="auto"/>
          </w:tcPr>
          <w:p w14:paraId="55D59470" w14:textId="77777777" w:rsidR="00842D4B" w:rsidRPr="00B45DF1" w:rsidRDefault="00CC6323" w:rsidP="00CC6323">
            <w:pPr>
              <w:spacing w:before="40" w:after="40" w:line="240" w:lineRule="auto"/>
              <w:ind w:firstLine="0"/>
              <w:jc w:val="center"/>
              <w:rPr>
                <w:rFonts w:eastAsia="Calibri"/>
                <w:b/>
                <w:sz w:val="22"/>
                <w:szCs w:val="22"/>
              </w:rPr>
            </w:pPr>
            <w:r w:rsidRPr="00B45DF1">
              <w:rPr>
                <w:rFonts w:eastAsia="Calibri"/>
                <w:b/>
                <w:sz w:val="22"/>
                <w:szCs w:val="22"/>
              </w:rPr>
              <w:t>17</w:t>
            </w:r>
          </w:p>
        </w:tc>
        <w:tc>
          <w:tcPr>
            <w:tcW w:w="1100" w:type="dxa"/>
            <w:shd w:val="pct15" w:color="auto" w:fill="auto"/>
          </w:tcPr>
          <w:p w14:paraId="7DAC78CE" w14:textId="77777777" w:rsidR="00842D4B" w:rsidRPr="00B45DF1" w:rsidRDefault="00CC6323" w:rsidP="00CC6323">
            <w:pPr>
              <w:spacing w:before="40" w:after="40" w:line="240" w:lineRule="auto"/>
              <w:ind w:firstLine="0"/>
              <w:jc w:val="center"/>
              <w:rPr>
                <w:rFonts w:eastAsia="Calibri"/>
                <w:b/>
                <w:sz w:val="22"/>
                <w:szCs w:val="22"/>
              </w:rPr>
            </w:pPr>
            <w:r w:rsidRPr="00B45DF1">
              <w:rPr>
                <w:rFonts w:eastAsia="Calibri"/>
                <w:b/>
                <w:sz w:val="22"/>
                <w:szCs w:val="22"/>
              </w:rPr>
              <w:t>17.8</w:t>
            </w:r>
          </w:p>
        </w:tc>
      </w:tr>
    </w:tbl>
    <w:p w14:paraId="74ABE573" w14:textId="003203D6" w:rsidR="00902A21" w:rsidRDefault="00D817AC" w:rsidP="00793036">
      <w:pPr>
        <w:spacing w:before="240"/>
      </w:pPr>
      <w:r>
        <w:t xml:space="preserve">Σε ό,τι αφορά στη διενέργεια της </w:t>
      </w:r>
      <w:r w:rsidRPr="00FA3095">
        <w:t>εξωσωματικής γονιμοποίησης</w:t>
      </w:r>
      <w:r>
        <w:t xml:space="preserve"> με την τεχνική</w:t>
      </w:r>
      <w:r w:rsidRPr="00D817AC">
        <w:t xml:space="preserve"> </w:t>
      </w:r>
      <w:r>
        <w:t>της μικρέγχυσης</w:t>
      </w:r>
      <w:r w:rsidRPr="00795D15">
        <w:t xml:space="preserve"> σπερματοζωαρίων στο κυτταρόπλασμα του ωαρίου</w:t>
      </w:r>
      <w:r>
        <w:t xml:space="preserve"> (</w:t>
      </w:r>
      <w:r w:rsidRPr="00FA3095">
        <w:rPr>
          <w:i/>
          <w:lang w:val="en-US"/>
        </w:rPr>
        <w:t>ICSI</w:t>
      </w:r>
      <w:r>
        <w:t>)</w:t>
      </w:r>
      <w:r w:rsidR="00914B8C">
        <w:t xml:space="preserve">, </w:t>
      </w:r>
      <w:r>
        <w:t xml:space="preserve">ο μέσος όρος εμβρύων που μεταφέρθηκαν ανά μεταφορά </w:t>
      </w:r>
      <w:r w:rsidR="00914B8C">
        <w:t xml:space="preserve">μειώθηκε </w:t>
      </w:r>
      <w:r>
        <w:t>από 1.85</w:t>
      </w:r>
      <w:r w:rsidR="00914B8C">
        <w:t>, το 2009,</w:t>
      </w:r>
      <w:r>
        <w:t xml:space="preserve"> </w:t>
      </w:r>
      <w:r w:rsidR="00914B8C">
        <w:t xml:space="preserve">σε 1.74, </w:t>
      </w:r>
      <w:r>
        <w:t xml:space="preserve">το 2012. </w:t>
      </w:r>
      <w:r w:rsidR="00902A21">
        <w:t>Αντιστρόφως α</w:t>
      </w:r>
      <w:r>
        <w:t xml:space="preserve">νάλογη </w:t>
      </w:r>
      <w:r w:rsidR="00902A21">
        <w:t>αύξηση εμφανίζει το</w:t>
      </w:r>
      <w:r>
        <w:t xml:space="preserve"> ποσοστό εμφύτευσης, το οποίο από </w:t>
      </w:r>
      <w:r w:rsidR="00902A21">
        <w:t>17.3</w:t>
      </w:r>
      <w:r w:rsidR="00914B8C">
        <w:t xml:space="preserve">, το 2009, </w:t>
      </w:r>
      <w:r w:rsidR="00902A21">
        <w:t>ανέβηκε στο 17.4</w:t>
      </w:r>
      <w:r w:rsidR="00914B8C">
        <w:t>,</w:t>
      </w:r>
      <w:r w:rsidR="00603D71">
        <w:t xml:space="preserve"> το 2012 (Πίνακας 9</w:t>
      </w:r>
      <w:r>
        <w:t>)</w:t>
      </w:r>
      <w:r w:rsidR="004C2F74">
        <w:rPr>
          <w:rStyle w:val="FootnoteReference"/>
        </w:rPr>
        <w:footnoteReference w:id="247"/>
      </w:r>
      <w:r>
        <w:t xml:space="preserve">. </w:t>
      </w:r>
    </w:p>
    <w:p w14:paraId="501469A3" w14:textId="71BB8EE0" w:rsidR="001F2858" w:rsidRPr="0074615E" w:rsidRDefault="00603D71" w:rsidP="00793036">
      <w:pPr>
        <w:spacing w:before="240" w:after="240"/>
        <w:ind w:firstLine="0"/>
        <w:rPr>
          <w:b/>
          <w:szCs w:val="22"/>
        </w:rPr>
      </w:pPr>
      <w:r>
        <w:rPr>
          <w:b/>
          <w:szCs w:val="22"/>
        </w:rPr>
        <w:t>Πίνακας 9</w:t>
      </w:r>
      <w:r w:rsidR="001F2858">
        <w:rPr>
          <w:b/>
          <w:szCs w:val="22"/>
        </w:rPr>
        <w:t>.</w:t>
      </w:r>
      <w:r w:rsidR="001F2858" w:rsidRPr="0074615E">
        <w:rPr>
          <w:b/>
          <w:szCs w:val="22"/>
        </w:rPr>
        <w:t xml:space="preserve"> </w:t>
      </w:r>
      <w:r w:rsidR="001F2858">
        <w:rPr>
          <w:b/>
          <w:szCs w:val="22"/>
        </w:rPr>
        <w:t>Ομόλογη ICSI</w:t>
      </w:r>
      <w:r w:rsidR="001F2858">
        <w:rPr>
          <w:rStyle w:val="FootnoteReference"/>
          <w:b/>
          <w:szCs w:val="22"/>
        </w:rPr>
        <w:footnoteReference w:id="248"/>
      </w:r>
      <w:r w:rsidR="001F2858">
        <w:rPr>
          <w:b/>
          <w:szCs w:val="22"/>
        </w:rPr>
        <w:t>: μεταφορά ωαρίων και εμβρύων από το 2009 έως 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1134"/>
        <w:gridCol w:w="1134"/>
        <w:gridCol w:w="1134"/>
        <w:gridCol w:w="1100"/>
      </w:tblGrid>
      <w:tr w:rsidR="001F2858" w:rsidRPr="00CC6323" w14:paraId="7E92CBE9" w14:textId="77777777" w:rsidTr="00914B8C">
        <w:tc>
          <w:tcPr>
            <w:tcW w:w="4928" w:type="dxa"/>
            <w:tcBorders>
              <w:bottom w:val="single" w:sz="4" w:space="0" w:color="auto"/>
            </w:tcBorders>
            <w:shd w:val="clear" w:color="auto" w:fill="auto"/>
          </w:tcPr>
          <w:p w14:paraId="3A256FBA" w14:textId="77777777" w:rsidR="001F2858" w:rsidRPr="00CC6323" w:rsidRDefault="001F2858" w:rsidP="005C2C78">
            <w:pPr>
              <w:spacing w:before="40" w:after="40" w:line="240" w:lineRule="auto"/>
              <w:ind w:firstLine="0"/>
              <w:jc w:val="center"/>
              <w:rPr>
                <w:rFonts w:eastAsia="Calibri"/>
                <w:sz w:val="22"/>
                <w:szCs w:val="22"/>
              </w:rPr>
            </w:pPr>
          </w:p>
        </w:tc>
        <w:tc>
          <w:tcPr>
            <w:tcW w:w="1134" w:type="dxa"/>
            <w:tcBorders>
              <w:bottom w:val="single" w:sz="4" w:space="0" w:color="auto"/>
            </w:tcBorders>
            <w:shd w:val="pct15" w:color="auto" w:fill="auto"/>
          </w:tcPr>
          <w:p w14:paraId="493C0BE2" w14:textId="77777777" w:rsidR="001F2858" w:rsidRPr="00CC6323" w:rsidRDefault="001F2858" w:rsidP="005C2C78">
            <w:pPr>
              <w:spacing w:before="40" w:after="40" w:line="240" w:lineRule="auto"/>
              <w:ind w:firstLine="0"/>
              <w:jc w:val="center"/>
              <w:rPr>
                <w:rFonts w:eastAsia="Calibri"/>
                <w:b/>
                <w:sz w:val="22"/>
                <w:szCs w:val="22"/>
              </w:rPr>
            </w:pPr>
            <w:r w:rsidRPr="00CC6323">
              <w:rPr>
                <w:rFonts w:eastAsia="Calibri"/>
                <w:b/>
                <w:sz w:val="22"/>
                <w:szCs w:val="22"/>
              </w:rPr>
              <w:t>2009</w:t>
            </w:r>
          </w:p>
        </w:tc>
        <w:tc>
          <w:tcPr>
            <w:tcW w:w="1134" w:type="dxa"/>
            <w:tcBorders>
              <w:bottom w:val="single" w:sz="4" w:space="0" w:color="auto"/>
            </w:tcBorders>
            <w:shd w:val="pct15" w:color="auto" w:fill="auto"/>
          </w:tcPr>
          <w:p w14:paraId="1FA0CAB9" w14:textId="77777777" w:rsidR="001F2858" w:rsidRPr="00CC6323" w:rsidRDefault="001F2858" w:rsidP="005C2C78">
            <w:pPr>
              <w:spacing w:before="40" w:after="40" w:line="240" w:lineRule="auto"/>
              <w:ind w:firstLine="0"/>
              <w:jc w:val="center"/>
              <w:rPr>
                <w:rFonts w:eastAsia="Calibri"/>
                <w:b/>
                <w:sz w:val="22"/>
                <w:szCs w:val="22"/>
              </w:rPr>
            </w:pPr>
            <w:r w:rsidRPr="00CC6323">
              <w:rPr>
                <w:rFonts w:eastAsia="Calibri"/>
                <w:b/>
                <w:sz w:val="22"/>
                <w:szCs w:val="22"/>
              </w:rPr>
              <w:t>2010</w:t>
            </w:r>
          </w:p>
        </w:tc>
        <w:tc>
          <w:tcPr>
            <w:tcW w:w="1134" w:type="dxa"/>
            <w:tcBorders>
              <w:bottom w:val="single" w:sz="4" w:space="0" w:color="auto"/>
            </w:tcBorders>
            <w:shd w:val="pct15" w:color="auto" w:fill="auto"/>
          </w:tcPr>
          <w:p w14:paraId="768DEB14" w14:textId="77777777" w:rsidR="001F2858" w:rsidRPr="00CC6323" w:rsidRDefault="001F2858" w:rsidP="005C2C78">
            <w:pPr>
              <w:spacing w:before="40" w:after="40" w:line="240" w:lineRule="auto"/>
              <w:ind w:firstLine="0"/>
              <w:jc w:val="center"/>
              <w:rPr>
                <w:rFonts w:eastAsia="Calibri"/>
                <w:b/>
                <w:sz w:val="22"/>
                <w:szCs w:val="22"/>
              </w:rPr>
            </w:pPr>
            <w:r w:rsidRPr="00CC6323">
              <w:rPr>
                <w:rFonts w:eastAsia="Calibri"/>
                <w:b/>
                <w:sz w:val="22"/>
                <w:szCs w:val="22"/>
              </w:rPr>
              <w:t>2011</w:t>
            </w:r>
          </w:p>
        </w:tc>
        <w:tc>
          <w:tcPr>
            <w:tcW w:w="1100" w:type="dxa"/>
            <w:tcBorders>
              <w:bottom w:val="single" w:sz="4" w:space="0" w:color="auto"/>
            </w:tcBorders>
            <w:shd w:val="pct15" w:color="auto" w:fill="auto"/>
          </w:tcPr>
          <w:p w14:paraId="3D80503B" w14:textId="77777777" w:rsidR="001F2858" w:rsidRPr="00CC6323" w:rsidRDefault="001F2858" w:rsidP="005C2C78">
            <w:pPr>
              <w:spacing w:before="40" w:after="40" w:line="240" w:lineRule="auto"/>
              <w:ind w:firstLine="0"/>
              <w:jc w:val="center"/>
              <w:rPr>
                <w:rFonts w:eastAsia="Calibri"/>
                <w:b/>
                <w:sz w:val="22"/>
                <w:szCs w:val="22"/>
              </w:rPr>
            </w:pPr>
            <w:r w:rsidRPr="00CC6323">
              <w:rPr>
                <w:rFonts w:eastAsia="Calibri"/>
                <w:b/>
                <w:sz w:val="22"/>
                <w:szCs w:val="22"/>
              </w:rPr>
              <w:t>2012</w:t>
            </w:r>
          </w:p>
        </w:tc>
      </w:tr>
      <w:tr w:rsidR="001F2858" w:rsidRPr="00CC6323" w14:paraId="3C115E04" w14:textId="77777777" w:rsidTr="005C2C78">
        <w:tc>
          <w:tcPr>
            <w:tcW w:w="4928" w:type="dxa"/>
            <w:shd w:val="pct15" w:color="auto" w:fill="auto"/>
          </w:tcPr>
          <w:p w14:paraId="60A599BC" w14:textId="77777777" w:rsidR="001F2858" w:rsidRPr="00CC6323" w:rsidRDefault="001F2858" w:rsidP="00160DF1">
            <w:pPr>
              <w:spacing w:before="40" w:after="40" w:line="240" w:lineRule="auto"/>
              <w:ind w:firstLine="0"/>
              <w:jc w:val="left"/>
              <w:rPr>
                <w:rFonts w:eastAsia="Calibri"/>
                <w:b/>
                <w:sz w:val="22"/>
                <w:szCs w:val="22"/>
              </w:rPr>
            </w:pPr>
            <w:r w:rsidRPr="00CC6323">
              <w:rPr>
                <w:rFonts w:eastAsia="Calibri"/>
                <w:b/>
                <w:sz w:val="22"/>
                <w:szCs w:val="22"/>
              </w:rPr>
              <w:t xml:space="preserve">Ωάρια </w:t>
            </w:r>
          </w:p>
        </w:tc>
        <w:tc>
          <w:tcPr>
            <w:tcW w:w="1134" w:type="dxa"/>
            <w:shd w:val="pct15" w:color="auto" w:fill="auto"/>
          </w:tcPr>
          <w:p w14:paraId="4C07B74F" w14:textId="77777777" w:rsidR="001F2858" w:rsidRPr="00CC6323" w:rsidRDefault="001F2858" w:rsidP="005C2C78">
            <w:pPr>
              <w:spacing w:before="40" w:after="40" w:line="240" w:lineRule="auto"/>
              <w:ind w:firstLine="0"/>
              <w:jc w:val="center"/>
              <w:rPr>
                <w:rFonts w:eastAsia="Calibri"/>
                <w:sz w:val="22"/>
                <w:szCs w:val="22"/>
              </w:rPr>
            </w:pPr>
          </w:p>
        </w:tc>
        <w:tc>
          <w:tcPr>
            <w:tcW w:w="1134" w:type="dxa"/>
            <w:shd w:val="pct15" w:color="auto" w:fill="auto"/>
          </w:tcPr>
          <w:p w14:paraId="5F102EC2" w14:textId="77777777" w:rsidR="001F2858" w:rsidRPr="00CC6323" w:rsidRDefault="001F2858" w:rsidP="005C2C78">
            <w:pPr>
              <w:spacing w:before="40" w:after="40" w:line="240" w:lineRule="auto"/>
              <w:ind w:firstLine="0"/>
              <w:jc w:val="center"/>
              <w:rPr>
                <w:rFonts w:eastAsia="Calibri"/>
                <w:sz w:val="22"/>
                <w:szCs w:val="22"/>
              </w:rPr>
            </w:pPr>
          </w:p>
        </w:tc>
        <w:tc>
          <w:tcPr>
            <w:tcW w:w="1134" w:type="dxa"/>
            <w:shd w:val="pct15" w:color="auto" w:fill="auto"/>
          </w:tcPr>
          <w:p w14:paraId="0ADEB93F" w14:textId="77777777" w:rsidR="001F2858" w:rsidRPr="00CC6323" w:rsidRDefault="001F2858" w:rsidP="005C2C78">
            <w:pPr>
              <w:spacing w:before="40" w:after="40" w:line="240" w:lineRule="auto"/>
              <w:ind w:firstLine="0"/>
              <w:jc w:val="center"/>
              <w:rPr>
                <w:rFonts w:eastAsia="Calibri"/>
                <w:sz w:val="22"/>
                <w:szCs w:val="22"/>
              </w:rPr>
            </w:pPr>
          </w:p>
        </w:tc>
        <w:tc>
          <w:tcPr>
            <w:tcW w:w="1100" w:type="dxa"/>
            <w:shd w:val="pct15" w:color="auto" w:fill="auto"/>
          </w:tcPr>
          <w:p w14:paraId="1D756787" w14:textId="77777777" w:rsidR="001F2858" w:rsidRPr="00CC6323" w:rsidRDefault="001F2858" w:rsidP="005C2C78">
            <w:pPr>
              <w:spacing w:before="40" w:after="40" w:line="240" w:lineRule="auto"/>
              <w:ind w:firstLine="0"/>
              <w:jc w:val="center"/>
              <w:rPr>
                <w:rFonts w:eastAsia="Calibri"/>
                <w:sz w:val="22"/>
                <w:szCs w:val="22"/>
              </w:rPr>
            </w:pPr>
          </w:p>
        </w:tc>
      </w:tr>
      <w:tr w:rsidR="001F2858" w:rsidRPr="00CC6323" w14:paraId="1870CDA8" w14:textId="77777777" w:rsidTr="005C2C78">
        <w:tc>
          <w:tcPr>
            <w:tcW w:w="4928" w:type="dxa"/>
            <w:shd w:val="clear" w:color="auto" w:fill="auto"/>
          </w:tcPr>
          <w:p w14:paraId="01508D3C"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lastRenderedPageBreak/>
              <w:t xml:space="preserve">Ωάρια που λήφθηκαν </w:t>
            </w:r>
          </w:p>
        </w:tc>
        <w:tc>
          <w:tcPr>
            <w:tcW w:w="1134" w:type="dxa"/>
            <w:shd w:val="clear" w:color="auto" w:fill="auto"/>
          </w:tcPr>
          <w:p w14:paraId="0A46D8BE" w14:textId="77777777" w:rsidR="001F2858" w:rsidRPr="00CC6323" w:rsidRDefault="00A624F3" w:rsidP="005C2C78">
            <w:pPr>
              <w:spacing w:before="40" w:after="40" w:line="240" w:lineRule="auto"/>
              <w:ind w:firstLine="0"/>
              <w:jc w:val="center"/>
              <w:rPr>
                <w:rFonts w:eastAsia="Calibri"/>
                <w:sz w:val="22"/>
                <w:szCs w:val="22"/>
              </w:rPr>
            </w:pPr>
            <w:r>
              <w:rPr>
                <w:rFonts w:eastAsia="Calibri"/>
                <w:sz w:val="22"/>
                <w:szCs w:val="22"/>
              </w:rPr>
              <w:t>321.302</w:t>
            </w:r>
          </w:p>
        </w:tc>
        <w:tc>
          <w:tcPr>
            <w:tcW w:w="1134" w:type="dxa"/>
            <w:shd w:val="clear" w:color="auto" w:fill="auto"/>
          </w:tcPr>
          <w:p w14:paraId="5AF5AF5D" w14:textId="77777777" w:rsidR="001F2858" w:rsidRPr="00CC6323" w:rsidRDefault="00685F2A" w:rsidP="005C2C78">
            <w:pPr>
              <w:spacing w:before="40" w:after="40" w:line="240" w:lineRule="auto"/>
              <w:ind w:firstLine="0"/>
              <w:jc w:val="center"/>
              <w:rPr>
                <w:rFonts w:eastAsia="Calibri"/>
                <w:sz w:val="22"/>
                <w:szCs w:val="22"/>
              </w:rPr>
            </w:pPr>
            <w:r>
              <w:rPr>
                <w:rFonts w:eastAsia="Calibri"/>
                <w:sz w:val="22"/>
                <w:szCs w:val="22"/>
              </w:rPr>
              <w:t>335.721</w:t>
            </w:r>
          </w:p>
        </w:tc>
        <w:tc>
          <w:tcPr>
            <w:tcW w:w="1134" w:type="dxa"/>
            <w:shd w:val="clear" w:color="auto" w:fill="auto"/>
          </w:tcPr>
          <w:p w14:paraId="1E556CEC" w14:textId="77777777" w:rsidR="001F2858" w:rsidRPr="00CC6323" w:rsidRDefault="005C2C78" w:rsidP="005C2C78">
            <w:pPr>
              <w:spacing w:before="40" w:after="40" w:line="240" w:lineRule="auto"/>
              <w:ind w:firstLine="0"/>
              <w:jc w:val="center"/>
              <w:rPr>
                <w:rFonts w:eastAsia="Calibri"/>
                <w:sz w:val="22"/>
                <w:szCs w:val="22"/>
              </w:rPr>
            </w:pPr>
            <w:r>
              <w:rPr>
                <w:rFonts w:eastAsia="Calibri"/>
                <w:sz w:val="22"/>
                <w:szCs w:val="22"/>
              </w:rPr>
              <w:t>353.269</w:t>
            </w:r>
          </w:p>
        </w:tc>
        <w:tc>
          <w:tcPr>
            <w:tcW w:w="1100" w:type="dxa"/>
            <w:shd w:val="clear" w:color="auto" w:fill="auto"/>
          </w:tcPr>
          <w:p w14:paraId="4E406BB5" w14:textId="77777777" w:rsidR="001F2858" w:rsidRPr="00CC6323" w:rsidRDefault="005C2C78" w:rsidP="005C2C78">
            <w:pPr>
              <w:spacing w:before="40" w:after="40" w:line="240" w:lineRule="auto"/>
              <w:ind w:firstLine="0"/>
              <w:jc w:val="center"/>
              <w:rPr>
                <w:rFonts w:eastAsia="Calibri"/>
                <w:sz w:val="22"/>
                <w:szCs w:val="22"/>
              </w:rPr>
            </w:pPr>
            <w:r>
              <w:rPr>
                <w:rFonts w:eastAsia="Calibri"/>
                <w:sz w:val="22"/>
                <w:szCs w:val="22"/>
              </w:rPr>
              <w:t>358.282</w:t>
            </w:r>
          </w:p>
        </w:tc>
      </w:tr>
      <w:tr w:rsidR="001F2858" w:rsidRPr="00CC6323" w14:paraId="33F6188A" w14:textId="77777777" w:rsidTr="005C2C78">
        <w:tc>
          <w:tcPr>
            <w:tcW w:w="4928" w:type="dxa"/>
            <w:shd w:val="clear" w:color="auto" w:fill="auto"/>
          </w:tcPr>
          <w:p w14:paraId="3A8E63C6"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 xml:space="preserve">Ωάρια που γονιμοποιήθηκαν  </w:t>
            </w:r>
          </w:p>
        </w:tc>
        <w:tc>
          <w:tcPr>
            <w:tcW w:w="1134" w:type="dxa"/>
            <w:shd w:val="clear" w:color="auto" w:fill="auto"/>
          </w:tcPr>
          <w:p w14:paraId="0396702F" w14:textId="77777777" w:rsidR="001F2858" w:rsidRPr="00CC6323" w:rsidRDefault="00A624F3" w:rsidP="005C2C78">
            <w:pPr>
              <w:spacing w:before="40" w:after="40" w:line="240" w:lineRule="auto"/>
              <w:ind w:firstLine="0"/>
              <w:jc w:val="center"/>
              <w:rPr>
                <w:rFonts w:eastAsia="Calibri"/>
                <w:sz w:val="22"/>
                <w:szCs w:val="22"/>
              </w:rPr>
            </w:pPr>
            <w:r>
              <w:rPr>
                <w:rFonts w:eastAsia="Calibri"/>
                <w:sz w:val="22"/>
                <w:szCs w:val="22"/>
              </w:rPr>
              <w:t>238.117</w:t>
            </w:r>
          </w:p>
        </w:tc>
        <w:tc>
          <w:tcPr>
            <w:tcW w:w="1134" w:type="dxa"/>
            <w:shd w:val="clear" w:color="auto" w:fill="auto"/>
          </w:tcPr>
          <w:p w14:paraId="3D5A78F7" w14:textId="77777777" w:rsidR="001F2858" w:rsidRPr="00CC6323" w:rsidRDefault="005C2C78" w:rsidP="005C2C78">
            <w:pPr>
              <w:spacing w:before="40" w:after="40" w:line="240" w:lineRule="auto"/>
              <w:ind w:firstLine="0"/>
              <w:jc w:val="center"/>
              <w:rPr>
                <w:rFonts w:eastAsia="Calibri"/>
                <w:sz w:val="22"/>
                <w:szCs w:val="22"/>
              </w:rPr>
            </w:pPr>
            <w:r>
              <w:rPr>
                <w:rFonts w:eastAsia="Calibri"/>
                <w:sz w:val="22"/>
                <w:szCs w:val="22"/>
              </w:rPr>
              <w:t>251.583</w:t>
            </w:r>
          </w:p>
        </w:tc>
        <w:tc>
          <w:tcPr>
            <w:tcW w:w="1134" w:type="dxa"/>
            <w:shd w:val="clear" w:color="auto" w:fill="auto"/>
          </w:tcPr>
          <w:p w14:paraId="52DF76EB" w14:textId="77777777" w:rsidR="001F2858" w:rsidRPr="00CC6323" w:rsidRDefault="005C2C78" w:rsidP="005C2C78">
            <w:pPr>
              <w:spacing w:before="40" w:after="40" w:line="240" w:lineRule="auto"/>
              <w:ind w:firstLine="0"/>
              <w:jc w:val="center"/>
              <w:rPr>
                <w:rFonts w:eastAsia="Calibri"/>
                <w:sz w:val="22"/>
                <w:szCs w:val="22"/>
              </w:rPr>
            </w:pPr>
            <w:r>
              <w:rPr>
                <w:rFonts w:eastAsia="Calibri"/>
                <w:sz w:val="22"/>
                <w:szCs w:val="22"/>
              </w:rPr>
              <w:t>258.956</w:t>
            </w:r>
          </w:p>
        </w:tc>
        <w:tc>
          <w:tcPr>
            <w:tcW w:w="1100" w:type="dxa"/>
            <w:shd w:val="clear" w:color="auto" w:fill="auto"/>
          </w:tcPr>
          <w:p w14:paraId="61E1F162" w14:textId="77777777" w:rsidR="001F2858" w:rsidRPr="00CC6323" w:rsidRDefault="005C2C78" w:rsidP="005C2C78">
            <w:pPr>
              <w:spacing w:before="40" w:after="40" w:line="240" w:lineRule="auto"/>
              <w:ind w:firstLine="0"/>
              <w:jc w:val="center"/>
              <w:rPr>
                <w:rFonts w:eastAsia="Calibri"/>
                <w:sz w:val="22"/>
                <w:szCs w:val="22"/>
              </w:rPr>
            </w:pPr>
            <w:r>
              <w:rPr>
                <w:rFonts w:eastAsia="Calibri"/>
                <w:sz w:val="22"/>
                <w:szCs w:val="22"/>
              </w:rPr>
              <w:t>259.327</w:t>
            </w:r>
          </w:p>
        </w:tc>
      </w:tr>
      <w:tr w:rsidR="001F2858" w:rsidRPr="00CC6323" w14:paraId="1A820A0B" w14:textId="77777777" w:rsidTr="005C2C78">
        <w:trPr>
          <w:trHeight w:val="208"/>
        </w:trPr>
        <w:tc>
          <w:tcPr>
            <w:tcW w:w="4928" w:type="dxa"/>
            <w:tcBorders>
              <w:bottom w:val="single" w:sz="4" w:space="0" w:color="auto"/>
            </w:tcBorders>
            <w:shd w:val="clear" w:color="auto" w:fill="auto"/>
          </w:tcPr>
          <w:p w14:paraId="03183B1B"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Κρυοσυντηρημένα ωάρια που δε γονιμοποιήθηκαν</w:t>
            </w:r>
          </w:p>
        </w:tc>
        <w:tc>
          <w:tcPr>
            <w:tcW w:w="1134" w:type="dxa"/>
            <w:shd w:val="clear" w:color="auto" w:fill="auto"/>
          </w:tcPr>
          <w:p w14:paraId="53A02D89" w14:textId="77777777" w:rsidR="001F2858" w:rsidRPr="00CC6323" w:rsidRDefault="001F2858" w:rsidP="005C2C78">
            <w:pPr>
              <w:spacing w:before="40" w:after="40" w:line="240" w:lineRule="auto"/>
              <w:ind w:firstLine="0"/>
              <w:jc w:val="center"/>
              <w:rPr>
                <w:rFonts w:eastAsia="Calibri"/>
                <w:sz w:val="22"/>
                <w:szCs w:val="22"/>
              </w:rPr>
            </w:pPr>
          </w:p>
        </w:tc>
        <w:tc>
          <w:tcPr>
            <w:tcW w:w="1134" w:type="dxa"/>
            <w:shd w:val="clear" w:color="auto" w:fill="auto"/>
          </w:tcPr>
          <w:p w14:paraId="42FFB97D" w14:textId="77777777" w:rsidR="001F2858" w:rsidRPr="00CC6323" w:rsidRDefault="001F2858" w:rsidP="005C2C78">
            <w:pPr>
              <w:spacing w:before="40" w:after="40" w:line="240" w:lineRule="auto"/>
              <w:ind w:firstLine="0"/>
              <w:rPr>
                <w:rFonts w:eastAsia="Calibri"/>
                <w:sz w:val="22"/>
                <w:szCs w:val="22"/>
              </w:rPr>
            </w:pPr>
          </w:p>
        </w:tc>
        <w:tc>
          <w:tcPr>
            <w:tcW w:w="1134" w:type="dxa"/>
            <w:shd w:val="clear" w:color="auto" w:fill="auto"/>
          </w:tcPr>
          <w:p w14:paraId="677BBD49" w14:textId="77777777" w:rsidR="001F2858" w:rsidRPr="00CC6323" w:rsidRDefault="001F2858" w:rsidP="005C2C78">
            <w:pPr>
              <w:spacing w:before="40" w:after="40" w:line="240" w:lineRule="auto"/>
              <w:ind w:firstLine="0"/>
              <w:rPr>
                <w:rFonts w:eastAsia="Calibri"/>
                <w:sz w:val="22"/>
                <w:szCs w:val="22"/>
              </w:rPr>
            </w:pPr>
          </w:p>
        </w:tc>
        <w:tc>
          <w:tcPr>
            <w:tcW w:w="1100" w:type="dxa"/>
            <w:shd w:val="clear" w:color="auto" w:fill="auto"/>
          </w:tcPr>
          <w:p w14:paraId="1119814C" w14:textId="77777777" w:rsidR="001F2858" w:rsidRPr="00CC6323" w:rsidRDefault="001F2858" w:rsidP="005C2C78">
            <w:pPr>
              <w:spacing w:before="40" w:after="40" w:line="240" w:lineRule="auto"/>
              <w:ind w:firstLine="0"/>
              <w:jc w:val="center"/>
              <w:rPr>
                <w:rFonts w:eastAsia="Calibri"/>
                <w:sz w:val="22"/>
                <w:szCs w:val="22"/>
              </w:rPr>
            </w:pPr>
            <w:r w:rsidRPr="00CC6323">
              <w:rPr>
                <w:rFonts w:eastAsia="Calibri"/>
                <w:sz w:val="22"/>
                <w:szCs w:val="22"/>
              </w:rPr>
              <w:t>1.377</w:t>
            </w:r>
          </w:p>
        </w:tc>
      </w:tr>
      <w:tr w:rsidR="001F2858" w:rsidRPr="00CC6323" w14:paraId="0F03ABA7" w14:textId="77777777" w:rsidTr="005C2C78">
        <w:trPr>
          <w:trHeight w:val="208"/>
        </w:trPr>
        <w:tc>
          <w:tcPr>
            <w:tcW w:w="4928" w:type="dxa"/>
            <w:tcBorders>
              <w:bottom w:val="single" w:sz="4" w:space="0" w:color="auto"/>
            </w:tcBorders>
            <w:shd w:val="clear" w:color="auto" w:fill="auto"/>
          </w:tcPr>
          <w:p w14:paraId="09C7FBC6"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 xml:space="preserve">Γονιμοποιημένα ωάρια/ωάρια που λήφθηκαν </w:t>
            </w:r>
          </w:p>
        </w:tc>
        <w:tc>
          <w:tcPr>
            <w:tcW w:w="1134" w:type="dxa"/>
            <w:tcBorders>
              <w:bottom w:val="single" w:sz="4" w:space="0" w:color="auto"/>
            </w:tcBorders>
            <w:shd w:val="clear" w:color="auto" w:fill="auto"/>
          </w:tcPr>
          <w:p w14:paraId="5812A21C" w14:textId="77777777" w:rsidR="001F2858" w:rsidRPr="00CC6323" w:rsidRDefault="00A624F3" w:rsidP="005C2C78">
            <w:pPr>
              <w:spacing w:before="40" w:after="40" w:line="240" w:lineRule="auto"/>
              <w:ind w:firstLine="0"/>
              <w:jc w:val="center"/>
              <w:rPr>
                <w:rFonts w:eastAsia="Calibri"/>
                <w:sz w:val="22"/>
                <w:szCs w:val="22"/>
              </w:rPr>
            </w:pPr>
            <w:r>
              <w:rPr>
                <w:rFonts w:eastAsia="Calibri"/>
                <w:sz w:val="22"/>
                <w:szCs w:val="22"/>
              </w:rPr>
              <w:t>74,1</w:t>
            </w:r>
            <w:r w:rsidR="001F2858" w:rsidRPr="00CC6323">
              <w:rPr>
                <w:rFonts w:eastAsia="Calibri"/>
                <w:sz w:val="22"/>
                <w:szCs w:val="22"/>
              </w:rPr>
              <w:t xml:space="preserve"> %</w:t>
            </w:r>
          </w:p>
        </w:tc>
        <w:tc>
          <w:tcPr>
            <w:tcW w:w="1134" w:type="dxa"/>
            <w:tcBorders>
              <w:bottom w:val="single" w:sz="4" w:space="0" w:color="auto"/>
            </w:tcBorders>
            <w:shd w:val="clear" w:color="auto" w:fill="auto"/>
          </w:tcPr>
          <w:p w14:paraId="5DE1FB70" w14:textId="77777777" w:rsidR="001F2858" w:rsidRPr="00CC6323" w:rsidRDefault="00A624F3" w:rsidP="005C2C78">
            <w:pPr>
              <w:spacing w:before="40" w:after="40" w:line="240" w:lineRule="auto"/>
              <w:ind w:firstLine="0"/>
              <w:jc w:val="center"/>
              <w:rPr>
                <w:rFonts w:eastAsia="Calibri"/>
                <w:sz w:val="22"/>
                <w:szCs w:val="22"/>
              </w:rPr>
            </w:pPr>
            <w:r>
              <w:rPr>
                <w:rFonts w:eastAsia="Calibri"/>
                <w:sz w:val="22"/>
                <w:szCs w:val="22"/>
              </w:rPr>
              <w:t>74,9</w:t>
            </w:r>
            <w:r w:rsidR="001F2858" w:rsidRPr="00CC6323">
              <w:rPr>
                <w:rFonts w:eastAsia="Calibri"/>
                <w:sz w:val="22"/>
                <w:szCs w:val="22"/>
              </w:rPr>
              <w:t xml:space="preserve"> %</w:t>
            </w:r>
          </w:p>
        </w:tc>
        <w:tc>
          <w:tcPr>
            <w:tcW w:w="1134" w:type="dxa"/>
            <w:tcBorders>
              <w:bottom w:val="single" w:sz="4" w:space="0" w:color="auto"/>
            </w:tcBorders>
            <w:shd w:val="clear" w:color="auto" w:fill="auto"/>
          </w:tcPr>
          <w:p w14:paraId="4177EDC6" w14:textId="77777777" w:rsidR="001F2858" w:rsidRPr="00CC6323" w:rsidRDefault="00A624F3" w:rsidP="005C2C78">
            <w:pPr>
              <w:spacing w:before="40" w:after="40" w:line="240" w:lineRule="auto"/>
              <w:ind w:firstLine="0"/>
              <w:jc w:val="center"/>
              <w:rPr>
                <w:rFonts w:eastAsia="Calibri"/>
                <w:sz w:val="22"/>
                <w:szCs w:val="22"/>
              </w:rPr>
            </w:pPr>
            <w:r>
              <w:rPr>
                <w:rFonts w:eastAsia="Calibri"/>
                <w:sz w:val="22"/>
                <w:szCs w:val="22"/>
              </w:rPr>
              <w:t>73,3</w:t>
            </w:r>
            <w:r w:rsidR="001F2858" w:rsidRPr="00CC6323">
              <w:rPr>
                <w:rFonts w:eastAsia="Calibri"/>
                <w:sz w:val="22"/>
                <w:szCs w:val="22"/>
              </w:rPr>
              <w:t xml:space="preserve"> %</w:t>
            </w:r>
          </w:p>
        </w:tc>
        <w:tc>
          <w:tcPr>
            <w:tcW w:w="1100" w:type="dxa"/>
            <w:tcBorders>
              <w:bottom w:val="single" w:sz="4" w:space="0" w:color="auto"/>
            </w:tcBorders>
            <w:shd w:val="clear" w:color="auto" w:fill="auto"/>
          </w:tcPr>
          <w:p w14:paraId="30E9A8F6" w14:textId="77777777" w:rsidR="001F2858" w:rsidRPr="00CC6323" w:rsidRDefault="00A624F3" w:rsidP="005C2C78">
            <w:pPr>
              <w:spacing w:before="40" w:after="40" w:line="240" w:lineRule="auto"/>
              <w:ind w:firstLine="0"/>
              <w:jc w:val="center"/>
              <w:rPr>
                <w:rFonts w:eastAsia="Calibri"/>
                <w:sz w:val="22"/>
                <w:szCs w:val="22"/>
              </w:rPr>
            </w:pPr>
            <w:r>
              <w:rPr>
                <w:rFonts w:eastAsia="Calibri"/>
                <w:sz w:val="22"/>
                <w:szCs w:val="22"/>
              </w:rPr>
              <w:t>72,4</w:t>
            </w:r>
            <w:r w:rsidR="001F2858" w:rsidRPr="00CC6323">
              <w:rPr>
                <w:rFonts w:eastAsia="Calibri"/>
                <w:sz w:val="22"/>
                <w:szCs w:val="22"/>
              </w:rPr>
              <w:t xml:space="preserve"> %</w:t>
            </w:r>
          </w:p>
        </w:tc>
      </w:tr>
      <w:tr w:rsidR="001F2858" w:rsidRPr="00CC6323" w14:paraId="44ECDC1C" w14:textId="77777777" w:rsidTr="005C2C78">
        <w:tc>
          <w:tcPr>
            <w:tcW w:w="4928" w:type="dxa"/>
            <w:shd w:val="pct15" w:color="auto" w:fill="auto"/>
          </w:tcPr>
          <w:p w14:paraId="1ADCE7AF" w14:textId="77777777" w:rsidR="001F2858" w:rsidRPr="00CC6323" w:rsidRDefault="001F2858" w:rsidP="00160DF1">
            <w:pPr>
              <w:spacing w:before="40" w:after="40" w:line="240" w:lineRule="auto"/>
              <w:ind w:firstLine="0"/>
              <w:jc w:val="left"/>
              <w:rPr>
                <w:rFonts w:eastAsia="Calibri"/>
                <w:b/>
                <w:sz w:val="22"/>
                <w:szCs w:val="22"/>
              </w:rPr>
            </w:pPr>
            <w:r w:rsidRPr="00CC6323">
              <w:rPr>
                <w:rFonts w:eastAsia="Calibri"/>
                <w:b/>
                <w:sz w:val="22"/>
                <w:szCs w:val="22"/>
              </w:rPr>
              <w:t xml:space="preserve">Έμβρυα </w:t>
            </w:r>
          </w:p>
        </w:tc>
        <w:tc>
          <w:tcPr>
            <w:tcW w:w="1134" w:type="dxa"/>
            <w:shd w:val="pct15" w:color="auto" w:fill="auto"/>
          </w:tcPr>
          <w:p w14:paraId="27B0D907" w14:textId="77777777" w:rsidR="001F2858" w:rsidRPr="00CC6323" w:rsidRDefault="001F2858" w:rsidP="005C2C78">
            <w:pPr>
              <w:spacing w:before="40" w:after="40" w:line="240" w:lineRule="auto"/>
              <w:ind w:firstLine="0"/>
              <w:jc w:val="center"/>
              <w:rPr>
                <w:rFonts w:eastAsia="Calibri"/>
                <w:sz w:val="22"/>
                <w:szCs w:val="22"/>
              </w:rPr>
            </w:pPr>
          </w:p>
        </w:tc>
        <w:tc>
          <w:tcPr>
            <w:tcW w:w="1134" w:type="dxa"/>
            <w:shd w:val="pct15" w:color="auto" w:fill="auto"/>
          </w:tcPr>
          <w:p w14:paraId="46829AB7" w14:textId="77777777" w:rsidR="001F2858" w:rsidRPr="00CC6323" w:rsidRDefault="001F2858" w:rsidP="005C2C78">
            <w:pPr>
              <w:spacing w:before="40" w:after="40" w:line="240" w:lineRule="auto"/>
              <w:ind w:firstLine="0"/>
              <w:jc w:val="center"/>
              <w:rPr>
                <w:rFonts w:eastAsia="Calibri"/>
                <w:sz w:val="22"/>
                <w:szCs w:val="22"/>
              </w:rPr>
            </w:pPr>
          </w:p>
        </w:tc>
        <w:tc>
          <w:tcPr>
            <w:tcW w:w="1134" w:type="dxa"/>
            <w:shd w:val="pct15" w:color="auto" w:fill="auto"/>
          </w:tcPr>
          <w:p w14:paraId="1B7628A9" w14:textId="77777777" w:rsidR="001F2858" w:rsidRPr="00CC6323" w:rsidRDefault="001F2858" w:rsidP="005C2C78">
            <w:pPr>
              <w:spacing w:before="40" w:after="40" w:line="240" w:lineRule="auto"/>
              <w:ind w:firstLine="0"/>
              <w:jc w:val="center"/>
              <w:rPr>
                <w:rFonts w:eastAsia="Calibri"/>
                <w:sz w:val="22"/>
                <w:szCs w:val="22"/>
              </w:rPr>
            </w:pPr>
          </w:p>
        </w:tc>
        <w:tc>
          <w:tcPr>
            <w:tcW w:w="1100" w:type="dxa"/>
            <w:shd w:val="pct15" w:color="auto" w:fill="auto"/>
          </w:tcPr>
          <w:p w14:paraId="1F02AE7E" w14:textId="77777777" w:rsidR="001F2858" w:rsidRPr="00CC6323" w:rsidRDefault="001F2858" w:rsidP="005C2C78">
            <w:pPr>
              <w:spacing w:before="40" w:after="40" w:line="240" w:lineRule="auto"/>
              <w:ind w:firstLine="0"/>
              <w:jc w:val="center"/>
              <w:rPr>
                <w:rFonts w:eastAsia="Calibri"/>
                <w:sz w:val="22"/>
                <w:szCs w:val="22"/>
              </w:rPr>
            </w:pPr>
          </w:p>
        </w:tc>
      </w:tr>
      <w:tr w:rsidR="001F2858" w:rsidRPr="00CC6323" w14:paraId="1193C440" w14:textId="77777777" w:rsidTr="005C2C78">
        <w:tc>
          <w:tcPr>
            <w:tcW w:w="4928" w:type="dxa"/>
            <w:shd w:val="clear" w:color="auto" w:fill="auto"/>
          </w:tcPr>
          <w:p w14:paraId="4DC4EAD3"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 xml:space="preserve">Έμβρυα που έχουν συλληφθεί </w:t>
            </w:r>
          </w:p>
        </w:tc>
        <w:tc>
          <w:tcPr>
            <w:tcW w:w="1134" w:type="dxa"/>
            <w:shd w:val="clear" w:color="auto" w:fill="auto"/>
          </w:tcPr>
          <w:p w14:paraId="16717387"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157.163</w:t>
            </w:r>
          </w:p>
        </w:tc>
        <w:tc>
          <w:tcPr>
            <w:tcW w:w="1134" w:type="dxa"/>
            <w:shd w:val="clear" w:color="auto" w:fill="auto"/>
          </w:tcPr>
          <w:p w14:paraId="1969B17A"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167.489</w:t>
            </w:r>
          </w:p>
        </w:tc>
        <w:tc>
          <w:tcPr>
            <w:tcW w:w="1134" w:type="dxa"/>
            <w:shd w:val="clear" w:color="auto" w:fill="auto"/>
          </w:tcPr>
          <w:p w14:paraId="06CA47FA"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176.135</w:t>
            </w:r>
          </w:p>
        </w:tc>
        <w:tc>
          <w:tcPr>
            <w:tcW w:w="1100" w:type="dxa"/>
            <w:shd w:val="clear" w:color="auto" w:fill="auto"/>
          </w:tcPr>
          <w:p w14:paraId="1937ED35"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179.278</w:t>
            </w:r>
          </w:p>
        </w:tc>
      </w:tr>
      <w:tr w:rsidR="001F2858" w:rsidRPr="00CC6323" w14:paraId="579CCCF2" w14:textId="77777777" w:rsidTr="005C2C78">
        <w:trPr>
          <w:trHeight w:val="208"/>
        </w:trPr>
        <w:tc>
          <w:tcPr>
            <w:tcW w:w="4928" w:type="dxa"/>
            <w:shd w:val="clear" w:color="auto" w:fill="auto"/>
          </w:tcPr>
          <w:p w14:paraId="6CDC955A"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Έμβρυα που έχουν μεταφερθεί</w:t>
            </w:r>
          </w:p>
        </w:tc>
        <w:tc>
          <w:tcPr>
            <w:tcW w:w="1134" w:type="dxa"/>
            <w:shd w:val="clear" w:color="auto" w:fill="auto"/>
          </w:tcPr>
          <w:p w14:paraId="655A902F"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55.023</w:t>
            </w:r>
          </w:p>
        </w:tc>
        <w:tc>
          <w:tcPr>
            <w:tcW w:w="1134" w:type="dxa"/>
            <w:shd w:val="clear" w:color="auto" w:fill="auto"/>
          </w:tcPr>
          <w:p w14:paraId="5E5A49E4"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56.662</w:t>
            </w:r>
          </w:p>
        </w:tc>
        <w:tc>
          <w:tcPr>
            <w:tcW w:w="1134" w:type="dxa"/>
            <w:shd w:val="clear" w:color="auto" w:fill="auto"/>
          </w:tcPr>
          <w:p w14:paraId="48D1A278"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57.788</w:t>
            </w:r>
          </w:p>
        </w:tc>
        <w:tc>
          <w:tcPr>
            <w:tcW w:w="1100" w:type="dxa"/>
            <w:shd w:val="clear" w:color="auto" w:fill="auto"/>
          </w:tcPr>
          <w:p w14:paraId="2D52ABFD"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56.155</w:t>
            </w:r>
          </w:p>
        </w:tc>
      </w:tr>
      <w:tr w:rsidR="001F2858" w:rsidRPr="00CC6323" w14:paraId="178AC020" w14:textId="77777777" w:rsidTr="005C2C78">
        <w:trPr>
          <w:trHeight w:val="208"/>
        </w:trPr>
        <w:tc>
          <w:tcPr>
            <w:tcW w:w="4928" w:type="dxa"/>
            <w:shd w:val="clear" w:color="auto" w:fill="auto"/>
          </w:tcPr>
          <w:p w14:paraId="356F370E"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Κρυοσυντηρημένα έμβρυα</w:t>
            </w:r>
          </w:p>
        </w:tc>
        <w:tc>
          <w:tcPr>
            <w:tcW w:w="1134" w:type="dxa"/>
            <w:shd w:val="clear" w:color="auto" w:fill="auto"/>
          </w:tcPr>
          <w:p w14:paraId="069FF772"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35.623</w:t>
            </w:r>
          </w:p>
        </w:tc>
        <w:tc>
          <w:tcPr>
            <w:tcW w:w="1134" w:type="dxa"/>
            <w:shd w:val="clear" w:color="auto" w:fill="auto"/>
          </w:tcPr>
          <w:p w14:paraId="41E47E58"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38.075</w:t>
            </w:r>
          </w:p>
        </w:tc>
        <w:tc>
          <w:tcPr>
            <w:tcW w:w="1134" w:type="dxa"/>
            <w:shd w:val="clear" w:color="auto" w:fill="auto"/>
          </w:tcPr>
          <w:p w14:paraId="75CFDD11"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38.367</w:t>
            </w:r>
          </w:p>
        </w:tc>
        <w:tc>
          <w:tcPr>
            <w:tcW w:w="1100" w:type="dxa"/>
            <w:shd w:val="clear" w:color="auto" w:fill="auto"/>
          </w:tcPr>
          <w:p w14:paraId="4260D2FB" w14:textId="77777777" w:rsidR="001F2858" w:rsidRPr="00CC6323" w:rsidRDefault="00E06A6C" w:rsidP="005C2C78">
            <w:pPr>
              <w:spacing w:before="40" w:after="40" w:line="240" w:lineRule="auto"/>
              <w:ind w:firstLine="0"/>
              <w:jc w:val="center"/>
              <w:rPr>
                <w:rFonts w:eastAsia="Calibri"/>
                <w:sz w:val="22"/>
                <w:szCs w:val="22"/>
              </w:rPr>
            </w:pPr>
            <w:r>
              <w:rPr>
                <w:rFonts w:eastAsia="Calibri"/>
                <w:sz w:val="22"/>
                <w:szCs w:val="22"/>
              </w:rPr>
              <w:t>34.827</w:t>
            </w:r>
          </w:p>
        </w:tc>
      </w:tr>
      <w:tr w:rsidR="001F2858" w:rsidRPr="00CC6323" w14:paraId="005C9FDA" w14:textId="77777777" w:rsidTr="005C2C78">
        <w:trPr>
          <w:trHeight w:val="220"/>
        </w:trPr>
        <w:tc>
          <w:tcPr>
            <w:tcW w:w="4928" w:type="dxa"/>
            <w:shd w:val="clear" w:color="auto" w:fill="auto"/>
          </w:tcPr>
          <w:p w14:paraId="40F95667"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 xml:space="preserve">Έμβρυα που δε μεταφέρθηκαν, ούτε κρυοσυντηρήθηκαν </w:t>
            </w:r>
          </w:p>
        </w:tc>
        <w:tc>
          <w:tcPr>
            <w:tcW w:w="1134" w:type="dxa"/>
            <w:shd w:val="clear" w:color="auto" w:fill="auto"/>
          </w:tcPr>
          <w:p w14:paraId="387491E6" w14:textId="77777777" w:rsidR="001F2858" w:rsidRPr="00CC6323" w:rsidRDefault="00E06A6C" w:rsidP="005C2C78">
            <w:pPr>
              <w:spacing w:after="40" w:line="240" w:lineRule="auto"/>
              <w:ind w:firstLine="0"/>
              <w:jc w:val="center"/>
              <w:rPr>
                <w:rFonts w:eastAsia="Calibri"/>
                <w:sz w:val="22"/>
                <w:szCs w:val="22"/>
              </w:rPr>
            </w:pPr>
            <w:r>
              <w:rPr>
                <w:rFonts w:eastAsia="Calibri"/>
                <w:sz w:val="22"/>
                <w:szCs w:val="22"/>
              </w:rPr>
              <w:t>65.539</w:t>
            </w:r>
          </w:p>
        </w:tc>
        <w:tc>
          <w:tcPr>
            <w:tcW w:w="1134" w:type="dxa"/>
            <w:shd w:val="clear" w:color="auto" w:fill="auto"/>
          </w:tcPr>
          <w:p w14:paraId="6B0DEE48" w14:textId="77777777" w:rsidR="001F2858" w:rsidRPr="00CC6323" w:rsidRDefault="00E06A6C" w:rsidP="005C2C78">
            <w:pPr>
              <w:spacing w:after="40" w:line="240" w:lineRule="auto"/>
              <w:ind w:firstLine="0"/>
              <w:jc w:val="center"/>
              <w:rPr>
                <w:rFonts w:eastAsia="Calibri"/>
                <w:sz w:val="22"/>
                <w:szCs w:val="22"/>
              </w:rPr>
            </w:pPr>
            <w:r>
              <w:rPr>
                <w:rFonts w:eastAsia="Calibri"/>
                <w:sz w:val="22"/>
                <w:szCs w:val="22"/>
              </w:rPr>
              <w:t>71.782</w:t>
            </w:r>
          </w:p>
        </w:tc>
        <w:tc>
          <w:tcPr>
            <w:tcW w:w="1134" w:type="dxa"/>
            <w:shd w:val="clear" w:color="auto" w:fill="auto"/>
          </w:tcPr>
          <w:p w14:paraId="107B362C" w14:textId="77777777" w:rsidR="001F2858" w:rsidRPr="00CC6323" w:rsidRDefault="00E06A6C" w:rsidP="005C2C78">
            <w:pPr>
              <w:spacing w:after="40" w:line="240" w:lineRule="auto"/>
              <w:ind w:firstLine="34"/>
              <w:jc w:val="center"/>
              <w:rPr>
                <w:rFonts w:eastAsia="Calibri"/>
                <w:sz w:val="22"/>
                <w:szCs w:val="22"/>
              </w:rPr>
            </w:pPr>
            <w:r>
              <w:rPr>
                <w:rFonts w:eastAsia="Calibri"/>
                <w:sz w:val="22"/>
                <w:szCs w:val="22"/>
              </w:rPr>
              <w:t>79.899</w:t>
            </w:r>
          </w:p>
        </w:tc>
        <w:tc>
          <w:tcPr>
            <w:tcW w:w="1100" w:type="dxa"/>
            <w:shd w:val="clear" w:color="auto" w:fill="auto"/>
          </w:tcPr>
          <w:p w14:paraId="61D9ECC1" w14:textId="77777777" w:rsidR="001F2858" w:rsidRPr="00CC6323" w:rsidRDefault="00E06A6C" w:rsidP="005C2C78">
            <w:pPr>
              <w:spacing w:after="40" w:line="240" w:lineRule="auto"/>
              <w:ind w:firstLine="34"/>
              <w:jc w:val="center"/>
              <w:rPr>
                <w:rFonts w:eastAsia="Calibri"/>
                <w:sz w:val="22"/>
                <w:szCs w:val="22"/>
              </w:rPr>
            </w:pPr>
            <w:r>
              <w:rPr>
                <w:rFonts w:eastAsia="Calibri"/>
                <w:sz w:val="22"/>
                <w:szCs w:val="22"/>
              </w:rPr>
              <w:t>87.265</w:t>
            </w:r>
          </w:p>
        </w:tc>
      </w:tr>
      <w:tr w:rsidR="001F2858" w:rsidRPr="00CC6323" w14:paraId="243C15EF" w14:textId="77777777" w:rsidTr="005C2C78">
        <w:trPr>
          <w:trHeight w:val="293"/>
        </w:trPr>
        <w:tc>
          <w:tcPr>
            <w:tcW w:w="4928" w:type="dxa"/>
            <w:shd w:val="clear" w:color="auto" w:fill="auto"/>
          </w:tcPr>
          <w:p w14:paraId="7C6D2BB5"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Μ.Ο. εμβρύων που μεταφέρθηκαν</w:t>
            </w:r>
            <w:r>
              <w:rPr>
                <w:rFonts w:eastAsia="Calibri"/>
                <w:sz w:val="22"/>
                <w:szCs w:val="22"/>
              </w:rPr>
              <w:t xml:space="preserve">/μεταφορά </w:t>
            </w:r>
          </w:p>
        </w:tc>
        <w:tc>
          <w:tcPr>
            <w:tcW w:w="1134" w:type="dxa"/>
            <w:shd w:val="clear" w:color="auto" w:fill="auto"/>
          </w:tcPr>
          <w:p w14:paraId="0332C3D5" w14:textId="77777777" w:rsidR="001F2858" w:rsidRPr="00CC6323" w:rsidRDefault="001F2858" w:rsidP="005C2C78">
            <w:pPr>
              <w:spacing w:before="40" w:after="40" w:line="240" w:lineRule="auto"/>
              <w:ind w:firstLine="0"/>
              <w:jc w:val="center"/>
              <w:rPr>
                <w:rFonts w:eastAsia="Calibri"/>
                <w:sz w:val="22"/>
                <w:szCs w:val="22"/>
              </w:rPr>
            </w:pPr>
            <w:r>
              <w:rPr>
                <w:rFonts w:eastAsia="Calibri"/>
                <w:sz w:val="22"/>
                <w:szCs w:val="22"/>
              </w:rPr>
              <w:t>1.8</w:t>
            </w:r>
            <w:r w:rsidR="000B4CBD">
              <w:rPr>
                <w:rFonts w:eastAsia="Calibri"/>
                <w:sz w:val="22"/>
                <w:szCs w:val="22"/>
              </w:rPr>
              <w:t>5</w:t>
            </w:r>
          </w:p>
        </w:tc>
        <w:tc>
          <w:tcPr>
            <w:tcW w:w="1134" w:type="dxa"/>
            <w:shd w:val="clear" w:color="auto" w:fill="auto"/>
          </w:tcPr>
          <w:p w14:paraId="4D8F74A8" w14:textId="77777777" w:rsidR="001F2858" w:rsidRPr="00CC6323" w:rsidRDefault="001F2858" w:rsidP="005C2C78">
            <w:pPr>
              <w:spacing w:before="40" w:after="40" w:line="240" w:lineRule="auto"/>
              <w:ind w:firstLine="0"/>
              <w:jc w:val="center"/>
              <w:rPr>
                <w:rFonts w:eastAsia="Calibri"/>
                <w:sz w:val="22"/>
                <w:szCs w:val="22"/>
              </w:rPr>
            </w:pPr>
            <w:r>
              <w:rPr>
                <w:rFonts w:eastAsia="Calibri"/>
                <w:sz w:val="22"/>
                <w:szCs w:val="22"/>
              </w:rPr>
              <w:t>1.8</w:t>
            </w:r>
          </w:p>
        </w:tc>
        <w:tc>
          <w:tcPr>
            <w:tcW w:w="1134" w:type="dxa"/>
            <w:shd w:val="clear" w:color="auto" w:fill="auto"/>
          </w:tcPr>
          <w:p w14:paraId="137B264E" w14:textId="77777777" w:rsidR="001F2858" w:rsidRPr="00CC6323" w:rsidRDefault="001F2858" w:rsidP="005C2C78">
            <w:pPr>
              <w:spacing w:before="40" w:after="40" w:line="240" w:lineRule="auto"/>
              <w:ind w:firstLine="34"/>
              <w:jc w:val="center"/>
              <w:rPr>
                <w:rFonts w:eastAsia="Calibri"/>
                <w:sz w:val="22"/>
                <w:szCs w:val="22"/>
              </w:rPr>
            </w:pPr>
            <w:r>
              <w:rPr>
                <w:rFonts w:eastAsia="Calibri"/>
                <w:sz w:val="22"/>
                <w:szCs w:val="22"/>
              </w:rPr>
              <w:t>1.7</w:t>
            </w:r>
            <w:r w:rsidR="000B4CBD">
              <w:rPr>
                <w:rFonts w:eastAsia="Calibri"/>
                <w:sz w:val="22"/>
                <w:szCs w:val="22"/>
              </w:rPr>
              <w:t>9</w:t>
            </w:r>
          </w:p>
        </w:tc>
        <w:tc>
          <w:tcPr>
            <w:tcW w:w="1100" w:type="dxa"/>
            <w:shd w:val="clear" w:color="auto" w:fill="auto"/>
          </w:tcPr>
          <w:p w14:paraId="76793D93" w14:textId="77777777" w:rsidR="001F2858" w:rsidRPr="00CC6323" w:rsidRDefault="001F2858" w:rsidP="005C2C78">
            <w:pPr>
              <w:spacing w:before="40" w:after="40" w:line="240" w:lineRule="auto"/>
              <w:ind w:firstLine="0"/>
              <w:jc w:val="center"/>
              <w:rPr>
                <w:rFonts w:eastAsia="Calibri"/>
                <w:sz w:val="22"/>
                <w:szCs w:val="22"/>
              </w:rPr>
            </w:pPr>
            <w:r>
              <w:rPr>
                <w:rFonts w:eastAsia="Calibri"/>
                <w:sz w:val="22"/>
                <w:szCs w:val="22"/>
              </w:rPr>
              <w:t>1.7</w:t>
            </w:r>
            <w:r w:rsidR="000B4CBD">
              <w:rPr>
                <w:rFonts w:eastAsia="Calibri"/>
                <w:sz w:val="22"/>
                <w:szCs w:val="22"/>
              </w:rPr>
              <w:t>4</w:t>
            </w:r>
          </w:p>
        </w:tc>
      </w:tr>
      <w:tr w:rsidR="001F2858" w:rsidRPr="00CC6323" w14:paraId="0143C34E" w14:textId="77777777" w:rsidTr="005C2C78">
        <w:trPr>
          <w:trHeight w:val="256"/>
        </w:trPr>
        <w:tc>
          <w:tcPr>
            <w:tcW w:w="4928" w:type="dxa"/>
            <w:shd w:val="clear" w:color="auto" w:fill="auto"/>
          </w:tcPr>
          <w:p w14:paraId="30222A19"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Έμβρυα που έχουν συλληφθεί/γονιμοποιημένα ωάρια</w:t>
            </w:r>
          </w:p>
        </w:tc>
        <w:tc>
          <w:tcPr>
            <w:tcW w:w="1134" w:type="dxa"/>
            <w:shd w:val="clear" w:color="auto" w:fill="auto"/>
          </w:tcPr>
          <w:p w14:paraId="29B5C45F"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66</w:t>
            </w:r>
            <w:r w:rsidR="000831A6" w:rsidRPr="00CC6323">
              <w:rPr>
                <w:rFonts w:eastAsia="Calibri"/>
                <w:sz w:val="22"/>
                <w:szCs w:val="22"/>
              </w:rPr>
              <w:t xml:space="preserve"> %</w:t>
            </w:r>
          </w:p>
        </w:tc>
        <w:tc>
          <w:tcPr>
            <w:tcW w:w="1134" w:type="dxa"/>
            <w:shd w:val="clear" w:color="auto" w:fill="auto"/>
          </w:tcPr>
          <w:p w14:paraId="3D3B2855"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66.6</w:t>
            </w:r>
            <w:r w:rsidR="000831A6" w:rsidRPr="00CC6323">
              <w:rPr>
                <w:rFonts w:eastAsia="Calibri"/>
                <w:sz w:val="22"/>
                <w:szCs w:val="22"/>
              </w:rPr>
              <w:t xml:space="preserve"> %</w:t>
            </w:r>
          </w:p>
        </w:tc>
        <w:tc>
          <w:tcPr>
            <w:tcW w:w="1134" w:type="dxa"/>
            <w:shd w:val="clear" w:color="auto" w:fill="auto"/>
          </w:tcPr>
          <w:p w14:paraId="21872B15" w14:textId="77777777" w:rsidR="001F2858" w:rsidRPr="00CC6323" w:rsidRDefault="000B4CBD" w:rsidP="005C2C78">
            <w:pPr>
              <w:spacing w:after="40" w:line="240" w:lineRule="auto"/>
              <w:ind w:firstLine="34"/>
              <w:jc w:val="center"/>
              <w:rPr>
                <w:rFonts w:eastAsia="Calibri"/>
                <w:sz w:val="22"/>
                <w:szCs w:val="22"/>
              </w:rPr>
            </w:pPr>
            <w:r>
              <w:rPr>
                <w:rFonts w:eastAsia="Calibri"/>
                <w:sz w:val="22"/>
                <w:szCs w:val="22"/>
              </w:rPr>
              <w:t>68</w:t>
            </w:r>
            <w:r w:rsidR="000831A6" w:rsidRPr="00CC6323">
              <w:rPr>
                <w:rFonts w:eastAsia="Calibri"/>
                <w:sz w:val="22"/>
                <w:szCs w:val="22"/>
              </w:rPr>
              <w:t xml:space="preserve"> %</w:t>
            </w:r>
          </w:p>
        </w:tc>
        <w:tc>
          <w:tcPr>
            <w:tcW w:w="1100" w:type="dxa"/>
            <w:shd w:val="clear" w:color="auto" w:fill="auto"/>
          </w:tcPr>
          <w:p w14:paraId="598C952D" w14:textId="77777777" w:rsidR="001F2858" w:rsidRPr="00CC6323" w:rsidRDefault="000B4CBD" w:rsidP="005C2C78">
            <w:pPr>
              <w:spacing w:after="40" w:line="240" w:lineRule="auto"/>
              <w:ind w:firstLine="34"/>
              <w:jc w:val="center"/>
              <w:rPr>
                <w:rFonts w:eastAsia="Calibri"/>
                <w:sz w:val="22"/>
                <w:szCs w:val="22"/>
              </w:rPr>
            </w:pPr>
            <w:r>
              <w:rPr>
                <w:rFonts w:eastAsia="Calibri"/>
                <w:sz w:val="22"/>
                <w:szCs w:val="22"/>
              </w:rPr>
              <w:t>69.1</w:t>
            </w:r>
            <w:r w:rsidR="000831A6" w:rsidRPr="00CC6323">
              <w:rPr>
                <w:rFonts w:eastAsia="Calibri"/>
                <w:sz w:val="22"/>
                <w:szCs w:val="22"/>
              </w:rPr>
              <w:t xml:space="preserve"> %</w:t>
            </w:r>
          </w:p>
        </w:tc>
      </w:tr>
      <w:tr w:rsidR="001F2858" w:rsidRPr="00CC6323" w14:paraId="6A0919F9" w14:textId="77777777" w:rsidTr="005C2C78">
        <w:trPr>
          <w:trHeight w:val="172"/>
        </w:trPr>
        <w:tc>
          <w:tcPr>
            <w:tcW w:w="4928" w:type="dxa"/>
            <w:shd w:val="clear" w:color="auto" w:fill="auto"/>
          </w:tcPr>
          <w:p w14:paraId="1FA846A7"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Κρυοσυντηρημένα έμβρυα/έμβρυα που έχουν συλληφθεί</w:t>
            </w:r>
          </w:p>
        </w:tc>
        <w:tc>
          <w:tcPr>
            <w:tcW w:w="1134" w:type="dxa"/>
            <w:shd w:val="clear" w:color="auto" w:fill="auto"/>
          </w:tcPr>
          <w:p w14:paraId="15AB3ACE" w14:textId="77777777" w:rsidR="001F2858" w:rsidRPr="00CC6323" w:rsidRDefault="001F2858" w:rsidP="005C2C78">
            <w:pPr>
              <w:spacing w:after="40" w:line="240" w:lineRule="auto"/>
              <w:ind w:firstLine="0"/>
              <w:jc w:val="center"/>
              <w:rPr>
                <w:rFonts w:eastAsia="Calibri"/>
                <w:sz w:val="22"/>
                <w:szCs w:val="22"/>
              </w:rPr>
            </w:pPr>
            <w:r>
              <w:rPr>
                <w:rFonts w:eastAsia="Calibri"/>
                <w:sz w:val="22"/>
                <w:szCs w:val="22"/>
              </w:rPr>
              <w:t>22.</w:t>
            </w:r>
            <w:r w:rsidR="000B4CBD">
              <w:rPr>
                <w:rFonts w:eastAsia="Calibri"/>
                <w:sz w:val="22"/>
                <w:szCs w:val="22"/>
              </w:rPr>
              <w:t>7</w:t>
            </w:r>
            <w:r w:rsidR="000831A6" w:rsidRPr="00CC6323">
              <w:rPr>
                <w:rFonts w:eastAsia="Calibri"/>
                <w:sz w:val="22"/>
                <w:szCs w:val="22"/>
              </w:rPr>
              <w:t xml:space="preserve"> %</w:t>
            </w:r>
          </w:p>
        </w:tc>
        <w:tc>
          <w:tcPr>
            <w:tcW w:w="1134" w:type="dxa"/>
            <w:shd w:val="clear" w:color="auto" w:fill="auto"/>
          </w:tcPr>
          <w:p w14:paraId="64FBB069" w14:textId="77777777" w:rsidR="001F2858" w:rsidRPr="00CC6323" w:rsidRDefault="001F2858" w:rsidP="005C2C78">
            <w:pPr>
              <w:spacing w:after="40" w:line="240" w:lineRule="auto"/>
              <w:ind w:firstLine="0"/>
              <w:jc w:val="center"/>
              <w:rPr>
                <w:rFonts w:eastAsia="Calibri"/>
                <w:sz w:val="22"/>
                <w:szCs w:val="22"/>
              </w:rPr>
            </w:pPr>
            <w:r>
              <w:rPr>
                <w:rFonts w:eastAsia="Calibri"/>
                <w:sz w:val="22"/>
                <w:szCs w:val="22"/>
              </w:rPr>
              <w:t>22.</w:t>
            </w:r>
            <w:r w:rsidR="000B4CBD">
              <w:rPr>
                <w:rFonts w:eastAsia="Calibri"/>
                <w:sz w:val="22"/>
                <w:szCs w:val="22"/>
              </w:rPr>
              <w:t>7</w:t>
            </w:r>
            <w:r w:rsidR="000831A6" w:rsidRPr="00CC6323">
              <w:rPr>
                <w:rFonts w:eastAsia="Calibri"/>
                <w:sz w:val="22"/>
                <w:szCs w:val="22"/>
              </w:rPr>
              <w:t xml:space="preserve"> %</w:t>
            </w:r>
          </w:p>
        </w:tc>
        <w:tc>
          <w:tcPr>
            <w:tcW w:w="1134" w:type="dxa"/>
            <w:shd w:val="clear" w:color="auto" w:fill="auto"/>
          </w:tcPr>
          <w:p w14:paraId="26AB9DDA"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21.8</w:t>
            </w:r>
            <w:r w:rsidR="000831A6" w:rsidRPr="00CC6323">
              <w:rPr>
                <w:rFonts w:eastAsia="Calibri"/>
                <w:sz w:val="22"/>
                <w:szCs w:val="22"/>
              </w:rPr>
              <w:t xml:space="preserve"> %</w:t>
            </w:r>
          </w:p>
        </w:tc>
        <w:tc>
          <w:tcPr>
            <w:tcW w:w="1100" w:type="dxa"/>
            <w:shd w:val="clear" w:color="auto" w:fill="auto"/>
          </w:tcPr>
          <w:p w14:paraId="20D36CFE"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19.4</w:t>
            </w:r>
            <w:r w:rsidR="000831A6" w:rsidRPr="00CC6323">
              <w:rPr>
                <w:rFonts w:eastAsia="Calibri"/>
                <w:sz w:val="22"/>
                <w:szCs w:val="22"/>
              </w:rPr>
              <w:t xml:space="preserve"> %</w:t>
            </w:r>
          </w:p>
        </w:tc>
      </w:tr>
      <w:tr w:rsidR="001F2858" w:rsidRPr="00CC6323" w14:paraId="7EEB0841" w14:textId="77777777" w:rsidTr="005C2C78">
        <w:trPr>
          <w:trHeight w:val="172"/>
        </w:trPr>
        <w:tc>
          <w:tcPr>
            <w:tcW w:w="4928" w:type="dxa"/>
            <w:tcBorders>
              <w:bottom w:val="single" w:sz="4" w:space="0" w:color="auto"/>
            </w:tcBorders>
            <w:shd w:val="clear" w:color="auto" w:fill="auto"/>
          </w:tcPr>
          <w:p w14:paraId="7A364D28" w14:textId="77777777" w:rsidR="001F2858" w:rsidRPr="00CC6323" w:rsidRDefault="001F2858" w:rsidP="00160DF1">
            <w:pPr>
              <w:spacing w:before="40" w:after="40" w:line="240" w:lineRule="auto"/>
              <w:ind w:firstLine="0"/>
              <w:jc w:val="left"/>
              <w:rPr>
                <w:rFonts w:eastAsia="Calibri"/>
                <w:sz w:val="22"/>
                <w:szCs w:val="22"/>
              </w:rPr>
            </w:pPr>
            <w:r w:rsidRPr="00CC6323">
              <w:rPr>
                <w:rFonts w:eastAsia="Calibri"/>
                <w:sz w:val="22"/>
                <w:szCs w:val="22"/>
              </w:rPr>
              <w:t>Έ</w:t>
            </w:r>
            <w:r>
              <w:rPr>
                <w:rFonts w:eastAsia="Calibri"/>
                <w:sz w:val="22"/>
                <w:szCs w:val="22"/>
              </w:rPr>
              <w:t>μβρ</w:t>
            </w:r>
            <w:r w:rsidRPr="00CC6323">
              <w:rPr>
                <w:rFonts w:eastAsia="Calibri"/>
                <w:sz w:val="22"/>
                <w:szCs w:val="22"/>
              </w:rPr>
              <w:t>υα που έχουν μεταφερθεί ή κρυοσυντηρηθεί/έμβρυα που έχουν συλληφθεί</w:t>
            </w:r>
          </w:p>
        </w:tc>
        <w:tc>
          <w:tcPr>
            <w:tcW w:w="1134" w:type="dxa"/>
            <w:tcBorders>
              <w:bottom w:val="single" w:sz="4" w:space="0" w:color="auto"/>
            </w:tcBorders>
            <w:shd w:val="clear" w:color="auto" w:fill="auto"/>
          </w:tcPr>
          <w:p w14:paraId="103AE05C"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57.7</w:t>
            </w:r>
            <w:r w:rsidR="000831A6" w:rsidRPr="00CC6323">
              <w:rPr>
                <w:rFonts w:eastAsia="Calibri"/>
                <w:sz w:val="22"/>
                <w:szCs w:val="22"/>
              </w:rPr>
              <w:t xml:space="preserve"> %</w:t>
            </w:r>
          </w:p>
        </w:tc>
        <w:tc>
          <w:tcPr>
            <w:tcW w:w="1134" w:type="dxa"/>
            <w:tcBorders>
              <w:bottom w:val="single" w:sz="4" w:space="0" w:color="auto"/>
            </w:tcBorders>
            <w:shd w:val="clear" w:color="auto" w:fill="auto"/>
          </w:tcPr>
          <w:p w14:paraId="3DBDE165"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56.6</w:t>
            </w:r>
            <w:r w:rsidR="000831A6" w:rsidRPr="00CC6323">
              <w:rPr>
                <w:rFonts w:eastAsia="Calibri"/>
                <w:sz w:val="22"/>
                <w:szCs w:val="22"/>
              </w:rPr>
              <w:t xml:space="preserve"> %</w:t>
            </w:r>
          </w:p>
        </w:tc>
        <w:tc>
          <w:tcPr>
            <w:tcW w:w="1134" w:type="dxa"/>
            <w:tcBorders>
              <w:bottom w:val="single" w:sz="4" w:space="0" w:color="auto"/>
            </w:tcBorders>
            <w:shd w:val="clear" w:color="auto" w:fill="auto"/>
          </w:tcPr>
          <w:p w14:paraId="387CAD78"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54.6</w:t>
            </w:r>
            <w:r w:rsidR="000831A6" w:rsidRPr="00CC6323">
              <w:rPr>
                <w:rFonts w:eastAsia="Calibri"/>
                <w:sz w:val="22"/>
                <w:szCs w:val="22"/>
              </w:rPr>
              <w:t xml:space="preserve"> %</w:t>
            </w:r>
          </w:p>
        </w:tc>
        <w:tc>
          <w:tcPr>
            <w:tcW w:w="1100" w:type="dxa"/>
            <w:tcBorders>
              <w:bottom w:val="single" w:sz="4" w:space="0" w:color="auto"/>
            </w:tcBorders>
            <w:shd w:val="clear" w:color="auto" w:fill="auto"/>
          </w:tcPr>
          <w:p w14:paraId="22179CE7" w14:textId="77777777" w:rsidR="001F2858" w:rsidRPr="00CC6323" w:rsidRDefault="000B4CBD" w:rsidP="005C2C78">
            <w:pPr>
              <w:spacing w:after="40" w:line="240" w:lineRule="auto"/>
              <w:ind w:firstLine="0"/>
              <w:jc w:val="center"/>
              <w:rPr>
                <w:rFonts w:eastAsia="Calibri"/>
                <w:sz w:val="22"/>
                <w:szCs w:val="22"/>
              </w:rPr>
            </w:pPr>
            <w:r>
              <w:rPr>
                <w:rFonts w:eastAsia="Calibri"/>
                <w:sz w:val="22"/>
                <w:szCs w:val="22"/>
              </w:rPr>
              <w:t>50.7</w:t>
            </w:r>
            <w:r w:rsidR="000831A6" w:rsidRPr="00CC6323">
              <w:rPr>
                <w:rFonts w:eastAsia="Calibri"/>
                <w:sz w:val="22"/>
                <w:szCs w:val="22"/>
              </w:rPr>
              <w:t xml:space="preserve"> %</w:t>
            </w:r>
          </w:p>
        </w:tc>
      </w:tr>
      <w:tr w:rsidR="001F2858" w:rsidRPr="00CC6323" w14:paraId="3A0F58A8" w14:textId="77777777" w:rsidTr="005C2C78">
        <w:trPr>
          <w:trHeight w:val="354"/>
        </w:trPr>
        <w:tc>
          <w:tcPr>
            <w:tcW w:w="4928" w:type="dxa"/>
            <w:shd w:val="pct15" w:color="auto" w:fill="auto"/>
          </w:tcPr>
          <w:p w14:paraId="19A8AA9D" w14:textId="77777777" w:rsidR="001F2858" w:rsidRPr="00B45DF1" w:rsidRDefault="001F2858" w:rsidP="00160DF1">
            <w:pPr>
              <w:spacing w:before="40" w:after="40" w:line="240" w:lineRule="auto"/>
              <w:ind w:firstLine="0"/>
              <w:jc w:val="left"/>
              <w:rPr>
                <w:rFonts w:eastAsia="Calibri"/>
                <w:b/>
                <w:sz w:val="22"/>
                <w:szCs w:val="22"/>
              </w:rPr>
            </w:pPr>
            <w:r w:rsidRPr="00B45DF1">
              <w:rPr>
                <w:rFonts w:eastAsia="Calibri"/>
                <w:b/>
                <w:sz w:val="22"/>
                <w:szCs w:val="22"/>
              </w:rPr>
              <w:t xml:space="preserve">Ποσοστό εμφύτευσης </w:t>
            </w:r>
          </w:p>
        </w:tc>
        <w:tc>
          <w:tcPr>
            <w:tcW w:w="1134" w:type="dxa"/>
            <w:shd w:val="pct15" w:color="auto" w:fill="auto"/>
          </w:tcPr>
          <w:p w14:paraId="76A60C65" w14:textId="77777777" w:rsidR="001F2858" w:rsidRPr="00B45DF1" w:rsidRDefault="000B4CBD" w:rsidP="005C2C78">
            <w:pPr>
              <w:spacing w:before="40" w:after="40" w:line="240" w:lineRule="auto"/>
              <w:ind w:firstLine="0"/>
              <w:jc w:val="center"/>
              <w:rPr>
                <w:rFonts w:eastAsia="Calibri"/>
                <w:b/>
                <w:sz w:val="22"/>
                <w:szCs w:val="22"/>
              </w:rPr>
            </w:pPr>
            <w:r>
              <w:rPr>
                <w:rFonts w:eastAsia="Calibri"/>
                <w:b/>
                <w:sz w:val="22"/>
                <w:szCs w:val="22"/>
              </w:rPr>
              <w:t>17.3</w:t>
            </w:r>
          </w:p>
        </w:tc>
        <w:tc>
          <w:tcPr>
            <w:tcW w:w="1134" w:type="dxa"/>
            <w:shd w:val="pct15" w:color="auto" w:fill="auto"/>
          </w:tcPr>
          <w:p w14:paraId="5B3663D8" w14:textId="77777777" w:rsidR="001F2858" w:rsidRPr="00B45DF1" w:rsidRDefault="000B4CBD" w:rsidP="005C2C78">
            <w:pPr>
              <w:spacing w:before="40" w:after="40" w:line="240" w:lineRule="auto"/>
              <w:ind w:firstLine="0"/>
              <w:jc w:val="center"/>
              <w:rPr>
                <w:rFonts w:eastAsia="Calibri"/>
                <w:b/>
                <w:sz w:val="22"/>
                <w:szCs w:val="22"/>
              </w:rPr>
            </w:pPr>
            <w:r>
              <w:rPr>
                <w:rFonts w:eastAsia="Calibri"/>
                <w:b/>
                <w:sz w:val="22"/>
                <w:szCs w:val="22"/>
              </w:rPr>
              <w:t>16.6</w:t>
            </w:r>
          </w:p>
        </w:tc>
        <w:tc>
          <w:tcPr>
            <w:tcW w:w="1134" w:type="dxa"/>
            <w:shd w:val="pct15" w:color="auto" w:fill="auto"/>
          </w:tcPr>
          <w:p w14:paraId="50A137B3" w14:textId="77777777" w:rsidR="001F2858" w:rsidRPr="00B45DF1" w:rsidRDefault="001F2858" w:rsidP="005C2C78">
            <w:pPr>
              <w:spacing w:before="40" w:after="40" w:line="240" w:lineRule="auto"/>
              <w:ind w:firstLine="0"/>
              <w:jc w:val="center"/>
              <w:rPr>
                <w:rFonts w:eastAsia="Calibri"/>
                <w:b/>
                <w:sz w:val="22"/>
                <w:szCs w:val="22"/>
              </w:rPr>
            </w:pPr>
            <w:r w:rsidRPr="00B45DF1">
              <w:rPr>
                <w:rFonts w:eastAsia="Calibri"/>
                <w:b/>
                <w:sz w:val="22"/>
                <w:szCs w:val="22"/>
              </w:rPr>
              <w:t>17</w:t>
            </w:r>
          </w:p>
        </w:tc>
        <w:tc>
          <w:tcPr>
            <w:tcW w:w="1100" w:type="dxa"/>
            <w:shd w:val="pct15" w:color="auto" w:fill="auto"/>
          </w:tcPr>
          <w:p w14:paraId="53E2ACE3" w14:textId="77777777" w:rsidR="001F2858" w:rsidRPr="00B45DF1" w:rsidRDefault="001F2858" w:rsidP="005C2C78">
            <w:pPr>
              <w:spacing w:before="40" w:after="40" w:line="240" w:lineRule="auto"/>
              <w:ind w:firstLine="0"/>
              <w:jc w:val="center"/>
              <w:rPr>
                <w:rFonts w:eastAsia="Calibri"/>
                <w:b/>
                <w:sz w:val="22"/>
                <w:szCs w:val="22"/>
              </w:rPr>
            </w:pPr>
            <w:r w:rsidRPr="00B45DF1">
              <w:rPr>
                <w:rFonts w:eastAsia="Calibri"/>
                <w:b/>
                <w:sz w:val="22"/>
                <w:szCs w:val="22"/>
              </w:rPr>
              <w:t>17.</w:t>
            </w:r>
            <w:r w:rsidR="000B4CBD">
              <w:rPr>
                <w:rFonts w:eastAsia="Calibri"/>
                <w:b/>
                <w:sz w:val="22"/>
                <w:szCs w:val="22"/>
              </w:rPr>
              <w:t>4</w:t>
            </w:r>
          </w:p>
        </w:tc>
      </w:tr>
    </w:tbl>
    <w:p w14:paraId="2DB2F086" w14:textId="77777777" w:rsidR="00613776" w:rsidRDefault="007C668C" w:rsidP="00793036">
      <w:pPr>
        <w:spacing w:before="240"/>
      </w:pPr>
      <w:r>
        <w:t xml:space="preserve">Σε ό,τι αφορά στον έλεγχο τήρησης του περιορισμού αυτού, ο καθηγητής </w:t>
      </w:r>
      <w:r w:rsidR="00B86740">
        <w:rPr>
          <w:szCs w:val="22"/>
          <w:lang w:val="en-US"/>
        </w:rPr>
        <w:t>Pierre</w:t>
      </w:r>
      <w:r>
        <w:rPr>
          <w:szCs w:val="22"/>
          <w:lang w:val="en-US"/>
        </w:rPr>
        <w:t xml:space="preserve"> Jouannet</w:t>
      </w:r>
      <w:r w:rsidRPr="007C668C">
        <w:t xml:space="preserve"> </w:t>
      </w:r>
      <w:r w:rsidR="00722564">
        <w:t>αναφέρει ότι «ο</w:t>
      </w:r>
      <w:r w:rsidRPr="008771B4">
        <w:t>ι ιατροί είναι αυτοί που συγκεντρώνουν και καταγράφουν κάθε πληροφορία σχετικά με το υ</w:t>
      </w:r>
      <w:r w:rsidR="00722564">
        <w:t>ποψήφιο υποβοηθούμενο ζευγάρι, άρα σ</w:t>
      </w:r>
      <w:r w:rsidRPr="008771B4">
        <w:t>ε αυτούς εναπόκειται η τήρηση των διατάξεων του νόμου</w:t>
      </w:r>
      <w:r w:rsidR="00722564">
        <w:t>»</w:t>
      </w:r>
      <w:r w:rsidR="00722564">
        <w:rPr>
          <w:rStyle w:val="FootnoteReference"/>
        </w:rPr>
        <w:footnoteReference w:id="249"/>
      </w:r>
      <w:r w:rsidR="00613776">
        <w:t xml:space="preserve">. Πηγαίνοντας τη διαπίστωση αυτή ένα βήμα πιο πέρα, </w:t>
      </w:r>
      <w:r w:rsidR="00722564">
        <w:t xml:space="preserve">ο καθηγητής </w:t>
      </w:r>
      <w:r w:rsidR="00722564">
        <w:rPr>
          <w:lang w:val="en-US"/>
        </w:rPr>
        <w:t xml:space="preserve">Guerin </w:t>
      </w:r>
      <w:r w:rsidR="00722564">
        <w:t>υποστηρίζει ότι «ό</w:t>
      </w:r>
      <w:r w:rsidRPr="006C12D2">
        <w:t xml:space="preserve">σο δεν υπάρχουν καταγγελίες από το ζευγάρι, δεν υπάρχει </w:t>
      </w:r>
      <w:r w:rsidR="00722564">
        <w:t xml:space="preserve">ουσιαστικά και </w:t>
      </w:r>
      <w:r w:rsidRPr="006C12D2">
        <w:t>καμία συνέπεια για τον ιατρό</w:t>
      </w:r>
      <w:r w:rsidR="00722564">
        <w:t>»</w:t>
      </w:r>
      <w:r w:rsidR="00E810CF">
        <w:rPr>
          <w:rStyle w:val="FootnoteReference"/>
        </w:rPr>
        <w:footnoteReference w:id="250"/>
      </w:r>
      <w:r w:rsidR="00613776">
        <w:t>.</w:t>
      </w:r>
    </w:p>
    <w:p w14:paraId="44C20ABD" w14:textId="77777777" w:rsidR="008A25B2" w:rsidRDefault="005862DD" w:rsidP="0014227B">
      <w:r>
        <w:t>Βέβα</w:t>
      </w:r>
      <w:r w:rsidR="00613776">
        <w:t xml:space="preserve">ια, αναγκαίο είναι να σημειωθεί, στη σημείο αυτό, </w:t>
      </w:r>
      <w:r>
        <w:t xml:space="preserve">ότι εξαιρετικά χρήσιμος και αποτελεσματικός αποδεικνύεται </w:t>
      </w:r>
      <w:r w:rsidR="007C668C" w:rsidRPr="006C12D2">
        <w:t xml:space="preserve">ο μηχανισμός </w:t>
      </w:r>
      <w:r w:rsidR="00613776">
        <w:t xml:space="preserve">παρακολούθησης του Οργανισμού Βιοϊατρικής, </w:t>
      </w:r>
      <w:r w:rsidR="007C668C" w:rsidRPr="006C12D2">
        <w:t>που ονομάζεται «</w:t>
      </w:r>
      <w:r w:rsidR="007C668C" w:rsidRPr="006C12D2">
        <w:rPr>
          <w:lang w:val="fr-FR"/>
        </w:rPr>
        <w:t>AMP</w:t>
      </w:r>
      <w:r w:rsidR="007C668C" w:rsidRPr="006C12D2">
        <w:t xml:space="preserve"> </w:t>
      </w:r>
      <w:r w:rsidR="00613776" w:rsidRPr="006C12D2">
        <w:rPr>
          <w:lang w:val="fr-FR"/>
        </w:rPr>
        <w:t>V</w:t>
      </w:r>
      <w:r w:rsidR="007C668C" w:rsidRPr="006C12D2">
        <w:rPr>
          <w:lang w:val="fr-FR"/>
        </w:rPr>
        <w:t>igilance</w:t>
      </w:r>
      <w:r w:rsidR="00613776">
        <w:t xml:space="preserve">» και </w:t>
      </w:r>
      <w:r w:rsidR="007C668C" w:rsidRPr="006C12D2">
        <w:t>στόχο του έχει τη γνωστοποίηση κάθε ανεπιθύμητ</w:t>
      </w:r>
      <w:r w:rsidR="00613776">
        <w:t>ου γεγονότος στο πλαίσιο της ιατρικά υποβοηθούμενης αναπαραγωγής</w:t>
      </w:r>
      <w:r w:rsidR="007C668C" w:rsidRPr="006C12D2">
        <w:t>.</w:t>
      </w:r>
      <w:r>
        <w:t xml:space="preserve"> Ένα από τα ανεπιθύμητα γεγονότα λοιπόν που μπορούν να γνωστοποιηθούν στον Οργανισμ</w:t>
      </w:r>
      <w:r w:rsidR="008A25B2">
        <w:t xml:space="preserve">ό Βιοϊατρικής είναι και </w:t>
      </w:r>
      <w:r>
        <w:t xml:space="preserve">η εμφύτευση αδικαιολόγητα περισσότερων από τον επιτρεπόμενο αριθμό γονιμοποιημένων ωαρίων. </w:t>
      </w:r>
      <w:r w:rsidR="0014227B">
        <w:t xml:space="preserve">Αλλά και στην </w:t>
      </w:r>
      <w:r w:rsidR="00D41C90">
        <w:t>τελευταία</w:t>
      </w:r>
      <w:r w:rsidR="0014227B">
        <w:t xml:space="preserve"> αυτή περίπτωση, αξιοσημείωτο είναι ότι </w:t>
      </w:r>
      <w:r w:rsidR="0014227B" w:rsidRPr="006C12D2">
        <w:t>ο Οργανισμός Βιοϊατρικής δεν τιμωρεί, απλά δίνει συμβουλές και κατευθυντήριες οδηγίες</w:t>
      </w:r>
      <w:r w:rsidR="0014227B">
        <w:rPr>
          <w:rStyle w:val="FootnoteReference"/>
        </w:rPr>
        <w:footnoteReference w:id="251"/>
      </w:r>
      <w:r w:rsidR="0014227B" w:rsidRPr="006C12D2">
        <w:t>.</w:t>
      </w:r>
      <w:r w:rsidR="00A608A0">
        <w:t xml:space="preserve"> </w:t>
      </w:r>
    </w:p>
    <w:p w14:paraId="6322C821" w14:textId="77777777" w:rsidR="00095336" w:rsidRDefault="00E00F64" w:rsidP="0014227B">
      <w:r>
        <w:t xml:space="preserve">Αναγκαίο κρίνεται, στο σημείο αυτό, να ανοίξουμε μια σύντομη παρένθεση προκειμένου να </w:t>
      </w:r>
      <w:r w:rsidR="00B27CF4">
        <w:t>γίνει κατανοητό πως λειτουργεί ο</w:t>
      </w:r>
      <w:r w:rsidR="00B27CF4" w:rsidRPr="006C12D2">
        <w:t xml:space="preserve"> μηχανισμός γνωστοποίηση</w:t>
      </w:r>
      <w:r w:rsidR="00B27CF4">
        <w:t>ς των ανεπιθύμητων γεγονότων</w:t>
      </w:r>
      <w:r w:rsidR="00B27CF4" w:rsidRPr="006C12D2">
        <w:t xml:space="preserve"> στο πλαίσιο </w:t>
      </w:r>
      <w:r w:rsidR="003E5589">
        <w:t>της ιατρικά υποβοηθούμενης αναπαραγωγής</w:t>
      </w:r>
      <w:r w:rsidR="003E5589" w:rsidRPr="006C12D2">
        <w:t xml:space="preserve"> </w:t>
      </w:r>
      <w:r w:rsidR="00B27CF4" w:rsidRPr="006C12D2">
        <w:t xml:space="preserve">του </w:t>
      </w:r>
      <w:r w:rsidR="00B27CF4" w:rsidRPr="006C12D2">
        <w:lastRenderedPageBreak/>
        <w:t xml:space="preserve">Οργανισμού Βιοϊατρικής </w:t>
      </w:r>
      <w:r w:rsidR="00B27CF4">
        <w:t>(</w:t>
      </w:r>
      <w:r w:rsidR="00B27CF4" w:rsidRPr="00B27CF4">
        <w:rPr>
          <w:i/>
          <w:lang w:val="fr-FR"/>
        </w:rPr>
        <w:t>AMP</w:t>
      </w:r>
      <w:r w:rsidR="00B27CF4" w:rsidRPr="00B27CF4">
        <w:rPr>
          <w:i/>
        </w:rPr>
        <w:t xml:space="preserve"> </w:t>
      </w:r>
      <w:r w:rsidR="00B27CF4" w:rsidRPr="00B27CF4">
        <w:rPr>
          <w:i/>
          <w:lang w:val="fr-FR"/>
        </w:rPr>
        <w:t>vigilance</w:t>
      </w:r>
      <w:r w:rsidR="00B27CF4">
        <w:t xml:space="preserve">) και, κυρίως, </w:t>
      </w:r>
      <w:r>
        <w:t xml:space="preserve">τι εννοεί ο γάλλος νομοθέτης με τον όρο «ανεπιθύμητο γεγονός». </w:t>
      </w:r>
      <w:r w:rsidR="00B27CF4">
        <w:t xml:space="preserve">Ως «ανεπιθύμητο γεγονός» ορίζεται κάθε επιβλαβής αντίδραση που έχει αντίκτυπο σε ένα πρόσωπο και συνδέεται ή δύναται να συνδέεται με τις δραστηριότητες της ιατρικά υποβοηθούμενης αναπαραγωγής </w:t>
      </w:r>
      <w:r w:rsidR="007D474E">
        <w:t>κατά</w:t>
      </w:r>
      <w:r w:rsidR="00B27CF4">
        <w:t xml:space="preserve"> τα διάφορα στάδια της </w:t>
      </w:r>
      <w:r w:rsidR="003E5589">
        <w:t>εφαρμογής</w:t>
      </w:r>
      <w:r w:rsidR="00B27CF4">
        <w:t xml:space="preserve"> της (διέγερση, παρακέντηση του ωοθυλακίου, σπερματέγχυση, μεταφορά εμβρύου κ.λπ.). Χαρακτηριστικό </w:t>
      </w:r>
      <w:r w:rsidR="007D474E">
        <w:t>παράδειγμα</w:t>
      </w:r>
      <w:r w:rsidR="00B27CF4">
        <w:t xml:space="preserve"> ανεπιθύμητου γεγονότος που έχει δηλωθεί είναι, για παράδειγμα, η υπερδιέγερση των ωοθηκών ή ένα θρομβοεμβολικό επεισόδιο. </w:t>
      </w:r>
      <w:r w:rsidR="003E5589">
        <w:t xml:space="preserve"> </w:t>
      </w:r>
    </w:p>
    <w:p w14:paraId="4864812A" w14:textId="77777777" w:rsidR="004268C9" w:rsidRDefault="00F87D71" w:rsidP="00B510B2">
      <w:pPr>
        <w:ind w:firstLine="0"/>
      </w:pPr>
      <w:r>
        <w:t xml:space="preserve">Για το έτος 2013, </w:t>
      </w:r>
      <w:r w:rsidR="004268C9">
        <w:t>ειδικότερα:</w:t>
      </w:r>
    </w:p>
    <w:p w14:paraId="52BC06AB" w14:textId="77777777" w:rsidR="004268C9" w:rsidRDefault="004268C9" w:rsidP="00D026CF">
      <w:pPr>
        <w:numPr>
          <w:ilvl w:val="0"/>
          <w:numId w:val="20"/>
        </w:numPr>
        <w:tabs>
          <w:tab w:val="left" w:pos="567"/>
        </w:tabs>
        <w:spacing w:before="40" w:after="40" w:line="240" w:lineRule="auto"/>
        <w:ind w:left="0" w:hanging="11"/>
      </w:pPr>
      <w:r>
        <w:t>284 ανεπιθύμητα γεγονότα (</w:t>
      </w:r>
      <w:r w:rsidR="00F87D71">
        <w:t xml:space="preserve">61%) αφορούν στη διέγερση των ωοθηκών, </w:t>
      </w:r>
    </w:p>
    <w:p w14:paraId="1258A2DE" w14:textId="77777777" w:rsidR="004268C9" w:rsidRDefault="00F87D71" w:rsidP="00D026CF">
      <w:pPr>
        <w:numPr>
          <w:ilvl w:val="0"/>
          <w:numId w:val="20"/>
        </w:numPr>
        <w:tabs>
          <w:tab w:val="left" w:pos="567"/>
        </w:tabs>
        <w:spacing w:before="40" w:after="40" w:line="240" w:lineRule="auto"/>
        <w:ind w:left="0" w:hanging="11"/>
      </w:pPr>
      <w:r>
        <w:t xml:space="preserve">91 (19%) σε κάποιο κλινικό χειρισμό κατά τη διενέργεια των τεχνικών της ιατρικά υποβοηθούμενης αναπαραγωγής (γονιμοποίηση, μεταφορά εμβρύοων κ.λπ.), </w:t>
      </w:r>
    </w:p>
    <w:p w14:paraId="6D6CE2D5" w14:textId="32A7FD3A" w:rsidR="004268C9" w:rsidRDefault="006B5D2D" w:rsidP="00D026CF">
      <w:pPr>
        <w:numPr>
          <w:ilvl w:val="0"/>
          <w:numId w:val="20"/>
        </w:numPr>
        <w:tabs>
          <w:tab w:val="left" w:pos="567"/>
        </w:tabs>
        <w:spacing w:before="40" w:after="40" w:line="240" w:lineRule="auto"/>
        <w:ind w:left="0" w:hanging="11"/>
      </w:pPr>
      <w:r>
        <w:t xml:space="preserve">55 (12%) στην απώλεια γαμετών ή </w:t>
      </w:r>
      <w:r w:rsidR="00F87D71">
        <w:t>εμβ</w:t>
      </w:r>
      <w:r w:rsidR="00084E6B">
        <w:t>ρ</w:t>
      </w:r>
      <w:r w:rsidR="00F87D71">
        <w:t xml:space="preserve">ύων, </w:t>
      </w:r>
    </w:p>
    <w:p w14:paraId="0546EA76" w14:textId="77777777" w:rsidR="004268C9" w:rsidRDefault="00F87D71" w:rsidP="00D026CF">
      <w:pPr>
        <w:numPr>
          <w:ilvl w:val="0"/>
          <w:numId w:val="20"/>
        </w:numPr>
        <w:tabs>
          <w:tab w:val="left" w:pos="567"/>
        </w:tabs>
        <w:spacing w:before="40" w:after="40" w:line="240" w:lineRule="auto"/>
        <w:ind w:left="0" w:hanging="11"/>
      </w:pPr>
      <w:r>
        <w:t>10 (2%)</w:t>
      </w:r>
      <w:r w:rsidR="004268C9">
        <w:t xml:space="preserve"> στο κέντρο όπου διενεργείται η ιατρικά υποβοηθούμενη αναπαραγωγή, </w:t>
      </w:r>
    </w:p>
    <w:p w14:paraId="0C9D65B2" w14:textId="77777777" w:rsidR="004268C9" w:rsidRDefault="004268C9" w:rsidP="00D026CF">
      <w:pPr>
        <w:numPr>
          <w:ilvl w:val="0"/>
          <w:numId w:val="20"/>
        </w:numPr>
        <w:tabs>
          <w:tab w:val="left" w:pos="567"/>
        </w:tabs>
        <w:spacing w:before="40" w:after="40" w:line="240" w:lineRule="auto"/>
        <w:ind w:left="0" w:hanging="11"/>
      </w:pPr>
      <w:r>
        <w:t xml:space="preserve">9 (2%) στην καλλιέργεια </w:t>
      </w:r>
      <w:r w:rsidR="00075F2B">
        <w:t>γαμετών ή εμβρύων</w:t>
      </w:r>
    </w:p>
    <w:p w14:paraId="0D531351" w14:textId="77777777" w:rsidR="004268C9" w:rsidRPr="00C05F9E" w:rsidRDefault="004268C9" w:rsidP="00D026CF">
      <w:pPr>
        <w:numPr>
          <w:ilvl w:val="0"/>
          <w:numId w:val="20"/>
        </w:numPr>
        <w:tabs>
          <w:tab w:val="left" w:pos="567"/>
        </w:tabs>
        <w:spacing w:before="40" w:after="40" w:line="240" w:lineRule="auto"/>
        <w:ind w:left="0" w:hanging="11"/>
      </w:pPr>
      <w:r w:rsidRPr="00C05F9E">
        <w:t>5 (1%) σ</w:t>
      </w:r>
      <w:r w:rsidR="006B5D2D" w:rsidRPr="00C05F9E">
        <w:t>ε λάθος σ</w:t>
      </w:r>
      <w:r w:rsidRPr="00C05F9E">
        <w:t>τη διανομή</w:t>
      </w:r>
      <w:r w:rsidR="006B5D2D" w:rsidRPr="00C05F9E">
        <w:t xml:space="preserve"> ή την αναγνώριση</w:t>
      </w:r>
      <w:r w:rsidRPr="00C05F9E">
        <w:t xml:space="preserve"> των γαμετών ή των εμβρύων και </w:t>
      </w:r>
    </w:p>
    <w:p w14:paraId="439B77CE" w14:textId="353F8524" w:rsidR="00605017" w:rsidRPr="00C05F9E" w:rsidRDefault="004268C9" w:rsidP="00D026CF">
      <w:pPr>
        <w:numPr>
          <w:ilvl w:val="0"/>
          <w:numId w:val="20"/>
        </w:numPr>
        <w:tabs>
          <w:tab w:val="left" w:pos="567"/>
        </w:tabs>
        <w:spacing w:before="40" w:after="40" w:line="240" w:lineRule="auto"/>
        <w:ind w:left="0" w:hanging="11"/>
      </w:pPr>
      <w:r w:rsidRPr="00C05F9E">
        <w:t>15 περιστατικά, ήτοι 3% του συνολικού αριθμού των δηλωθέντων έχουν καταγραφεί ως «</w:t>
      </w:r>
      <w:r w:rsidR="006817CB" w:rsidRPr="00C05F9E">
        <w:t>λοιπά</w:t>
      </w:r>
      <w:r w:rsidRPr="00C05F9E">
        <w:t>»</w:t>
      </w:r>
      <w:r w:rsidR="006213D5" w:rsidRPr="00C05F9E">
        <w:rPr>
          <w:rStyle w:val="FootnoteReference"/>
        </w:rPr>
        <w:footnoteReference w:id="252"/>
      </w:r>
      <w:r w:rsidR="00F6301E">
        <w:t xml:space="preserve"> (Πίνακας 10</w:t>
      </w:r>
      <w:r w:rsidR="004C1627">
        <w:t>)</w:t>
      </w:r>
      <w:r w:rsidRPr="00C05F9E">
        <w:t xml:space="preserve">. </w:t>
      </w:r>
    </w:p>
    <w:p w14:paraId="075DE51B" w14:textId="6BAD486C" w:rsidR="00C05F9E" w:rsidRPr="004C1627" w:rsidRDefault="00C05F9E" w:rsidP="0023213A">
      <w:pPr>
        <w:spacing w:before="240" w:after="240"/>
        <w:ind w:firstLine="0"/>
        <w:rPr>
          <w:b/>
        </w:rPr>
      </w:pPr>
      <w:r w:rsidRPr="004C1627">
        <w:rPr>
          <w:b/>
        </w:rPr>
        <w:t>Πίνακας</w:t>
      </w:r>
      <w:r w:rsidR="00F6301E">
        <w:rPr>
          <w:b/>
        </w:rPr>
        <w:t xml:space="preserve"> 10</w:t>
      </w:r>
      <w:r w:rsidR="004C1627" w:rsidRPr="004C1627">
        <w:rPr>
          <w:b/>
        </w:rPr>
        <w:t>. Μηχανισμός Παρακολούθησης ΙΥΑ - 2013</w:t>
      </w:r>
    </w:p>
    <w:p w14:paraId="66A111EE" w14:textId="77777777" w:rsidR="00840F8A" w:rsidRDefault="00840F8A" w:rsidP="00840F8A">
      <w:pPr>
        <w:pStyle w:val="FootnoteText"/>
        <w:rPr>
          <w:highlight w:val="red"/>
        </w:rPr>
      </w:pPr>
    </w:p>
    <w:p w14:paraId="4C39D3B1" w14:textId="3E4FEC08" w:rsidR="00840F8A" w:rsidRDefault="00555B66" w:rsidP="00840F8A">
      <w:pPr>
        <w:pStyle w:val="FootnoteText"/>
        <w:rPr>
          <w:highlight w:val="red"/>
        </w:rPr>
      </w:pPr>
      <w:r w:rsidRPr="00555B66">
        <w:rPr>
          <w:noProof/>
        </w:rPr>
        <w:drawing>
          <wp:inline distT="0" distB="0" distL="0" distR="0" wp14:anchorId="5D7EB4A3" wp14:editId="741C040B">
            <wp:extent cx="5812790" cy="3767243"/>
            <wp:effectExtent l="0" t="0" r="29210" b="177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501CFD" w14:textId="77777777" w:rsidR="00095336" w:rsidRDefault="004268C9" w:rsidP="0023213A">
      <w:pPr>
        <w:spacing w:before="240"/>
      </w:pPr>
      <w:r w:rsidRPr="00605017">
        <w:rPr>
          <w:lang w:val="en-US" w:eastAsia="en-US"/>
        </w:rPr>
        <w:lastRenderedPageBreak/>
        <w:t>Τα στατιστικά αυτά</w:t>
      </w:r>
      <w:r>
        <w:rPr>
          <w:lang w:val="en-US" w:eastAsia="en-US"/>
        </w:rPr>
        <w:t xml:space="preserve"> δεν εξειδικεύονται περεταίρω προκειμένου να διαπιστωθεί ο ακριβής αριθμός υπερβάσεων του επιτρεπτού αριθμού μεταφερόμενων γονιμοποιημένων ωαρίων. Διευκρινίζεται, παρόλα αυτά, </w:t>
      </w:r>
      <w:r w:rsidR="00684106">
        <w:rPr>
          <w:lang w:val="en-US" w:eastAsia="en-US"/>
        </w:rPr>
        <w:t xml:space="preserve">ότι </w:t>
      </w:r>
      <w:r w:rsidR="006817CB">
        <w:rPr>
          <w:lang w:val="en-US" w:eastAsia="en-US"/>
        </w:rPr>
        <w:t xml:space="preserve">στα </w:t>
      </w:r>
      <w:r w:rsidR="006817CB">
        <w:t xml:space="preserve">«λοιπά» συγκαταλέγονται γεγονότα που, μεταξύ άλλων, σχετίζονται με πιθανά σφάλματα στο αριθμό των μεταφερόμενων εμβρύων. </w:t>
      </w:r>
    </w:p>
    <w:p w14:paraId="7574DD9D" w14:textId="77777777" w:rsidR="00684106" w:rsidRDefault="00A608A0" w:rsidP="00A608A0">
      <w:r>
        <w:t>Νομοθετικά</w:t>
      </w:r>
      <w:r w:rsidR="008A25B2">
        <w:t xml:space="preserve">, </w:t>
      </w:r>
      <w:r w:rsidR="00684106">
        <w:t>παρόλα αυτά</w:t>
      </w:r>
      <w:r w:rsidR="008A25B2">
        <w:t>,</w:t>
      </w:r>
      <w:r>
        <w:t xml:space="preserve"> δεν προβλέπεται άλλη κύρωση για την παραβίαση του ανώτατου επιτρεπτού αριθμού μεταφερόμενων γονιμοποιημένων ωαρίων, κι αυτό είναι εύλογο αν αναλογιστεί κανείς ότι ο νομοθέτης δεν προσδιορίζει </w:t>
      </w:r>
      <w:r w:rsidR="00684106">
        <w:t xml:space="preserve">ρητά </w:t>
      </w:r>
      <w:r>
        <w:t xml:space="preserve">τον αριθμό αυτό. Άρα δύσκολα θα μπορούσε να επιβάλει κυρώσεις για την παραβίασή του. </w:t>
      </w:r>
      <w:r w:rsidR="00D41C90">
        <w:t>Αυτό βέβαια δε σημαίνει ότι, εά</w:t>
      </w:r>
      <w:r w:rsidR="00E32E51">
        <w:t>ν η υπέρβαση του επιτ</w:t>
      </w:r>
      <w:r w:rsidR="0004076A">
        <w:t xml:space="preserve">ρεπόμενου </w:t>
      </w:r>
      <w:r w:rsidR="00684106">
        <w:t xml:space="preserve">αριθμού μεταφερόμενων γονιμοποιημένων ωαρίων </w:t>
      </w:r>
      <w:r w:rsidR="0004076A">
        <w:t>βάσει</w:t>
      </w:r>
      <w:r w:rsidR="00E32E51">
        <w:t xml:space="preserve"> του Οδηγού καλών κλινικών και βιολογικών πρακτικών </w:t>
      </w:r>
      <w:r w:rsidR="006A6138">
        <w:t xml:space="preserve">συνοδεύεται και από άλλες παραλείψεις ή κακούς χειρισμούς του ιατρού ή του κέντρου ιατρικά </w:t>
      </w:r>
      <w:r w:rsidR="00D41C90">
        <w:t>υποβοηθούμενης</w:t>
      </w:r>
      <w:r w:rsidR="006A6138">
        <w:t xml:space="preserve"> αναπαραγωγής, δε θα επιβληθούν οι από το νόμο προβλεπόμενες διοικητικές κυρώσεις. </w:t>
      </w:r>
    </w:p>
    <w:p w14:paraId="1F66C9B9" w14:textId="77777777" w:rsidR="00A608A0" w:rsidRPr="00981AC5" w:rsidRDefault="006A6138" w:rsidP="00A608A0">
      <w:pPr>
        <w:rPr>
          <w:szCs w:val="22"/>
        </w:rPr>
      </w:pPr>
      <w:r>
        <w:t xml:space="preserve">Και εν προκειμένω αναφορά </w:t>
      </w:r>
      <w:r w:rsidR="00D41C90">
        <w:t>γίνεται</w:t>
      </w:r>
      <w:r>
        <w:t xml:space="preserve"> στα άρθρα </w:t>
      </w:r>
      <w:r>
        <w:rPr>
          <w:b/>
        </w:rPr>
        <w:t>L. 6241-1 και L. 6241-2</w:t>
      </w:r>
      <w:r w:rsidR="00A608A0" w:rsidRPr="00064D98">
        <w:rPr>
          <w:b/>
        </w:rPr>
        <w:t xml:space="preserve"> </w:t>
      </w:r>
      <w:r w:rsidR="00A608A0">
        <w:rPr>
          <w:b/>
        </w:rPr>
        <w:t>ΚΔΥ</w:t>
      </w:r>
      <w:r w:rsidR="00A608A0" w:rsidRPr="00064D98">
        <w:t xml:space="preserve">, τα οποία προβλέπουν 23 διαφορετικές περιπτώσεις </w:t>
      </w:r>
      <w:r>
        <w:t>πιθανής</w:t>
      </w:r>
      <w:r w:rsidR="00A608A0" w:rsidRPr="00064D98">
        <w:t xml:space="preserve"> επιβολής </w:t>
      </w:r>
      <w:r w:rsidRPr="00064D98">
        <w:t xml:space="preserve">κύρωσης </w:t>
      </w:r>
      <w:r w:rsidR="00A608A0" w:rsidRPr="00064D98">
        <w:t>διοικητικής φύσης από το γενικό διευθυντή του Περιφερειακού Οργανισμού Υγείας (ARS) στα κέντρα ιατρικά υποβοηθούμενης αναπαραγωγής και τα βιολογικά τους εργαστήρια. Οι περιπτώσεις αυτές αφορούν σε διάφορους χειρισμούς και διεργασίες, όπως ενδεικτικά τη διενέργεια εξετάσεων (όπως π.χ. προγεννητική διάγνωση) χωρίς την ειδικά προβλεπόμενη έγκριση ή τη διενέργεια εξετάσεων χωρίς τον απαιτούμενο από το νόμο έλεγχο της ποιότητας των αποτελεσμάτων αυτών</w:t>
      </w:r>
      <w:r w:rsidR="00A608A0">
        <w:rPr>
          <w:rStyle w:val="FootnoteReference"/>
        </w:rPr>
        <w:footnoteReference w:id="253"/>
      </w:r>
      <w:r w:rsidR="00A608A0" w:rsidRPr="00064D98">
        <w:t>.</w:t>
      </w:r>
    </w:p>
    <w:p w14:paraId="45557115" w14:textId="77777777" w:rsidR="00DF2F75" w:rsidRDefault="00477951" w:rsidP="008D68B9">
      <w:r>
        <w:t xml:space="preserve">Τέλος, </w:t>
      </w:r>
      <w:r w:rsidR="006152CE">
        <w:t>αναφορ</w:t>
      </w:r>
      <w:r w:rsidR="008D68B9">
        <w:t>ικά</w:t>
      </w:r>
      <w:r w:rsidR="006152CE">
        <w:t xml:space="preserve"> με την επιλεκτική μείωσ</w:t>
      </w:r>
      <w:r w:rsidR="00800973">
        <w:t>η των εμβρύω</w:t>
      </w:r>
      <w:r w:rsidR="008D68B9">
        <w:t>ν, και οι τρεις ιατροί που ερωτήθηκαν συμφωνούν ότι δ</w:t>
      </w:r>
      <w:r w:rsidR="008D68B9" w:rsidRPr="006C12D2">
        <w:t xml:space="preserve">ε θα έπρεπε </w:t>
      </w:r>
      <w:r w:rsidR="00684106" w:rsidRPr="006C12D2">
        <w:t xml:space="preserve">κανένας ιατρός </w:t>
      </w:r>
      <w:r w:rsidR="008D68B9" w:rsidRPr="006C12D2">
        <w:t>να φτάνει στο σημείο να πρέπει να μειώσει επιλεκτικ</w:t>
      </w:r>
      <w:r w:rsidR="008D68B9">
        <w:t xml:space="preserve">ά τα έμβρυα. Πρόκειται για </w:t>
      </w:r>
      <w:r w:rsidR="008D68B9" w:rsidRPr="006C12D2">
        <w:t>κακή πρακτική, η οποία και υπάρχει τρόπος να αποφεύγεται.</w:t>
      </w:r>
      <w:r w:rsidR="008D68B9">
        <w:t xml:space="preserve"> Για το λόγο αυτό και δεν </w:t>
      </w:r>
      <w:r w:rsidR="00D41C90">
        <w:t>παρατηρείται</w:t>
      </w:r>
      <w:r w:rsidR="008D68B9">
        <w:t xml:space="preserve"> συχνά. Σε κάθε περίπτωση όμως, όπως επισημαίνει ο καθηγητής </w:t>
      </w:r>
      <w:r w:rsidR="008D68B9">
        <w:rPr>
          <w:lang w:val="en-US"/>
        </w:rPr>
        <w:t>J</w:t>
      </w:r>
      <w:r w:rsidR="0093492F">
        <w:rPr>
          <w:lang w:val="en-US"/>
        </w:rPr>
        <w:t>ouannet</w:t>
      </w:r>
      <w:r w:rsidR="008D68B9">
        <w:t>, «</w:t>
      </w:r>
      <w:r w:rsidR="00684106">
        <w:t xml:space="preserve">ο ιατρός </w:t>
      </w:r>
      <w:r w:rsidR="008D68B9">
        <w:t xml:space="preserve">δεν είναι μόνος στη λήψη της σχετικής απόφασης. Είναι μια σοβαρή απόφαση που λαμβάνεται </w:t>
      </w:r>
      <w:r w:rsidR="00DF2F75" w:rsidRPr="008771B4">
        <w:t xml:space="preserve">κατόπιν συζήτησης με το ζευγάρι </w:t>
      </w:r>
      <w:r w:rsidR="008D68B9">
        <w:t>και τη διεπιστημονική ομάδα. Απαραίτητη, δε, προϋπόθεση είναι να έχει ενημερωθεί το ζευγάρι</w:t>
      </w:r>
      <w:r w:rsidR="00684106">
        <w:t xml:space="preserve">, τόσο πριν την εμφύτευση όσο και μετά, </w:t>
      </w:r>
      <w:r w:rsidR="00DF2F75" w:rsidRPr="008771B4">
        <w:t xml:space="preserve">για τους </w:t>
      </w:r>
      <w:r w:rsidR="00684106">
        <w:t xml:space="preserve">πιθανούς </w:t>
      </w:r>
      <w:r w:rsidR="00DF2F75" w:rsidRPr="008771B4">
        <w:t>κινδύνους μιας πολλαπλής κύησης</w:t>
      </w:r>
      <w:r w:rsidR="008D68B9">
        <w:t>»</w:t>
      </w:r>
      <w:r w:rsidR="008D68B9">
        <w:rPr>
          <w:rStyle w:val="FootnoteReference"/>
        </w:rPr>
        <w:footnoteReference w:id="254"/>
      </w:r>
      <w:r w:rsidR="00DF2F75" w:rsidRPr="008771B4">
        <w:t>.</w:t>
      </w:r>
    </w:p>
    <w:p w14:paraId="79E01947" w14:textId="77777777" w:rsidR="00800973" w:rsidRDefault="00AB3E47" w:rsidP="00800973">
      <w:r>
        <w:t xml:space="preserve">Κλείνοντας, ενδιαφέρον παρουσιάζει και η προσέγγιση της </w:t>
      </w:r>
      <w:r w:rsidR="00800973">
        <w:t>κοινωνιολόγου και Διευθύντριας έρευνας (</w:t>
      </w:r>
      <w:r w:rsidR="00800973">
        <w:rPr>
          <w:i/>
        </w:rPr>
        <w:t>Directrice de recherche</w:t>
      </w:r>
      <w:r w:rsidR="00800973">
        <w:t xml:space="preserve">) στο CNRS, Simone Bateman, η οποία δεν τάσσεται ρητά ενάντια στην επιλεκτική μείωση των εμβρύων. Αντίθετα, ισχυρίζεται ότι </w:t>
      </w:r>
      <w:r w:rsidR="00D94885">
        <w:t>«δε θα έπρεπε</w:t>
      </w:r>
      <w:r w:rsidR="00D94885" w:rsidRPr="00FD040C">
        <w:t xml:space="preserve"> να υπάρχει απαγόρευση </w:t>
      </w:r>
      <w:r w:rsidR="00D94885" w:rsidRPr="00FD040C">
        <w:rPr>
          <w:i/>
        </w:rPr>
        <w:t>a priori</w:t>
      </w:r>
      <w:r w:rsidR="00D94885" w:rsidRPr="00FD040C">
        <w:t xml:space="preserve">. Είναι σημαντικό να </w:t>
      </w:r>
      <w:r w:rsidR="00AA6C8E">
        <w:t>παρέχεται</w:t>
      </w:r>
      <w:r w:rsidR="00D94885" w:rsidRPr="00FD040C">
        <w:t xml:space="preserve"> το δικαίωμα αφαίρεσης εμφυτευθέντων</w:t>
      </w:r>
      <w:r w:rsidR="00D94885">
        <w:t xml:space="preserve"> εμβρύων, χωρίς ωστόσο</w:t>
      </w:r>
      <w:r w:rsidR="00EF7DFA">
        <w:t>»</w:t>
      </w:r>
      <w:r w:rsidR="00D94885">
        <w:t xml:space="preserve"> – κι εκεί νομίζω ότι εστιάζεται και το </w:t>
      </w:r>
      <w:r w:rsidR="00D94885">
        <w:lastRenderedPageBreak/>
        <w:t>ενδιαφέρον της προσέγγισής της –</w:t>
      </w:r>
      <w:r w:rsidR="00D94885" w:rsidRPr="00FD040C">
        <w:t xml:space="preserve"> </w:t>
      </w:r>
      <w:r w:rsidR="00EF7DFA">
        <w:t>«</w:t>
      </w:r>
      <w:r w:rsidR="00D94885" w:rsidRPr="00FD040C">
        <w:t>αυτό</w:t>
      </w:r>
      <w:r w:rsidR="00D94885">
        <w:t xml:space="preserve"> να </w:t>
      </w:r>
      <w:r w:rsidR="00D94885" w:rsidRPr="00FD040C">
        <w:t xml:space="preserve">συνδέεται </w:t>
      </w:r>
      <w:r w:rsidR="00D94885">
        <w:t xml:space="preserve">αναγκαία </w:t>
      </w:r>
      <w:r w:rsidR="00D94885" w:rsidRPr="00FD040C">
        <w:t xml:space="preserve">με τον αριθμό ωαρίων που εμφυτεύονται. Η μείωση </w:t>
      </w:r>
      <w:r w:rsidR="00D94885">
        <w:t xml:space="preserve">μπορεί και πρέπει να </w:t>
      </w:r>
      <w:r w:rsidR="00D94885" w:rsidRPr="00FD040C">
        <w:t>γίνεται για άλλους λόγους</w:t>
      </w:r>
      <w:r w:rsidR="00D94885">
        <w:t>»</w:t>
      </w:r>
      <w:r w:rsidR="00800973">
        <w:rPr>
          <w:rStyle w:val="FootnoteReference"/>
          <w:rFonts w:cs="TimesNewRomanPSMT"/>
        </w:rPr>
        <w:footnoteReference w:id="255"/>
      </w:r>
      <w:r w:rsidR="00800973">
        <w:t>.</w:t>
      </w:r>
    </w:p>
    <w:p w14:paraId="2536B327" w14:textId="77777777" w:rsidR="002B0FA3" w:rsidRDefault="00C4415A" w:rsidP="002B0FA3">
      <w:pPr>
        <w:pStyle w:val="Heading3"/>
      </w:pPr>
      <w:bookmarkStart w:id="142" w:name="_Toc394082559"/>
      <w:bookmarkStart w:id="143" w:name="_Toc275535605"/>
      <w:bookmarkStart w:id="144" w:name="_Toc276574415"/>
      <w:r>
        <w:t>β</w:t>
      </w:r>
      <w:r w:rsidR="002B0FA3" w:rsidRPr="004933B9">
        <w:t xml:space="preserve">. </w:t>
      </w:r>
      <w:bookmarkEnd w:id="142"/>
      <w:r w:rsidR="00D41C90">
        <w:t>Κρυοσυντήρηση γεννητικού υλικού</w:t>
      </w:r>
      <w:bookmarkEnd w:id="143"/>
      <w:bookmarkEnd w:id="144"/>
      <w:r w:rsidR="00D41C90">
        <w:t xml:space="preserve"> </w:t>
      </w:r>
    </w:p>
    <w:p w14:paraId="5345A72E" w14:textId="655B434D" w:rsidR="008753EB" w:rsidRDefault="008753EB" w:rsidP="008753EB">
      <w:r>
        <w:t xml:space="preserve">Τα επιτεύγματα στον τομέα της ιατρικής, ιδίως σε ό,τι αφορά στην αυξημένη αποτελεσματικότητα των θεραπευτικών αγωγών κατά του καρκίνου, εγείρουν αναπόφευκτα έντονο ενδιαφέρον για τη γονιμότητα των ασθενών που θεραπεύονται από τον καρκίνο. Στο πλαίσιο των δραστηριοτήτων της ιατρικά υποβοηθούμενης αναπαραγωγής, η μακροχρόνια συντήρηση γαμετών και εμβρυικών ιστών, που πραγματοποιείται από 46 κέντρα στα  οποία έχει χορηγηθεί ειδική άδεια, στόχο της έχει τη διατήρηση της γονιμότητας των νέων ασθενών. </w:t>
      </w:r>
    </w:p>
    <w:p w14:paraId="313CDFAF" w14:textId="54CF3791" w:rsidR="0065133B" w:rsidRPr="00EB024E" w:rsidRDefault="0065133B" w:rsidP="00EB024E">
      <w:r>
        <w:t xml:space="preserve">Η εμβάθυνση της εν λόγω θεματικής προϋποθέτει την κατανόηση της έννοιας της «κρυοσυντήρησης γεννητικού υλικού» και της συνολικής διαδικασίας που αυτή συνεπάγεται (§1), καθώς είναι σαφές ότι οι έννομες συνέπειες λόγω της μη συμμόρφωσης με </w:t>
      </w:r>
      <w:r w:rsidR="002461A1">
        <w:t>τα προβλεπόμενα χρονικά όρια και προδιαγραφές κρυοσυντήρησης του γεννητικού υλικού</w:t>
      </w:r>
      <w:r>
        <w:t xml:space="preserve"> μπορούν να προκύψουν σε οποιοδήποτε στάδιο της</w:t>
      </w:r>
      <w:r w:rsidR="002461A1">
        <w:t xml:space="preserve"> διαδικασίας</w:t>
      </w:r>
      <w:r>
        <w:t xml:space="preserve"> </w:t>
      </w:r>
      <w:r w:rsidR="002461A1">
        <w:t xml:space="preserve">(§2). </w:t>
      </w:r>
    </w:p>
    <w:p w14:paraId="772AEFEE" w14:textId="36E3D364" w:rsidR="00BA0F1C" w:rsidRDefault="00BA0F1C" w:rsidP="00BA0F1C">
      <w:pPr>
        <w:pStyle w:val="Heading4"/>
      </w:pPr>
      <w:bookmarkStart w:id="145" w:name="_Toc276574416"/>
      <w:r>
        <w:t>§1. Έννοια κρυοσυντήρησης γεννητικού υλικού</w:t>
      </w:r>
      <w:bookmarkEnd w:id="145"/>
      <w:r>
        <w:t xml:space="preserve"> </w:t>
      </w:r>
    </w:p>
    <w:p w14:paraId="2BF90AA8" w14:textId="3C49439C" w:rsidR="00A46D07" w:rsidRDefault="00B026A8" w:rsidP="00B1447B">
      <w:pPr>
        <w:rPr>
          <w:rFonts w:eastAsia="Calibri"/>
        </w:rPr>
      </w:pPr>
      <w:r>
        <w:t>Ειδικότερα, δ</w:t>
      </w:r>
      <w:r>
        <w:rPr>
          <w:rFonts w:eastAsia="Calibri"/>
        </w:rPr>
        <w:t xml:space="preserve">υνάμει </w:t>
      </w:r>
      <w:r w:rsidRPr="00123CB8">
        <w:rPr>
          <w:rFonts w:eastAsia="Calibri"/>
        </w:rPr>
        <w:t xml:space="preserve">των διατάξεων του </w:t>
      </w:r>
      <w:r w:rsidRPr="00123CB8">
        <w:rPr>
          <w:rFonts w:eastAsia="Calibri"/>
          <w:b/>
        </w:rPr>
        <w:t xml:space="preserve">άρθρου L. 2141-11 </w:t>
      </w:r>
      <w:r>
        <w:rPr>
          <w:rFonts w:eastAsia="Calibri"/>
          <w:b/>
        </w:rPr>
        <w:t>ΚΔΥ</w:t>
      </w:r>
      <w:r w:rsidRPr="00123CB8">
        <w:rPr>
          <w:rFonts w:eastAsia="Calibri"/>
        </w:rPr>
        <w:t xml:space="preserve">, εφόσον μια θεραπεία ή άλλη επέμβαση επισύρει </w:t>
      </w:r>
      <w:r w:rsidRPr="004439A8">
        <w:rPr>
          <w:rFonts w:eastAsia="Calibri"/>
        </w:rPr>
        <w:t>κίνδυνο</w:t>
      </w:r>
      <w:r w:rsidRPr="00123CB8">
        <w:rPr>
          <w:rFonts w:eastAsia="Calibri"/>
        </w:rPr>
        <w:t xml:space="preserve"> στειρότητας ή πιθανολογείται ότι δύναται να μειώσει πρόωρα τη γονιμότητά ενός προσώπου, το πρόσωπο αυτό έχει το δικαίωμα</w:t>
      </w:r>
      <w:r w:rsidR="00A30625">
        <w:rPr>
          <w:rFonts w:eastAsia="Calibri"/>
        </w:rPr>
        <w:t xml:space="preserve"> να κρυοσυντηρήσει το γεννητικό</w:t>
      </w:r>
      <w:r w:rsidRPr="00123CB8">
        <w:rPr>
          <w:rFonts w:eastAsia="Calibri"/>
        </w:rPr>
        <w:t xml:space="preserve"> </w:t>
      </w:r>
      <w:r w:rsidR="00A30625" w:rsidRPr="00123CB8">
        <w:rPr>
          <w:rFonts w:eastAsia="Calibri"/>
        </w:rPr>
        <w:t xml:space="preserve">του </w:t>
      </w:r>
      <w:r w:rsidRPr="00123CB8">
        <w:rPr>
          <w:rFonts w:eastAsia="Calibri"/>
        </w:rPr>
        <w:t>υλικό (γαμέτες ή εμβρυικό ιστό), προκειμέν</w:t>
      </w:r>
      <w:r>
        <w:rPr>
          <w:rFonts w:eastAsia="Calibri"/>
        </w:rPr>
        <w:t>ου να καταφύγει μεταγενέστερα, εά</w:t>
      </w:r>
      <w:r w:rsidRPr="00123CB8">
        <w:rPr>
          <w:rFonts w:eastAsia="Calibri"/>
        </w:rPr>
        <w:t>ν πράγματι προκύψει ανάγκη, σ</w:t>
      </w:r>
      <w:r>
        <w:rPr>
          <w:rFonts w:eastAsia="Calibri"/>
        </w:rPr>
        <w:t>την ιατρικά υποβοηθούμενη αναπαραγωγή</w:t>
      </w:r>
      <w:r w:rsidRPr="00123CB8">
        <w:rPr>
          <w:rFonts w:eastAsia="Calibri"/>
        </w:rPr>
        <w:t xml:space="preserve">. </w:t>
      </w:r>
    </w:p>
    <w:p w14:paraId="0C1AA14E" w14:textId="18D1F2FB" w:rsidR="00EC36E7" w:rsidRPr="00B1447B" w:rsidRDefault="00EC36E7" w:rsidP="00E968F3">
      <w:pPr>
        <w:rPr>
          <w:rFonts w:eastAsia="Calibri"/>
        </w:rPr>
      </w:pPr>
      <w:r>
        <w:rPr>
          <w:rFonts w:eastAsia="Calibri"/>
        </w:rPr>
        <w:t xml:space="preserve">Θα ακολουθήσει σύντομη παρουσίαση των σημαντικότερων «βιολογικών διεργασιών» που χρησιμοποιούνται στην ιατρικά υποβοηθούμενη αναπαραγωγή, όπως αυτές προβλέπονται στον από 6 Νοεμβρίου 2014 </w:t>
      </w:r>
      <w:r w:rsidRPr="00E968F3">
        <w:rPr>
          <w:rFonts w:eastAsia="Calibri"/>
          <w:i/>
        </w:rPr>
        <w:t xml:space="preserve">Κατάλογο βιολογικών διεργασιών που χρησιμοποιούνται </w:t>
      </w:r>
      <w:r w:rsidR="00837732">
        <w:rPr>
          <w:rFonts w:eastAsia="Calibri"/>
          <w:i/>
        </w:rPr>
        <w:t>τακτικά</w:t>
      </w:r>
      <w:r w:rsidRPr="00E968F3">
        <w:rPr>
          <w:rFonts w:eastAsia="Calibri"/>
          <w:i/>
        </w:rPr>
        <w:t xml:space="preserve"> στην ιατρικά υποβοηθούμενη αναπαραγωγή και τεχνικών που στοχεύουν στη βελτίωση των επιτρεπόμενων βιολογικών διεργασιών</w:t>
      </w:r>
      <w:r>
        <w:rPr>
          <w:rStyle w:val="FootnoteReference"/>
          <w:rFonts w:eastAsia="Calibri"/>
        </w:rPr>
        <w:footnoteReference w:id="256"/>
      </w:r>
      <w:r w:rsidR="00E968F3">
        <w:rPr>
          <w:rFonts w:eastAsia="Calibri"/>
        </w:rPr>
        <w:t xml:space="preserve"> και, πιο συγκεκριμένα, της κρυοσυντήρησης γαμετών (σπέρματος και ωαρίων) (</w:t>
      </w:r>
      <w:r w:rsidR="00BA0F1C">
        <w:rPr>
          <w:rFonts w:eastAsia="Calibri"/>
          <w:lang w:val="en-US"/>
        </w:rPr>
        <w:t>i-ii</w:t>
      </w:r>
      <w:r w:rsidR="00E968F3">
        <w:rPr>
          <w:rFonts w:eastAsia="Calibri"/>
        </w:rPr>
        <w:t>), της κρυοσυντήρησης εμβρύων (</w:t>
      </w:r>
      <w:r w:rsidR="00BA0F1C">
        <w:rPr>
          <w:rFonts w:eastAsia="Calibri"/>
          <w:lang w:val="en-US"/>
        </w:rPr>
        <w:t>iii</w:t>
      </w:r>
      <w:r w:rsidR="00E968F3">
        <w:rPr>
          <w:rFonts w:eastAsia="Calibri"/>
        </w:rPr>
        <w:t>), καθώς επίσης και της κρυοσυντήρησης ορχικού και ωοθηκικού ιστού (</w:t>
      </w:r>
      <w:r w:rsidR="00BA0F1C">
        <w:rPr>
          <w:rFonts w:eastAsia="Calibri"/>
          <w:lang w:val="en-US"/>
        </w:rPr>
        <w:t>iv</w:t>
      </w:r>
      <w:r w:rsidR="00E968F3">
        <w:rPr>
          <w:rFonts w:eastAsia="Calibri"/>
        </w:rPr>
        <w:t>)</w:t>
      </w:r>
      <w:r w:rsidR="00A30625">
        <w:rPr>
          <w:rFonts w:eastAsia="Calibri"/>
        </w:rPr>
        <w:t xml:space="preserve">. </w:t>
      </w:r>
    </w:p>
    <w:p w14:paraId="74AAF1BE" w14:textId="31C53604" w:rsidR="00C112F3" w:rsidRPr="004933B9" w:rsidRDefault="00BA0F1C" w:rsidP="00BA0F1C">
      <w:pPr>
        <w:pStyle w:val="Heading5"/>
      </w:pPr>
      <w:r>
        <w:t>i</w:t>
      </w:r>
      <w:r w:rsidR="00B026A8">
        <w:t>. Κρυοσυντήρηση σπέρματος</w:t>
      </w:r>
    </w:p>
    <w:p w14:paraId="5D090001" w14:textId="6D9484C4" w:rsidR="00687DA9" w:rsidRDefault="00837732" w:rsidP="001F49F2">
      <w:pPr>
        <w:rPr>
          <w:rFonts w:eastAsia="Calibri"/>
        </w:rPr>
      </w:pPr>
      <w:r>
        <w:rPr>
          <w:rFonts w:eastAsia="Calibri"/>
        </w:rPr>
        <w:lastRenderedPageBreak/>
        <w:t>Αναλυτική αναφορά σε κάθε βιολογική διεργασία</w:t>
      </w:r>
      <w:r w:rsidR="00A8350A">
        <w:rPr>
          <w:rFonts w:eastAsia="Calibri"/>
        </w:rPr>
        <w:t xml:space="preserve"> ξεχωριστά γίνεται στον </w:t>
      </w:r>
      <w:r w:rsidR="00A8350A" w:rsidRPr="008D55B8">
        <w:rPr>
          <w:rFonts w:eastAsia="Calibri"/>
        </w:rPr>
        <w:t xml:space="preserve">Κατάλογο του Οργανισμού Βιοϊατρικής με τις βιολογικές μεθόδους που χρησιμοποιούνται τακτικά στα πλαίσια </w:t>
      </w:r>
      <w:r w:rsidR="00A8350A">
        <w:rPr>
          <w:rFonts w:eastAsia="Calibri"/>
        </w:rPr>
        <w:t>της ιατρ</w:t>
      </w:r>
      <w:r w:rsidR="00687DA9">
        <w:rPr>
          <w:rFonts w:eastAsia="Calibri"/>
        </w:rPr>
        <w:t>ικά υποβοηθούμενης αναπαραγωγής</w:t>
      </w:r>
      <w:r w:rsidR="00A8350A" w:rsidRPr="008D55B8">
        <w:rPr>
          <w:rFonts w:eastAsia="Calibri"/>
        </w:rPr>
        <w:t xml:space="preserve"> και τις τεχνικές που στόχο τ</w:t>
      </w:r>
      <w:r w:rsidR="00A8350A">
        <w:rPr>
          <w:rFonts w:eastAsia="Calibri"/>
        </w:rPr>
        <w:t xml:space="preserve">ους </w:t>
      </w:r>
      <w:r w:rsidR="00A8350A" w:rsidRPr="008D55B8">
        <w:rPr>
          <w:rFonts w:eastAsia="Calibri"/>
        </w:rPr>
        <w:t>έχουν τη βελτίωση των προαναφερθέντων μεθόδων</w:t>
      </w:r>
      <w:r w:rsidR="00561893">
        <w:rPr>
          <w:rFonts w:eastAsia="Calibri"/>
        </w:rPr>
        <w:t xml:space="preserve">. </w:t>
      </w:r>
      <w:r w:rsidR="00687DA9">
        <w:rPr>
          <w:rFonts w:eastAsia="Calibri"/>
        </w:rPr>
        <w:t xml:space="preserve">Σύμφωνα, δε, με τον </w:t>
      </w:r>
      <w:r w:rsidR="00687DA9">
        <w:rPr>
          <w:b/>
        </w:rPr>
        <w:t>Οδηγό</w:t>
      </w:r>
      <w:r w:rsidR="00687DA9" w:rsidRPr="00DD32B4">
        <w:rPr>
          <w:b/>
        </w:rPr>
        <w:t xml:space="preserve"> καλών κλινικών και βιολογικών πρακτικών στην ιατρικά υποβηθούμενη αναπαραγωγή</w:t>
      </w:r>
      <w:r w:rsidR="00687DA9">
        <w:t xml:space="preserve"> (Παράρτ</w:t>
      </w:r>
      <w:r w:rsidR="009151AE">
        <w:t xml:space="preserve">ημα ΙΙΙ.5: </w:t>
      </w:r>
      <w:r w:rsidR="00BA0631" w:rsidRPr="009151AE">
        <w:rPr>
          <w:i/>
        </w:rPr>
        <w:t>Ειδικές τεχνικές</w:t>
      </w:r>
      <w:r w:rsidR="00BA0631">
        <w:t>), κ</w:t>
      </w:r>
      <w:r w:rsidR="00687DA9">
        <w:rPr>
          <w:rFonts w:eastAsia="Calibri"/>
        </w:rPr>
        <w:t xml:space="preserve">άθε μεταγενέστερη τροποποίηση της τεχνικής ή της βιολογικής διεργασίας που προβλέπεται στο πλαίσιο της ιατρικά υποβοηθούμενης αναπαραγωγής για την προετοιμασία, τη γονιμοποίηση, την καλλιέργεια ή τη συντήρηση των γαμετών ή των εμβρύων, η οποία έχει προηγουμένως γίνει δεκτή στη θεωρία ή την πράξη, υποβάλλεται για έγκριση στον Οργανισμό Βιοϊατρικής. Αντίθετα, οι τεχνικές που δεν έχουν εγκριθεί στη θεωρία ή την πράξη και συνιστούν καινοτομία υποβάλλονται στη διαδικασία που προβλέπεται ειδικά για της βιοϊατρικές έρευνες. </w:t>
      </w:r>
    </w:p>
    <w:p w14:paraId="3D521B7A" w14:textId="77777777" w:rsidR="00BE670F" w:rsidRDefault="00561893" w:rsidP="00A8350A">
      <w:pPr>
        <w:rPr>
          <w:rFonts w:eastAsia="Calibri"/>
        </w:rPr>
      </w:pPr>
      <w:r>
        <w:rPr>
          <w:rFonts w:eastAsia="Calibri"/>
        </w:rPr>
        <w:t xml:space="preserve">Η πρώτη βιολογική διεργασία στην οποία </w:t>
      </w:r>
      <w:r w:rsidR="00BE670F">
        <w:rPr>
          <w:rFonts w:eastAsia="Calibri"/>
        </w:rPr>
        <w:t xml:space="preserve">ο Οργανισμός Βιοϊατρικής </w:t>
      </w:r>
      <w:r>
        <w:rPr>
          <w:rFonts w:eastAsia="Calibri"/>
        </w:rPr>
        <w:t>αφιερώνει μια σύντομη παρουσίαση είναι η κρυοσυντήρηση σπέρματος</w:t>
      </w:r>
      <w:r w:rsidR="00A8350A">
        <w:rPr>
          <w:rStyle w:val="FootnoteReference"/>
          <w:rFonts w:eastAsia="Calibri"/>
        </w:rPr>
        <w:footnoteReference w:id="257"/>
      </w:r>
      <w:r w:rsidR="00A8350A">
        <w:rPr>
          <w:rFonts w:eastAsia="Calibri"/>
        </w:rPr>
        <w:t xml:space="preserve">. </w:t>
      </w:r>
    </w:p>
    <w:p w14:paraId="11F4ED7E" w14:textId="77777777" w:rsidR="004F6A69" w:rsidRDefault="00A8350A" w:rsidP="004F6A69">
      <w:r>
        <w:t xml:space="preserve">Η κρυοσυντήρηση </w:t>
      </w:r>
      <w:r w:rsidR="00A93F37">
        <w:t>σπέρματος συνίσταται στην προστασία και συντήρηση μέσω ψύξης των σπερματοζωαρίων, τα οποία θα κρυοσυντηρηθούν είτε για το ίδιο το πρόσωπο που συντηρεί το γεννητικό του υλικό, είτε για ένα τρίτο πρόσωπ</w:t>
      </w:r>
      <w:r w:rsidR="004F6A69">
        <w:t>ο στα πλαίσια δωρεάς σπέρματος.</w:t>
      </w:r>
    </w:p>
    <w:p w14:paraId="7C47A9E6" w14:textId="22896B90" w:rsidR="004F6A69" w:rsidRDefault="004F6A69" w:rsidP="004F6A69">
      <w:r>
        <w:t xml:space="preserve">Η διαδικασία </w:t>
      </w:r>
      <w:r w:rsidR="00213004">
        <w:t xml:space="preserve">της </w:t>
      </w:r>
      <w:r>
        <w:t>κρυοσυντήρησης σπέρματος περιλαμβάνει διάφορα στάδια, μεταξύ των οποίων η συλλογή των σπερματοζωαρίων, η μεταφορά τους στο ειδικά εξοπλισμένο, εξειδικευμένο στην κρυοβιολογία και εξουσιοδοτημένο εργαστήριο, η προετοιμασία των σπερματοζωαρίων</w:t>
      </w:r>
      <w:r w:rsidR="00373AA7">
        <w:t xml:space="preserve"> και η τοποθέτησή τους σε ειδικές συνθετικές </w:t>
      </w:r>
      <w:r w:rsidR="00DD7D3F">
        <w:t>θήκες</w:t>
      </w:r>
      <w:r>
        <w:t xml:space="preserve">, η ψύξη </w:t>
      </w:r>
      <w:r w:rsidR="001221D1">
        <w:t>τους έως και τη θερμοκρασία των</w:t>
      </w:r>
      <w:r>
        <w:t xml:space="preserve"> </w:t>
      </w:r>
      <w:r w:rsidR="00C83780">
        <w:t>–</w:t>
      </w:r>
      <w:r>
        <w:t>150</w:t>
      </w:r>
      <w:r w:rsidRPr="004F6A69">
        <w:rPr>
          <w:vertAlign w:val="superscript"/>
        </w:rPr>
        <w:t>ο</w:t>
      </w:r>
      <w:r>
        <w:rPr>
          <w:lang w:val="en-US"/>
        </w:rPr>
        <w:t>C</w:t>
      </w:r>
      <w:r>
        <w:t xml:space="preserve"> και </w:t>
      </w:r>
      <w:r w:rsidR="00001CC8">
        <w:t>η συντήρησή</w:t>
      </w:r>
      <w:r>
        <w:t xml:space="preserve"> τους</w:t>
      </w:r>
      <w:r w:rsidR="001221D1">
        <w:t xml:space="preserve"> σε υγρό άζωτο σε μια θερμοκρασία </w:t>
      </w:r>
      <w:r w:rsidR="00213004">
        <w:t>–1</w:t>
      </w:r>
      <w:r w:rsidR="00961B49">
        <w:t>96</w:t>
      </w:r>
      <w:r w:rsidR="00961B49" w:rsidRPr="004F6A69">
        <w:rPr>
          <w:vertAlign w:val="superscript"/>
        </w:rPr>
        <w:t>ο</w:t>
      </w:r>
      <w:r w:rsidR="00961B49">
        <w:rPr>
          <w:lang w:val="en-US"/>
        </w:rPr>
        <w:t xml:space="preserve">C, της οποίας η διάρκεια μπορεί και να επεκταθεί αρκετά σε χρονικό βάθος. </w:t>
      </w:r>
    </w:p>
    <w:p w14:paraId="644DE66C" w14:textId="15E46A94" w:rsidR="004263FD" w:rsidRPr="009B5C7E" w:rsidRDefault="00AF427A" w:rsidP="004263FD">
      <w:pPr>
        <w:rPr>
          <w:rFonts w:ascii="Times" w:hAnsi="Times"/>
          <w:lang w:val="en-US" w:eastAsia="en-US"/>
        </w:rPr>
      </w:pPr>
      <w:bookmarkStart w:id="146" w:name="Cecos"/>
      <w:r>
        <w:t>Η κρυο</w:t>
      </w:r>
      <w:r w:rsidR="00001CC8">
        <w:t>συντήρηση του σπέρματος γίνεται σε Τράπεζες σπέρματος. Πιο συγκεκριμένα, στη</w:t>
      </w:r>
      <w:r w:rsidR="00001CC8" w:rsidRPr="00A46F26">
        <w:t xml:space="preserve"> </w:t>
      </w:r>
      <w:r w:rsidR="00001CC8">
        <w:t>Γαλλία</w:t>
      </w:r>
      <w:r w:rsidR="00001CC8" w:rsidRPr="00A46F26">
        <w:t xml:space="preserve">, </w:t>
      </w:r>
      <w:r w:rsidR="00001CC8">
        <w:t>ήδη</w:t>
      </w:r>
      <w:r w:rsidR="00001CC8" w:rsidRPr="00A46F26">
        <w:t xml:space="preserve"> </w:t>
      </w:r>
      <w:r w:rsidR="00001CC8">
        <w:t>από</w:t>
      </w:r>
      <w:r w:rsidR="00001CC8" w:rsidRPr="00A46F26">
        <w:t xml:space="preserve"> </w:t>
      </w:r>
      <w:r w:rsidR="00001CC8">
        <w:t>το</w:t>
      </w:r>
      <w:r w:rsidR="00001CC8" w:rsidRPr="00A46F26">
        <w:t xml:space="preserve"> 1973, </w:t>
      </w:r>
      <w:r w:rsidR="00001CC8">
        <w:t>λειτουργεί</w:t>
      </w:r>
      <w:r w:rsidR="00001CC8" w:rsidRPr="00A46F26">
        <w:t xml:space="preserve"> </w:t>
      </w:r>
      <w:r w:rsidR="00001CC8">
        <w:t>η</w:t>
      </w:r>
      <w:r w:rsidR="00001CC8" w:rsidRPr="00A46F26">
        <w:t xml:space="preserve"> </w:t>
      </w:r>
      <w:r w:rsidR="00001CC8">
        <w:t>πρώτη</w:t>
      </w:r>
      <w:r w:rsidR="00001CC8" w:rsidRPr="00A46F26">
        <w:t xml:space="preserve"> Τράπεζα </w:t>
      </w:r>
      <w:r>
        <w:t>κρυο</w:t>
      </w:r>
      <w:r w:rsidR="00001CC8" w:rsidRPr="00A46F26">
        <w:t xml:space="preserve">συντηρημένου σπέρματος ή αλλιώς Κέντρο Μελέτης και Συντήρησης </w:t>
      </w:r>
      <w:r w:rsidR="0083348B">
        <w:t>Ανθρωπίνων</w:t>
      </w:r>
      <w:r w:rsidR="00001CC8" w:rsidRPr="00A46F26">
        <w:t xml:space="preserve"> Ωαρίων και Σπέρματος (</w:t>
      </w:r>
      <w:r w:rsidR="00001CC8" w:rsidRPr="00A46F26">
        <w:rPr>
          <w:i/>
          <w:lang w:val="fr-FR"/>
        </w:rPr>
        <w:t>Centre</w:t>
      </w:r>
      <w:r w:rsidR="00001CC8" w:rsidRPr="00A46F26">
        <w:rPr>
          <w:i/>
        </w:rPr>
        <w:t xml:space="preserve"> </w:t>
      </w:r>
      <w:r w:rsidR="00001CC8" w:rsidRPr="00A46F26">
        <w:rPr>
          <w:i/>
          <w:lang w:val="fr-FR"/>
        </w:rPr>
        <w:t>d</w:t>
      </w:r>
      <w:r w:rsidR="00001CC8" w:rsidRPr="00A46F26">
        <w:rPr>
          <w:i/>
        </w:rPr>
        <w:t>’</w:t>
      </w:r>
      <w:r w:rsidR="00001CC8" w:rsidRPr="00A46F26">
        <w:rPr>
          <w:i/>
          <w:lang w:val="fr-FR"/>
        </w:rPr>
        <w:t>Etude</w:t>
      </w:r>
      <w:r w:rsidR="00001CC8" w:rsidRPr="00A46F26">
        <w:rPr>
          <w:i/>
        </w:rPr>
        <w:t xml:space="preserve"> </w:t>
      </w:r>
      <w:r w:rsidR="00001CC8" w:rsidRPr="00A46F26">
        <w:rPr>
          <w:i/>
          <w:lang w:val="fr-FR"/>
        </w:rPr>
        <w:t>et</w:t>
      </w:r>
      <w:r w:rsidR="00001CC8" w:rsidRPr="00A46F26">
        <w:rPr>
          <w:i/>
        </w:rPr>
        <w:t xml:space="preserve"> </w:t>
      </w:r>
      <w:r w:rsidR="00001CC8" w:rsidRPr="00A46F26">
        <w:rPr>
          <w:i/>
          <w:lang w:val="fr-FR"/>
        </w:rPr>
        <w:t>de</w:t>
      </w:r>
      <w:r w:rsidR="00001CC8" w:rsidRPr="00A46F26">
        <w:rPr>
          <w:i/>
        </w:rPr>
        <w:t xml:space="preserve"> </w:t>
      </w:r>
      <w:r w:rsidR="00001CC8" w:rsidRPr="00A46F26">
        <w:rPr>
          <w:i/>
          <w:lang w:val="fr-FR"/>
        </w:rPr>
        <w:t>Conservation</w:t>
      </w:r>
      <w:r w:rsidR="00001CC8" w:rsidRPr="00A46F26">
        <w:rPr>
          <w:i/>
        </w:rPr>
        <w:t xml:space="preserve"> </w:t>
      </w:r>
      <w:r w:rsidR="00001CC8" w:rsidRPr="00A46F26">
        <w:rPr>
          <w:i/>
          <w:lang w:val="fr-FR"/>
        </w:rPr>
        <w:t>des</w:t>
      </w:r>
      <w:r w:rsidR="00001CC8" w:rsidRPr="00A46F26">
        <w:rPr>
          <w:i/>
        </w:rPr>
        <w:t xml:space="preserve"> </w:t>
      </w:r>
      <w:r w:rsidR="00001CC8" w:rsidRPr="00981AC5">
        <w:rPr>
          <w:i/>
        </w:rPr>
        <w:t>Œ</w:t>
      </w:r>
      <w:r w:rsidR="00001CC8" w:rsidRPr="00A46F26">
        <w:rPr>
          <w:i/>
          <w:lang w:val="fr-FR"/>
        </w:rPr>
        <w:t>ufs</w:t>
      </w:r>
      <w:r w:rsidR="00001CC8" w:rsidRPr="00A46F26">
        <w:rPr>
          <w:i/>
        </w:rPr>
        <w:t xml:space="preserve"> </w:t>
      </w:r>
      <w:r w:rsidR="00001CC8" w:rsidRPr="00A46F26">
        <w:rPr>
          <w:i/>
          <w:lang w:val="fr-FR"/>
        </w:rPr>
        <w:t>et</w:t>
      </w:r>
      <w:r w:rsidR="00001CC8" w:rsidRPr="00A46F26">
        <w:rPr>
          <w:i/>
        </w:rPr>
        <w:t xml:space="preserve"> </w:t>
      </w:r>
      <w:r w:rsidR="00001CC8" w:rsidRPr="00A46F26">
        <w:rPr>
          <w:i/>
          <w:lang w:val="fr-FR"/>
        </w:rPr>
        <w:t>du</w:t>
      </w:r>
      <w:r w:rsidR="00001CC8" w:rsidRPr="00A46F26">
        <w:rPr>
          <w:i/>
        </w:rPr>
        <w:t xml:space="preserve"> </w:t>
      </w:r>
      <w:r w:rsidR="00001CC8" w:rsidRPr="00A46F26">
        <w:rPr>
          <w:i/>
          <w:lang w:val="fr-FR"/>
        </w:rPr>
        <w:t>Sperme</w:t>
      </w:r>
      <w:r w:rsidR="00001CC8" w:rsidRPr="00A46F26">
        <w:rPr>
          <w:i/>
        </w:rPr>
        <w:t xml:space="preserve"> </w:t>
      </w:r>
      <w:r w:rsidR="00001CC8" w:rsidRPr="00A46F26">
        <w:rPr>
          <w:i/>
          <w:lang w:val="fr-FR"/>
        </w:rPr>
        <w:t>humains</w:t>
      </w:r>
      <w:r w:rsidR="00001CC8" w:rsidRPr="00A46F26">
        <w:rPr>
          <w:i/>
        </w:rPr>
        <w:t xml:space="preserve">, </w:t>
      </w:r>
      <w:r w:rsidR="00001CC8" w:rsidRPr="00A46F26">
        <w:rPr>
          <w:i/>
          <w:lang w:val="fr-FR"/>
        </w:rPr>
        <w:t>CECOS</w:t>
      </w:r>
      <w:r w:rsidR="00001CC8" w:rsidRPr="00A46F26">
        <w:t xml:space="preserve">). </w:t>
      </w:r>
      <w:r w:rsidR="00001CC8">
        <w:t xml:space="preserve">Οι τράπεζες αυτές γρήγορα εξαπλώθηκαν σε όλη την επικράτεια, διασφαλίζοντας έτσι την κρυοσυντήρηση του γεννητικού υλικού για την αξιοποίησή του στα πλαίσια της ιατρικά υποβοηθούμενης αναπαραγωγής. </w:t>
      </w:r>
      <w:r w:rsidR="00DD7D3F">
        <w:t>Σήμερα, πλέο</w:t>
      </w:r>
      <w:r w:rsidR="004263FD">
        <w:t xml:space="preserve">ν, η ψύξη και κρυοσυντήρηση σπερματοζωαρίων θεωρείται ως μια ιστορική βιολογική διεργασία της ιατρικά υποβοηθούμενης απαπαραγωγής και αποτελεί πράξη ρουτίνας σε όλα τα ειδικά εξουσιοδοτημένα κέντρα ιατρικά υποβοηθούμενης αναπαραγωγής στη Γαλλία. </w:t>
      </w:r>
    </w:p>
    <w:bookmarkEnd w:id="146"/>
    <w:p w14:paraId="1B8D9F78" w14:textId="77777777" w:rsidR="00001CC8" w:rsidRPr="00981AC5" w:rsidRDefault="00001CC8" w:rsidP="00001CC8">
      <w:r>
        <w:t xml:space="preserve">Η </w:t>
      </w:r>
      <w:r w:rsidR="004263FD">
        <w:t>τεχνική</w:t>
      </w:r>
      <w:r>
        <w:t xml:space="preserve"> της συντήρησης σπερματοζωαρίων </w:t>
      </w:r>
      <w:r w:rsidR="004263FD">
        <w:t>ρυθμίζεται νομοθετικά, υ</w:t>
      </w:r>
      <w:r>
        <w:t xml:space="preserve">πόκειται σε </w:t>
      </w:r>
      <w:r w:rsidR="004263FD">
        <w:t xml:space="preserve">ειδική </w:t>
      </w:r>
      <w:r>
        <w:t>αδειοδότηση και διενεργείται τηρώντας πιστά γενικούς κανόν</w:t>
      </w:r>
      <w:r w:rsidR="00052471">
        <w:t xml:space="preserve">ες, όπως αυτοί </w:t>
      </w:r>
      <w:r w:rsidR="00052471">
        <w:lastRenderedPageBreak/>
        <w:t xml:space="preserve">προβλέπονται στον </w:t>
      </w:r>
      <w:r w:rsidR="00052471" w:rsidRPr="00052471">
        <w:rPr>
          <w:b/>
        </w:rPr>
        <w:t xml:space="preserve">Οδηγό </w:t>
      </w:r>
      <w:r w:rsidRPr="00052471">
        <w:rPr>
          <w:b/>
        </w:rPr>
        <w:t>κ</w:t>
      </w:r>
      <w:r w:rsidRPr="00B12EB4">
        <w:rPr>
          <w:b/>
        </w:rPr>
        <w:t>αλών πρακτικών στην ιατρικά υποβοηθούμενη αναπαραγωγή (ήδη από το 1999)</w:t>
      </w:r>
      <w:r w:rsidR="00305A35">
        <w:rPr>
          <w:rStyle w:val="FootnoteReference"/>
          <w:b/>
        </w:rPr>
        <w:footnoteReference w:id="258"/>
      </w:r>
      <w:r w:rsidRPr="00B12EB4">
        <w:rPr>
          <w:b/>
        </w:rPr>
        <w:t>.</w:t>
      </w:r>
      <w:r>
        <w:t xml:space="preserve"> </w:t>
      </w:r>
    </w:p>
    <w:p w14:paraId="232B7717" w14:textId="46AC9E46" w:rsidR="00001CC8" w:rsidRDefault="00001CC8" w:rsidP="00001CC8">
      <w:r>
        <w:rPr>
          <w:rStyle w:val="hps"/>
        </w:rPr>
        <w:t xml:space="preserve">Ειδικότερα, δυνάμει των διατάξεων του </w:t>
      </w:r>
      <w:r w:rsidRPr="00E1642E">
        <w:rPr>
          <w:rStyle w:val="hps"/>
          <w:b/>
        </w:rPr>
        <w:t>άρθρο</w:t>
      </w:r>
      <w:r>
        <w:rPr>
          <w:rStyle w:val="hps"/>
          <w:b/>
        </w:rPr>
        <w:t>υ</w:t>
      </w:r>
      <w:r w:rsidRPr="00E1642E">
        <w:rPr>
          <w:rStyle w:val="hps"/>
          <w:b/>
        </w:rPr>
        <w:t xml:space="preserve"> 27 του </w:t>
      </w:r>
      <w:r w:rsidRPr="00433A41">
        <w:rPr>
          <w:rStyle w:val="hps"/>
          <w:b/>
          <w:i/>
        </w:rPr>
        <w:t xml:space="preserve">Νόμου </w:t>
      </w:r>
      <w:r w:rsidR="00433A41" w:rsidRPr="00433A41">
        <w:rPr>
          <w:rStyle w:val="hps"/>
          <w:b/>
          <w:i/>
        </w:rPr>
        <w:t>περί Βιοηθικής</w:t>
      </w:r>
      <w:r w:rsidR="00433A41" w:rsidRPr="00E1642E">
        <w:rPr>
          <w:rStyle w:val="hps"/>
          <w:b/>
        </w:rPr>
        <w:t xml:space="preserve"> </w:t>
      </w:r>
      <w:r w:rsidRPr="00E1642E">
        <w:rPr>
          <w:rStyle w:val="hps"/>
          <w:b/>
        </w:rPr>
        <w:t>αριθ. 2011-814 της 7</w:t>
      </w:r>
      <w:r w:rsidRPr="00E1642E">
        <w:rPr>
          <w:rStyle w:val="hps"/>
          <w:b/>
          <w:vertAlign w:val="superscript"/>
        </w:rPr>
        <w:t>ης</w:t>
      </w:r>
      <w:r w:rsidRPr="00E1642E">
        <w:rPr>
          <w:rStyle w:val="hps"/>
          <w:b/>
        </w:rPr>
        <w:t xml:space="preserve"> Ιουλίου 2011</w:t>
      </w:r>
      <w:r w:rsidRPr="00E1642E">
        <w:rPr>
          <w:rStyle w:val="hps"/>
        </w:rPr>
        <w:t xml:space="preserve">, </w:t>
      </w:r>
      <w:r>
        <w:rPr>
          <w:rStyle w:val="hps"/>
        </w:rPr>
        <w:t>το</w:t>
      </w:r>
      <w:r w:rsidRPr="00E1642E">
        <w:rPr>
          <w:rStyle w:val="hps"/>
        </w:rPr>
        <w:t xml:space="preserve"> </w:t>
      </w:r>
      <w:r>
        <w:rPr>
          <w:rStyle w:val="hps"/>
        </w:rPr>
        <w:t>άρθρο</w:t>
      </w:r>
      <w:r w:rsidRPr="00E1642E">
        <w:t xml:space="preserve"> </w:t>
      </w:r>
      <w:r w:rsidRPr="00E1642E">
        <w:rPr>
          <w:lang w:val="fr-FR"/>
        </w:rPr>
        <w:t>L</w:t>
      </w:r>
      <w:r w:rsidRPr="00E1642E">
        <w:t xml:space="preserve">. 1244-6, παρ. 2, </w:t>
      </w:r>
      <w:r>
        <w:t>ΚΔΥ συμπληρώνεται ως εξής: «</w:t>
      </w:r>
      <w:r w:rsidRPr="00A2370A">
        <w:rPr>
          <w:i/>
        </w:rPr>
        <w:t>Κατ’ εφαρμογή του Νόμου αριθ. 78-17 της 6</w:t>
      </w:r>
      <w:r w:rsidRPr="00A2370A">
        <w:rPr>
          <w:i/>
          <w:vertAlign w:val="superscript"/>
        </w:rPr>
        <w:t>ης</w:t>
      </w:r>
      <w:r w:rsidRPr="00A2370A">
        <w:rPr>
          <w:i/>
        </w:rPr>
        <w:t xml:space="preserve"> Ιανουαρίου 1978 σχετικά με την πληροφορική, τα αρχεία και τις ελευθερίες, κάθε πρόσωπο, δημόσια Αρχή, Υπηρεσία ή Οργανισμός, και ιδίως τα Κέντρα Μελέτης και Συντήρησης </w:t>
      </w:r>
      <w:r w:rsidR="0083348B">
        <w:rPr>
          <w:i/>
        </w:rPr>
        <w:t>Ανθρωπίνων</w:t>
      </w:r>
      <w:r w:rsidRPr="00A2370A">
        <w:rPr>
          <w:i/>
        </w:rPr>
        <w:t xml:space="preserve"> Ωαρίων και Σπέρματος (</w:t>
      </w:r>
      <w:r w:rsidRPr="00A2370A">
        <w:rPr>
          <w:i/>
          <w:lang w:val="fr-FR"/>
        </w:rPr>
        <w:t>CECOS</w:t>
      </w:r>
      <w:r w:rsidRPr="00A2370A">
        <w:rPr>
          <w:i/>
        </w:rPr>
        <w:t xml:space="preserve">), που συλλέγει και διατηρεί τα δεδομένα προσωπικού χαρακτήρα σχετικά με τους δότες γαμετών ή εμβρύων, τα ζευγάρια των ληπτών του γεννητικού υλικού ή τα πρόσωπα που γεννιούνται κατόπιν εφαρμογής μεθόδων ιατρικά υποβοηθούμενης αναπαραγωγής με τρίτο δότη υπόκειται σε έλεγχο </w:t>
      </w:r>
      <w:r w:rsidR="00433A41">
        <w:rPr>
          <w:i/>
        </w:rPr>
        <w:t>από τη</w:t>
      </w:r>
      <w:r w:rsidR="00E943A5">
        <w:rPr>
          <w:i/>
        </w:rPr>
        <w:t>ν</w:t>
      </w:r>
      <w:r w:rsidR="00433A41">
        <w:rPr>
          <w:i/>
        </w:rPr>
        <w:t xml:space="preserve"> Εθνική Επιτροπή</w:t>
      </w:r>
      <w:r w:rsidRPr="00A2370A">
        <w:rPr>
          <w:i/>
        </w:rPr>
        <w:t xml:space="preserve"> Πληροφορικής και Ελευθεριών (</w:t>
      </w:r>
      <w:r w:rsidRPr="00A2370A">
        <w:rPr>
          <w:i/>
          <w:lang w:val="fr-FR"/>
        </w:rPr>
        <w:t>Commission</w:t>
      </w:r>
      <w:r w:rsidRPr="00A2370A">
        <w:rPr>
          <w:i/>
        </w:rPr>
        <w:t xml:space="preserve"> </w:t>
      </w:r>
      <w:r w:rsidRPr="00A2370A">
        <w:rPr>
          <w:i/>
          <w:lang w:val="fr-FR"/>
        </w:rPr>
        <w:t>nationale</w:t>
      </w:r>
      <w:r w:rsidRPr="00A2370A">
        <w:rPr>
          <w:i/>
        </w:rPr>
        <w:t xml:space="preserve"> </w:t>
      </w:r>
      <w:r w:rsidRPr="00A2370A">
        <w:rPr>
          <w:i/>
          <w:lang w:val="fr-FR"/>
        </w:rPr>
        <w:t>de</w:t>
      </w:r>
      <w:r w:rsidRPr="00A2370A">
        <w:rPr>
          <w:i/>
        </w:rPr>
        <w:t xml:space="preserve"> </w:t>
      </w:r>
      <w:r w:rsidRPr="00A2370A">
        <w:rPr>
          <w:i/>
          <w:lang w:val="fr-FR"/>
        </w:rPr>
        <w:t>l</w:t>
      </w:r>
      <w:r w:rsidRPr="00A2370A">
        <w:rPr>
          <w:i/>
        </w:rPr>
        <w:t>'</w:t>
      </w:r>
      <w:r w:rsidRPr="00A2370A">
        <w:rPr>
          <w:i/>
          <w:lang w:val="fr-FR"/>
        </w:rPr>
        <w:t>informatique</w:t>
      </w:r>
      <w:r w:rsidRPr="00A2370A">
        <w:rPr>
          <w:i/>
        </w:rPr>
        <w:t xml:space="preserve"> </w:t>
      </w:r>
      <w:r w:rsidRPr="00A2370A">
        <w:rPr>
          <w:i/>
          <w:lang w:val="fr-FR"/>
        </w:rPr>
        <w:t>et</w:t>
      </w:r>
      <w:r w:rsidRPr="00A2370A">
        <w:rPr>
          <w:i/>
        </w:rPr>
        <w:t xml:space="preserve"> </w:t>
      </w:r>
      <w:r w:rsidRPr="00A2370A">
        <w:rPr>
          <w:i/>
          <w:lang w:val="fr-FR"/>
        </w:rPr>
        <w:t>des</w:t>
      </w:r>
      <w:r w:rsidRPr="00A2370A">
        <w:rPr>
          <w:i/>
        </w:rPr>
        <w:t xml:space="preserve"> </w:t>
      </w:r>
      <w:r w:rsidRPr="00A2370A">
        <w:rPr>
          <w:i/>
          <w:lang w:val="fr-FR"/>
        </w:rPr>
        <w:t>libert</w:t>
      </w:r>
      <w:r w:rsidRPr="00A2370A">
        <w:rPr>
          <w:i/>
        </w:rPr>
        <w:t>é</w:t>
      </w:r>
      <w:r w:rsidRPr="00A2370A">
        <w:rPr>
          <w:i/>
          <w:lang w:val="fr-FR"/>
        </w:rPr>
        <w:t>s</w:t>
      </w:r>
      <w:r w:rsidRPr="00A2370A">
        <w:rPr>
          <w:i/>
        </w:rPr>
        <w:t>)</w:t>
      </w:r>
      <w:r>
        <w:t>».</w:t>
      </w:r>
    </w:p>
    <w:p w14:paraId="5584858C" w14:textId="6860BB0B" w:rsidR="00E44635" w:rsidRPr="00E1642E" w:rsidRDefault="00545BDF" w:rsidP="003B795C">
      <w:r>
        <w:t xml:space="preserve">Ενδιαφέρον </w:t>
      </w:r>
      <w:r w:rsidR="007402B4">
        <w:t xml:space="preserve">παρουσιάζει, </w:t>
      </w:r>
      <w:r>
        <w:t xml:space="preserve">στο σημείο </w:t>
      </w:r>
      <w:r w:rsidR="00421E3C">
        <w:t>αυτό</w:t>
      </w:r>
      <w:r w:rsidR="007402B4">
        <w:t xml:space="preserve">, </w:t>
      </w:r>
      <w:r w:rsidR="00421E3C">
        <w:t>η</w:t>
      </w:r>
      <w:r>
        <w:t xml:space="preserve"> νομολογία του Συμβουλίου της Επικρατείας, σύμφωνα με την οποία η </w:t>
      </w:r>
      <w:r w:rsidR="007402B4">
        <w:t>χορήγηση άδειας σε ένα κέντρο για την</w:t>
      </w:r>
      <w:r w:rsidR="00486294" w:rsidRPr="00390B86">
        <w:t xml:space="preserve"> άσκηση δραστηριότητας </w:t>
      </w:r>
      <w:r w:rsidR="00486294">
        <w:t>ιατρικά υποβοηθούμενης αναπαραγωγής</w:t>
      </w:r>
      <w:r w:rsidR="007402B4">
        <w:t xml:space="preserve"> </w:t>
      </w:r>
      <w:r w:rsidR="00486294">
        <w:t xml:space="preserve">– στην οποία περιλαμβάνεται ασφαλώς και η κρυοσυντήρηση γεννητικού υλικού ως μία εκ των προβλεπόμενων από τη νομοθεσία τεχνικών της – </w:t>
      </w:r>
      <w:r w:rsidR="00486294" w:rsidRPr="00390B86">
        <w:t xml:space="preserve">δεν έχει αναδρομική </w:t>
      </w:r>
      <w:r w:rsidR="007402B4" w:rsidRPr="00390B86">
        <w:t>ισχ</w:t>
      </w:r>
      <w:r w:rsidR="007402B4">
        <w:t>ύ</w:t>
      </w:r>
      <w:r w:rsidR="00BF0A56">
        <w:rPr>
          <w:rStyle w:val="FootnoteReference"/>
        </w:rPr>
        <w:footnoteReference w:id="259"/>
      </w:r>
      <w:r w:rsidR="00486294">
        <w:t xml:space="preserve">. </w:t>
      </w:r>
      <w:r w:rsidR="003B795C">
        <w:t xml:space="preserve">Πιο συγκεκριμένα, με την από 21 Ιανουαρίου 1994 απόφασή του, το Ανώτατο Διοικητικό Δικαστήριο της Γαλλίας έκρινε </w:t>
      </w:r>
      <w:r w:rsidR="007402B4" w:rsidRPr="007402B4">
        <w:rPr>
          <w:i/>
          <w:lang w:val="en-US"/>
        </w:rPr>
        <w:t>inter alia</w:t>
      </w:r>
      <w:r w:rsidR="003B795C">
        <w:t xml:space="preserve">, κατόπιν προσφυγής σε αυτό της </w:t>
      </w:r>
      <w:r w:rsidR="003B795C" w:rsidRPr="00390B86">
        <w:t>Ομοσπονδία</w:t>
      </w:r>
      <w:r w:rsidR="003B795C">
        <w:t>ς</w:t>
      </w:r>
      <w:r w:rsidR="003B795C" w:rsidRPr="00390B86">
        <w:t xml:space="preserve"> της </w:t>
      </w:r>
      <w:r w:rsidR="003B795C">
        <w:t>ιατρικά υποβοηθούμενης αναπαραγωγής</w:t>
      </w:r>
      <w:r w:rsidR="003B795C" w:rsidRPr="00390B86">
        <w:t xml:space="preserve"> και </w:t>
      </w:r>
      <w:r w:rsidR="003B795C">
        <w:t>της</w:t>
      </w:r>
      <w:r w:rsidR="003B795C" w:rsidRPr="00390B86">
        <w:t xml:space="preserve"> Ομοσπονδία</w:t>
      </w:r>
      <w:r w:rsidR="003B795C">
        <w:t>ς</w:t>
      </w:r>
      <w:r w:rsidR="003B795C" w:rsidRPr="00390B86">
        <w:t xml:space="preserve"> των γενικών νοσοκομείων</w:t>
      </w:r>
      <w:r w:rsidR="003B795C">
        <w:t xml:space="preserve">, ότι η χορήγηση από τον Οργανισμό Βιοϊατρικής έγκρισης </w:t>
      </w:r>
      <w:r w:rsidR="007402B4">
        <w:t>για τη διενέργεια και εφαρμογή μεθόδων και τεχνικών</w:t>
      </w:r>
      <w:r w:rsidR="003B795C">
        <w:t xml:space="preserve"> ιατρικά υποβοηθούμενης αναπαραγωγής ισχύει μόνο για το μέλλον και σε καμία περίπτωση αναδρομικά. </w:t>
      </w:r>
    </w:p>
    <w:p w14:paraId="58041DAE" w14:textId="77777777" w:rsidR="00E56A49" w:rsidRDefault="00001CC8" w:rsidP="00001CC8">
      <w:r>
        <w:t>Από το 2006 έως το 2009, σύμφωνα με τις ετήσιες εκθέσεις των Κέντρων ιατρικά υποβοηθούμενης αναπαραγωγής που συγκεντρώνει ο Οργανισμός Βιοϊατρικής, 18.097 ασθενείς έκαναν χρήση της μεθόδου της συντήρησης σπερματοζωαρίων προκειμένου να διασφαλίσουν τη γονιμότητά τους και 1.161 προκειμένου να δωρίσουν το σπέρμα τους</w:t>
      </w:r>
      <w:r>
        <w:rPr>
          <w:rStyle w:val="FootnoteReference"/>
        </w:rPr>
        <w:footnoteReference w:id="260"/>
      </w:r>
      <w:r w:rsidR="00DD42DC">
        <w:t xml:space="preserve">. </w:t>
      </w:r>
    </w:p>
    <w:p w14:paraId="090A0B1F" w14:textId="7A2A5958" w:rsidR="00BA0480" w:rsidRDefault="00DD42DC" w:rsidP="0023213A">
      <w:r>
        <w:t xml:space="preserve">Το 2012, πραγματοποιήθηκαν 3.850 νέες </w:t>
      </w:r>
      <w:r w:rsidR="001D0B42">
        <w:t>κρυο</w:t>
      </w:r>
      <w:r>
        <w:t>συντηρήσεις σπερματοζωαρίων. Συνολικά, την 31</w:t>
      </w:r>
      <w:r w:rsidRPr="00855869">
        <w:rPr>
          <w:vertAlign w:val="superscript"/>
        </w:rPr>
        <w:t>η</w:t>
      </w:r>
      <w:r>
        <w:t xml:space="preserve"> Δεκεμβρίου </w:t>
      </w:r>
      <w:r w:rsidR="0094032F">
        <w:t>2012, 35.201 ασθενείς διέθεταν</w:t>
      </w:r>
      <w:r>
        <w:t xml:space="preserve"> κρυοσυντηρ</w:t>
      </w:r>
      <w:r w:rsidR="0094032F">
        <w:t>ούμενα σπερματοζωάρια</w:t>
      </w:r>
      <w:r w:rsidR="00BA0480">
        <w:t xml:space="preserve"> (Πίνακας </w:t>
      </w:r>
      <w:r w:rsidR="00BF783D">
        <w:t>11</w:t>
      </w:r>
      <w:r>
        <w:t xml:space="preserve">). </w:t>
      </w:r>
      <w:r w:rsidR="002A1E85">
        <w:t xml:space="preserve">Η χρήση, δε, των κρυοσυντηρημένων σπερματοζωαρίων στο πλαίσιο αυτό είχε ως συνέπεια τη διενέργεια 689 κύκλων ιατρικά υποβοηθούμενης αναπαραγωγής το 2012 και τη γέννηση 147 παιδιών. </w:t>
      </w:r>
    </w:p>
    <w:p w14:paraId="61594A66" w14:textId="7377E475" w:rsidR="005D6A02" w:rsidRPr="005D6A02" w:rsidRDefault="00BF783D" w:rsidP="0023213A">
      <w:pPr>
        <w:spacing w:before="240" w:after="240"/>
        <w:ind w:firstLine="0"/>
        <w:rPr>
          <w:b/>
        </w:rPr>
      </w:pPr>
      <w:r>
        <w:rPr>
          <w:b/>
        </w:rPr>
        <w:lastRenderedPageBreak/>
        <w:t>Πίνακας 11</w:t>
      </w:r>
      <w:r w:rsidR="005D6A02" w:rsidRPr="005D6A02">
        <w:rPr>
          <w:b/>
        </w:rPr>
        <w:t xml:space="preserve">. Διασφάλιση γονιμότητας: συντήρηση γαμετών </w:t>
      </w:r>
      <w:r w:rsidR="006201BF">
        <w:rPr>
          <w:b/>
        </w:rPr>
        <w:t>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6"/>
        <w:gridCol w:w="1384"/>
      </w:tblGrid>
      <w:tr w:rsidR="005D6A02" w14:paraId="6B2ED632" w14:textId="77777777" w:rsidTr="007F1E59">
        <w:tc>
          <w:tcPr>
            <w:tcW w:w="8046" w:type="dxa"/>
            <w:tcBorders>
              <w:bottom w:val="single" w:sz="4" w:space="0" w:color="auto"/>
            </w:tcBorders>
            <w:shd w:val="clear" w:color="auto" w:fill="auto"/>
          </w:tcPr>
          <w:p w14:paraId="3988165A" w14:textId="77777777" w:rsidR="005D6A02" w:rsidRPr="007F1E59" w:rsidRDefault="005D6A02" w:rsidP="007F1E59">
            <w:pPr>
              <w:spacing w:before="40" w:after="40" w:line="240" w:lineRule="auto"/>
              <w:ind w:firstLine="0"/>
              <w:rPr>
                <w:rFonts w:eastAsia="Calibri"/>
                <w:sz w:val="22"/>
                <w:szCs w:val="22"/>
              </w:rPr>
            </w:pPr>
          </w:p>
        </w:tc>
        <w:tc>
          <w:tcPr>
            <w:tcW w:w="1384" w:type="dxa"/>
            <w:tcBorders>
              <w:bottom w:val="single" w:sz="4" w:space="0" w:color="auto"/>
            </w:tcBorders>
            <w:shd w:val="clear" w:color="auto" w:fill="auto"/>
          </w:tcPr>
          <w:p w14:paraId="34CE58BB" w14:textId="77777777" w:rsidR="005D6A02" w:rsidRPr="007F1E59" w:rsidRDefault="005D6A02" w:rsidP="007F1E59">
            <w:pPr>
              <w:spacing w:before="40" w:after="40" w:line="240" w:lineRule="auto"/>
              <w:ind w:firstLine="0"/>
              <w:jc w:val="right"/>
              <w:rPr>
                <w:rFonts w:eastAsia="Calibri"/>
                <w:b/>
                <w:sz w:val="22"/>
                <w:szCs w:val="22"/>
              </w:rPr>
            </w:pPr>
            <w:r w:rsidRPr="007F1E59">
              <w:rPr>
                <w:rFonts w:eastAsia="Calibri"/>
                <w:b/>
                <w:sz w:val="22"/>
                <w:szCs w:val="22"/>
              </w:rPr>
              <w:t>2012</w:t>
            </w:r>
          </w:p>
        </w:tc>
      </w:tr>
      <w:tr w:rsidR="005D6A02" w14:paraId="619C6E27" w14:textId="77777777" w:rsidTr="007F1E59">
        <w:tc>
          <w:tcPr>
            <w:tcW w:w="8046" w:type="dxa"/>
            <w:shd w:val="pct15" w:color="auto" w:fill="auto"/>
          </w:tcPr>
          <w:p w14:paraId="7EDC3B50" w14:textId="77777777" w:rsidR="005D6A02" w:rsidRPr="007F1E59" w:rsidRDefault="00F02C95" w:rsidP="00421E3C">
            <w:pPr>
              <w:spacing w:before="40" w:after="40" w:line="240" w:lineRule="auto"/>
              <w:ind w:firstLine="0"/>
              <w:jc w:val="left"/>
              <w:rPr>
                <w:rFonts w:eastAsia="Calibri"/>
                <w:b/>
                <w:sz w:val="22"/>
                <w:szCs w:val="22"/>
              </w:rPr>
            </w:pPr>
            <w:r w:rsidRPr="007F1E59">
              <w:rPr>
                <w:rFonts w:eastAsia="Calibri"/>
                <w:b/>
                <w:sz w:val="22"/>
                <w:szCs w:val="22"/>
              </w:rPr>
              <w:t>Σπερματοζωάρια</w:t>
            </w:r>
          </w:p>
        </w:tc>
        <w:tc>
          <w:tcPr>
            <w:tcW w:w="1384" w:type="dxa"/>
            <w:shd w:val="pct15" w:color="auto" w:fill="auto"/>
          </w:tcPr>
          <w:p w14:paraId="61DC75B4" w14:textId="77777777" w:rsidR="005D6A02" w:rsidRPr="007F1E59" w:rsidRDefault="005D6A02" w:rsidP="007F1E59">
            <w:pPr>
              <w:spacing w:before="40" w:after="40" w:line="240" w:lineRule="auto"/>
              <w:ind w:firstLine="0"/>
              <w:rPr>
                <w:rFonts w:eastAsia="Calibri"/>
                <w:sz w:val="22"/>
                <w:szCs w:val="22"/>
              </w:rPr>
            </w:pPr>
          </w:p>
        </w:tc>
      </w:tr>
      <w:tr w:rsidR="005D6A02" w14:paraId="05CE5EEA" w14:textId="77777777" w:rsidTr="007F1E59">
        <w:tc>
          <w:tcPr>
            <w:tcW w:w="8046" w:type="dxa"/>
            <w:shd w:val="clear" w:color="auto" w:fill="auto"/>
          </w:tcPr>
          <w:p w14:paraId="493AC05C" w14:textId="77777777" w:rsidR="005D6A02" w:rsidRPr="007F1E59" w:rsidRDefault="00F02C95" w:rsidP="00421E3C">
            <w:pPr>
              <w:spacing w:before="40" w:after="40" w:line="240" w:lineRule="auto"/>
              <w:ind w:firstLine="0"/>
              <w:jc w:val="left"/>
              <w:rPr>
                <w:rFonts w:eastAsia="Calibri"/>
                <w:sz w:val="22"/>
                <w:szCs w:val="22"/>
              </w:rPr>
            </w:pPr>
            <w:r w:rsidRPr="007F1E59">
              <w:rPr>
                <w:rFonts w:eastAsia="Calibri"/>
                <w:sz w:val="22"/>
                <w:szCs w:val="22"/>
              </w:rPr>
              <w:t>Αριθμός εξειδικευμένων και εξουσιοδοτημένων κέντρων ιατρικά υποβοηθούμενης αναπαραγωγής</w:t>
            </w:r>
          </w:p>
        </w:tc>
        <w:tc>
          <w:tcPr>
            <w:tcW w:w="1384" w:type="dxa"/>
            <w:shd w:val="clear" w:color="auto" w:fill="auto"/>
          </w:tcPr>
          <w:p w14:paraId="6DF25C5D" w14:textId="77777777" w:rsidR="005D6A02" w:rsidRPr="007F1E59" w:rsidRDefault="00F02C95" w:rsidP="007F1E59">
            <w:pPr>
              <w:spacing w:after="40" w:line="240" w:lineRule="auto"/>
              <w:ind w:firstLine="0"/>
              <w:jc w:val="right"/>
              <w:rPr>
                <w:rFonts w:eastAsia="Calibri"/>
                <w:sz w:val="22"/>
                <w:szCs w:val="22"/>
              </w:rPr>
            </w:pPr>
            <w:r w:rsidRPr="007F1E59">
              <w:rPr>
                <w:rFonts w:eastAsia="Calibri"/>
                <w:sz w:val="22"/>
                <w:szCs w:val="22"/>
              </w:rPr>
              <w:t>46</w:t>
            </w:r>
          </w:p>
        </w:tc>
      </w:tr>
      <w:tr w:rsidR="005D6A02" w14:paraId="35C6BB3B" w14:textId="77777777" w:rsidTr="007F1E59">
        <w:tc>
          <w:tcPr>
            <w:tcW w:w="8046" w:type="dxa"/>
            <w:shd w:val="clear" w:color="auto" w:fill="auto"/>
          </w:tcPr>
          <w:p w14:paraId="591BE5B0" w14:textId="77777777" w:rsidR="005D6A02" w:rsidRPr="007F1E59" w:rsidRDefault="00F02C95" w:rsidP="00421E3C">
            <w:pPr>
              <w:spacing w:before="40" w:after="40" w:line="240" w:lineRule="auto"/>
              <w:ind w:firstLine="0"/>
              <w:jc w:val="left"/>
              <w:rPr>
                <w:rFonts w:eastAsia="Calibri"/>
                <w:sz w:val="22"/>
                <w:szCs w:val="22"/>
              </w:rPr>
            </w:pPr>
            <w:r w:rsidRPr="007F1E59">
              <w:rPr>
                <w:rFonts w:eastAsia="Calibri"/>
                <w:sz w:val="22"/>
                <w:szCs w:val="22"/>
              </w:rPr>
              <w:t>Νέες κρυοσυντηρήσεις (ασθενείς)</w:t>
            </w:r>
          </w:p>
        </w:tc>
        <w:tc>
          <w:tcPr>
            <w:tcW w:w="1384" w:type="dxa"/>
            <w:shd w:val="clear" w:color="auto" w:fill="auto"/>
          </w:tcPr>
          <w:p w14:paraId="1E4770FF" w14:textId="77777777" w:rsidR="005D6A02" w:rsidRPr="007F1E59" w:rsidRDefault="00F02C95" w:rsidP="007F1E59">
            <w:pPr>
              <w:spacing w:before="40" w:after="40" w:line="240" w:lineRule="auto"/>
              <w:ind w:firstLine="0"/>
              <w:jc w:val="right"/>
              <w:rPr>
                <w:rFonts w:eastAsia="Calibri"/>
                <w:sz w:val="22"/>
                <w:szCs w:val="22"/>
              </w:rPr>
            </w:pPr>
            <w:r w:rsidRPr="007F1E59">
              <w:rPr>
                <w:rFonts w:eastAsia="Calibri"/>
                <w:sz w:val="22"/>
                <w:szCs w:val="22"/>
              </w:rPr>
              <w:t>3.850</w:t>
            </w:r>
          </w:p>
        </w:tc>
      </w:tr>
      <w:tr w:rsidR="005D6A02" w14:paraId="1F1E5FCB" w14:textId="77777777" w:rsidTr="007F1E59">
        <w:trPr>
          <w:trHeight w:val="208"/>
        </w:trPr>
        <w:tc>
          <w:tcPr>
            <w:tcW w:w="8046" w:type="dxa"/>
            <w:tcBorders>
              <w:bottom w:val="single" w:sz="4" w:space="0" w:color="auto"/>
            </w:tcBorders>
            <w:shd w:val="clear" w:color="auto" w:fill="auto"/>
          </w:tcPr>
          <w:p w14:paraId="2409A30C" w14:textId="77777777" w:rsidR="005D6A02" w:rsidRPr="007F1E59" w:rsidRDefault="00F02C95" w:rsidP="00421E3C">
            <w:pPr>
              <w:spacing w:before="40" w:after="40" w:line="240" w:lineRule="auto"/>
              <w:ind w:firstLine="0"/>
              <w:jc w:val="left"/>
              <w:rPr>
                <w:rFonts w:eastAsia="Calibri"/>
                <w:sz w:val="22"/>
                <w:szCs w:val="22"/>
              </w:rPr>
            </w:pPr>
            <w:r w:rsidRPr="007F1E59">
              <w:rPr>
                <w:rFonts w:eastAsia="Calibri"/>
                <w:sz w:val="22"/>
                <w:szCs w:val="22"/>
              </w:rPr>
              <w:t>Κρυοσυντηρήσεις την 31</w:t>
            </w:r>
            <w:r w:rsidRPr="007F1E59">
              <w:rPr>
                <w:rFonts w:eastAsia="Calibri"/>
                <w:sz w:val="22"/>
                <w:szCs w:val="22"/>
                <w:vertAlign w:val="superscript"/>
              </w:rPr>
              <w:t>η</w:t>
            </w:r>
            <w:r w:rsidRPr="007F1E59">
              <w:rPr>
                <w:rFonts w:eastAsia="Calibri"/>
                <w:sz w:val="22"/>
                <w:szCs w:val="22"/>
              </w:rPr>
              <w:t xml:space="preserve"> Δεκεμβρίου (ασθενείς)</w:t>
            </w:r>
          </w:p>
        </w:tc>
        <w:tc>
          <w:tcPr>
            <w:tcW w:w="1384" w:type="dxa"/>
            <w:tcBorders>
              <w:bottom w:val="single" w:sz="4" w:space="0" w:color="auto"/>
            </w:tcBorders>
            <w:shd w:val="clear" w:color="auto" w:fill="auto"/>
          </w:tcPr>
          <w:p w14:paraId="20C0CA52" w14:textId="77777777" w:rsidR="005D6A02" w:rsidRPr="007F1E59" w:rsidRDefault="00F02C95" w:rsidP="007F1E59">
            <w:pPr>
              <w:spacing w:before="40" w:after="40" w:line="240" w:lineRule="auto"/>
              <w:ind w:firstLine="0"/>
              <w:jc w:val="right"/>
              <w:rPr>
                <w:rFonts w:eastAsia="Calibri"/>
                <w:sz w:val="22"/>
                <w:szCs w:val="22"/>
              </w:rPr>
            </w:pPr>
            <w:r w:rsidRPr="007F1E59">
              <w:rPr>
                <w:rFonts w:eastAsia="Calibri"/>
                <w:sz w:val="22"/>
                <w:szCs w:val="22"/>
              </w:rPr>
              <w:t>35.201</w:t>
            </w:r>
          </w:p>
        </w:tc>
      </w:tr>
      <w:tr w:rsidR="007D7F42" w14:paraId="1CAB7280" w14:textId="77777777" w:rsidTr="007F1E59">
        <w:trPr>
          <w:trHeight w:val="208"/>
        </w:trPr>
        <w:tc>
          <w:tcPr>
            <w:tcW w:w="9430" w:type="dxa"/>
            <w:gridSpan w:val="2"/>
            <w:shd w:val="pct15" w:color="auto" w:fill="auto"/>
          </w:tcPr>
          <w:p w14:paraId="6B4DA478" w14:textId="77777777" w:rsidR="007D7F42" w:rsidRPr="007F1E59" w:rsidRDefault="007D7F42" w:rsidP="00421E3C">
            <w:pPr>
              <w:spacing w:before="40" w:after="40"/>
              <w:ind w:firstLine="0"/>
              <w:jc w:val="left"/>
              <w:rPr>
                <w:rFonts w:eastAsia="Calibri"/>
                <w:b/>
                <w:sz w:val="22"/>
                <w:szCs w:val="22"/>
              </w:rPr>
            </w:pPr>
            <w:r w:rsidRPr="007F1E59">
              <w:rPr>
                <w:rFonts w:eastAsia="Calibri"/>
                <w:b/>
                <w:sz w:val="22"/>
                <w:szCs w:val="22"/>
              </w:rPr>
              <w:t>Κρυοσυντήρηση σπερματοζωαρίων με σκοπό την προσφυγή σε ΙΥΑ</w:t>
            </w:r>
          </w:p>
        </w:tc>
      </w:tr>
      <w:tr w:rsidR="007D7F42" w14:paraId="7973EB73" w14:textId="77777777" w:rsidTr="007F1E59">
        <w:trPr>
          <w:trHeight w:val="220"/>
        </w:trPr>
        <w:tc>
          <w:tcPr>
            <w:tcW w:w="8046" w:type="dxa"/>
            <w:shd w:val="clear" w:color="auto" w:fill="auto"/>
          </w:tcPr>
          <w:p w14:paraId="78546958" w14:textId="77777777" w:rsidR="007D7F42" w:rsidRPr="007F1E59" w:rsidRDefault="007D7F42" w:rsidP="00421E3C">
            <w:pPr>
              <w:spacing w:before="40" w:after="40"/>
              <w:ind w:firstLine="0"/>
              <w:jc w:val="left"/>
              <w:rPr>
                <w:rFonts w:eastAsia="Calibri"/>
                <w:b/>
                <w:sz w:val="22"/>
                <w:szCs w:val="22"/>
              </w:rPr>
            </w:pPr>
            <w:r w:rsidRPr="007F1E59">
              <w:rPr>
                <w:rFonts w:eastAsia="Calibri"/>
                <w:b/>
                <w:sz w:val="22"/>
                <w:szCs w:val="22"/>
              </w:rPr>
              <w:t>Κρυοσυντηρήσεις</w:t>
            </w:r>
          </w:p>
        </w:tc>
        <w:tc>
          <w:tcPr>
            <w:tcW w:w="1384" w:type="dxa"/>
            <w:shd w:val="clear" w:color="auto" w:fill="auto"/>
          </w:tcPr>
          <w:p w14:paraId="595A54CC" w14:textId="77777777" w:rsidR="007D7F42" w:rsidRPr="007F1E59" w:rsidRDefault="007D7F42" w:rsidP="007F1E59">
            <w:pPr>
              <w:spacing w:before="40" w:after="40"/>
              <w:jc w:val="right"/>
              <w:rPr>
                <w:rFonts w:eastAsia="Calibri"/>
                <w:sz w:val="22"/>
                <w:szCs w:val="22"/>
              </w:rPr>
            </w:pPr>
          </w:p>
        </w:tc>
      </w:tr>
      <w:tr w:rsidR="00F53302" w14:paraId="2C52B700" w14:textId="77777777" w:rsidTr="007F1E59">
        <w:trPr>
          <w:trHeight w:val="111"/>
        </w:trPr>
        <w:tc>
          <w:tcPr>
            <w:tcW w:w="8046" w:type="dxa"/>
            <w:shd w:val="clear" w:color="auto" w:fill="auto"/>
          </w:tcPr>
          <w:p w14:paraId="6F1C96B5" w14:textId="77777777" w:rsidR="00F53302" w:rsidRPr="007F1E59" w:rsidRDefault="007D7F42" w:rsidP="00421E3C">
            <w:pPr>
              <w:spacing w:before="40" w:after="40"/>
              <w:ind w:firstLine="0"/>
              <w:jc w:val="left"/>
              <w:rPr>
                <w:rFonts w:eastAsia="Calibri"/>
                <w:b/>
                <w:sz w:val="22"/>
                <w:szCs w:val="22"/>
              </w:rPr>
            </w:pPr>
            <w:r w:rsidRPr="007F1E59">
              <w:rPr>
                <w:rFonts w:eastAsia="Calibri"/>
                <w:b/>
                <w:sz w:val="22"/>
                <w:szCs w:val="22"/>
              </w:rPr>
              <w:t>Νέες κρυοσυντηρήσεις που διενεργήθηκαν μέσα στη χρονιά</w:t>
            </w:r>
          </w:p>
        </w:tc>
        <w:tc>
          <w:tcPr>
            <w:tcW w:w="1384" w:type="dxa"/>
            <w:shd w:val="clear" w:color="auto" w:fill="auto"/>
          </w:tcPr>
          <w:p w14:paraId="36CE8861" w14:textId="77777777" w:rsidR="00F53302" w:rsidRPr="007F1E59" w:rsidRDefault="00F53302" w:rsidP="007F1E59">
            <w:pPr>
              <w:spacing w:before="40" w:after="40"/>
              <w:jc w:val="right"/>
              <w:rPr>
                <w:rFonts w:eastAsia="Calibri"/>
                <w:sz w:val="22"/>
                <w:szCs w:val="22"/>
              </w:rPr>
            </w:pPr>
          </w:p>
        </w:tc>
      </w:tr>
      <w:tr w:rsidR="00F53302" w14:paraId="400ADCBA" w14:textId="77777777" w:rsidTr="007F1E59">
        <w:trPr>
          <w:trHeight w:val="208"/>
        </w:trPr>
        <w:tc>
          <w:tcPr>
            <w:tcW w:w="8046" w:type="dxa"/>
            <w:shd w:val="clear" w:color="auto" w:fill="auto"/>
          </w:tcPr>
          <w:p w14:paraId="7C433298" w14:textId="77777777" w:rsidR="00F53302" w:rsidRPr="007F1E59" w:rsidRDefault="007D7F42" w:rsidP="00421E3C">
            <w:pPr>
              <w:spacing w:before="40" w:after="40"/>
              <w:ind w:firstLine="0"/>
              <w:jc w:val="left"/>
              <w:rPr>
                <w:rFonts w:eastAsia="Calibri"/>
                <w:sz w:val="22"/>
                <w:szCs w:val="22"/>
              </w:rPr>
            </w:pPr>
            <w:r w:rsidRPr="007F1E59">
              <w:rPr>
                <w:rFonts w:eastAsia="Calibri"/>
                <w:sz w:val="22"/>
                <w:szCs w:val="22"/>
              </w:rPr>
              <w:t xml:space="preserve">Ασθενείς </w:t>
            </w:r>
          </w:p>
        </w:tc>
        <w:tc>
          <w:tcPr>
            <w:tcW w:w="1384" w:type="dxa"/>
            <w:shd w:val="clear" w:color="auto" w:fill="auto"/>
          </w:tcPr>
          <w:p w14:paraId="38F8E8E1" w14:textId="77777777" w:rsidR="00F53302" w:rsidRPr="007F1E59" w:rsidRDefault="007D7F42" w:rsidP="007F1E59">
            <w:pPr>
              <w:spacing w:before="40" w:after="40"/>
              <w:ind w:firstLine="0"/>
              <w:jc w:val="right"/>
              <w:rPr>
                <w:rFonts w:eastAsia="Calibri"/>
                <w:sz w:val="22"/>
                <w:szCs w:val="22"/>
              </w:rPr>
            </w:pPr>
            <w:r w:rsidRPr="007F1E59">
              <w:rPr>
                <w:rFonts w:eastAsia="Calibri"/>
                <w:sz w:val="22"/>
                <w:szCs w:val="22"/>
              </w:rPr>
              <w:t>5.743</w:t>
            </w:r>
          </w:p>
        </w:tc>
      </w:tr>
      <w:tr w:rsidR="00F53302" w14:paraId="5FE04415" w14:textId="77777777" w:rsidTr="007F1E59">
        <w:trPr>
          <w:trHeight w:val="293"/>
        </w:trPr>
        <w:tc>
          <w:tcPr>
            <w:tcW w:w="8046" w:type="dxa"/>
            <w:shd w:val="clear" w:color="auto" w:fill="auto"/>
          </w:tcPr>
          <w:p w14:paraId="7BC28F01" w14:textId="77777777" w:rsidR="00F53302" w:rsidRPr="007F1E59" w:rsidRDefault="007D7F42" w:rsidP="00421E3C">
            <w:pPr>
              <w:spacing w:before="40" w:after="40"/>
              <w:ind w:firstLine="0"/>
              <w:jc w:val="left"/>
              <w:rPr>
                <w:rFonts w:eastAsia="Calibri"/>
                <w:b/>
                <w:sz w:val="22"/>
                <w:szCs w:val="22"/>
              </w:rPr>
            </w:pPr>
            <w:r w:rsidRPr="007F1E59">
              <w:rPr>
                <w:rFonts w:eastAsia="Calibri"/>
                <w:b/>
                <w:sz w:val="22"/>
                <w:szCs w:val="22"/>
              </w:rPr>
              <w:t>Κρυοσυντηρήσεις την 31</w:t>
            </w:r>
            <w:r w:rsidRPr="007F1E59">
              <w:rPr>
                <w:rFonts w:eastAsia="Calibri"/>
                <w:b/>
                <w:sz w:val="22"/>
                <w:szCs w:val="22"/>
                <w:vertAlign w:val="superscript"/>
              </w:rPr>
              <w:t>η</w:t>
            </w:r>
            <w:r w:rsidRPr="007F1E59">
              <w:rPr>
                <w:rFonts w:eastAsia="Calibri"/>
                <w:b/>
                <w:sz w:val="22"/>
                <w:szCs w:val="22"/>
              </w:rPr>
              <w:t xml:space="preserve"> Δεκεμβρίου </w:t>
            </w:r>
          </w:p>
        </w:tc>
        <w:tc>
          <w:tcPr>
            <w:tcW w:w="1384" w:type="dxa"/>
            <w:shd w:val="clear" w:color="auto" w:fill="auto"/>
          </w:tcPr>
          <w:p w14:paraId="71F5057B" w14:textId="77777777" w:rsidR="00F53302" w:rsidRPr="007F1E59" w:rsidRDefault="00F53302" w:rsidP="007F1E59">
            <w:pPr>
              <w:spacing w:before="40" w:after="40"/>
              <w:jc w:val="right"/>
              <w:rPr>
                <w:rFonts w:eastAsia="Calibri"/>
                <w:sz w:val="22"/>
                <w:szCs w:val="22"/>
              </w:rPr>
            </w:pPr>
          </w:p>
        </w:tc>
      </w:tr>
      <w:tr w:rsidR="00F53302" w14:paraId="5A88C847" w14:textId="77777777" w:rsidTr="007F1E59">
        <w:trPr>
          <w:trHeight w:val="208"/>
        </w:trPr>
        <w:tc>
          <w:tcPr>
            <w:tcW w:w="8046" w:type="dxa"/>
            <w:shd w:val="clear" w:color="auto" w:fill="auto"/>
          </w:tcPr>
          <w:p w14:paraId="39A0B1F8" w14:textId="77777777" w:rsidR="00F53302" w:rsidRPr="00421E3C" w:rsidRDefault="007D7F42" w:rsidP="00421E3C">
            <w:pPr>
              <w:spacing w:before="40" w:after="40"/>
              <w:ind w:firstLine="0"/>
              <w:jc w:val="left"/>
              <w:rPr>
                <w:rFonts w:eastAsia="Calibri"/>
                <w:sz w:val="22"/>
                <w:szCs w:val="22"/>
              </w:rPr>
            </w:pPr>
            <w:r w:rsidRPr="00421E3C">
              <w:rPr>
                <w:rFonts w:eastAsia="Calibri"/>
                <w:sz w:val="22"/>
                <w:szCs w:val="22"/>
              </w:rPr>
              <w:t xml:space="preserve">Ασθενείς </w:t>
            </w:r>
          </w:p>
        </w:tc>
        <w:tc>
          <w:tcPr>
            <w:tcW w:w="1384" w:type="dxa"/>
            <w:shd w:val="clear" w:color="auto" w:fill="auto"/>
          </w:tcPr>
          <w:p w14:paraId="64D856DA" w14:textId="77777777" w:rsidR="00F53302" w:rsidRPr="007F1E59" w:rsidRDefault="007D7F42" w:rsidP="007F1E59">
            <w:pPr>
              <w:spacing w:before="40" w:after="40"/>
              <w:ind w:firstLine="0"/>
              <w:jc w:val="right"/>
              <w:rPr>
                <w:rFonts w:eastAsia="Calibri"/>
                <w:sz w:val="22"/>
                <w:szCs w:val="22"/>
              </w:rPr>
            </w:pPr>
            <w:r w:rsidRPr="007F1E59">
              <w:rPr>
                <w:rFonts w:eastAsia="Calibri"/>
                <w:sz w:val="22"/>
                <w:szCs w:val="22"/>
              </w:rPr>
              <w:t>36.241</w:t>
            </w:r>
          </w:p>
        </w:tc>
      </w:tr>
      <w:tr w:rsidR="00F53302" w14:paraId="068100F9" w14:textId="77777777" w:rsidTr="007F1E59">
        <w:trPr>
          <w:trHeight w:val="220"/>
        </w:trPr>
        <w:tc>
          <w:tcPr>
            <w:tcW w:w="8046" w:type="dxa"/>
            <w:shd w:val="clear" w:color="auto" w:fill="auto"/>
          </w:tcPr>
          <w:p w14:paraId="4C7838E3" w14:textId="55A8FE14" w:rsidR="00F53302" w:rsidRPr="00421E3C" w:rsidRDefault="00421E3C" w:rsidP="00421E3C">
            <w:pPr>
              <w:spacing w:before="40" w:after="40"/>
              <w:ind w:firstLine="0"/>
              <w:jc w:val="left"/>
              <w:rPr>
                <w:rFonts w:eastAsia="Calibri"/>
                <w:sz w:val="22"/>
                <w:szCs w:val="22"/>
              </w:rPr>
            </w:pPr>
            <w:r w:rsidRPr="00421E3C">
              <w:rPr>
                <w:rFonts w:eastAsia="Calibri"/>
                <w:sz w:val="22"/>
                <w:szCs w:val="22"/>
              </w:rPr>
              <w:t xml:space="preserve">Αποθηκευτικές θήκες </w:t>
            </w:r>
            <w:r>
              <w:rPr>
                <w:rFonts w:eastAsia="Calibri"/>
                <w:sz w:val="22"/>
                <w:szCs w:val="22"/>
              </w:rPr>
              <w:t>(</w:t>
            </w:r>
            <w:r w:rsidRPr="00421E3C">
              <w:rPr>
                <w:i/>
                <w:sz w:val="22"/>
                <w:szCs w:val="22"/>
              </w:rPr>
              <w:t>paillettes de sperme</w:t>
            </w:r>
            <w:r>
              <w:rPr>
                <w:sz w:val="22"/>
                <w:szCs w:val="22"/>
              </w:rPr>
              <w:t>)</w:t>
            </w:r>
          </w:p>
        </w:tc>
        <w:tc>
          <w:tcPr>
            <w:tcW w:w="1384" w:type="dxa"/>
            <w:shd w:val="clear" w:color="auto" w:fill="auto"/>
          </w:tcPr>
          <w:p w14:paraId="3B2B484A" w14:textId="77777777" w:rsidR="00F53302" w:rsidRPr="007F1E59" w:rsidRDefault="007D7F42" w:rsidP="007F1E59">
            <w:pPr>
              <w:spacing w:before="40" w:after="40"/>
              <w:ind w:firstLine="34"/>
              <w:jc w:val="right"/>
              <w:rPr>
                <w:rFonts w:eastAsia="Calibri"/>
                <w:sz w:val="22"/>
                <w:szCs w:val="22"/>
              </w:rPr>
            </w:pPr>
            <w:r w:rsidRPr="007F1E59">
              <w:rPr>
                <w:rFonts w:eastAsia="Calibri"/>
                <w:sz w:val="22"/>
                <w:szCs w:val="22"/>
              </w:rPr>
              <w:t>340.313</w:t>
            </w:r>
          </w:p>
        </w:tc>
      </w:tr>
    </w:tbl>
    <w:p w14:paraId="42476BCA" w14:textId="3E3AAE1D" w:rsidR="00DD42DC" w:rsidRDefault="00B41FF5" w:rsidP="0023213A">
      <w:pPr>
        <w:spacing w:before="240"/>
      </w:pPr>
      <w:r>
        <w:t xml:space="preserve">Τέλος, σημειώνεται ότι ο γάλλος νομοθέτης δεν προβλέπει μέγιστη </w:t>
      </w:r>
      <w:r w:rsidR="00667603">
        <w:t>διάρκεια</w:t>
      </w:r>
      <w:r>
        <w:t xml:space="preserve"> κρυοσυντήρησης του σπέρματος, γεγονός που σημαίνει ότι θεωρητικά μπορεί να συντηρηθεί για όσο χρονικό</w:t>
      </w:r>
      <w:r w:rsidR="00DD32B4">
        <w:t xml:space="preserve"> διάστημα το επιθυμεί </w:t>
      </w:r>
      <w:r w:rsidR="00AD4FED">
        <w:t>το υποβοηθούμενο πρόσωπο. Κάθε χρόνο, το υποβοηθούμενο πρόσωπο</w:t>
      </w:r>
      <w:r w:rsidR="00DD32B4">
        <w:t xml:space="preserve"> λαμβάνει από την Τράπεζα σπέρματος μια επιστολή που του ζητάει να επιβεβαιώσει τη βούλησή του να συνεχίσει την κρυοσυντήρηση των σπερματοζωαρίων του. Σε περίπτωση αλλαγής διεύθυνσης, μάλιστα, είναι πολύ σημαντικό να γνωστοποιεί την καινούργια του διεύθυνση στην Τράπεζα σπέρματος. </w:t>
      </w:r>
    </w:p>
    <w:p w14:paraId="48FEEEF0" w14:textId="005CC562" w:rsidR="00DD32B4" w:rsidRDefault="00DD32B4" w:rsidP="00DD32B4">
      <w:pPr>
        <w:rPr>
          <w:rFonts w:eastAsia="Calibri"/>
        </w:rPr>
      </w:pPr>
      <w:bookmarkStart w:id="148" w:name="ΟΔηγός"/>
      <w:r>
        <w:t xml:space="preserve">Πιο συγκεκριμένα, ο </w:t>
      </w:r>
      <w:r w:rsidRPr="00DD32B4">
        <w:rPr>
          <w:b/>
        </w:rPr>
        <w:t>Οδηγός καλών κλινικών και βιολογικών πρακτικών στην ιατρικά υποβηθούμενη αναπαραγωγή</w:t>
      </w:r>
      <w:r w:rsidR="00667603">
        <w:t xml:space="preserve"> ορίζει, στο κεφάλαιο ΙΙΙ.4: </w:t>
      </w:r>
      <w:r w:rsidRPr="00DD32B4">
        <w:rPr>
          <w:i/>
        </w:rPr>
        <w:t>Συντήρηση γαμετών και εμβρυικών ιστών για ίδια χρήση</w:t>
      </w:r>
      <w:r>
        <w:t xml:space="preserve">, ΙΙΙ.4.1: </w:t>
      </w:r>
      <w:r w:rsidRPr="00DD32B4">
        <w:rPr>
          <w:i/>
        </w:rPr>
        <w:t>Πληροφόρηση και συναίνεση</w:t>
      </w:r>
      <w:r>
        <w:t xml:space="preserve">, ότι </w:t>
      </w:r>
      <w:r w:rsidR="00293683">
        <w:t>«</w:t>
      </w:r>
      <w:r>
        <w:t>κάθε πρόσωπο που πρέπει να υποστεί μια θεραπεία που</w:t>
      </w:r>
      <w:r w:rsidRPr="00123CB8">
        <w:rPr>
          <w:rFonts w:eastAsia="Calibri"/>
        </w:rPr>
        <w:t xml:space="preserve"> επισύρει </w:t>
      </w:r>
      <w:r w:rsidRPr="004439A8">
        <w:rPr>
          <w:rFonts w:eastAsia="Calibri"/>
        </w:rPr>
        <w:t>κίνδυνο</w:t>
      </w:r>
      <w:r w:rsidRPr="00123CB8">
        <w:rPr>
          <w:rFonts w:eastAsia="Calibri"/>
        </w:rPr>
        <w:t xml:space="preserve"> στειρότητας </w:t>
      </w:r>
      <w:r>
        <w:rPr>
          <w:rFonts w:eastAsia="Calibri"/>
        </w:rPr>
        <w:t xml:space="preserve">έχει πρόσβαση σε πληροφορίες που αφορούν στις δυνατότητες συντήρησης γαμετών ή εμβρυικού ιστού. Εφόσον η συντήρηση διενεργείται σε πλαίσιο παθολογίας που θέτει σε κίνδυνο τη ζωή του, ο ασθενής λαμβάνει συγκεκριμένη και στοχευμένη πληροφόρηση. </w:t>
      </w:r>
    </w:p>
    <w:p w14:paraId="77213CC2" w14:textId="77777777" w:rsidR="00DD32B4" w:rsidRDefault="00E508CD" w:rsidP="008055E6">
      <w:pPr>
        <w:rPr>
          <w:lang w:val="en-US" w:eastAsia="en-US"/>
        </w:rPr>
      </w:pPr>
      <w:r>
        <w:rPr>
          <w:rFonts w:eastAsia="Calibri"/>
        </w:rPr>
        <w:t xml:space="preserve">Ο ασθενής, </w:t>
      </w:r>
      <w:r w:rsidR="0072586C">
        <w:rPr>
          <w:rFonts w:eastAsia="Calibri"/>
        </w:rPr>
        <w:t xml:space="preserve">ο κηδεμόνας </w:t>
      </w:r>
      <w:r w:rsidR="0072586C" w:rsidRPr="00E508CD">
        <w:rPr>
          <w:rFonts w:eastAsia="Calibri"/>
        </w:rPr>
        <w:t>του</w:t>
      </w:r>
      <w:r w:rsidR="008055E6" w:rsidRPr="00E508CD">
        <w:rPr>
          <w:rFonts w:eastAsia="Calibri"/>
        </w:rPr>
        <w:t xml:space="preserve">, αν πρόκειται </w:t>
      </w:r>
      <w:r w:rsidRPr="00E508CD">
        <w:rPr>
          <w:rFonts w:eastAsia="Calibri"/>
        </w:rPr>
        <w:t>για ανήλικο</w:t>
      </w:r>
      <w:r w:rsidR="008055E6" w:rsidRPr="00E508CD">
        <w:rPr>
          <w:rFonts w:eastAsia="Calibri"/>
        </w:rPr>
        <w:t xml:space="preserve"> ή </w:t>
      </w:r>
      <w:r w:rsidRPr="00E508CD">
        <w:rPr>
          <w:lang w:val="en-US" w:eastAsia="en-US"/>
        </w:rPr>
        <w:t>ο δικαστικός συμπαραστάτης του εάν το ενδιαφερόμενο πρόσωπο έχει υποβληθεί σε δικαστική συμπαράσταση</w:t>
      </w:r>
      <w:r w:rsidR="008055E6" w:rsidRPr="00E508CD">
        <w:rPr>
          <w:lang w:val="en-US" w:eastAsia="en-US"/>
        </w:rPr>
        <w:t>, παρέχει εγγράφως τη συναίνεσή του.</w:t>
      </w:r>
      <w:r w:rsidR="008055E6">
        <w:rPr>
          <w:lang w:val="en-US" w:eastAsia="en-US"/>
        </w:rPr>
        <w:t xml:space="preserve"> </w:t>
      </w:r>
    </w:p>
    <w:p w14:paraId="5124DAEF" w14:textId="77777777" w:rsidR="008055E6" w:rsidRDefault="008055E6" w:rsidP="008055E6">
      <w:pPr>
        <w:rPr>
          <w:lang w:val="en-US" w:eastAsia="en-US"/>
        </w:rPr>
      </w:pPr>
      <w:r>
        <w:rPr>
          <w:lang w:val="en-US" w:eastAsia="en-US"/>
        </w:rPr>
        <w:t xml:space="preserve">Η επιστροφή </w:t>
      </w:r>
      <w:r w:rsidR="00CA06E7">
        <w:rPr>
          <w:lang w:val="en-US" w:eastAsia="en-US"/>
        </w:rPr>
        <w:t xml:space="preserve">του </w:t>
      </w:r>
      <w:r w:rsidR="00BE476F">
        <w:rPr>
          <w:lang w:val="en-US" w:eastAsia="en-US"/>
        </w:rPr>
        <w:t>γεννητικού υλικού</w:t>
      </w:r>
      <w:r>
        <w:rPr>
          <w:lang w:val="en-US" w:eastAsia="en-US"/>
        </w:rPr>
        <w:t xml:space="preserve"> σε μεταγενέστερο χρονικό σημείο γίνεται μόνο στον ίδιο τον ασθενή. </w:t>
      </w:r>
    </w:p>
    <w:p w14:paraId="0DEFD16D" w14:textId="433F147F" w:rsidR="008055E6" w:rsidRDefault="008055E6" w:rsidP="008055E6">
      <w:pPr>
        <w:rPr>
          <w:lang w:val="en-US" w:eastAsia="en-US"/>
        </w:rPr>
      </w:pPr>
      <w:r>
        <w:rPr>
          <w:lang w:val="en-US" w:eastAsia="en-US"/>
        </w:rPr>
        <w:t>Μετά την πρώτη χρονιά συντήρησης, είναι αναγκαίο να επιβεβαιώνεται κάθε χρόνο η βούληση του ασθενούς να συνεχίσει ή όχι τη</w:t>
      </w:r>
      <w:r w:rsidR="00667603">
        <w:rPr>
          <w:lang w:val="en-US" w:eastAsia="en-US"/>
        </w:rPr>
        <w:t>ν</w:t>
      </w:r>
      <w:r>
        <w:rPr>
          <w:lang w:val="en-US" w:eastAsia="en-US"/>
        </w:rPr>
        <w:t xml:space="preserve"> </w:t>
      </w:r>
      <w:r w:rsidR="00667603">
        <w:rPr>
          <w:lang w:val="en-US" w:eastAsia="en-US"/>
        </w:rPr>
        <w:t>κρυο</w:t>
      </w:r>
      <w:r>
        <w:rPr>
          <w:lang w:val="en-US" w:eastAsia="en-US"/>
        </w:rPr>
        <w:t xml:space="preserve">συντήρηση. Μόνο ο ασθενής μπορεί να εκφράσει εγγράφως τη βούλησή του να συνεχίσει ή να θέσει τέρμα στην κρυοσυντήρηση </w:t>
      </w:r>
      <w:r w:rsidR="00F10DFE">
        <w:rPr>
          <w:lang w:val="en-US" w:eastAsia="en-US"/>
        </w:rPr>
        <w:t xml:space="preserve">του </w:t>
      </w:r>
      <w:r w:rsidR="00312EE2">
        <w:rPr>
          <w:lang w:val="en-US" w:eastAsia="en-US"/>
        </w:rPr>
        <w:lastRenderedPageBreak/>
        <w:t>γεννητικού</w:t>
      </w:r>
      <w:r>
        <w:rPr>
          <w:lang w:val="en-US" w:eastAsia="en-US"/>
        </w:rPr>
        <w:t xml:space="preserve"> του</w:t>
      </w:r>
      <w:r w:rsidR="00312EE2">
        <w:rPr>
          <w:lang w:val="en-US" w:eastAsia="en-US"/>
        </w:rPr>
        <w:t xml:space="preserve"> υλικού</w:t>
      </w:r>
      <w:r>
        <w:rPr>
          <w:lang w:val="en-US" w:eastAsia="en-US"/>
        </w:rPr>
        <w:t>. Σε περίπτωση θανάτου, τίθεται τέρμα στη συντήρηση των γαμετών ή των εμβρυικών ιστών</w:t>
      </w:r>
      <w:r w:rsidR="00293683">
        <w:t>»</w:t>
      </w:r>
      <w:r>
        <w:rPr>
          <w:lang w:val="en-US" w:eastAsia="en-US"/>
        </w:rPr>
        <w:t xml:space="preserve">. </w:t>
      </w:r>
    </w:p>
    <w:bookmarkEnd w:id="148"/>
    <w:p w14:paraId="44420AD4" w14:textId="7FC00F1C" w:rsidR="00A22690" w:rsidRDefault="00F328EC" w:rsidP="008055E6">
      <w:pPr>
        <w:rPr>
          <w:lang w:eastAsia="en-US"/>
        </w:rPr>
      </w:pPr>
      <w:r>
        <w:rPr>
          <w:lang w:eastAsia="en-US"/>
        </w:rPr>
        <w:t>Τέλος, σύμφωνα</w:t>
      </w:r>
      <w:r w:rsidR="00667603">
        <w:rPr>
          <w:lang w:eastAsia="en-US"/>
        </w:rPr>
        <w:t xml:space="preserve"> με την αμέσως επόμενη ενότητα </w:t>
      </w:r>
      <w:r>
        <w:rPr>
          <w:lang w:eastAsia="en-US"/>
        </w:rPr>
        <w:t xml:space="preserve">ΙΙΙ.4.2: </w:t>
      </w:r>
      <w:r w:rsidRPr="00F328EC">
        <w:rPr>
          <w:i/>
          <w:lang w:eastAsia="en-US"/>
        </w:rPr>
        <w:t>Συντήρηση γαμετών</w:t>
      </w:r>
      <w:r>
        <w:rPr>
          <w:lang w:eastAsia="en-US"/>
        </w:rPr>
        <w:t>, «</w:t>
      </w:r>
      <w:r w:rsidR="00F10DFE">
        <w:rPr>
          <w:lang w:eastAsia="en-US"/>
        </w:rPr>
        <w:t xml:space="preserve">το σπέρμα τοποθετείται </w:t>
      </w:r>
      <w:r w:rsidR="00F10DFE" w:rsidRPr="00421E3C">
        <w:rPr>
          <w:lang w:eastAsia="en-US"/>
        </w:rPr>
        <w:t xml:space="preserve">στις </w:t>
      </w:r>
      <w:r w:rsidR="00421E3C" w:rsidRPr="00421E3C">
        <w:rPr>
          <w:lang w:eastAsia="en-US"/>
        </w:rPr>
        <w:t xml:space="preserve">αποθηκευτικές </w:t>
      </w:r>
      <w:r w:rsidR="00421E3C" w:rsidRPr="00421E3C">
        <w:t>θήκες (</w:t>
      </w:r>
      <w:r w:rsidR="00421E3C" w:rsidRPr="00421E3C">
        <w:rPr>
          <w:i/>
        </w:rPr>
        <w:t>paillettes de sperme</w:t>
      </w:r>
      <w:r w:rsidR="00421E3C" w:rsidRPr="00421E3C">
        <w:t>)</w:t>
      </w:r>
      <w:r>
        <w:rPr>
          <w:lang w:eastAsia="en-US"/>
        </w:rPr>
        <w:t xml:space="preserve"> και φέρει μια σφραγίδα εγγύησης από τον προμηθευτή. Ο ασθενής και ο ιατρός του ενημερώνονται για τις παραμέτρους τους σπέρματος, την ποιό</w:t>
      </w:r>
      <w:r w:rsidR="00F10DFE">
        <w:rPr>
          <w:lang w:eastAsia="en-US"/>
        </w:rPr>
        <w:t xml:space="preserve">τητά του και τον αριθμό των </w:t>
      </w:r>
      <w:r w:rsidR="003736C4">
        <w:rPr>
          <w:lang w:eastAsia="en-US"/>
        </w:rPr>
        <w:t xml:space="preserve">αποθηκευτικών θηκών </w:t>
      </w:r>
      <w:r>
        <w:rPr>
          <w:lang w:eastAsia="en-US"/>
        </w:rPr>
        <w:t>που συντηρούνται</w:t>
      </w:r>
      <w:r w:rsidR="00426F5E">
        <w:rPr>
          <w:lang w:eastAsia="en-US"/>
        </w:rPr>
        <w:t>»</w:t>
      </w:r>
      <w:r>
        <w:rPr>
          <w:lang w:eastAsia="en-US"/>
        </w:rPr>
        <w:t xml:space="preserve">. </w:t>
      </w:r>
    </w:p>
    <w:p w14:paraId="34A644C0" w14:textId="04EBF0C1" w:rsidR="00825258" w:rsidRPr="004933B9" w:rsidRDefault="00BA0F1C" w:rsidP="00BA0F1C">
      <w:pPr>
        <w:pStyle w:val="Heading5"/>
      </w:pPr>
      <w:r>
        <w:t>ii</w:t>
      </w:r>
      <w:r w:rsidR="00825258">
        <w:t>. Κρυοσυντήρηση ωαρίων</w:t>
      </w:r>
    </w:p>
    <w:p w14:paraId="125D66AA" w14:textId="77777777" w:rsidR="00F4589C" w:rsidRDefault="003E2ADB" w:rsidP="003E2ADB">
      <w:pPr>
        <w:rPr>
          <w:rFonts w:eastAsia="Calibri"/>
        </w:rPr>
      </w:pPr>
      <w:r>
        <w:rPr>
          <w:rFonts w:eastAsia="Calibri"/>
        </w:rPr>
        <w:t xml:space="preserve">Αναλυτική αναφορά σε κάθε βιολογική διεργασία ξεχωριστά γίνεται, όπως αναφέρθηκε και πιο πάνω, στον </w:t>
      </w:r>
      <w:r w:rsidRPr="008D55B8">
        <w:rPr>
          <w:rFonts w:eastAsia="Calibri"/>
        </w:rPr>
        <w:t xml:space="preserve">Κατάλογο του Οργανισμού Βιοϊατρικής με τις βιολογικές μεθόδους που χρησιμοποιούνται τακτικά στα πλαίσια </w:t>
      </w:r>
      <w:r>
        <w:rPr>
          <w:rFonts w:eastAsia="Calibri"/>
        </w:rPr>
        <w:t xml:space="preserve">της ιατρικά υποβοηθούμενης αναπαραγωγής </w:t>
      </w:r>
      <w:r w:rsidRPr="008D55B8">
        <w:rPr>
          <w:rFonts w:eastAsia="Calibri"/>
        </w:rPr>
        <w:t xml:space="preserve"> και τις τεχνικές που στόχο τ</w:t>
      </w:r>
      <w:r>
        <w:rPr>
          <w:rFonts w:eastAsia="Calibri"/>
        </w:rPr>
        <w:t xml:space="preserve">ους </w:t>
      </w:r>
      <w:r w:rsidRPr="008D55B8">
        <w:rPr>
          <w:rFonts w:eastAsia="Calibri"/>
        </w:rPr>
        <w:t>έχουν</w:t>
      </w:r>
      <w:r w:rsidR="00F4589C">
        <w:rPr>
          <w:rFonts w:eastAsia="Calibri"/>
        </w:rPr>
        <w:t xml:space="preserve"> τη βελτίωση των προαναφερθεισών</w:t>
      </w:r>
      <w:r w:rsidRPr="008D55B8">
        <w:rPr>
          <w:rFonts w:eastAsia="Calibri"/>
        </w:rPr>
        <w:t xml:space="preserve"> μεθόδων</w:t>
      </w:r>
      <w:r>
        <w:rPr>
          <w:rFonts w:eastAsia="Calibri"/>
        </w:rPr>
        <w:t xml:space="preserve">. </w:t>
      </w:r>
    </w:p>
    <w:p w14:paraId="69A85C81" w14:textId="403A791F" w:rsidR="003E2ADB" w:rsidRDefault="003E2ADB" w:rsidP="003E2ADB">
      <w:pPr>
        <w:rPr>
          <w:rFonts w:eastAsia="Calibri"/>
        </w:rPr>
      </w:pPr>
      <w:r>
        <w:rPr>
          <w:rFonts w:eastAsia="Calibri"/>
        </w:rPr>
        <w:t xml:space="preserve">Η </w:t>
      </w:r>
      <w:r w:rsidR="00F4589C">
        <w:rPr>
          <w:rFonts w:eastAsia="Calibri"/>
        </w:rPr>
        <w:t>δεύτερη</w:t>
      </w:r>
      <w:r>
        <w:rPr>
          <w:rFonts w:eastAsia="Calibri"/>
        </w:rPr>
        <w:t xml:space="preserve"> βιολογική διεργασία στην οποία ο Οργανισμός Βιοϊατρικής αφιερώνει μια σύντομη πα</w:t>
      </w:r>
      <w:r w:rsidR="00F4589C">
        <w:rPr>
          <w:rFonts w:eastAsia="Calibri"/>
        </w:rPr>
        <w:t>ρουσίαση είναι η κρυοσυντήρηση ωαρίων</w:t>
      </w:r>
      <w:r>
        <w:rPr>
          <w:rStyle w:val="FootnoteReference"/>
          <w:rFonts w:eastAsia="Calibri"/>
        </w:rPr>
        <w:footnoteReference w:id="261"/>
      </w:r>
      <w:r>
        <w:rPr>
          <w:rFonts w:eastAsia="Calibri"/>
        </w:rPr>
        <w:t xml:space="preserve">. </w:t>
      </w:r>
    </w:p>
    <w:p w14:paraId="7AF1AA22" w14:textId="01626E54" w:rsidR="00213004" w:rsidRDefault="00213004" w:rsidP="00213004">
      <w:pPr>
        <w:rPr>
          <w:lang w:val="en-US"/>
        </w:rPr>
      </w:pPr>
      <w:r>
        <w:rPr>
          <w:rFonts w:eastAsia="Calibri"/>
        </w:rPr>
        <w:t>Η τεχνική της κρυοσυντήρησης ωαρίων συνίσταται στη συντήρηση τους μέσω ψύξης έως και τη θερμοκρασί</w:t>
      </w:r>
      <w:r w:rsidR="007D463A">
        <w:rPr>
          <w:rFonts w:eastAsia="Calibri"/>
        </w:rPr>
        <w:t>α</w:t>
      </w:r>
      <w:r>
        <w:rPr>
          <w:rFonts w:eastAsia="Calibri"/>
        </w:rPr>
        <w:t xml:space="preserve"> του υγρού αζώτου: </w:t>
      </w:r>
      <w:r>
        <w:t>–196</w:t>
      </w:r>
      <w:r w:rsidRPr="004F6A69">
        <w:rPr>
          <w:vertAlign w:val="superscript"/>
        </w:rPr>
        <w:t>ο</w:t>
      </w:r>
      <w:r>
        <w:rPr>
          <w:lang w:val="en-US"/>
        </w:rPr>
        <w:t>C</w:t>
      </w:r>
      <w:r w:rsidR="007D463A">
        <w:rPr>
          <w:rFonts w:eastAsia="Calibri"/>
        </w:rPr>
        <w:t xml:space="preserve"> και</w:t>
      </w:r>
      <w:r>
        <w:t xml:space="preserve"> περιλαμβάνει διάφορα στάδια, μεταξύ των οποίων η </w:t>
      </w:r>
      <w:r w:rsidR="007D463A">
        <w:t xml:space="preserve">λήψη </w:t>
      </w:r>
      <w:r>
        <w:t xml:space="preserve">των ωαρίων, </w:t>
      </w:r>
      <w:r w:rsidR="007D463A">
        <w:t xml:space="preserve">η τοποθέτησή τους </w:t>
      </w:r>
      <w:r w:rsidR="00EC13BE">
        <w:t xml:space="preserve">σε </w:t>
      </w:r>
      <w:r w:rsidR="007D463A">
        <w:t xml:space="preserve">ειδικές </w:t>
      </w:r>
      <w:r w:rsidR="00EC13BE">
        <w:t xml:space="preserve">αποθηκευτικές </w:t>
      </w:r>
      <w:r w:rsidR="00FC0728">
        <w:t>θήκες</w:t>
      </w:r>
      <w:r>
        <w:t xml:space="preserve">, η </w:t>
      </w:r>
      <w:r w:rsidR="007D463A">
        <w:t xml:space="preserve">σταδιακή </w:t>
      </w:r>
      <w:r>
        <w:t xml:space="preserve">ψύξη τους </w:t>
      </w:r>
      <w:r w:rsidR="007D463A">
        <w:t xml:space="preserve">σε ειδικά προγραμματισμένους καταψύκτες </w:t>
      </w:r>
      <w:r>
        <w:t xml:space="preserve">και η </w:t>
      </w:r>
      <w:r w:rsidR="007D463A">
        <w:t xml:space="preserve">αποθήκευσή </w:t>
      </w:r>
      <w:r>
        <w:t xml:space="preserve">τους σε υγρό άζωτο </w:t>
      </w:r>
      <w:r w:rsidR="007D463A">
        <w:t>για συντήρηση μεγάλης διάρκειας</w:t>
      </w:r>
      <w:r>
        <w:rPr>
          <w:lang w:val="en-US"/>
        </w:rPr>
        <w:t xml:space="preserve">. </w:t>
      </w:r>
    </w:p>
    <w:p w14:paraId="2418E26C" w14:textId="2653448D" w:rsidR="00213004" w:rsidRDefault="00053884" w:rsidP="00213004">
      <w:pPr>
        <w:rPr>
          <w:lang w:val="en-US"/>
        </w:rPr>
      </w:pPr>
      <w:r>
        <w:rPr>
          <w:lang w:val="en-US"/>
        </w:rPr>
        <w:t>Η πρακτική της κρυοσυντήρησης ωαρίων εφαρμόζεται σ</w:t>
      </w:r>
      <w:r w:rsidR="000A38C4">
        <w:rPr>
          <w:lang w:val="en-US"/>
        </w:rPr>
        <w:t>τη Γαλλία εδώ και περίπου είκοσι</w:t>
      </w:r>
      <w:r>
        <w:rPr>
          <w:lang w:val="en-US"/>
        </w:rPr>
        <w:t xml:space="preserve"> χρόνια, ωστόσο όχι με μεγάλη συχνότητα στα κέντρα ιατρ</w:t>
      </w:r>
      <w:r w:rsidR="000A38C4">
        <w:rPr>
          <w:lang w:val="en-US"/>
        </w:rPr>
        <w:t xml:space="preserve">ικά υποβοηθούμενης αναπαραγωγής. Αυτό οφείλεται </w:t>
      </w:r>
      <w:r>
        <w:rPr>
          <w:lang w:val="en-US"/>
        </w:rPr>
        <w:t xml:space="preserve">όχι μόνο </w:t>
      </w:r>
      <w:r w:rsidR="000A38C4">
        <w:rPr>
          <w:lang w:val="en-US"/>
        </w:rPr>
        <w:t>στη σχετική νομοθετική</w:t>
      </w:r>
      <w:r>
        <w:rPr>
          <w:lang w:val="en-US"/>
        </w:rPr>
        <w:t xml:space="preserve"> </w:t>
      </w:r>
      <w:r w:rsidR="000A38C4">
        <w:rPr>
          <w:lang w:val="en-US"/>
        </w:rPr>
        <w:t>πρόβλεψη</w:t>
      </w:r>
      <w:r>
        <w:rPr>
          <w:lang w:val="en-US"/>
        </w:rPr>
        <w:t xml:space="preserve">, αλλά </w:t>
      </w:r>
      <w:r w:rsidR="000C4BAB">
        <w:rPr>
          <w:lang w:val="en-US"/>
        </w:rPr>
        <w:t>και</w:t>
      </w:r>
      <w:r w:rsidR="000A38C4">
        <w:rPr>
          <w:lang w:val="en-US"/>
        </w:rPr>
        <w:t xml:space="preserve"> στη μέτρια αποτελεσματικότητα</w:t>
      </w:r>
      <w:r>
        <w:rPr>
          <w:lang w:val="en-US"/>
        </w:rPr>
        <w:t xml:space="preserve"> της τεχνικής της κρυοσυντήρησης των ωαρίων. Ειδικότερα, δύο είναι οι υποθέσεις κατά τις οποίες ο νομοθέτης επιτρέπει την κρυοσυντήσηση ωαρίων:</w:t>
      </w:r>
    </w:p>
    <w:p w14:paraId="69B31DAD" w14:textId="48CE8914" w:rsidR="00053884" w:rsidRDefault="00053884" w:rsidP="00213004">
      <w:pPr>
        <w:rPr>
          <w:lang w:val="en-US"/>
        </w:rPr>
      </w:pPr>
      <w:r>
        <w:rPr>
          <w:lang w:val="en-US"/>
        </w:rPr>
        <w:t>α. η διατήρηση της γυναικείας γονιμότητας, εάν η ενδιαφερόμενη γυναίκα πρόκειται να υποβληθεί σε μια θεραπεία που ενδέχετα</w:t>
      </w:r>
      <w:r w:rsidR="000C4BAB">
        <w:rPr>
          <w:lang w:val="en-US"/>
        </w:rPr>
        <w:t>ι να μειώσει τη γονιμότητά της και</w:t>
      </w:r>
    </w:p>
    <w:p w14:paraId="17866AE3" w14:textId="77777777" w:rsidR="00053884" w:rsidRDefault="00053884" w:rsidP="00213004">
      <w:pPr>
        <w:rPr>
          <w:lang w:val="en-US"/>
        </w:rPr>
      </w:pPr>
      <w:r>
        <w:rPr>
          <w:lang w:val="en-US"/>
        </w:rPr>
        <w:t xml:space="preserve">β. η συντήρησή τους στις τράπεζες γεννητικού υλικού, οι οποίες προορίζονται για την κρυοσυντήρηση του γεννητικού υλικού που δωρίζεται. </w:t>
      </w:r>
    </w:p>
    <w:p w14:paraId="3946345F" w14:textId="5523AD19" w:rsidR="00BA0480" w:rsidRDefault="00D05E4C" w:rsidP="0023213A">
      <w:r>
        <w:t>Κατά το έτος 2012, 202 είναι οι νέες κρυοσυντηρήσεις ωαρίων που διενεργήθηκαν</w:t>
      </w:r>
      <w:r w:rsidR="00DA3584">
        <w:t>, ενώ την 31</w:t>
      </w:r>
      <w:r w:rsidR="00DA3584" w:rsidRPr="00DA3584">
        <w:rPr>
          <w:vertAlign w:val="superscript"/>
        </w:rPr>
        <w:t>η</w:t>
      </w:r>
      <w:r w:rsidR="00DA3584">
        <w:t xml:space="preserve"> Δεκεμβρίου 2012 ο συνιλικός αριθμός κρυοσυντηρημένων </w:t>
      </w:r>
      <w:r w:rsidR="00BA0480">
        <w:t>ω</w:t>
      </w:r>
      <w:r w:rsidR="00BF783D">
        <w:t>αρίων ήταν μόλις 427 (Πίνακας 12</w:t>
      </w:r>
      <w:r w:rsidR="00DA3584">
        <w:t xml:space="preserve">). </w:t>
      </w:r>
    </w:p>
    <w:p w14:paraId="38A490C5" w14:textId="77777777" w:rsidR="00D51ED3" w:rsidRDefault="00D51ED3" w:rsidP="0023213A"/>
    <w:p w14:paraId="1C52A1FF" w14:textId="77777777" w:rsidR="00D51ED3" w:rsidRPr="00D05E4C" w:rsidRDefault="00D51ED3" w:rsidP="0023213A"/>
    <w:p w14:paraId="555403A4" w14:textId="6AF3277E" w:rsidR="00D05E4C" w:rsidRPr="005D6A02" w:rsidRDefault="00BF783D" w:rsidP="0023213A">
      <w:pPr>
        <w:spacing w:before="240" w:after="240"/>
        <w:ind w:firstLine="0"/>
        <w:rPr>
          <w:b/>
        </w:rPr>
      </w:pPr>
      <w:r>
        <w:rPr>
          <w:b/>
        </w:rPr>
        <w:lastRenderedPageBreak/>
        <w:t>Πίνακας 12</w:t>
      </w:r>
      <w:r w:rsidR="00D05E4C" w:rsidRPr="005D6A02">
        <w:rPr>
          <w:b/>
        </w:rPr>
        <w:t xml:space="preserve">. Διασφάλιση γονιμότητας: συντήρηση γαμετών </w:t>
      </w:r>
      <w:r w:rsidR="00D05E4C">
        <w:rPr>
          <w:b/>
        </w:rPr>
        <w:t>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6"/>
        <w:gridCol w:w="1384"/>
      </w:tblGrid>
      <w:tr w:rsidR="00D05E4C" w14:paraId="458C4880" w14:textId="77777777" w:rsidTr="003865D1">
        <w:tc>
          <w:tcPr>
            <w:tcW w:w="8046" w:type="dxa"/>
            <w:tcBorders>
              <w:bottom w:val="single" w:sz="4" w:space="0" w:color="auto"/>
            </w:tcBorders>
            <w:shd w:val="clear" w:color="auto" w:fill="auto"/>
          </w:tcPr>
          <w:p w14:paraId="131C9055" w14:textId="77777777" w:rsidR="00D05E4C" w:rsidRPr="007F1E59" w:rsidRDefault="00D05E4C" w:rsidP="003865D1">
            <w:pPr>
              <w:spacing w:before="40" w:after="40" w:line="240" w:lineRule="auto"/>
              <w:ind w:firstLine="0"/>
              <w:rPr>
                <w:rFonts w:eastAsia="Calibri"/>
                <w:sz w:val="22"/>
                <w:szCs w:val="22"/>
              </w:rPr>
            </w:pPr>
          </w:p>
        </w:tc>
        <w:tc>
          <w:tcPr>
            <w:tcW w:w="1384" w:type="dxa"/>
            <w:tcBorders>
              <w:bottom w:val="single" w:sz="4" w:space="0" w:color="auto"/>
            </w:tcBorders>
            <w:shd w:val="clear" w:color="auto" w:fill="auto"/>
          </w:tcPr>
          <w:p w14:paraId="49D9D9FB" w14:textId="77777777" w:rsidR="00D05E4C" w:rsidRPr="007F1E59" w:rsidRDefault="00D05E4C" w:rsidP="003865D1">
            <w:pPr>
              <w:spacing w:before="40" w:after="40" w:line="240" w:lineRule="auto"/>
              <w:ind w:firstLine="0"/>
              <w:jc w:val="right"/>
              <w:rPr>
                <w:rFonts w:eastAsia="Calibri"/>
                <w:b/>
                <w:sz w:val="22"/>
                <w:szCs w:val="22"/>
              </w:rPr>
            </w:pPr>
            <w:r w:rsidRPr="007F1E59">
              <w:rPr>
                <w:rFonts w:eastAsia="Calibri"/>
                <w:b/>
                <w:sz w:val="22"/>
                <w:szCs w:val="22"/>
              </w:rPr>
              <w:t>2012</w:t>
            </w:r>
          </w:p>
        </w:tc>
      </w:tr>
      <w:tr w:rsidR="00D05E4C" w14:paraId="233EAE30" w14:textId="77777777" w:rsidTr="003865D1">
        <w:tc>
          <w:tcPr>
            <w:tcW w:w="8046" w:type="dxa"/>
            <w:shd w:val="pct15" w:color="auto" w:fill="auto"/>
          </w:tcPr>
          <w:p w14:paraId="31C639EE" w14:textId="77777777" w:rsidR="00D05E4C" w:rsidRPr="007F1E59" w:rsidRDefault="00D05E4C" w:rsidP="000C4BAB">
            <w:pPr>
              <w:spacing w:before="40" w:after="40" w:line="240" w:lineRule="auto"/>
              <w:ind w:firstLine="0"/>
              <w:jc w:val="left"/>
              <w:rPr>
                <w:rFonts w:eastAsia="Calibri"/>
                <w:b/>
                <w:sz w:val="22"/>
                <w:szCs w:val="22"/>
              </w:rPr>
            </w:pPr>
            <w:r>
              <w:rPr>
                <w:rFonts w:eastAsia="Calibri"/>
                <w:b/>
                <w:sz w:val="22"/>
                <w:szCs w:val="22"/>
              </w:rPr>
              <w:t>Ω</w:t>
            </w:r>
            <w:r w:rsidRPr="007F1E59">
              <w:rPr>
                <w:rFonts w:eastAsia="Calibri"/>
                <w:b/>
                <w:sz w:val="22"/>
                <w:szCs w:val="22"/>
              </w:rPr>
              <w:t>άρια</w:t>
            </w:r>
          </w:p>
        </w:tc>
        <w:tc>
          <w:tcPr>
            <w:tcW w:w="1384" w:type="dxa"/>
            <w:shd w:val="pct15" w:color="auto" w:fill="auto"/>
          </w:tcPr>
          <w:p w14:paraId="1CA93ABA" w14:textId="77777777" w:rsidR="00D05E4C" w:rsidRPr="007F1E59" w:rsidRDefault="00D05E4C" w:rsidP="003865D1">
            <w:pPr>
              <w:spacing w:before="40" w:after="40" w:line="240" w:lineRule="auto"/>
              <w:ind w:firstLine="0"/>
              <w:rPr>
                <w:rFonts w:eastAsia="Calibri"/>
                <w:sz w:val="22"/>
                <w:szCs w:val="22"/>
              </w:rPr>
            </w:pPr>
          </w:p>
        </w:tc>
      </w:tr>
      <w:tr w:rsidR="00D05E4C" w14:paraId="229A0D93" w14:textId="77777777" w:rsidTr="003865D1">
        <w:tc>
          <w:tcPr>
            <w:tcW w:w="8046" w:type="dxa"/>
            <w:shd w:val="clear" w:color="auto" w:fill="auto"/>
          </w:tcPr>
          <w:p w14:paraId="36AD3F41" w14:textId="77777777" w:rsidR="00D05E4C" w:rsidRPr="007F1E59" w:rsidRDefault="00D05E4C" w:rsidP="000C4BAB">
            <w:pPr>
              <w:spacing w:before="40" w:after="40" w:line="240" w:lineRule="auto"/>
              <w:ind w:firstLine="0"/>
              <w:jc w:val="left"/>
              <w:rPr>
                <w:rFonts w:eastAsia="Calibri"/>
                <w:sz w:val="22"/>
                <w:szCs w:val="22"/>
              </w:rPr>
            </w:pPr>
            <w:r w:rsidRPr="007F1E59">
              <w:rPr>
                <w:rFonts w:eastAsia="Calibri"/>
                <w:sz w:val="22"/>
                <w:szCs w:val="22"/>
              </w:rPr>
              <w:t>Αριθμός εξειδικευμένων και εξουσιοδοτημένων κέντρων ιατρικά υποβοηθούμενης αναπαραγωγής</w:t>
            </w:r>
          </w:p>
        </w:tc>
        <w:tc>
          <w:tcPr>
            <w:tcW w:w="1384" w:type="dxa"/>
            <w:shd w:val="clear" w:color="auto" w:fill="auto"/>
          </w:tcPr>
          <w:p w14:paraId="2F6075F5" w14:textId="77777777" w:rsidR="00D05E4C" w:rsidRPr="007F1E59" w:rsidRDefault="00D05E4C" w:rsidP="003865D1">
            <w:pPr>
              <w:spacing w:after="40" w:line="240" w:lineRule="auto"/>
              <w:ind w:firstLine="0"/>
              <w:jc w:val="right"/>
              <w:rPr>
                <w:rFonts w:eastAsia="Calibri"/>
                <w:sz w:val="22"/>
                <w:szCs w:val="22"/>
              </w:rPr>
            </w:pPr>
            <w:r>
              <w:rPr>
                <w:rFonts w:eastAsia="Calibri"/>
                <w:sz w:val="22"/>
                <w:szCs w:val="22"/>
              </w:rPr>
              <w:t>19</w:t>
            </w:r>
          </w:p>
        </w:tc>
      </w:tr>
      <w:tr w:rsidR="00D05E4C" w14:paraId="7A2A7942" w14:textId="77777777" w:rsidTr="003865D1">
        <w:tc>
          <w:tcPr>
            <w:tcW w:w="8046" w:type="dxa"/>
            <w:shd w:val="clear" w:color="auto" w:fill="auto"/>
          </w:tcPr>
          <w:p w14:paraId="0B078484" w14:textId="77777777" w:rsidR="00D05E4C" w:rsidRPr="007F1E59" w:rsidRDefault="00D05E4C" w:rsidP="000C4BAB">
            <w:pPr>
              <w:spacing w:before="40" w:after="40" w:line="240" w:lineRule="auto"/>
              <w:ind w:firstLine="0"/>
              <w:jc w:val="left"/>
              <w:rPr>
                <w:rFonts w:eastAsia="Calibri"/>
                <w:sz w:val="22"/>
                <w:szCs w:val="22"/>
              </w:rPr>
            </w:pPr>
            <w:r w:rsidRPr="007F1E59">
              <w:rPr>
                <w:rFonts w:eastAsia="Calibri"/>
                <w:sz w:val="22"/>
                <w:szCs w:val="22"/>
              </w:rPr>
              <w:t>Νέες κρυοσυντηρήσεις (ασθενείς)</w:t>
            </w:r>
          </w:p>
        </w:tc>
        <w:tc>
          <w:tcPr>
            <w:tcW w:w="1384" w:type="dxa"/>
            <w:shd w:val="clear" w:color="auto" w:fill="auto"/>
          </w:tcPr>
          <w:p w14:paraId="3A7373B3" w14:textId="77777777" w:rsidR="00D05E4C" w:rsidRPr="007F1E59" w:rsidRDefault="00D05E4C" w:rsidP="003865D1">
            <w:pPr>
              <w:spacing w:before="40" w:after="40" w:line="240" w:lineRule="auto"/>
              <w:ind w:firstLine="0"/>
              <w:jc w:val="right"/>
              <w:rPr>
                <w:rFonts w:eastAsia="Calibri"/>
                <w:sz w:val="22"/>
                <w:szCs w:val="22"/>
              </w:rPr>
            </w:pPr>
            <w:r>
              <w:rPr>
                <w:rFonts w:eastAsia="Calibri"/>
                <w:sz w:val="22"/>
                <w:szCs w:val="22"/>
              </w:rPr>
              <w:t>202</w:t>
            </w:r>
          </w:p>
        </w:tc>
      </w:tr>
      <w:tr w:rsidR="00D05E4C" w14:paraId="38FD3D47" w14:textId="77777777" w:rsidTr="003865D1">
        <w:trPr>
          <w:trHeight w:val="208"/>
        </w:trPr>
        <w:tc>
          <w:tcPr>
            <w:tcW w:w="8046" w:type="dxa"/>
            <w:tcBorders>
              <w:bottom w:val="single" w:sz="4" w:space="0" w:color="auto"/>
            </w:tcBorders>
            <w:shd w:val="clear" w:color="auto" w:fill="auto"/>
          </w:tcPr>
          <w:p w14:paraId="4A7AD402" w14:textId="77777777" w:rsidR="00D05E4C" w:rsidRPr="007F1E59" w:rsidRDefault="00D05E4C" w:rsidP="000C4BAB">
            <w:pPr>
              <w:spacing w:before="40" w:after="40" w:line="240" w:lineRule="auto"/>
              <w:ind w:firstLine="0"/>
              <w:jc w:val="left"/>
              <w:rPr>
                <w:rFonts w:eastAsia="Calibri"/>
                <w:sz w:val="22"/>
                <w:szCs w:val="22"/>
              </w:rPr>
            </w:pPr>
            <w:r w:rsidRPr="007F1E59">
              <w:rPr>
                <w:rFonts w:eastAsia="Calibri"/>
                <w:sz w:val="22"/>
                <w:szCs w:val="22"/>
              </w:rPr>
              <w:t>Κρυοσυντηρήσεις την 31</w:t>
            </w:r>
            <w:r w:rsidRPr="007F1E59">
              <w:rPr>
                <w:rFonts w:eastAsia="Calibri"/>
                <w:sz w:val="22"/>
                <w:szCs w:val="22"/>
                <w:vertAlign w:val="superscript"/>
              </w:rPr>
              <w:t>η</w:t>
            </w:r>
            <w:r w:rsidRPr="007F1E59">
              <w:rPr>
                <w:rFonts w:eastAsia="Calibri"/>
                <w:sz w:val="22"/>
                <w:szCs w:val="22"/>
              </w:rPr>
              <w:t xml:space="preserve"> Δεκεμβρίου (ασθενείς)</w:t>
            </w:r>
          </w:p>
        </w:tc>
        <w:tc>
          <w:tcPr>
            <w:tcW w:w="1384" w:type="dxa"/>
            <w:tcBorders>
              <w:bottom w:val="single" w:sz="4" w:space="0" w:color="auto"/>
            </w:tcBorders>
            <w:shd w:val="clear" w:color="auto" w:fill="auto"/>
          </w:tcPr>
          <w:p w14:paraId="65243474" w14:textId="77777777" w:rsidR="00D05E4C" w:rsidRPr="007F1E59" w:rsidRDefault="00D05E4C" w:rsidP="003865D1">
            <w:pPr>
              <w:spacing w:before="40" w:after="40" w:line="240" w:lineRule="auto"/>
              <w:ind w:firstLine="0"/>
              <w:jc w:val="right"/>
              <w:rPr>
                <w:rFonts w:eastAsia="Calibri"/>
                <w:sz w:val="22"/>
                <w:szCs w:val="22"/>
              </w:rPr>
            </w:pPr>
            <w:r>
              <w:rPr>
                <w:rFonts w:eastAsia="Calibri"/>
                <w:sz w:val="22"/>
                <w:szCs w:val="22"/>
              </w:rPr>
              <w:t>427</w:t>
            </w:r>
          </w:p>
        </w:tc>
      </w:tr>
    </w:tbl>
    <w:p w14:paraId="25FFB333" w14:textId="20424C39" w:rsidR="00C07394" w:rsidRDefault="00C07394" w:rsidP="0023213A">
      <w:pPr>
        <w:spacing w:before="240"/>
        <w:rPr>
          <w:lang w:eastAsia="en-US"/>
        </w:rPr>
      </w:pPr>
      <w:r>
        <w:t xml:space="preserve">Επίσης, σημειώνεται ότι αναφορά στις προδιαγραφές συντήρησης των γαμετών γενικότερα (χωρίς να γίνεται εξειδίκευση ανάλογα με το αν πρόκειται για σπερματοζωάρια ή ωάρια) γίνεται και στον </w:t>
      </w:r>
      <w:r>
        <w:rPr>
          <w:b/>
        </w:rPr>
        <w:t>Οδηγό</w:t>
      </w:r>
      <w:r w:rsidRPr="00DD32B4">
        <w:rPr>
          <w:b/>
        </w:rPr>
        <w:t xml:space="preserve"> καλών κλινικών και βιολογικών πρακτικών στην ιατρικά υποβηθούμενη αναπαραγωγή</w:t>
      </w:r>
      <w:r>
        <w:t>, ο οπο</w:t>
      </w:r>
      <w:r w:rsidR="00047D1B">
        <w:t xml:space="preserve">ίος ορίζει στην παράγραφο ΙΙΙ.4.1: </w:t>
      </w:r>
      <w:r w:rsidR="00047D1B" w:rsidRPr="00DD32B4">
        <w:rPr>
          <w:i/>
        </w:rPr>
        <w:t>Πληροφόρηση και συναίνεση</w:t>
      </w:r>
      <w:r w:rsidR="00047D1B">
        <w:t xml:space="preserve"> του κεφαλαίου ΙΙΙ.4: </w:t>
      </w:r>
      <w:r w:rsidRPr="00DD32B4">
        <w:rPr>
          <w:i/>
        </w:rPr>
        <w:t>Συντήρηση γαμετών και εμβρυικών ιστών για ίδια χρήση</w:t>
      </w:r>
      <w:r>
        <w:t>, , ότι «κάθε πρόσωπο που πρέπει να υποστεί μια θεραπεία που</w:t>
      </w:r>
      <w:r w:rsidRPr="00123CB8">
        <w:rPr>
          <w:rFonts w:eastAsia="Calibri"/>
        </w:rPr>
        <w:t xml:space="preserve"> επισύρει </w:t>
      </w:r>
      <w:r w:rsidRPr="004439A8">
        <w:rPr>
          <w:rFonts w:eastAsia="Calibri"/>
        </w:rPr>
        <w:t>κίνδυνο</w:t>
      </w:r>
      <w:r w:rsidRPr="00123CB8">
        <w:rPr>
          <w:rFonts w:eastAsia="Calibri"/>
        </w:rPr>
        <w:t xml:space="preserve"> στειρότητας </w:t>
      </w:r>
      <w:r>
        <w:rPr>
          <w:rFonts w:eastAsia="Calibri"/>
        </w:rPr>
        <w:t>έχει πρόσβαση σε πληροφορίες που αφορούν στις δυνατότητες συντήρησης γαμετών ή εμβρυικού ιστού»</w:t>
      </w:r>
      <w:r>
        <w:rPr>
          <w:rStyle w:val="FootnoteReference"/>
          <w:rFonts w:eastAsia="Calibri"/>
        </w:rPr>
        <w:footnoteReference w:id="262"/>
      </w:r>
      <w:r>
        <w:rPr>
          <w:rFonts w:eastAsia="Calibri"/>
        </w:rPr>
        <w:t>. Σ</w:t>
      </w:r>
      <w:r>
        <w:rPr>
          <w:lang w:eastAsia="en-US"/>
        </w:rPr>
        <w:t xml:space="preserve">ύμφωνα με την αμέσως επόμενη </w:t>
      </w:r>
      <w:r w:rsidR="00506DB9">
        <w:rPr>
          <w:lang w:eastAsia="en-US"/>
        </w:rPr>
        <w:t>παράγραφο,</w:t>
      </w:r>
      <w:r>
        <w:rPr>
          <w:lang w:eastAsia="en-US"/>
        </w:rPr>
        <w:t xml:space="preserve"> ΙΙΙ.4.2: </w:t>
      </w:r>
      <w:r w:rsidRPr="00F328EC">
        <w:rPr>
          <w:i/>
          <w:lang w:eastAsia="en-US"/>
        </w:rPr>
        <w:t>Συντήρηση γαμετών</w:t>
      </w:r>
      <w:r>
        <w:rPr>
          <w:lang w:eastAsia="en-US"/>
        </w:rPr>
        <w:t xml:space="preserve">, «η κρυοσυντήρηση ωαρίων προτείνεται, κατ’ εξαίρεση, ιδίως σε περίπτωση αδυναμίας άμεσης γονιμοποίησης. Η κρυοσυντήρηση ωαρίων μπορεί επίσης να προταθεί και με σκοπό τη διατήρηση της γονιμότητας». </w:t>
      </w:r>
    </w:p>
    <w:p w14:paraId="5D8A72C8" w14:textId="77777777" w:rsidR="005A630B" w:rsidRDefault="005A630B" w:rsidP="002B0FA3">
      <w:r>
        <w:t>Η κρυοσυντήρηση των ωαρίων γίνεται, όπως και στην περίπτωση του σπέρματος, στα Κέντρα</w:t>
      </w:r>
      <w:r w:rsidRPr="00A46F26">
        <w:t xml:space="preserve"> Μελέτης και Συντήρησης </w:t>
      </w:r>
      <w:r w:rsidR="0083348B">
        <w:t>Ανθρωπίνων</w:t>
      </w:r>
      <w:r w:rsidRPr="00A46F26">
        <w:t xml:space="preserve"> Ωαρίων και Σπέρματος (</w:t>
      </w:r>
      <w:r w:rsidRPr="00A46F26">
        <w:rPr>
          <w:i/>
          <w:lang w:val="fr-FR"/>
        </w:rPr>
        <w:t>Centre</w:t>
      </w:r>
      <w:r w:rsidRPr="00A46F26">
        <w:rPr>
          <w:i/>
        </w:rPr>
        <w:t xml:space="preserve"> </w:t>
      </w:r>
      <w:r w:rsidRPr="00A46F26">
        <w:rPr>
          <w:i/>
          <w:lang w:val="fr-FR"/>
        </w:rPr>
        <w:t>d</w:t>
      </w:r>
      <w:r w:rsidRPr="00A46F26">
        <w:rPr>
          <w:i/>
        </w:rPr>
        <w:t>’</w:t>
      </w:r>
      <w:r w:rsidRPr="00A46F26">
        <w:rPr>
          <w:i/>
          <w:lang w:val="fr-FR"/>
        </w:rPr>
        <w:t>Etude</w:t>
      </w:r>
      <w:r w:rsidRPr="00A46F26">
        <w:rPr>
          <w:i/>
        </w:rPr>
        <w:t xml:space="preserve"> </w:t>
      </w:r>
      <w:r w:rsidRPr="00A46F26">
        <w:rPr>
          <w:i/>
          <w:lang w:val="fr-FR"/>
        </w:rPr>
        <w:t>et</w:t>
      </w:r>
      <w:r w:rsidRPr="00A46F26">
        <w:rPr>
          <w:i/>
        </w:rPr>
        <w:t xml:space="preserve"> </w:t>
      </w:r>
      <w:r w:rsidRPr="00A46F26">
        <w:rPr>
          <w:i/>
          <w:lang w:val="fr-FR"/>
        </w:rPr>
        <w:t>de</w:t>
      </w:r>
      <w:r w:rsidRPr="00A46F26">
        <w:rPr>
          <w:i/>
        </w:rPr>
        <w:t xml:space="preserve"> </w:t>
      </w:r>
      <w:r w:rsidRPr="00A46F26">
        <w:rPr>
          <w:i/>
          <w:lang w:val="fr-FR"/>
        </w:rPr>
        <w:t>Conservation</w:t>
      </w:r>
      <w:r w:rsidRPr="00A46F26">
        <w:rPr>
          <w:i/>
        </w:rPr>
        <w:t xml:space="preserve"> </w:t>
      </w:r>
      <w:r w:rsidRPr="00A46F26">
        <w:rPr>
          <w:i/>
          <w:lang w:val="fr-FR"/>
        </w:rPr>
        <w:t>des</w:t>
      </w:r>
      <w:r w:rsidRPr="00A46F26">
        <w:rPr>
          <w:i/>
        </w:rPr>
        <w:t xml:space="preserve"> </w:t>
      </w:r>
      <w:r w:rsidRPr="00981AC5">
        <w:rPr>
          <w:i/>
        </w:rPr>
        <w:t>Œ</w:t>
      </w:r>
      <w:r w:rsidRPr="00A46F26">
        <w:rPr>
          <w:i/>
          <w:lang w:val="fr-FR"/>
        </w:rPr>
        <w:t>ufs</w:t>
      </w:r>
      <w:r w:rsidRPr="00A46F26">
        <w:rPr>
          <w:i/>
        </w:rPr>
        <w:t xml:space="preserve"> </w:t>
      </w:r>
      <w:r w:rsidRPr="00A46F26">
        <w:rPr>
          <w:i/>
          <w:lang w:val="fr-FR"/>
        </w:rPr>
        <w:t>et</w:t>
      </w:r>
      <w:r w:rsidRPr="00A46F26">
        <w:rPr>
          <w:i/>
        </w:rPr>
        <w:t xml:space="preserve"> </w:t>
      </w:r>
      <w:r w:rsidRPr="00A46F26">
        <w:rPr>
          <w:i/>
          <w:lang w:val="fr-FR"/>
        </w:rPr>
        <w:t>du</w:t>
      </w:r>
      <w:r w:rsidRPr="00A46F26">
        <w:rPr>
          <w:i/>
        </w:rPr>
        <w:t xml:space="preserve"> </w:t>
      </w:r>
      <w:r w:rsidRPr="00A46F26">
        <w:rPr>
          <w:i/>
          <w:lang w:val="fr-FR"/>
        </w:rPr>
        <w:t>Sperme</w:t>
      </w:r>
      <w:r w:rsidRPr="00A46F26">
        <w:rPr>
          <w:i/>
        </w:rPr>
        <w:t xml:space="preserve"> </w:t>
      </w:r>
      <w:r w:rsidRPr="00A46F26">
        <w:rPr>
          <w:i/>
          <w:lang w:val="fr-FR"/>
        </w:rPr>
        <w:t>humains</w:t>
      </w:r>
      <w:r w:rsidRPr="00A46F26">
        <w:rPr>
          <w:i/>
        </w:rPr>
        <w:t xml:space="preserve">, </w:t>
      </w:r>
      <w:r w:rsidRPr="00A46F26">
        <w:rPr>
          <w:i/>
          <w:lang w:val="fr-FR"/>
        </w:rPr>
        <w:t>CECOS</w:t>
      </w:r>
      <w:r w:rsidRPr="00A46F26">
        <w:t>)</w:t>
      </w:r>
      <w:r>
        <w:rPr>
          <w:rStyle w:val="FootnoteReference"/>
        </w:rPr>
        <w:footnoteReference w:id="263"/>
      </w:r>
      <w:r w:rsidRPr="00A46F26">
        <w:t xml:space="preserve">. </w:t>
      </w:r>
    </w:p>
    <w:p w14:paraId="236258E5" w14:textId="23454A16" w:rsidR="005A630B" w:rsidRDefault="005A630B" w:rsidP="005A630B">
      <w:r>
        <w:t xml:space="preserve">Τέλος, σημειώνεται ότι ο γάλλος νομοθέτης δεν προβλέπει μέγιστη διάρκειας κρυοσυντήρησης </w:t>
      </w:r>
      <w:r w:rsidR="00BE476F">
        <w:t>ούτε για τα ωάρια</w:t>
      </w:r>
      <w:r>
        <w:t xml:space="preserve">, γεγονός </w:t>
      </w:r>
      <w:r w:rsidR="00BE476F">
        <w:t>που σημαίνει ότι θεωρητικά μπορούν να συντηρηθούν</w:t>
      </w:r>
      <w:r>
        <w:t xml:space="preserve"> για όσο χρονικό</w:t>
      </w:r>
      <w:r w:rsidR="00BE476F">
        <w:t xml:space="preserve"> διάστημα το επιθυμεί </w:t>
      </w:r>
      <w:r w:rsidR="005819C4">
        <w:t>η υποβοηθούμενη γυναίκα</w:t>
      </w:r>
      <w:r>
        <w:t xml:space="preserve">. </w:t>
      </w:r>
      <w:r w:rsidR="00BE476F">
        <w:t xml:space="preserve">Όπως αναφέρθηκε και πιο πάνω στην περίπτωση της κρυοσυντήρησης σπέρματος, κάθε χρόνο, </w:t>
      </w:r>
      <w:r w:rsidR="005819C4">
        <w:t>η υποβοηθούμενη γυναίκα</w:t>
      </w:r>
      <w:r>
        <w:t xml:space="preserve"> λαμβάνει από την Τράπεζ</w:t>
      </w:r>
      <w:r w:rsidR="00BE476F">
        <w:t>α σπέρματος μια επιστολή που της</w:t>
      </w:r>
      <w:r>
        <w:t xml:space="preserve"> ζητάε</w:t>
      </w:r>
      <w:r w:rsidR="00BE476F">
        <w:t>ι να επιβεβαιώσει τη βούλησή της</w:t>
      </w:r>
      <w:r>
        <w:t xml:space="preserve"> να συνεχίσει την κρυοσυντήρηση των </w:t>
      </w:r>
      <w:r w:rsidR="00BE476F">
        <w:t>ωαρίων της</w:t>
      </w:r>
      <w:r>
        <w:t>. Σε περίπτωση αλλαγής διεύθυνσης, μάλιστα, είναι πολύ σημαντικό ν</w:t>
      </w:r>
      <w:r w:rsidR="00BE476F">
        <w:t>α γνωστοποιεί την καινούργια της</w:t>
      </w:r>
      <w:r>
        <w:t xml:space="preserve"> διεύθυνση στην Τράπεζα σπέρματος. </w:t>
      </w:r>
      <w:r w:rsidR="005819C4">
        <w:t xml:space="preserve"> </w:t>
      </w:r>
    </w:p>
    <w:p w14:paraId="0EF914CC" w14:textId="5188A94B" w:rsidR="005A630B" w:rsidRDefault="005A630B" w:rsidP="005A630B">
      <w:pPr>
        <w:rPr>
          <w:rFonts w:eastAsia="Calibri"/>
        </w:rPr>
      </w:pPr>
      <w:r>
        <w:t xml:space="preserve">Πιο συγκεκριμένα, ο </w:t>
      </w:r>
      <w:r w:rsidRPr="00DD32B4">
        <w:rPr>
          <w:b/>
        </w:rPr>
        <w:t>Οδηγός καλών κλινικών και βιολογικών πρακτικών στην ιατρικά υποβηθούμενη αναπαραγωγή</w:t>
      </w:r>
      <w:r w:rsidR="005819C4">
        <w:t xml:space="preserve"> ορίζει, στην παράγραφο ΙΙΙ.4.1: </w:t>
      </w:r>
      <w:r w:rsidR="005819C4" w:rsidRPr="00DD32B4">
        <w:rPr>
          <w:i/>
        </w:rPr>
        <w:t>Πληροφόρηση και συναίνεση</w:t>
      </w:r>
      <w:r w:rsidR="005819C4">
        <w:t xml:space="preserve"> του κεφαλαίου ΙΙΙ.4: </w:t>
      </w:r>
      <w:r w:rsidRPr="00DD32B4">
        <w:rPr>
          <w:i/>
        </w:rPr>
        <w:t>Συντήρηση γαμετών και εμβρυικών ιστών για ίδια χρήση</w:t>
      </w:r>
      <w:r>
        <w:t>, ότι «κάθε πρόσωπο που πρέπει να υποστεί μια θεραπεία που</w:t>
      </w:r>
      <w:r w:rsidRPr="00123CB8">
        <w:rPr>
          <w:rFonts w:eastAsia="Calibri"/>
        </w:rPr>
        <w:t xml:space="preserve"> επισύρει </w:t>
      </w:r>
      <w:r w:rsidRPr="004439A8">
        <w:rPr>
          <w:rFonts w:eastAsia="Calibri"/>
        </w:rPr>
        <w:t>κίνδυνο</w:t>
      </w:r>
      <w:r w:rsidRPr="00123CB8">
        <w:rPr>
          <w:rFonts w:eastAsia="Calibri"/>
        </w:rPr>
        <w:t xml:space="preserve"> στειρότητας </w:t>
      </w:r>
      <w:r>
        <w:rPr>
          <w:rFonts w:eastAsia="Calibri"/>
        </w:rPr>
        <w:t xml:space="preserve">έχει πρόσβαση σε πληροφορίες που αφορούν στις δυνατότητες συντήρησης γαμετών ή </w:t>
      </w:r>
      <w:r>
        <w:rPr>
          <w:rFonts w:eastAsia="Calibri"/>
        </w:rPr>
        <w:lastRenderedPageBreak/>
        <w:t xml:space="preserve">εμβρυικού ιστού. Εφόσον η συντήρηση διενεργείται σε πλαίσιο παθολογίας που θέτει σε κίνδυνο τη ζωή του, ο ασθενής λαμβάνει συγκεκριμένη και στοχευμένη πληροφόρηση. </w:t>
      </w:r>
    </w:p>
    <w:p w14:paraId="049F9427" w14:textId="77777777" w:rsidR="005A630B" w:rsidRDefault="005A630B" w:rsidP="005A630B">
      <w:pPr>
        <w:rPr>
          <w:lang w:val="en-US" w:eastAsia="en-US"/>
        </w:rPr>
      </w:pPr>
      <w:r>
        <w:rPr>
          <w:rFonts w:eastAsia="Calibri"/>
        </w:rPr>
        <w:t xml:space="preserve">Ο ασθενής, ο κηδεμόνας </w:t>
      </w:r>
      <w:r w:rsidRPr="00E508CD">
        <w:rPr>
          <w:rFonts w:eastAsia="Calibri"/>
        </w:rPr>
        <w:t xml:space="preserve">του, αν πρόκειται για ανήλικο ή </w:t>
      </w:r>
      <w:r w:rsidRPr="00E508CD">
        <w:rPr>
          <w:lang w:val="en-US" w:eastAsia="en-US"/>
        </w:rPr>
        <w:t>ο δικαστικός συμπαραστάτης του εάν το ενδιαφερόμενο πρόσωπο έχει υποβληθεί σε δικαστική συμπαράσταση, παρέχει εγγράφως τη συναίνεσή του.</w:t>
      </w:r>
      <w:r>
        <w:rPr>
          <w:lang w:val="en-US" w:eastAsia="en-US"/>
        </w:rPr>
        <w:t xml:space="preserve"> </w:t>
      </w:r>
    </w:p>
    <w:p w14:paraId="79035EED" w14:textId="77777777" w:rsidR="005A630B" w:rsidRDefault="005A630B" w:rsidP="005A630B">
      <w:pPr>
        <w:rPr>
          <w:lang w:val="en-US" w:eastAsia="en-US"/>
        </w:rPr>
      </w:pPr>
      <w:r>
        <w:rPr>
          <w:lang w:val="en-US" w:eastAsia="en-US"/>
        </w:rPr>
        <w:t xml:space="preserve">Η επιστροφή του </w:t>
      </w:r>
      <w:r w:rsidR="00312EE2">
        <w:rPr>
          <w:lang w:val="en-US" w:eastAsia="en-US"/>
        </w:rPr>
        <w:t xml:space="preserve">γεννητικού υλικού </w:t>
      </w:r>
      <w:r>
        <w:rPr>
          <w:lang w:val="en-US" w:eastAsia="en-US"/>
        </w:rPr>
        <w:t xml:space="preserve">σε μεταγενέστερο χρονικό σημείο γίνεται μόνο στον ίδιο τον ασθενή. </w:t>
      </w:r>
    </w:p>
    <w:p w14:paraId="115DA43C" w14:textId="77777777" w:rsidR="00433273" w:rsidRDefault="005A630B" w:rsidP="00FB535B">
      <w:pPr>
        <w:rPr>
          <w:lang w:val="en-US" w:eastAsia="en-US"/>
        </w:rPr>
      </w:pPr>
      <w:r>
        <w:rPr>
          <w:lang w:val="en-US" w:eastAsia="en-US"/>
        </w:rPr>
        <w:t xml:space="preserve">Μετά την πρώτη χρονιά συντήρησης, είναι αναγκαίο να επιβεβαιώνεται κάθε χρόνο η βούληση του ασθενούς να συνεχίσει ή όχι τη συντήρηση. Μόνο ο ασθενής μπορεί να εκφράσει εγγράφως τη βούλησή του να συνεχίσει ή να θέσει τέρμα στην κρυοσυντήρηση του </w:t>
      </w:r>
      <w:r w:rsidR="00312EE2">
        <w:rPr>
          <w:lang w:val="en-US" w:eastAsia="en-US"/>
        </w:rPr>
        <w:t>γεννητικού του υλικού</w:t>
      </w:r>
      <w:r>
        <w:rPr>
          <w:lang w:val="en-US" w:eastAsia="en-US"/>
        </w:rPr>
        <w:t>. Σε περίπτωση θανάτου, τίθεται τέρμα στη συντήρηση των γαμετών ή των εμβρυικών ιστών</w:t>
      </w:r>
      <w:r>
        <w:t>»</w:t>
      </w:r>
      <w:r>
        <w:rPr>
          <w:lang w:val="en-US" w:eastAsia="en-US"/>
        </w:rPr>
        <w:t xml:space="preserve">. </w:t>
      </w:r>
    </w:p>
    <w:p w14:paraId="50724845" w14:textId="0CA3D18B" w:rsidR="00BA23E5" w:rsidRPr="009C576C" w:rsidRDefault="00A05575" w:rsidP="009C576C">
      <w:pPr>
        <w:pStyle w:val="ListParagraph"/>
        <w:numPr>
          <w:ilvl w:val="0"/>
          <w:numId w:val="18"/>
        </w:numPr>
        <w:tabs>
          <w:tab w:val="left" w:pos="567"/>
        </w:tabs>
        <w:ind w:left="0" w:hanging="11"/>
        <w:rPr>
          <w:b/>
          <w:lang w:val="en-US" w:eastAsia="en-US"/>
        </w:rPr>
      </w:pPr>
      <w:r w:rsidRPr="009C576C">
        <w:rPr>
          <w:b/>
          <w:lang w:eastAsia="en-US"/>
        </w:rPr>
        <w:t>Τ</w:t>
      </w:r>
      <w:r w:rsidR="00BA23E5" w:rsidRPr="009C576C">
        <w:rPr>
          <w:b/>
          <w:lang w:eastAsia="en-US"/>
        </w:rPr>
        <w:t xml:space="preserve">αχεία </w:t>
      </w:r>
      <w:r w:rsidR="0031672B" w:rsidRPr="009C576C">
        <w:rPr>
          <w:b/>
          <w:lang w:eastAsia="en-US"/>
        </w:rPr>
        <w:t>Κρυοσυντήρηση</w:t>
      </w:r>
      <w:r w:rsidR="00BB3608" w:rsidRPr="009C576C">
        <w:rPr>
          <w:b/>
          <w:lang w:eastAsia="en-US"/>
        </w:rPr>
        <w:t xml:space="preserve"> ή τεχνική της </w:t>
      </w:r>
      <w:r w:rsidR="00176FB5">
        <w:rPr>
          <w:b/>
          <w:lang w:eastAsia="en-US"/>
        </w:rPr>
        <w:t>«Υ</w:t>
      </w:r>
      <w:r w:rsidR="00BB3608" w:rsidRPr="009C576C">
        <w:rPr>
          <w:b/>
          <w:lang w:eastAsia="en-US"/>
        </w:rPr>
        <w:t>αλοποίησης</w:t>
      </w:r>
      <w:r w:rsidR="00176FB5">
        <w:rPr>
          <w:b/>
          <w:lang w:eastAsia="en-US"/>
        </w:rPr>
        <w:t>»</w:t>
      </w:r>
      <w:r w:rsidR="00BB3608" w:rsidRPr="009C576C">
        <w:rPr>
          <w:b/>
          <w:lang w:eastAsia="en-US"/>
        </w:rPr>
        <w:t xml:space="preserve"> των</w:t>
      </w:r>
      <w:r w:rsidR="0031672B" w:rsidRPr="009C576C">
        <w:rPr>
          <w:b/>
          <w:lang w:eastAsia="en-US"/>
        </w:rPr>
        <w:t xml:space="preserve"> ωαρίων</w:t>
      </w:r>
      <w:r w:rsidR="00F83C93" w:rsidRPr="009C576C">
        <w:rPr>
          <w:b/>
          <w:lang w:eastAsia="en-US"/>
        </w:rPr>
        <w:t xml:space="preserve"> (</w:t>
      </w:r>
      <w:r w:rsidR="00F83C93" w:rsidRPr="009C576C">
        <w:rPr>
          <w:b/>
          <w:i/>
          <w:lang w:val="en-US"/>
        </w:rPr>
        <w:t>vitrification des ovocytes</w:t>
      </w:r>
      <w:r w:rsidR="00F83C93" w:rsidRPr="009C576C">
        <w:rPr>
          <w:b/>
        </w:rPr>
        <w:t>)</w:t>
      </w:r>
    </w:p>
    <w:p w14:paraId="4B4B5AEE" w14:textId="322BA5FB" w:rsidR="00BA23E5" w:rsidRDefault="00A246A2" w:rsidP="00090A29">
      <w:pPr>
        <w:rPr>
          <w:lang w:val="en-US" w:eastAsia="en-US"/>
        </w:rPr>
      </w:pPr>
      <w:r>
        <w:rPr>
          <w:lang w:val="en-US" w:eastAsia="en-US"/>
        </w:rPr>
        <w:t>Η μέθοδος της ταχείας ψύ</w:t>
      </w:r>
      <w:r w:rsidR="00480605">
        <w:rPr>
          <w:lang w:val="en-US" w:eastAsia="en-US"/>
        </w:rPr>
        <w:t>ξης ή αλλιώς υαλοποίηση</w:t>
      </w:r>
      <w:r w:rsidR="001D3660">
        <w:rPr>
          <w:lang w:val="en-US" w:eastAsia="en-US"/>
        </w:rPr>
        <w:t>ς</w:t>
      </w:r>
      <w:r w:rsidR="00480605">
        <w:rPr>
          <w:lang w:val="en-US" w:eastAsia="en-US"/>
        </w:rPr>
        <w:t xml:space="preserve"> (</w:t>
      </w:r>
      <w:r w:rsidR="00480605" w:rsidRPr="00480605">
        <w:rPr>
          <w:i/>
          <w:lang w:val="en-US" w:eastAsia="en-US"/>
        </w:rPr>
        <w:t>vitrification</w:t>
      </w:r>
      <w:r w:rsidR="001176E1">
        <w:rPr>
          <w:lang w:val="en-US" w:eastAsia="en-US"/>
        </w:rPr>
        <w:t>) ξεκίνησε ερευνητικά </w:t>
      </w:r>
      <w:r w:rsidR="00480605">
        <w:rPr>
          <w:lang w:val="en-US" w:eastAsia="en-US"/>
        </w:rPr>
        <w:t xml:space="preserve">το 1990 και βελτιώθηκε </w:t>
      </w:r>
      <w:r w:rsidR="00374E09">
        <w:rPr>
          <w:lang w:val="en-US" w:eastAsia="en-US"/>
        </w:rPr>
        <w:t>σημαντικά</w:t>
      </w:r>
      <w:r w:rsidR="00480605">
        <w:rPr>
          <w:lang w:val="en-US" w:eastAsia="en-US"/>
        </w:rPr>
        <w:t xml:space="preserve"> τα επόμενα χρόνια. Η εφαρμογή της έδειξε ότι έχει </w:t>
      </w:r>
      <w:r w:rsidR="00374E09">
        <w:rPr>
          <w:lang w:val="en-US" w:eastAsia="en-US"/>
        </w:rPr>
        <w:t>πολύ πιο ικανοποιητικά</w:t>
      </w:r>
      <w:r w:rsidR="00480605">
        <w:rPr>
          <w:lang w:val="en-US" w:eastAsia="en-US"/>
        </w:rPr>
        <w:t xml:space="preserve"> αποτελέσματα στην κρυοσυντήρηση των ωαρίων </w:t>
      </w:r>
      <w:r w:rsidR="00374E09">
        <w:rPr>
          <w:lang w:val="en-US" w:eastAsia="en-US"/>
        </w:rPr>
        <w:t>σε σύγκριση με τη μέθοδο</w:t>
      </w:r>
      <w:r w:rsidR="00480605">
        <w:rPr>
          <w:lang w:val="en-US" w:eastAsia="en-US"/>
        </w:rPr>
        <w:t xml:space="preserve"> της </w:t>
      </w:r>
      <w:r w:rsidR="001176E1">
        <w:t>«</w:t>
      </w:r>
      <w:r w:rsidR="001176E1">
        <w:rPr>
          <w:lang w:val="en-US" w:eastAsia="en-US"/>
        </w:rPr>
        <w:t>βραδείας</w:t>
      </w:r>
      <w:r w:rsidR="001176E1">
        <w:t>»</w:t>
      </w:r>
      <w:r w:rsidR="001176E1">
        <w:rPr>
          <w:lang w:val="en-US" w:eastAsia="en-US"/>
        </w:rPr>
        <w:t xml:space="preserve"> ψύξης</w:t>
      </w:r>
      <w:r w:rsidR="00374E09">
        <w:rPr>
          <w:lang w:val="en-US" w:eastAsia="en-US"/>
        </w:rPr>
        <w:t xml:space="preserve">. </w:t>
      </w:r>
      <w:r w:rsidR="00365E78">
        <w:t xml:space="preserve">Πρόκειται για τον καταλληλότερο τρόπο </w:t>
      </w:r>
      <w:r w:rsidR="00365E78">
        <w:rPr>
          <w:lang w:val="en-US" w:eastAsia="en-US"/>
        </w:rPr>
        <w:t>κρυοσυντήρησης των ωαρίων</w:t>
      </w:r>
      <w:r w:rsidR="00374E09">
        <w:rPr>
          <w:lang w:val="en-US" w:eastAsia="en-US"/>
        </w:rPr>
        <w:t xml:space="preserve"> δεδομένου ότι έχει αποδειχθεί ότι με την εφαρμογή της υαλοποίησης έχουμε μείωση των πιθανών βλαβών ή κρυο-τραυματισμού του κυτταροπλάσματος και ελαχιστοποίηση ή ακόμη και απουσία πιθανών γενετικών βλαβών.</w:t>
      </w:r>
      <w:r w:rsidR="00365E78">
        <w:rPr>
          <w:lang w:val="en-US" w:eastAsia="en-US"/>
        </w:rPr>
        <w:t xml:space="preserve"> Η μέθοδος της </w:t>
      </w:r>
      <w:r w:rsidR="00374E09">
        <w:rPr>
          <w:lang w:val="en-US" w:eastAsia="en-US"/>
        </w:rPr>
        <w:t xml:space="preserve">υαλοποίησης </w:t>
      </w:r>
      <w:r w:rsidR="00365E78">
        <w:rPr>
          <w:lang w:val="en-US" w:eastAsia="en-US"/>
        </w:rPr>
        <w:t xml:space="preserve">ωαρίων έχει ανοίξει δρόμους για την εφαρμογή και άλλων μεθόδων όπως είναι η </w:t>
      </w:r>
      <w:r w:rsidR="00374E09">
        <w:rPr>
          <w:lang w:val="en-US" w:eastAsia="en-US"/>
        </w:rPr>
        <w:t xml:space="preserve">κρυοσυντήρηση ωοθηκικού ιστού, </w:t>
      </w:r>
      <w:r w:rsidR="00365E78">
        <w:rPr>
          <w:lang w:val="en-US" w:eastAsia="en-US"/>
        </w:rPr>
        <w:t xml:space="preserve">μια πολλά υποσχόμενη μέθοδος. </w:t>
      </w:r>
    </w:p>
    <w:p w14:paraId="24EC2A77" w14:textId="104A5CCF" w:rsidR="00B21393" w:rsidRDefault="00B21393" w:rsidP="00B21393">
      <w:bookmarkStart w:id="149" w:name="υαλοποίηση_ωαρίων"/>
      <w:r>
        <w:rPr>
          <w:lang w:eastAsia="en-US"/>
        </w:rPr>
        <w:t xml:space="preserve">Ο </w:t>
      </w:r>
      <w:r w:rsidRPr="00674292">
        <w:rPr>
          <w:i/>
          <w:lang w:eastAsia="en-US"/>
        </w:rPr>
        <w:t xml:space="preserve">Νόμος περί Βιοηθικής </w:t>
      </w:r>
      <w:r>
        <w:rPr>
          <w:lang w:eastAsia="en-US"/>
        </w:rPr>
        <w:t xml:space="preserve">του 2011 επιτρέπει, όπως έχει ήδη αναφερθεί, την </w:t>
      </w:r>
      <w:r w:rsidRPr="00803E94">
        <w:t>τεχνική</w:t>
      </w:r>
      <w:r>
        <w:t xml:space="preserve"> της ταχείας κρυοσυντήρησης (υαλοποίηση</w:t>
      </w:r>
      <w:r w:rsidR="00B622E5">
        <w:t>ς</w:t>
      </w:r>
      <w:r>
        <w:t xml:space="preserve">) </w:t>
      </w:r>
      <w:r w:rsidRPr="00803E94">
        <w:t>των ωαρίων</w:t>
      </w:r>
      <w:r>
        <w:t xml:space="preserve"> (</w:t>
      </w:r>
      <w:r w:rsidRPr="0031672B">
        <w:rPr>
          <w:i/>
          <w:lang w:val="en-US"/>
        </w:rPr>
        <w:t>vitrification des ovocytes</w:t>
      </w:r>
      <w:r>
        <w:t>), απευθείας, χωρίς ανάγκη λήψης έγκρισης από τον Οργανισμό Βιοϊατρικής (ά</w:t>
      </w:r>
      <w:r w:rsidRPr="004720ED">
        <w:t>ρθρο L. 2141-1</w:t>
      </w:r>
      <w:r>
        <w:t>, παρ. 4,</w:t>
      </w:r>
      <w:r w:rsidRPr="004720ED">
        <w:t xml:space="preserve"> ΚΔΥ</w:t>
      </w:r>
      <w:r>
        <w:t xml:space="preserve">). </w:t>
      </w:r>
    </w:p>
    <w:p w14:paraId="1325CE15" w14:textId="5D604EAF" w:rsidR="00CB279F" w:rsidRDefault="00CB279F" w:rsidP="00CB279F">
      <w:r>
        <w:t xml:space="preserve">Για να αντιληφθεί, ωστόσο, κανείς πλήρως τη σημασία που έχει για τη γαλλική πραγματικότητα η τέταρτη παράγραφος του άρθρου </w:t>
      </w:r>
      <w:r>
        <w:rPr>
          <w:lang w:val="en-US"/>
        </w:rPr>
        <w:t xml:space="preserve">L. 2141-1 </w:t>
      </w:r>
      <w:r>
        <w:t>ΚΔΥ, πρέπει να κάνει συνδυαστική ανάγνωση με την αμέσως επόμενη παράγραφο, σύμφωνα με την οποία</w:t>
      </w:r>
      <w:r w:rsidR="00C722C0">
        <w:t xml:space="preserve"> «</w:t>
      </w:r>
      <w:r w:rsidR="00C722C0" w:rsidRPr="00C722C0">
        <w:rPr>
          <w:i/>
        </w:rPr>
        <w:t>η εφαρμογή της ιατρικά υποβοηθούμενης αναπαραγωγής ευνοεί τις τεχνικές και τις διεργασίες εκείνες που επιτρέπουν τον περιορισμό του αριθμού των κρυοσυντηρημένων εμβρύων</w:t>
      </w:r>
      <w:r w:rsidR="00C722C0">
        <w:t xml:space="preserve">» (άρθρο </w:t>
      </w:r>
      <w:r w:rsidR="00C722C0">
        <w:rPr>
          <w:lang w:val="en-US"/>
        </w:rPr>
        <w:t>L. 2141-1</w:t>
      </w:r>
      <w:r w:rsidR="00C722C0">
        <w:t xml:space="preserve">, παρ. 5, ΚΔΥ). </w:t>
      </w:r>
      <w:r w:rsidR="00F608DA">
        <w:t xml:space="preserve">Μια σύντομη ιστορική αναδρομή στο ρυθμιστικό </w:t>
      </w:r>
      <w:r w:rsidR="009B6E91">
        <w:t xml:space="preserve">πλαίσιο </w:t>
      </w:r>
      <w:r w:rsidR="00F608DA">
        <w:t xml:space="preserve">της κρυοσυντήρησης γεννητικού υλικού θα συμβάλει στην καλύτερη κατανόηση της σημασίας των εν λόγω διατάξεων. </w:t>
      </w:r>
    </w:p>
    <w:p w14:paraId="080F11CF" w14:textId="77777777" w:rsidR="00AC2110" w:rsidRDefault="009B6E91" w:rsidP="00CB279F">
      <w:r>
        <w:t>Παρότι η</w:t>
      </w:r>
      <w:r w:rsidR="0060308E">
        <w:t xml:space="preserve"> κρυοσυντήρηση σπέρματος είναι δυνατή από το 1940</w:t>
      </w:r>
      <w:r>
        <w:t xml:space="preserve"> και</w:t>
      </w:r>
      <w:r w:rsidR="0060308E">
        <w:t xml:space="preserve"> η κρυ</w:t>
      </w:r>
      <w:r>
        <w:t xml:space="preserve">οσυντήρηση εμβρύων από το 1970, η ψύξη ωαρίων, αντίθετα, δεν προβλέφθηκε </w:t>
      </w:r>
      <w:r w:rsidR="0060308E">
        <w:t>με τη θέσπιση τ</w:t>
      </w:r>
      <w:r>
        <w:t xml:space="preserve">ου νομοθετικού πλαισίου το 1994. </w:t>
      </w:r>
      <w:r w:rsidR="00BF56A4">
        <w:t xml:space="preserve">Είναι ο λόγος για τον οποίο, μάλιστα, </w:t>
      </w:r>
      <w:r>
        <w:t>ο νομοθέτης</w:t>
      </w:r>
      <w:r w:rsidR="00AD492A">
        <w:t xml:space="preserve"> </w:t>
      </w:r>
      <w:r w:rsidR="00AD492A">
        <w:lastRenderedPageBreak/>
        <w:t xml:space="preserve">αναγνώρισε τη δυνατότητα κρυοσυντήρησης εμβρύων, παρότι </w:t>
      </w:r>
      <w:r w:rsidR="008D6951">
        <w:t>μάλιστα</w:t>
      </w:r>
      <w:r w:rsidR="00AD492A">
        <w:t xml:space="preserve"> η πλειοψηφία των ε</w:t>
      </w:r>
      <w:r w:rsidR="00BF56A4">
        <w:t>νδιαφερόμενων φορέων υποστήριζε</w:t>
      </w:r>
      <w:r w:rsidR="00AD492A">
        <w:t xml:space="preserve"> ότι η μέθοδος αυτή δημιο</w:t>
      </w:r>
      <w:r>
        <w:t xml:space="preserve">υργούσε </w:t>
      </w:r>
      <w:r w:rsidR="00BF56A4">
        <w:t xml:space="preserve">σημαντικά </w:t>
      </w:r>
      <w:r>
        <w:t>ηθικά προβλήματα</w:t>
      </w:r>
      <w:r w:rsidR="00AD492A">
        <w:t>. Την περίοδο εκείνη</w:t>
      </w:r>
      <w:r w:rsidR="00BF56A4">
        <w:t xml:space="preserve"> των νομοπαρασκευαστικών διεργασιών του 1994</w:t>
      </w:r>
      <w:r w:rsidR="00AD492A">
        <w:t>, λοιπόν, όλοι επιθυμούσαν η συντήρηση εμβρύων να είναι μια προσωρινή λύση, έως ότου επιτραπεί η κρυοσυντήρηση ωαρίων. Στο πλαίσιο αυτό, μάλιστα, η Εθνική Συμβουλευτική Επιτροπή Ηθικής (</w:t>
      </w:r>
      <w:r w:rsidR="00AD492A">
        <w:rPr>
          <w:lang w:val="en-US"/>
        </w:rPr>
        <w:t>CCNE</w:t>
      </w:r>
      <w:r w:rsidR="002D5C10">
        <w:t xml:space="preserve">) εξέφρασε, </w:t>
      </w:r>
      <w:r w:rsidR="00AD492A">
        <w:t>το 1989</w:t>
      </w:r>
      <w:r w:rsidR="002D5C10">
        <w:t>, την ελπίδα «η</w:t>
      </w:r>
      <w:r w:rsidR="00AD492A">
        <w:t xml:space="preserve"> πρόοδος ως προς τις μεθόδους της γονιμοποίησης </w:t>
      </w:r>
      <w:r w:rsidR="00AD492A" w:rsidRPr="002D5C10">
        <w:rPr>
          <w:i/>
          <w:lang w:val="en-US"/>
        </w:rPr>
        <w:t>in vitro</w:t>
      </w:r>
      <w:r w:rsidR="002D5C10">
        <w:t xml:space="preserve"> να διασφαλίσει τον</w:t>
      </w:r>
      <w:r w:rsidR="00AD492A">
        <w:t xml:space="preserve"> προσωρινό μόνο χαρακτήρα </w:t>
      </w:r>
      <w:r w:rsidR="002D5C10">
        <w:t>των προβλημάτων που εγείρει το μέλλον των πλεοναζόντων εμβρύων</w:t>
      </w:r>
      <w:r w:rsidR="00BF56A4">
        <w:t xml:space="preserve">, συμβάλλοντας στο να αποφευχθεί </w:t>
      </w:r>
      <w:r w:rsidR="002D5C10">
        <w:t>η δημιουργία τους»</w:t>
      </w:r>
      <w:r w:rsidR="002D5C10">
        <w:rPr>
          <w:rStyle w:val="FootnoteReference"/>
        </w:rPr>
        <w:footnoteReference w:id="264"/>
      </w:r>
      <w:r w:rsidR="002D5C10">
        <w:t xml:space="preserve">. </w:t>
      </w:r>
      <w:r w:rsidR="00FD7A9C">
        <w:t xml:space="preserve">Παρομοίως, ο καθηγητής </w:t>
      </w:r>
      <w:r w:rsidR="00FD7A9C">
        <w:rPr>
          <w:lang w:val="en-US"/>
        </w:rPr>
        <w:t xml:space="preserve">R. Frydman, </w:t>
      </w:r>
      <w:r w:rsidR="00FD7A9C">
        <w:t>ο οποίος το 2010 τάχθηκε υπέρ της νομοθετικής ρύθμισης της μεθόδου της υαλοποίησης των ωαρίων</w:t>
      </w:r>
      <w:r w:rsidR="00FD7A9C">
        <w:rPr>
          <w:rStyle w:val="FootnoteReference"/>
        </w:rPr>
        <w:footnoteReference w:id="265"/>
      </w:r>
      <w:r w:rsidR="00AC2110">
        <w:t>, επιβεβαίωσ</w:t>
      </w:r>
      <w:r w:rsidR="00FD7A9C">
        <w:t>ε το 1992 ότι το ζήτημα των πλεοναζόντων εμβρύων δε θα ή</w:t>
      </w:r>
      <w:r w:rsidR="00AC2110">
        <w:t xml:space="preserve">ταν παρά ένα προσωρινό πρόβλημα, </w:t>
      </w:r>
      <w:r w:rsidR="00FD7A9C">
        <w:t>γιατί η επιστημονική πρόοδος σύντομα δε θα είχε ανάγκη τη δημιουργία τους</w:t>
      </w:r>
      <w:r w:rsidR="00FD7A9C">
        <w:rPr>
          <w:rStyle w:val="FootnoteReference"/>
        </w:rPr>
        <w:footnoteReference w:id="266"/>
      </w:r>
      <w:r w:rsidR="00FD7A9C">
        <w:t xml:space="preserve">. </w:t>
      </w:r>
      <w:r w:rsidR="00AC2110">
        <w:t xml:space="preserve">Τις ίδιες ευχές εξέφρασε, </w:t>
      </w:r>
      <w:r w:rsidR="008D6951">
        <w:t>το 1994</w:t>
      </w:r>
      <w:r w:rsidR="00AC2110">
        <w:t>,</w:t>
      </w:r>
      <w:r w:rsidR="008D6951">
        <w:t xml:space="preserve"> και η </w:t>
      </w:r>
      <w:r w:rsidR="00826908">
        <w:rPr>
          <w:lang w:val="en-US"/>
        </w:rPr>
        <w:t>Sim</w:t>
      </w:r>
      <w:r w:rsidR="008D6951">
        <w:rPr>
          <w:lang w:val="en-US"/>
        </w:rPr>
        <w:t>one Veil</w:t>
      </w:r>
      <w:r w:rsidR="008D6951">
        <w:t xml:space="preserve"> </w:t>
      </w:r>
      <w:r w:rsidR="00AC2110">
        <w:t>δηλώνοντας</w:t>
      </w:r>
      <w:r w:rsidR="008D6951">
        <w:t xml:space="preserve"> ότι ελπίζει «η επιστημονική πρόοδος να επιτρέψει τη συντήρηση των ωαρίων και τη μείωση του αριθμού των εμβρύων που κρυοσυντηρούνται»</w:t>
      </w:r>
      <w:r w:rsidR="007C3FD4">
        <w:rPr>
          <w:rStyle w:val="FootnoteReference"/>
        </w:rPr>
        <w:footnoteReference w:id="267"/>
      </w:r>
      <w:r w:rsidR="008D6951">
        <w:t xml:space="preserve">. </w:t>
      </w:r>
    </w:p>
    <w:p w14:paraId="2C5FAD9C" w14:textId="72D2BB55" w:rsidR="00CB279F" w:rsidRDefault="009944EE" w:rsidP="00CB279F">
      <w:r>
        <w:t>Τις ευχές αυτές ουσιαστικά έρχονται να εκπληρώσουν οι πρόοδοι στο πεδίο της κρυοσυντήρησης των ωαρίων χάρη στη μέθοδο της υαλοποίησης των ωαρίων</w:t>
      </w:r>
      <w:r>
        <w:rPr>
          <w:rStyle w:val="FootnoteReference"/>
        </w:rPr>
        <w:footnoteReference w:id="268"/>
      </w:r>
      <w:r>
        <w:t xml:space="preserve">. </w:t>
      </w:r>
      <w:r w:rsidR="00981A85">
        <w:t>Κατά τη διάρκεια των κοινοβουλευτ</w:t>
      </w:r>
      <w:r w:rsidR="00AC2110">
        <w:t>ικών συζητήσεων, άλλωστε, έτσι επέλεξε να δικαιολογήσει</w:t>
      </w:r>
      <w:r w:rsidR="00981A85">
        <w:t xml:space="preserve"> την ανάγκη νομοθετικής ρύθμισης της μεθόδου της υαλοποίησης των ωαρίων ο κ. </w:t>
      </w:r>
      <w:r w:rsidR="00981A85">
        <w:rPr>
          <w:lang w:val="en-US"/>
        </w:rPr>
        <w:t>Leonetti</w:t>
      </w:r>
      <w:r w:rsidR="00BF56A4">
        <w:t>:</w:t>
      </w:r>
      <w:r w:rsidR="00981A85">
        <w:t xml:space="preserve"> ως «το μόνο μέσο μείωσης του αριθμού των πλεοναζόντων εμβρύων»</w:t>
      </w:r>
      <w:r w:rsidR="00981A85">
        <w:rPr>
          <w:rStyle w:val="FootnoteReference"/>
        </w:rPr>
        <w:footnoteReference w:id="269"/>
      </w:r>
      <w:r w:rsidR="00981A85">
        <w:t xml:space="preserve">. </w:t>
      </w:r>
    </w:p>
    <w:p w14:paraId="6D93F311" w14:textId="1F8F8662" w:rsidR="004612B9" w:rsidRDefault="00826908" w:rsidP="001C3B17">
      <w:r>
        <w:t>Κλείνοντας</w:t>
      </w:r>
      <w:r w:rsidR="0043348C">
        <w:t xml:space="preserve"> τη σχετική με τη νομοθετική αναγνώριση της μεθόδου της υαλοποίησης ενότητα</w:t>
      </w:r>
      <w:r>
        <w:t xml:space="preserve">, </w:t>
      </w:r>
      <w:r w:rsidR="00345AEC">
        <w:t xml:space="preserve"> </w:t>
      </w:r>
      <w:r w:rsidR="0043348C">
        <w:t xml:space="preserve">σε </w:t>
      </w:r>
      <w:r w:rsidR="00345AEC">
        <w:t xml:space="preserve">δύο </w:t>
      </w:r>
      <w:r w:rsidR="0043348C">
        <w:t>επισημάνσεις αξίζει να σταθούμε:</w:t>
      </w:r>
      <w:r w:rsidR="00345AEC">
        <w:t xml:space="preserve"> </w:t>
      </w:r>
    </w:p>
    <w:p w14:paraId="5FE0B242" w14:textId="61B4D231" w:rsidR="004612B9" w:rsidRDefault="0043348C" w:rsidP="001C3B17">
      <w:r>
        <w:t>Καταρχάς</w:t>
      </w:r>
      <w:r w:rsidR="00345AEC">
        <w:t xml:space="preserve">, </w:t>
      </w:r>
      <w:r w:rsidR="004612B9">
        <w:t>η νομοθετική αναγνώριση της μεθόδου της υαλοποίησης των ωαρίων συζητήθηκε έντονα πριν γίνει δεκτή απ</w:t>
      </w:r>
      <w:r>
        <w:t>ό το Κοινοβούλιο για δύο λόγους:</w:t>
      </w:r>
      <w:r w:rsidR="004612B9">
        <w:t xml:space="preserve"> Κατά πρώτο λόγο, εξαιτίας του φόβου που εκφράστηκε από μέρος της ιατρικής κοινότητας για την υλοποίηση της «υπόσχεσης» του 1994 περί κατάργησης της κρυοσυν</w:t>
      </w:r>
      <w:r>
        <w:t xml:space="preserve">τήρησης εμβρύων. Ο φόβος αυτός, </w:t>
      </w:r>
      <w:r w:rsidR="004612B9">
        <w:t xml:space="preserve">μέχρι στιγμής, δεν έχει </w:t>
      </w:r>
      <w:r>
        <w:t>επαληθευθεί</w:t>
      </w:r>
      <w:r w:rsidR="004612B9">
        <w:t xml:space="preserve">. </w:t>
      </w:r>
      <w:r w:rsidR="00C66D51">
        <w:t xml:space="preserve">Κατά δεύτερο λόγο, εξαιτίας του ρίσκου που ενέχει η μέθοδος της κρυοσυντήρησης των ωαρίων για </w:t>
      </w:r>
      <w:r w:rsidR="004B34B1">
        <w:t>συσσώρευση</w:t>
      </w:r>
      <w:r w:rsidR="00C66D51">
        <w:t xml:space="preserve"> μεγάλου αριθμού ωαρίων που τελικά δε χρησιμοποιούνται για τον οικογενειακό προγραμματισμό των υποβοηθούμενων ζευγαριών, όπως και στην περίπτωση της συντήρησης εμβρύων. Με άλλα λόγια, ορισμένοι υπο</w:t>
      </w:r>
      <w:r w:rsidR="004B34B1">
        <w:t>στήριζαν ότι δεν αποτελούσε ουσιαστικά</w:t>
      </w:r>
      <w:r w:rsidR="00C66D51">
        <w:t xml:space="preserve"> γόνιμη λύση η αντικατάσταση </w:t>
      </w:r>
      <w:r w:rsidR="004B34B1">
        <w:t xml:space="preserve">των αποθεμάτων </w:t>
      </w:r>
      <w:r w:rsidR="004B34B1">
        <w:lastRenderedPageBreak/>
        <w:t>(</w:t>
      </w:r>
      <w:r w:rsidR="004B34B1">
        <w:rPr>
          <w:lang w:val="en-US"/>
        </w:rPr>
        <w:t>stock</w:t>
      </w:r>
      <w:r w:rsidR="004B34B1">
        <w:t xml:space="preserve">) των εμβρύων με αποθέματα ωαρίων. Για το λόγο αυτό, τελικά, η επιλογή του νομοθέτη συνιστά κατά πολλούς ένα είδος συμβιβασμού: </w:t>
      </w:r>
      <w:r>
        <w:t xml:space="preserve">αποδέχτηκε το ενδεχόμενο δημιουργίας </w:t>
      </w:r>
      <w:r>
        <w:rPr>
          <w:lang w:val="en-US"/>
        </w:rPr>
        <w:t>stock</w:t>
      </w:r>
      <w:r w:rsidR="004B34B1">
        <w:t xml:space="preserve"> ωαρίων, το οποίο </w:t>
      </w:r>
      <w:r>
        <w:t>ωστόσο εκφράζει την</w:t>
      </w:r>
      <w:r w:rsidR="004B34B1">
        <w:t xml:space="preserve"> ελπίδα να μην είναι τόσο σημαντικό</w:t>
      </w:r>
      <w:r w:rsidR="00C375D3">
        <w:t xml:space="preserve"> (όσο στην περίπτωση των εμβρύων) και αναγνώρισε τα ήδη υπάρχοντα </w:t>
      </w:r>
      <w:r w:rsidR="00C375D3">
        <w:rPr>
          <w:lang w:val="en-US"/>
        </w:rPr>
        <w:t xml:space="preserve">stock </w:t>
      </w:r>
      <w:r w:rsidR="00C375D3">
        <w:t>εμβρύων, τα οποία και φιλοδοξεί να μειωθούν</w:t>
      </w:r>
      <w:r w:rsidR="004B34B1">
        <w:t xml:space="preserve">. Ο έλεγχος της επίτευξης των στόχων αυτών έχει ανατεθεί στον Οργανισμό Βιοϊατρικής, ο οποίος στην ετήσια Έκθεσή του παρουσιάζει τις μεθόδους στις οποίες προσφεύγουν τα υποβοηθούμενα ζευγάρια, καθώς επίσης και τα αποτελέσματα κάθε μίας μεθόδου </w:t>
      </w:r>
      <w:r w:rsidR="00C375D3">
        <w:t xml:space="preserve">ξεχωριστά </w:t>
      </w:r>
      <w:r w:rsidR="004B34B1">
        <w:t>σε σχέση με το στόχο της μείωσ</w:t>
      </w:r>
      <w:r w:rsidR="00C375D3">
        <w:t>ης του αριθμού των κρυοσυντηρημέ</w:t>
      </w:r>
      <w:r w:rsidR="004B34B1">
        <w:t xml:space="preserve">νων εμβρύων.  </w:t>
      </w:r>
    </w:p>
    <w:p w14:paraId="4A237B26" w14:textId="5A3F7895" w:rsidR="00345AEC" w:rsidRPr="001C3B17" w:rsidRDefault="00B5095A" w:rsidP="006E3CDC">
      <w:r>
        <w:t>Η δεύτερη επισήμανση συνίσταται στο ότι</w:t>
      </w:r>
      <w:r w:rsidR="004612B9">
        <w:t xml:space="preserve">, </w:t>
      </w:r>
      <w:r w:rsidR="00826908">
        <w:t xml:space="preserve">όπως θα δούμε </w:t>
      </w:r>
      <w:r>
        <w:t xml:space="preserve">και </w:t>
      </w:r>
      <w:r w:rsidR="00826908">
        <w:t>στην αμέσως επόμενη παράγραφο, η νομοθετική αναγνώριση</w:t>
      </w:r>
      <w:r w:rsidR="001C3B17">
        <w:t xml:space="preserve"> της μεθόδο</w:t>
      </w:r>
      <w:r>
        <w:t>υ</w:t>
      </w:r>
      <w:r w:rsidR="001C3B17">
        <w:t xml:space="preserve"> τη</w:t>
      </w:r>
      <w:r w:rsidR="00826908">
        <w:t>ς κρυοσυντήρησης των ωαρίων δε συνοδεύτηκε τελικά από την κα</w:t>
      </w:r>
      <w:r>
        <w:t xml:space="preserve">τάργηση της συντήρησης εμβρύων. Αυτό, βέβαια, δε σημαίνει ότι δεν </w:t>
      </w:r>
      <w:r w:rsidR="00826908">
        <w:t xml:space="preserve">έγιναν άλλα σημαντικά βήματα προς την κατεύθυνση αυτή, όπως </w:t>
      </w:r>
      <w:r>
        <w:t>λ</w:t>
      </w:r>
      <w:r w:rsidR="00826908">
        <w:t xml:space="preserve">.χ. με τη διάταξη του άρθρου </w:t>
      </w:r>
      <w:r w:rsidR="00826908">
        <w:rPr>
          <w:lang w:val="en-US"/>
        </w:rPr>
        <w:t>L. 2141-1</w:t>
      </w:r>
      <w:r w:rsidR="00826908">
        <w:t xml:space="preserve">, παρ. 5, ΚΔΥ που αναγνωρίζει την ανάγκη προώθησης των τεχνικών και </w:t>
      </w:r>
      <w:r w:rsidR="00826908" w:rsidRPr="00826908">
        <w:t>διεργασιών εκείνων που επιτρέπουν τον περιορισμό του αριθμού των κρυοσυντηρημένων εμβρύων</w:t>
      </w:r>
      <w:r w:rsidR="00826908">
        <w:t xml:space="preserve">, καθώς επίσης και </w:t>
      </w:r>
      <w:r w:rsidR="001C3B17">
        <w:t>με το</w:t>
      </w:r>
      <w:r>
        <w:t>ν</w:t>
      </w:r>
      <w:r w:rsidR="001C3B17">
        <w:t xml:space="preserve"> περιορισμό του αριθμού των κρυοσυντηρούμενων εμβρύων στον «</w:t>
      </w:r>
      <w:r w:rsidR="001C3B17">
        <w:rPr>
          <w:i/>
          <w:lang w:val="en-US" w:eastAsia="en-US"/>
        </w:rPr>
        <w:t>απολύτως αναγκαίο για την επιτυχία της ιατρικής υποβοήθησης στην αναπαραγωγή, ανάλογα με την τεχνική που τίθεται σε εφαρμογή</w:t>
      </w:r>
      <w:r w:rsidR="001C3B17" w:rsidRPr="00364E4F">
        <w:t>»</w:t>
      </w:r>
      <w:r w:rsidR="001C3B17">
        <w:t xml:space="preserve"> </w:t>
      </w:r>
      <w:r w:rsidR="001C3B17" w:rsidRPr="001C3B17">
        <w:t>(άρθρο L. 2141-3, παρ. 2, ΚΔΥ).</w:t>
      </w:r>
      <w:bookmarkEnd w:id="149"/>
      <w:r w:rsidR="001C3B17" w:rsidRPr="001C3B17">
        <w:t xml:space="preserve"> </w:t>
      </w:r>
    </w:p>
    <w:p w14:paraId="4E382D3B" w14:textId="6DC824D3" w:rsidR="00EA5F8D" w:rsidRPr="004933B9" w:rsidRDefault="00BA0F1C" w:rsidP="00BA0F1C">
      <w:pPr>
        <w:pStyle w:val="Heading5"/>
      </w:pPr>
      <w:r>
        <w:t>iii</w:t>
      </w:r>
      <w:r w:rsidR="00EA5F8D" w:rsidRPr="00B84ECA">
        <w:t>. Κρυοσυντήρηση</w:t>
      </w:r>
      <w:r w:rsidR="00014C0C">
        <w:t xml:space="preserve"> ζυγωτών και</w:t>
      </w:r>
      <w:r w:rsidR="00EA5F8D" w:rsidRPr="00B84ECA">
        <w:t xml:space="preserve"> εμβρύων</w:t>
      </w:r>
    </w:p>
    <w:p w14:paraId="2F370135" w14:textId="77777777" w:rsidR="002113F1" w:rsidRDefault="00075024" w:rsidP="002B0FA3">
      <w:r>
        <w:t xml:space="preserve">Η διεργασία της </w:t>
      </w:r>
      <w:r w:rsidRPr="00C30DB0">
        <w:t>κρυοσυντήρησης εμβρύων συνίσταται στην ψύξη εντός του εργαστηρίου ενός ή περισσοτέρων ζυγωτών ή εμβρύων με σκοπό την επίτευξη της συντήρησής τους σε χαμηλή</w:t>
      </w:r>
      <w:r w:rsidR="00C30DB0">
        <w:t xml:space="preserve"> θερμοκρασία (κρυοσυντήρηση). </w:t>
      </w:r>
    </w:p>
    <w:p w14:paraId="5C2C14C3" w14:textId="6C362D30" w:rsidR="00075024" w:rsidRPr="00C30DB0" w:rsidRDefault="00014C0C" w:rsidP="002B0FA3">
      <w:r w:rsidRPr="00C30DB0">
        <w:t>Με τον όρο «ζυγώτης» εννοε</w:t>
      </w:r>
      <w:r w:rsidR="00C30DB0">
        <w:t>ίται το γονιμοποιημένο ωάριο κατά το στάδιο των προπυρήνων, ενώ με τον όρο «έμβρυο» εννοείται το διασπασμένο γονιμοποιημένο ωάριο 2 ή 3 ημερών ή η βλαστοκύστη στην 5</w:t>
      </w:r>
      <w:r w:rsidR="00C30DB0" w:rsidRPr="00C30DB0">
        <w:rPr>
          <w:vertAlign w:val="superscript"/>
        </w:rPr>
        <w:t>η</w:t>
      </w:r>
      <w:r w:rsidR="00C30DB0">
        <w:t xml:space="preserve"> ή 6</w:t>
      </w:r>
      <w:r w:rsidR="00C30DB0" w:rsidRPr="00C30DB0">
        <w:rPr>
          <w:vertAlign w:val="superscript"/>
        </w:rPr>
        <w:t>η</w:t>
      </w:r>
      <w:r w:rsidR="00C30DB0">
        <w:t xml:space="preserve"> ημέρα της ανάπτυξής της. </w:t>
      </w:r>
    </w:p>
    <w:p w14:paraId="22255F00" w14:textId="4EA1D1AC" w:rsidR="00E24DBD" w:rsidRDefault="00364E4F" w:rsidP="00E24DBD">
      <w:pPr>
        <w:rPr>
          <w:lang w:val="en-US" w:eastAsia="en-US"/>
        </w:rPr>
      </w:pPr>
      <w:r>
        <w:rPr>
          <w:lang w:val="en-US" w:eastAsia="en-US"/>
        </w:rPr>
        <w:t xml:space="preserve">Η </w:t>
      </w:r>
      <w:r w:rsidRPr="00364E4F">
        <w:rPr>
          <w:lang w:val="en-US" w:eastAsia="en-US"/>
        </w:rPr>
        <w:t xml:space="preserve">αποκαλούμενη </w:t>
      </w:r>
      <w:r w:rsidRPr="00364E4F">
        <w:t>«</w:t>
      </w:r>
      <w:r w:rsidR="001176E1">
        <w:t>βραδεία</w:t>
      </w:r>
      <w:r w:rsidRPr="00364E4F">
        <w:t>»</w:t>
      </w:r>
      <w:r w:rsidR="002113F1">
        <w:t xml:space="preserve"> ψύ</w:t>
      </w:r>
      <w:r>
        <w:t>ξη των εμβρύων ή των ζυγωτών είναι σταδιακή και ελεγχόμενη μέχρι να φτάσει τη θερμοκρασία των</w:t>
      </w:r>
      <w:r>
        <w:rPr>
          <w:lang w:val="en-US" w:eastAsia="en-US"/>
        </w:rPr>
        <w:t xml:space="preserve"> –</w:t>
      </w:r>
      <w:r w:rsidR="00075024">
        <w:rPr>
          <w:lang w:val="en-US" w:eastAsia="en-US"/>
        </w:rPr>
        <w:t xml:space="preserve">30°C </w:t>
      </w:r>
      <w:r>
        <w:rPr>
          <w:lang w:val="en-US" w:eastAsia="en-US"/>
        </w:rPr>
        <w:t>και ακολουθείται από μια ταχεία και απότομη πτώση της θερμοκρασίας έως τους –</w:t>
      </w:r>
      <w:r w:rsidR="00075024">
        <w:rPr>
          <w:lang w:val="en-US" w:eastAsia="en-US"/>
        </w:rPr>
        <w:t>150°C.</w:t>
      </w:r>
      <w:r>
        <w:rPr>
          <w:lang w:val="en-US" w:eastAsia="en-US"/>
        </w:rPr>
        <w:t xml:space="preserve"> Περιλαμβάνει, δε, </w:t>
      </w:r>
      <w:r w:rsidRPr="00364E4F">
        <w:rPr>
          <w:i/>
          <w:lang w:val="en-US" w:eastAsia="en-US"/>
        </w:rPr>
        <w:t>grosso modo</w:t>
      </w:r>
      <w:r>
        <w:rPr>
          <w:lang w:val="en-US" w:eastAsia="en-US"/>
        </w:rPr>
        <w:t xml:space="preserve"> τα ίδια στάδια </w:t>
      </w:r>
      <w:r>
        <w:rPr>
          <w:lang w:eastAsia="en-US"/>
        </w:rPr>
        <w:t xml:space="preserve">με την κρυοσυντήρηση των γαμετών (σπερματοζωαρίων και ωαρίων): τοποθέτηση των ζυγωτών ή των εμβρύων σε ειδικές θήκες, σταδιακή ψύξη τους και συντήρησή τους σε υγρό άζωτο σε θερμοκρασία ίση ή μικρότερη των </w:t>
      </w:r>
      <w:r>
        <w:rPr>
          <w:lang w:val="en-US" w:eastAsia="en-US"/>
        </w:rPr>
        <w:t>–150</w:t>
      </w:r>
      <w:r w:rsidR="00E24DBD">
        <w:rPr>
          <w:lang w:val="en-US" w:eastAsia="en-US"/>
        </w:rPr>
        <w:t>°C για μεγάλο χρονικό διάστημα.</w:t>
      </w:r>
    </w:p>
    <w:p w14:paraId="0EBA3488" w14:textId="0D5362D2" w:rsidR="00131EE5" w:rsidRPr="00B73114" w:rsidRDefault="001176E1" w:rsidP="00B73114">
      <w:pPr>
        <w:rPr>
          <w:lang w:eastAsia="en-US"/>
        </w:rPr>
      </w:pPr>
      <w:r>
        <w:rPr>
          <w:lang w:eastAsia="en-US"/>
        </w:rPr>
        <w:t>Εκτός από τη «βραδεία» ψύξη των εμβρύων, στον Κατάλογ</w:t>
      </w:r>
      <w:r w:rsidR="00E30C3B">
        <w:rPr>
          <w:lang w:eastAsia="en-US"/>
        </w:rPr>
        <w:t>ο</w:t>
      </w:r>
      <w:r>
        <w:rPr>
          <w:lang w:eastAsia="en-US"/>
        </w:rPr>
        <w:t xml:space="preserve"> του Οργανισμού Βιοϊατρικής συμπεριλαμβάνεται μεταξύ των προβλεπόμενων τεχνικών και </w:t>
      </w:r>
      <w:r w:rsidRPr="002113F1">
        <w:rPr>
          <w:b/>
          <w:lang w:eastAsia="en-US"/>
        </w:rPr>
        <w:t>η μέθοδος της ταχείας ψύξης των εμβρύων ή, αλλιώς, της υαλοποίησής τους</w:t>
      </w:r>
      <w:r>
        <w:rPr>
          <w:lang w:eastAsia="en-US"/>
        </w:rPr>
        <w:t xml:space="preserve">. Η υαλοποίηση είναι μια τεχνική που στοχεύει, όπως προαναφέρθηκε, στη βελτίωση της βιολογικής διεργασίας της ψύξης των ζυγωτών και των </w:t>
      </w:r>
      <w:r w:rsidR="005C4EA5">
        <w:rPr>
          <w:lang w:eastAsia="en-US"/>
        </w:rPr>
        <w:t>α</w:t>
      </w:r>
      <w:r w:rsidR="0083348B">
        <w:rPr>
          <w:lang w:eastAsia="en-US"/>
        </w:rPr>
        <w:t>νθρωπίνων</w:t>
      </w:r>
      <w:r>
        <w:rPr>
          <w:lang w:eastAsia="en-US"/>
        </w:rPr>
        <w:t xml:space="preserve"> εμβρύων με σκοπό την κρυοσυντήρησή τους. </w:t>
      </w:r>
      <w:r w:rsidR="00B73114">
        <w:rPr>
          <w:lang w:eastAsia="en-US"/>
        </w:rPr>
        <w:t xml:space="preserve">Πρόκειται για μια υπερ-ταχεία τεχνική ψύξης που οδηγεί στο σχηματισμό μιας άμορφης </w:t>
      </w:r>
      <w:r w:rsidR="00B73114">
        <w:rPr>
          <w:lang w:eastAsia="en-US"/>
        </w:rPr>
        <w:lastRenderedPageBreak/>
        <w:t>κατάστασης και αποφεύγει το σχηματισμό ενδοκυτταρικών κρυστάλλων που δημιουργούνται με τη «βραδεία» ψύξη των εμβρύων, οι οποίοι μπορεί να αποβούν ιδιαιτέρως επιβλαβείς. Η ταχύτητα ψύξης μπορεί να είναι της τάξης των 20.000</w:t>
      </w:r>
      <w:r w:rsidR="00B73114">
        <w:t>° το λεπτό στα επονομαζόμενα «ανοιχτά» συστήματα και της τάξης των 2.000° το λεπτό στα επονομαζόμενα «κλειστά» συστήματα</w:t>
      </w:r>
      <w:r w:rsidR="001E3B4E">
        <w:rPr>
          <w:rStyle w:val="FootnoteReference"/>
        </w:rPr>
        <w:footnoteReference w:id="270"/>
      </w:r>
      <w:r w:rsidR="00B73114">
        <w:t xml:space="preserve">. </w:t>
      </w:r>
    </w:p>
    <w:p w14:paraId="187DFB5B" w14:textId="5302D3C7" w:rsidR="00E24DBD" w:rsidRDefault="00E24DBD" w:rsidP="00414483">
      <w:pPr>
        <w:rPr>
          <w:lang w:eastAsia="en-US"/>
        </w:rPr>
      </w:pPr>
      <w:r>
        <w:rPr>
          <w:lang w:eastAsia="en-US"/>
        </w:rPr>
        <w:t>Η δυνατότητα κρυοσυντήρησης εμβρύων προβλέπεται στις</w:t>
      </w:r>
      <w:r w:rsidR="00864733">
        <w:rPr>
          <w:lang w:eastAsia="en-US"/>
        </w:rPr>
        <w:t xml:space="preserve"> διατάξεις του </w:t>
      </w:r>
      <w:r w:rsidR="00864733" w:rsidRPr="00E24DBD">
        <w:rPr>
          <w:b/>
          <w:lang w:eastAsia="en-US"/>
        </w:rPr>
        <w:t xml:space="preserve">άρθρου </w:t>
      </w:r>
      <w:r w:rsidRPr="00E24DBD">
        <w:rPr>
          <w:b/>
          <w:lang w:val="en-US" w:eastAsia="en-US"/>
        </w:rPr>
        <w:t>L. 2141-3, παρ. 2, ΚΔΥ,</w:t>
      </w:r>
      <w:r>
        <w:rPr>
          <w:lang w:val="en-US" w:eastAsia="en-US"/>
        </w:rPr>
        <w:t xml:space="preserve"> σύμφωνα με τις οποίες </w:t>
      </w:r>
      <w:r>
        <w:t>«</w:t>
      </w:r>
      <w:r w:rsidR="00864733" w:rsidRPr="009B017E">
        <w:rPr>
          <w:i/>
          <w:lang w:val="en-US" w:eastAsia="en-US"/>
        </w:rPr>
        <w:t>λαμβάνοντας υπόψη την εξέλιξη των ιατρικών τεχνικών, το υποβοηθούμενο ζευγάρι μπορεί να συναινέσει εγγράφως στη γονιμοποίηση αριθμού ωαρίων, ο οποίος</w:t>
      </w:r>
      <w:r w:rsidRPr="009B017E">
        <w:rPr>
          <w:i/>
          <w:lang w:val="en-US" w:eastAsia="en-US"/>
        </w:rPr>
        <w:t xml:space="preserve"> να</w:t>
      </w:r>
      <w:r w:rsidR="00864733" w:rsidRPr="009B017E">
        <w:rPr>
          <w:i/>
          <w:lang w:val="en-US" w:eastAsia="en-US"/>
        </w:rPr>
        <w:t xml:space="preserve"> καθιστά αν</w:t>
      </w:r>
      <w:r w:rsidRPr="009B017E">
        <w:rPr>
          <w:i/>
          <w:lang w:val="en-US" w:eastAsia="en-US"/>
        </w:rPr>
        <w:t>αγκαία τη συντήρηση των εμβρύων</w:t>
      </w:r>
      <w:r w:rsidR="00864733" w:rsidRPr="009B017E">
        <w:rPr>
          <w:i/>
          <w:lang w:val="en-US" w:eastAsia="en-US"/>
        </w:rPr>
        <w:t xml:space="preserve"> με σκοπό τη μεταγενέστερη</w:t>
      </w:r>
      <w:r w:rsidRPr="009B017E">
        <w:rPr>
          <w:i/>
          <w:lang w:val="en-US" w:eastAsia="en-US"/>
        </w:rPr>
        <w:t xml:space="preserve"> υλοποίηση του οικογενειακού </w:t>
      </w:r>
      <w:r w:rsidR="005C4EA5">
        <w:rPr>
          <w:i/>
          <w:lang w:val="en-US" w:eastAsia="en-US"/>
        </w:rPr>
        <w:t xml:space="preserve">του </w:t>
      </w:r>
      <w:r w:rsidRPr="009B017E">
        <w:rPr>
          <w:i/>
          <w:lang w:val="en-US" w:eastAsia="en-US"/>
        </w:rPr>
        <w:t>προγραμματισμού</w:t>
      </w:r>
      <w:r w:rsidRPr="00364E4F">
        <w:t>»</w:t>
      </w:r>
      <w:r>
        <w:t xml:space="preserve">. </w:t>
      </w:r>
    </w:p>
    <w:p w14:paraId="3420A382" w14:textId="7F629D15" w:rsidR="00414483" w:rsidRDefault="007733F0" w:rsidP="00414483">
      <w:r>
        <w:t>Σε ό,τι αφορά στη διάρκεια κρυοσυντήρησης των εμβρύων, ο</w:t>
      </w:r>
      <w:r w:rsidR="00F14946">
        <w:t xml:space="preserve"> γάλλος νομοθέτης προβλέπει, </w:t>
      </w:r>
      <w:r w:rsidR="00414483" w:rsidRPr="001D7418">
        <w:t xml:space="preserve">στο άρθρο </w:t>
      </w:r>
      <w:r w:rsidR="00414483" w:rsidRPr="001D7418">
        <w:rPr>
          <w:b/>
        </w:rPr>
        <w:t xml:space="preserve">L. 2141-4 </w:t>
      </w:r>
      <w:r w:rsidR="00414483">
        <w:rPr>
          <w:b/>
        </w:rPr>
        <w:t>ΚΔΥ</w:t>
      </w:r>
      <w:r w:rsidR="00F14946">
        <w:t xml:space="preserve">, </w:t>
      </w:r>
      <w:r w:rsidR="00414483">
        <w:t xml:space="preserve">ότι στα υποβοηθούμενα πρόσωπα </w:t>
      </w:r>
      <w:r w:rsidR="00675432">
        <w:t>που κρυοσυντηρούν τα έμβρυά τους</w:t>
      </w:r>
      <w:r w:rsidR="00414483">
        <w:t xml:space="preserve"> απευθύνεται κάθε χρόνο εγγράφως ερώτηση σχετικά με το αν διατηρούν τον «οικογενειακό τους προγραμματισμό» (</w:t>
      </w:r>
      <w:r w:rsidR="00414483" w:rsidRPr="001D7418">
        <w:rPr>
          <w:i/>
          <w:lang w:val="fr-FR"/>
        </w:rPr>
        <w:t>projet</w:t>
      </w:r>
      <w:r w:rsidR="00414483" w:rsidRPr="001D7418">
        <w:rPr>
          <w:i/>
        </w:rPr>
        <w:t xml:space="preserve"> </w:t>
      </w:r>
      <w:r w:rsidR="00414483" w:rsidRPr="001D7418">
        <w:rPr>
          <w:i/>
          <w:lang w:val="fr-FR"/>
        </w:rPr>
        <w:t>parental</w:t>
      </w:r>
      <w:r w:rsidR="00414483">
        <w:t>). Σε περίπτωση εγκατάλειψης του εν λόγω «</w:t>
      </w:r>
      <w:r w:rsidR="00543F8C">
        <w:t>προγραμματισμού</w:t>
      </w:r>
      <w:r w:rsidR="00414483">
        <w:t>» ή θανάτου ενός εκ των δύο προσώπων, τα ενδιαφερόμενα ή το επιζών ενδιαφερόμενο πρόσωπο, μπορούν να συναινέσουν είτε στην παραχώρηση των εμβρύων σε άλλο ζευγάρι, είτε στην παραχώρησή τους για διεξαγωγή έρευνας, είτε στην καταστροφή τους.</w:t>
      </w:r>
    </w:p>
    <w:p w14:paraId="632D76B6" w14:textId="51A386F5" w:rsidR="00ED61B8" w:rsidRDefault="00ED61B8" w:rsidP="00ED61B8">
      <w:r>
        <w:t xml:space="preserve">Ειδικότερα, και σε σχέση με το χρόνο κρυοσυντήρησης των εμβρύων, στις επόμενες παραγράφους του άρθρου </w:t>
      </w:r>
      <w:r w:rsidRPr="001D7418">
        <w:t>L. 2141-4</w:t>
      </w:r>
      <w:r w:rsidR="0045040E">
        <w:t xml:space="preserve"> ΚΔΥ, </w:t>
      </w:r>
      <w:r>
        <w:t xml:space="preserve">ορίζεται ότι σε περίπτωση που ένα από τα υποβοηθούμενα πρόσωπα, κατόπιν πολλαπλών προσπαθειών του Κέντρου να το εντοπίσει, δεν απαντά προκειμένου να γνωστοποιήσει τις προθέσεις του σχετικά με τον «οικογενειακό προγραμματισμό» που είχε εκφράσει στο παρελθόν, τίθεται τέρμα στη συντήρηση των εμβρύων, εάν η διάρκεια αυτής της τελευταίας </w:t>
      </w:r>
      <w:r w:rsidRPr="007D1623">
        <w:rPr>
          <w:b/>
        </w:rPr>
        <w:t>είναι τουλάχιστον ίση με πέντε (5) έτη</w:t>
      </w:r>
      <w:r>
        <w:t xml:space="preserve">. Το ίδιο ισχύει και σε περίπτωση διαφωνίας μεταξύ των υποβοηθούμενων προσώπων σχετικά με τη συνέχιση της κρυοσυντήρησης ή όχι των εμβρύων. </w:t>
      </w:r>
    </w:p>
    <w:p w14:paraId="622FFEB4" w14:textId="097D5699" w:rsidR="00ED61B8" w:rsidRDefault="00ED61B8" w:rsidP="00ED61B8">
      <w:r>
        <w:t xml:space="preserve">Με το ίδιο σκεπτικό, εφόσον τα δύο υποβοηθούμενα πρόσωπα ή ο επιζών σύντροφος έχουν συναινέσει, κατά τις διατάξεις των άρθρων </w:t>
      </w:r>
      <w:r w:rsidRPr="007D1623">
        <w:rPr>
          <w:lang w:val="fr-FR"/>
        </w:rPr>
        <w:t>L</w:t>
      </w:r>
      <w:r w:rsidRPr="007D1623">
        <w:t xml:space="preserve">. 2141-5 </w:t>
      </w:r>
      <w:r>
        <w:t>και</w:t>
      </w:r>
      <w:r w:rsidRPr="007D1623">
        <w:t xml:space="preserve"> </w:t>
      </w:r>
      <w:r w:rsidRPr="007D1623">
        <w:rPr>
          <w:lang w:val="fr-FR"/>
        </w:rPr>
        <w:t>L</w:t>
      </w:r>
      <w:r w:rsidRPr="007D1623">
        <w:t>. 2141-6</w:t>
      </w:r>
      <w:r w:rsidR="0045040E">
        <w:t xml:space="preserve"> ΚΔΥ</w:t>
      </w:r>
      <w:r>
        <w:t xml:space="preserve">, στη λήψη των εμβρύων τους από άλλο ζευγάρι και αυτό δεν έχει πραγματοποιηθεί </w:t>
      </w:r>
      <w:r w:rsidRPr="004439A8">
        <w:rPr>
          <w:b/>
        </w:rPr>
        <w:t>εντός χρονικού διαστήματος πέντε (5) ετών</w:t>
      </w:r>
      <w:r>
        <w:t xml:space="preserve"> από την ημέρα της παροχής έγγραφης συναίνεσης, τίθεται τέρμα στη συντήρηση των εμβρύων</w:t>
      </w:r>
      <w:r w:rsidR="009B017E">
        <w:t xml:space="preserve">. </w:t>
      </w:r>
    </w:p>
    <w:p w14:paraId="664B3061" w14:textId="603F8618" w:rsidR="009B017E" w:rsidRDefault="0045040E" w:rsidP="00ED61B8">
      <w:r>
        <w:t xml:space="preserve">Σε κάθε περίπτωση, </w:t>
      </w:r>
      <w:r w:rsidR="009B017E">
        <w:t xml:space="preserve">η κρυοσυντήρηση εμβρύων εκτελείται μόνο από εξειδικευμένα και εξουσιοδοτημένα ειδικά από τον Οργανισμό Βιοϊατρικής Κέντρα. Το άρθρο </w:t>
      </w:r>
      <w:r w:rsidR="009B017E">
        <w:rPr>
          <w:lang w:val="en-US"/>
        </w:rPr>
        <w:t xml:space="preserve">L. 2151-7 </w:t>
      </w:r>
      <w:r w:rsidR="009B017E">
        <w:t xml:space="preserve">ΚΔΥ ορίζει τις προϋποθέσεις που πρέπει να πληρούν τα κέντρα αυτά προκειμένου να λάβουν την ειδική έγκριση κρυοσυντήρησης εμβρύων, ενώ σε περίπτωση μη τήρησης ενός εκ των </w:t>
      </w:r>
      <w:r w:rsidR="009B017E">
        <w:lastRenderedPageBreak/>
        <w:t xml:space="preserve">προϋποθέσεων αυτών ο Οργανισμός Βιοϊατρικής μπορεί </w:t>
      </w:r>
      <w:r w:rsidR="00394095">
        <w:t>ανά</w:t>
      </w:r>
      <w:r w:rsidR="009B017E">
        <w:t xml:space="preserve"> πάσα στιγμή να ανακαλέσει την εν λόγω έγκριση. </w:t>
      </w:r>
    </w:p>
    <w:p w14:paraId="6D8BF624" w14:textId="14A0296A" w:rsidR="005B23EA" w:rsidRDefault="00394095" w:rsidP="00ED61B8">
      <w:r>
        <w:t>Η πρακτική της ψύξης εμβρύων και το ποσοστό εμβρύων που καταψύχονται εξαρτώνται από μία σειρά παραμέτρων: το συνολικό αριθμό</w:t>
      </w:r>
      <w:r w:rsidR="00006818">
        <w:t xml:space="preserve"> ωαρίων που γονιμοποιούνται, </w:t>
      </w:r>
      <w:r>
        <w:t>την ηλικία των υποβοηθούμενων γυναικών, τα ποσοστά γονιμοποίησης και την ποιότητα τω</w:t>
      </w:r>
      <w:r w:rsidR="00006818">
        <w:t xml:space="preserve">ν εμβρύων, καθώς επίσης και </w:t>
      </w:r>
      <w:r>
        <w:t>την πολιτική που ακολουθείται από κάθε κέντρο ιατρικά υποβοηθούμενης αναπαραγωγής ξεχωριστά. Στη Γαλλία, το ποσοστό των εμβρύων που κρυοσυντηρούνται ποικίλει από</w:t>
      </w:r>
      <w:r w:rsidR="00006818">
        <w:t xml:space="preserve"> 10 έως 41%</w:t>
      </w:r>
      <w:r w:rsidR="005B23EA">
        <w:t>.</w:t>
      </w:r>
    </w:p>
    <w:p w14:paraId="6B33228E" w14:textId="2E4E4361" w:rsidR="00F812AF" w:rsidRDefault="00394095" w:rsidP="0023213A">
      <w:r>
        <w:t>Την 31</w:t>
      </w:r>
      <w:r w:rsidRPr="00394095">
        <w:rPr>
          <w:vertAlign w:val="superscript"/>
        </w:rPr>
        <w:t>η</w:t>
      </w:r>
      <w:r>
        <w:t xml:space="preserve"> Δεκεμβρίου 2012, ο αριθμός των κρυοσυντηρημένων εμβρύων που αναλογούσε σε 55.263 ζευγάρια ήταν 185.821. Τα έμβρυα αυτά κρυοσυντηρούνται για πολλά χρόνια, χωρίς να παθαίνουν καμία φθορά. Στην μεγάλη πλειοψηφία τους (68%), τα έμβρυα </w:t>
      </w:r>
      <w:r w:rsidR="002113F1">
        <w:t>αυτά πρόκειται να υποστούν απόψυ</w:t>
      </w:r>
      <w:r>
        <w:t xml:space="preserve">ξη και να εμφυτευθούν στα 37.519 ζευγάρια που σκοπεύουν να συνεχίσουν τη διαδικασία υποβοηθούμενης αναπαραγωγής στους ερχόμενους μήνες ή χρόνια. </w:t>
      </w:r>
      <w:r w:rsidR="005B23EA">
        <w:t>Σε 17% των περιπτώσεων, ωστόσο, τα ζευγάρια δεν εξακολουθούν να επιθυμούν να πραγματοποιήσουν τον αρχικό τ</w:t>
      </w:r>
      <w:r w:rsidR="00F812AF">
        <w:t>ους οικογενειακό προγραμματισμό</w:t>
      </w:r>
      <w:r w:rsidR="005B23EA">
        <w:t>, γεγονός που οδηγεί είτε στη λήψη του εμβρύου από τρίτο ζευγάρι (40%), είτε στη δωρεά του για διεξαγωγή έρευνας (60%)</w:t>
      </w:r>
      <w:r w:rsidR="00F71A10">
        <w:t>. Τέλος, το ζευγάρι μπορεί να ζητήσει να τεθεί τέρμα στη συν</w:t>
      </w:r>
      <w:r w:rsidR="00F812AF">
        <w:t xml:space="preserve">τήρηση των εμβρύων του, ενώ </w:t>
      </w:r>
      <w:r w:rsidR="00F71A10">
        <w:t xml:space="preserve">η παράλειψη απάντησης </w:t>
      </w:r>
      <w:r w:rsidR="00F812AF">
        <w:t xml:space="preserve">στις επιστολές που </w:t>
      </w:r>
      <w:r w:rsidR="00F71A10">
        <w:t xml:space="preserve">απευθύνει η Τράπεζα κρυοσυντήρησης </w:t>
      </w:r>
      <w:r w:rsidR="00F812AF">
        <w:t xml:space="preserve">στο ζευγάρι </w:t>
      </w:r>
      <w:r w:rsidR="00F71A10">
        <w:t>οδηγεί επίσης στην καταστροφή των εμβρύων</w:t>
      </w:r>
      <w:r w:rsidR="00BF783D">
        <w:t xml:space="preserve"> (Πίνακες 13 και 14</w:t>
      </w:r>
      <w:r w:rsidR="00B6117F">
        <w:t>)</w:t>
      </w:r>
      <w:r w:rsidR="00F94DB9">
        <w:rPr>
          <w:rStyle w:val="FootnoteReference"/>
        </w:rPr>
        <w:footnoteReference w:id="271"/>
      </w:r>
      <w:r w:rsidR="00F71A10">
        <w:t xml:space="preserve">. </w:t>
      </w:r>
    </w:p>
    <w:p w14:paraId="0C18A090" w14:textId="69041958" w:rsidR="00F71A10" w:rsidRPr="00F71A10" w:rsidRDefault="00BF783D" w:rsidP="0023213A">
      <w:pPr>
        <w:spacing w:before="240" w:after="240"/>
        <w:ind w:firstLine="0"/>
        <w:jc w:val="left"/>
        <w:rPr>
          <w:b/>
        </w:rPr>
      </w:pPr>
      <w:r>
        <w:rPr>
          <w:b/>
        </w:rPr>
        <w:t>Πίνακας 13</w:t>
      </w:r>
      <w:r w:rsidR="00F71A10" w:rsidRPr="00F71A10">
        <w:rPr>
          <w:b/>
        </w:rPr>
        <w:t>. Κρυοσυντήρηση εμβρύων την 31</w:t>
      </w:r>
      <w:r w:rsidR="00F71A10" w:rsidRPr="00F71A10">
        <w:rPr>
          <w:b/>
          <w:vertAlign w:val="superscript"/>
        </w:rPr>
        <w:t>η</w:t>
      </w:r>
      <w:r w:rsidR="00F71A10" w:rsidRPr="00F71A10">
        <w:rPr>
          <w:b/>
        </w:rPr>
        <w:t xml:space="preserve"> Δεκεμβρίου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134"/>
        <w:gridCol w:w="2010"/>
        <w:gridCol w:w="1938"/>
        <w:gridCol w:w="1830"/>
      </w:tblGrid>
      <w:tr w:rsidR="0083742C" w:rsidRPr="00B8011B" w14:paraId="1B04FDB3" w14:textId="77777777" w:rsidTr="00B8011B">
        <w:tc>
          <w:tcPr>
            <w:tcW w:w="2518" w:type="dxa"/>
            <w:tcBorders>
              <w:bottom w:val="single" w:sz="4" w:space="0" w:color="auto"/>
            </w:tcBorders>
            <w:shd w:val="clear" w:color="auto" w:fill="auto"/>
          </w:tcPr>
          <w:p w14:paraId="27D459A1" w14:textId="77777777" w:rsidR="00F71A10" w:rsidRPr="00B8011B" w:rsidRDefault="00F71A10" w:rsidP="00B8011B">
            <w:pPr>
              <w:widowControl w:val="0"/>
              <w:autoSpaceDE w:val="0"/>
              <w:autoSpaceDN w:val="0"/>
              <w:adjustRightInd w:val="0"/>
              <w:spacing w:before="40" w:after="40" w:line="240" w:lineRule="auto"/>
              <w:ind w:firstLine="0"/>
              <w:jc w:val="left"/>
              <w:rPr>
                <w:rFonts w:eastAsia="Calibri" w:cs="Helvetica"/>
                <w:sz w:val="22"/>
                <w:szCs w:val="22"/>
                <w:lang w:val="en-US" w:eastAsia="en-US"/>
              </w:rPr>
            </w:pPr>
          </w:p>
        </w:tc>
        <w:tc>
          <w:tcPr>
            <w:tcW w:w="1134" w:type="dxa"/>
            <w:tcBorders>
              <w:bottom w:val="single" w:sz="4" w:space="0" w:color="auto"/>
            </w:tcBorders>
            <w:shd w:val="clear" w:color="auto" w:fill="auto"/>
          </w:tcPr>
          <w:p w14:paraId="28754F78" w14:textId="77777777" w:rsidR="007A6565" w:rsidRDefault="007A6565" w:rsidP="00B8011B">
            <w:pPr>
              <w:widowControl w:val="0"/>
              <w:autoSpaceDE w:val="0"/>
              <w:autoSpaceDN w:val="0"/>
              <w:adjustRightInd w:val="0"/>
              <w:spacing w:before="40" w:after="40" w:line="240" w:lineRule="auto"/>
              <w:ind w:firstLine="0"/>
              <w:jc w:val="center"/>
              <w:rPr>
                <w:rFonts w:eastAsia="Calibri" w:cs="Helvetica"/>
                <w:b/>
                <w:sz w:val="22"/>
                <w:szCs w:val="22"/>
                <w:lang w:val="en-US" w:eastAsia="en-US"/>
              </w:rPr>
            </w:pPr>
          </w:p>
          <w:p w14:paraId="187F3A80" w14:textId="77777777" w:rsidR="00F71A10" w:rsidRPr="00B8011B" w:rsidRDefault="00F71A10" w:rsidP="00B8011B">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Σύνολο</w:t>
            </w:r>
          </w:p>
        </w:tc>
        <w:tc>
          <w:tcPr>
            <w:tcW w:w="2010" w:type="dxa"/>
            <w:tcBorders>
              <w:bottom w:val="single" w:sz="4" w:space="0" w:color="auto"/>
            </w:tcBorders>
            <w:shd w:val="clear" w:color="auto" w:fill="auto"/>
          </w:tcPr>
          <w:p w14:paraId="63F3FF23" w14:textId="77777777" w:rsidR="00F71A10" w:rsidRPr="00B8011B" w:rsidRDefault="00F71A10" w:rsidP="00B8011B">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Οικογενειακός προγραμματισμός εν εξελίξει</w:t>
            </w:r>
          </w:p>
        </w:tc>
        <w:tc>
          <w:tcPr>
            <w:tcW w:w="1938" w:type="dxa"/>
            <w:tcBorders>
              <w:bottom w:val="single" w:sz="4" w:space="0" w:color="auto"/>
            </w:tcBorders>
            <w:shd w:val="clear" w:color="auto" w:fill="auto"/>
          </w:tcPr>
          <w:p w14:paraId="228FDC3A" w14:textId="77777777" w:rsidR="00F71A10" w:rsidRPr="00B8011B" w:rsidRDefault="00F71A10" w:rsidP="00B8011B">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Εγκατάλειψη οικογενειακού προγραμματισμού</w:t>
            </w:r>
          </w:p>
        </w:tc>
        <w:tc>
          <w:tcPr>
            <w:tcW w:w="1830" w:type="dxa"/>
            <w:tcBorders>
              <w:bottom w:val="single" w:sz="4" w:space="0" w:color="auto"/>
            </w:tcBorders>
            <w:shd w:val="clear" w:color="auto" w:fill="auto"/>
          </w:tcPr>
          <w:p w14:paraId="04004FE0" w14:textId="77777777" w:rsidR="00F71A10" w:rsidRPr="00B8011B" w:rsidRDefault="0083742C" w:rsidP="00B8011B">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Παράλειψη απάντησης ή διαφωνία του ζευγαριού</w:t>
            </w:r>
          </w:p>
        </w:tc>
      </w:tr>
      <w:tr w:rsidR="0083742C" w:rsidRPr="00B8011B" w14:paraId="31D1BC5D" w14:textId="77777777" w:rsidTr="00B8011B">
        <w:tc>
          <w:tcPr>
            <w:tcW w:w="2518" w:type="dxa"/>
            <w:shd w:val="pct15" w:color="auto" w:fill="auto"/>
          </w:tcPr>
          <w:p w14:paraId="29856DC8" w14:textId="77777777" w:rsidR="00F71A10" w:rsidRPr="007A6565" w:rsidRDefault="0083742C" w:rsidP="00B8011B">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Κρυοσυντηρημένα έμβρυα</w:t>
            </w:r>
          </w:p>
        </w:tc>
        <w:tc>
          <w:tcPr>
            <w:tcW w:w="1134" w:type="dxa"/>
            <w:shd w:val="pct15" w:color="auto" w:fill="auto"/>
          </w:tcPr>
          <w:p w14:paraId="7ED15C82" w14:textId="77777777" w:rsidR="00F71A10"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185.821</w:t>
            </w:r>
          </w:p>
        </w:tc>
        <w:tc>
          <w:tcPr>
            <w:tcW w:w="2010" w:type="dxa"/>
            <w:shd w:val="pct15" w:color="auto" w:fill="auto"/>
          </w:tcPr>
          <w:p w14:paraId="40D6D2AD" w14:textId="77777777" w:rsidR="00F71A10"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125.751</w:t>
            </w:r>
          </w:p>
        </w:tc>
        <w:tc>
          <w:tcPr>
            <w:tcW w:w="1938" w:type="dxa"/>
            <w:shd w:val="pct15" w:color="auto" w:fill="auto"/>
          </w:tcPr>
          <w:p w14:paraId="0C5CFC9C" w14:textId="77777777" w:rsidR="00F71A10"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31.215</w:t>
            </w:r>
          </w:p>
        </w:tc>
        <w:tc>
          <w:tcPr>
            <w:tcW w:w="1830" w:type="dxa"/>
            <w:shd w:val="pct15" w:color="auto" w:fill="auto"/>
          </w:tcPr>
          <w:p w14:paraId="6653A444" w14:textId="77777777" w:rsidR="00F71A10"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28.855</w:t>
            </w:r>
          </w:p>
        </w:tc>
      </w:tr>
      <w:tr w:rsidR="0083742C" w:rsidRPr="00B8011B" w14:paraId="628C2BC2" w14:textId="77777777" w:rsidTr="00B8011B">
        <w:tc>
          <w:tcPr>
            <w:tcW w:w="2518" w:type="dxa"/>
            <w:tcBorders>
              <w:bottom w:val="single" w:sz="4" w:space="0" w:color="auto"/>
            </w:tcBorders>
            <w:shd w:val="clear" w:color="auto" w:fill="auto"/>
          </w:tcPr>
          <w:p w14:paraId="563418B2" w14:textId="40067282" w:rsidR="00F71A10" w:rsidRPr="007A6565" w:rsidRDefault="00297ECF" w:rsidP="00B8011B">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Ποσοστό</w:t>
            </w:r>
            <w:r w:rsidR="0083742C" w:rsidRPr="007A6565">
              <w:rPr>
                <w:rFonts w:eastAsia="Calibri" w:cs="Helvetica"/>
                <w:spacing w:val="-8"/>
                <w:sz w:val="22"/>
                <w:szCs w:val="22"/>
                <w:lang w:val="en-US" w:eastAsia="en-US"/>
              </w:rPr>
              <w:t xml:space="preserve"> κρυοσυντημένων εμβρύων</w:t>
            </w:r>
          </w:p>
        </w:tc>
        <w:tc>
          <w:tcPr>
            <w:tcW w:w="1134" w:type="dxa"/>
            <w:tcBorders>
              <w:bottom w:val="single" w:sz="4" w:space="0" w:color="auto"/>
            </w:tcBorders>
            <w:shd w:val="clear" w:color="auto" w:fill="auto"/>
          </w:tcPr>
          <w:p w14:paraId="27A4477F" w14:textId="77777777" w:rsidR="00F71A10" w:rsidRPr="00B8011B" w:rsidRDefault="00F71A10"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tc>
        <w:tc>
          <w:tcPr>
            <w:tcW w:w="2010" w:type="dxa"/>
            <w:tcBorders>
              <w:bottom w:val="single" w:sz="4" w:space="0" w:color="auto"/>
            </w:tcBorders>
            <w:shd w:val="clear" w:color="auto" w:fill="auto"/>
          </w:tcPr>
          <w:p w14:paraId="5263AECE" w14:textId="77777777" w:rsidR="00297ECF" w:rsidRDefault="00297ECF"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102F800B" w14:textId="57D8E083"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67.7</w:t>
            </w:r>
            <w:r w:rsidR="002558CF">
              <w:rPr>
                <w:rFonts w:eastAsia="Calibri" w:cs="Helvetica"/>
                <w:sz w:val="22"/>
                <w:szCs w:val="22"/>
                <w:lang w:val="en-US" w:eastAsia="en-US"/>
              </w:rPr>
              <w:t xml:space="preserve"> %</w:t>
            </w:r>
          </w:p>
        </w:tc>
        <w:tc>
          <w:tcPr>
            <w:tcW w:w="1938" w:type="dxa"/>
            <w:tcBorders>
              <w:bottom w:val="single" w:sz="4" w:space="0" w:color="auto"/>
            </w:tcBorders>
            <w:shd w:val="clear" w:color="auto" w:fill="auto"/>
          </w:tcPr>
          <w:p w14:paraId="5535FCE9" w14:textId="77777777" w:rsidR="00297ECF" w:rsidRDefault="00297ECF"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5696314B" w14:textId="18CA248C"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6.8</w:t>
            </w:r>
            <w:r w:rsidR="00297ECF">
              <w:rPr>
                <w:rFonts w:eastAsia="Calibri" w:cs="Helvetica"/>
                <w:sz w:val="22"/>
                <w:szCs w:val="22"/>
                <w:lang w:val="en-US" w:eastAsia="en-US"/>
              </w:rPr>
              <w:t xml:space="preserve"> %</w:t>
            </w:r>
          </w:p>
        </w:tc>
        <w:tc>
          <w:tcPr>
            <w:tcW w:w="1830" w:type="dxa"/>
            <w:tcBorders>
              <w:bottom w:val="single" w:sz="4" w:space="0" w:color="auto"/>
            </w:tcBorders>
            <w:shd w:val="clear" w:color="auto" w:fill="auto"/>
          </w:tcPr>
          <w:p w14:paraId="13345BF3" w14:textId="77777777" w:rsidR="00297ECF" w:rsidRDefault="00297ECF"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74650560" w14:textId="1DE8DE23"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15.5</w:t>
            </w:r>
            <w:r w:rsidR="00297ECF">
              <w:rPr>
                <w:rFonts w:eastAsia="Calibri" w:cs="Helvetica"/>
                <w:sz w:val="22"/>
                <w:szCs w:val="22"/>
                <w:lang w:val="en-US" w:eastAsia="en-US"/>
              </w:rPr>
              <w:t xml:space="preserve"> %</w:t>
            </w:r>
          </w:p>
        </w:tc>
      </w:tr>
      <w:tr w:rsidR="0083742C" w:rsidRPr="00B8011B" w14:paraId="4C309406" w14:textId="77777777" w:rsidTr="00B8011B">
        <w:tc>
          <w:tcPr>
            <w:tcW w:w="2518" w:type="dxa"/>
            <w:shd w:val="pct15" w:color="auto" w:fill="auto"/>
          </w:tcPr>
          <w:p w14:paraId="3677A34B" w14:textId="77777777" w:rsidR="00F71A10" w:rsidRPr="007A6565" w:rsidRDefault="0083742C" w:rsidP="00B8011B">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Ζευγάρια των οποίων τα έμβρυα κρυοσυντηρούνταν την 31η Δεκεμβρίου 2012</w:t>
            </w:r>
          </w:p>
        </w:tc>
        <w:tc>
          <w:tcPr>
            <w:tcW w:w="1134" w:type="dxa"/>
            <w:shd w:val="pct15" w:color="auto" w:fill="auto"/>
          </w:tcPr>
          <w:p w14:paraId="26C04AB7" w14:textId="77777777"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39FF197C" w14:textId="77777777" w:rsidR="00F71A10"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55.263</w:t>
            </w:r>
          </w:p>
          <w:p w14:paraId="0A817D12" w14:textId="77777777"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tc>
        <w:tc>
          <w:tcPr>
            <w:tcW w:w="2010" w:type="dxa"/>
            <w:shd w:val="pct15" w:color="auto" w:fill="auto"/>
          </w:tcPr>
          <w:p w14:paraId="24A7D8E8" w14:textId="77777777" w:rsidR="00F71A10" w:rsidRPr="00B8011B" w:rsidRDefault="00F71A10"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56390D0E" w14:textId="77777777"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37.519</w:t>
            </w:r>
          </w:p>
        </w:tc>
        <w:tc>
          <w:tcPr>
            <w:tcW w:w="1938" w:type="dxa"/>
            <w:shd w:val="pct15" w:color="auto" w:fill="auto"/>
          </w:tcPr>
          <w:p w14:paraId="65B6A494" w14:textId="77777777" w:rsidR="00F71A10" w:rsidRPr="00B8011B" w:rsidRDefault="00F71A10"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2AD4C172" w14:textId="77777777"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9.406</w:t>
            </w:r>
          </w:p>
        </w:tc>
        <w:tc>
          <w:tcPr>
            <w:tcW w:w="1830" w:type="dxa"/>
            <w:shd w:val="pct15" w:color="auto" w:fill="auto"/>
          </w:tcPr>
          <w:p w14:paraId="3F0DF9AC" w14:textId="77777777" w:rsidR="00F71A10" w:rsidRPr="00B8011B" w:rsidRDefault="00F71A10"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p>
          <w:p w14:paraId="16300B5C" w14:textId="77777777" w:rsidR="0083742C" w:rsidRPr="00B8011B" w:rsidRDefault="0083742C" w:rsidP="002558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8.338</w:t>
            </w:r>
          </w:p>
        </w:tc>
      </w:tr>
      <w:tr w:rsidR="0083742C" w:rsidRPr="00B8011B" w14:paraId="7B1E03A4" w14:textId="77777777" w:rsidTr="00BF783D">
        <w:trPr>
          <w:trHeight w:val="416"/>
        </w:trPr>
        <w:tc>
          <w:tcPr>
            <w:tcW w:w="2518" w:type="dxa"/>
            <w:shd w:val="clear" w:color="auto" w:fill="auto"/>
          </w:tcPr>
          <w:p w14:paraId="7EAB8E95" w14:textId="33E39D0C" w:rsidR="00F71A10" w:rsidRPr="007A6565" w:rsidRDefault="00297ECF" w:rsidP="00B8011B">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Ποσοστό</w:t>
            </w:r>
            <w:r w:rsidR="0083742C" w:rsidRPr="007A6565">
              <w:rPr>
                <w:rFonts w:eastAsia="Calibri" w:cs="Helvetica"/>
                <w:spacing w:val="-8"/>
                <w:sz w:val="22"/>
                <w:szCs w:val="22"/>
                <w:lang w:val="en-US" w:eastAsia="en-US"/>
              </w:rPr>
              <w:t xml:space="preserve"> ζευγαριών </w:t>
            </w:r>
          </w:p>
        </w:tc>
        <w:tc>
          <w:tcPr>
            <w:tcW w:w="1134" w:type="dxa"/>
            <w:shd w:val="clear" w:color="auto" w:fill="auto"/>
          </w:tcPr>
          <w:p w14:paraId="1689D342" w14:textId="77777777" w:rsidR="00F71A10" w:rsidRPr="00B8011B" w:rsidRDefault="00F71A10" w:rsidP="00B8011B">
            <w:pPr>
              <w:widowControl w:val="0"/>
              <w:autoSpaceDE w:val="0"/>
              <w:autoSpaceDN w:val="0"/>
              <w:adjustRightInd w:val="0"/>
              <w:spacing w:before="40" w:after="40" w:line="240" w:lineRule="auto"/>
              <w:ind w:firstLine="0"/>
              <w:jc w:val="right"/>
              <w:rPr>
                <w:rFonts w:eastAsia="Calibri" w:cs="Helvetica"/>
                <w:sz w:val="22"/>
                <w:szCs w:val="22"/>
                <w:lang w:val="en-US" w:eastAsia="en-US"/>
              </w:rPr>
            </w:pPr>
          </w:p>
        </w:tc>
        <w:tc>
          <w:tcPr>
            <w:tcW w:w="2010" w:type="dxa"/>
            <w:shd w:val="clear" w:color="auto" w:fill="auto"/>
          </w:tcPr>
          <w:p w14:paraId="407A3875" w14:textId="3E0C9F64" w:rsidR="00F71A10" w:rsidRPr="00B8011B" w:rsidRDefault="0083742C" w:rsidP="00297E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67.9</w:t>
            </w:r>
            <w:r w:rsidR="00297ECF">
              <w:rPr>
                <w:rFonts w:eastAsia="Calibri" w:cs="Helvetica"/>
                <w:sz w:val="22"/>
                <w:szCs w:val="22"/>
                <w:lang w:val="en-US" w:eastAsia="en-US"/>
              </w:rPr>
              <w:t xml:space="preserve"> %</w:t>
            </w:r>
          </w:p>
        </w:tc>
        <w:tc>
          <w:tcPr>
            <w:tcW w:w="1938" w:type="dxa"/>
            <w:shd w:val="clear" w:color="auto" w:fill="auto"/>
          </w:tcPr>
          <w:p w14:paraId="2BD4C429" w14:textId="054B847E" w:rsidR="00F71A10" w:rsidRPr="00B8011B" w:rsidRDefault="0083742C" w:rsidP="00297E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17</w:t>
            </w:r>
            <w:r w:rsidR="00297ECF">
              <w:rPr>
                <w:rFonts w:eastAsia="Calibri" w:cs="Helvetica"/>
                <w:sz w:val="22"/>
                <w:szCs w:val="22"/>
                <w:lang w:val="en-US" w:eastAsia="en-US"/>
              </w:rPr>
              <w:t xml:space="preserve"> %</w:t>
            </w:r>
          </w:p>
        </w:tc>
        <w:tc>
          <w:tcPr>
            <w:tcW w:w="1830" w:type="dxa"/>
            <w:shd w:val="clear" w:color="auto" w:fill="auto"/>
          </w:tcPr>
          <w:p w14:paraId="1C7622B4" w14:textId="3D267BFD" w:rsidR="00F71A10" w:rsidRPr="00B8011B" w:rsidRDefault="0083742C" w:rsidP="00297ECF">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15.1</w:t>
            </w:r>
            <w:r w:rsidR="00297ECF">
              <w:rPr>
                <w:rFonts w:eastAsia="Calibri" w:cs="Helvetica"/>
                <w:sz w:val="22"/>
                <w:szCs w:val="22"/>
                <w:lang w:val="en-US" w:eastAsia="en-US"/>
              </w:rPr>
              <w:t xml:space="preserve"> %</w:t>
            </w:r>
          </w:p>
        </w:tc>
      </w:tr>
    </w:tbl>
    <w:p w14:paraId="4FE7F008" w14:textId="77777777" w:rsidR="002F42F1" w:rsidRDefault="002F42F1" w:rsidP="0023213A">
      <w:pPr>
        <w:spacing w:before="240" w:after="240"/>
        <w:ind w:firstLine="0"/>
        <w:jc w:val="left"/>
        <w:rPr>
          <w:b/>
        </w:rPr>
      </w:pPr>
    </w:p>
    <w:p w14:paraId="3C24BF9D" w14:textId="1CF19FD9" w:rsidR="00BF783D" w:rsidRPr="00BF783D" w:rsidRDefault="002C665A" w:rsidP="0023213A">
      <w:pPr>
        <w:spacing w:before="240" w:after="240"/>
        <w:ind w:firstLine="0"/>
        <w:jc w:val="left"/>
        <w:rPr>
          <w:b/>
        </w:rPr>
      </w:pPr>
      <w:r>
        <w:rPr>
          <w:b/>
        </w:rPr>
        <w:lastRenderedPageBreak/>
        <w:t>Πίνακας 14</w:t>
      </w:r>
      <w:r w:rsidR="00BF783D" w:rsidRPr="00F71A10">
        <w:rPr>
          <w:b/>
        </w:rPr>
        <w:t>. Κρυοσυντήρηση εμβρύων</w:t>
      </w:r>
      <w:r w:rsidR="00BF783D">
        <w:rPr>
          <w:b/>
        </w:rPr>
        <w:t xml:space="preserve"> και διάθεση πλεονάζοντος γεννητικού υλικού</w:t>
      </w:r>
      <w:r w:rsidR="00BF783D" w:rsidRPr="00F71A10">
        <w:rPr>
          <w:b/>
        </w:rPr>
        <w:t xml:space="preserve"> την 31</w:t>
      </w:r>
      <w:r w:rsidR="00BF783D" w:rsidRPr="00F71A10">
        <w:rPr>
          <w:b/>
          <w:vertAlign w:val="superscript"/>
        </w:rPr>
        <w:t>η</w:t>
      </w:r>
      <w:r w:rsidR="00BF783D" w:rsidRPr="00F71A10">
        <w:rPr>
          <w:b/>
        </w:rPr>
        <w:t xml:space="preserve"> Δεκεμβρίου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1559"/>
        <w:gridCol w:w="1417"/>
        <w:gridCol w:w="1560"/>
        <w:gridCol w:w="1525"/>
      </w:tblGrid>
      <w:tr w:rsidR="00BF783D" w:rsidRPr="00B8011B" w14:paraId="0CD4885A" w14:textId="77777777" w:rsidTr="00793036">
        <w:trPr>
          <w:trHeight w:val="683"/>
        </w:trPr>
        <w:tc>
          <w:tcPr>
            <w:tcW w:w="3369" w:type="dxa"/>
            <w:shd w:val="clear" w:color="auto" w:fill="auto"/>
          </w:tcPr>
          <w:p w14:paraId="7269AA48" w14:textId="77777777" w:rsidR="00BF783D" w:rsidRPr="00B8011B" w:rsidRDefault="00BF783D" w:rsidP="00793036">
            <w:pPr>
              <w:widowControl w:val="0"/>
              <w:autoSpaceDE w:val="0"/>
              <w:autoSpaceDN w:val="0"/>
              <w:adjustRightInd w:val="0"/>
              <w:spacing w:before="40" w:after="40" w:line="240" w:lineRule="auto"/>
              <w:ind w:firstLine="0"/>
              <w:jc w:val="left"/>
              <w:rPr>
                <w:rFonts w:eastAsia="Calibri" w:cs="Helvetica"/>
                <w:sz w:val="22"/>
                <w:szCs w:val="22"/>
                <w:lang w:val="en-US" w:eastAsia="en-US"/>
              </w:rPr>
            </w:pPr>
          </w:p>
        </w:tc>
        <w:tc>
          <w:tcPr>
            <w:tcW w:w="2976" w:type="dxa"/>
            <w:gridSpan w:val="2"/>
            <w:shd w:val="clear" w:color="auto" w:fill="auto"/>
          </w:tcPr>
          <w:p w14:paraId="5AB68491"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Έμβρυα</w:t>
            </w:r>
          </w:p>
        </w:tc>
        <w:tc>
          <w:tcPr>
            <w:tcW w:w="3085" w:type="dxa"/>
            <w:gridSpan w:val="2"/>
            <w:shd w:val="clear" w:color="auto" w:fill="auto"/>
          </w:tcPr>
          <w:p w14:paraId="2708849F"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Ζευγάρια</w:t>
            </w:r>
          </w:p>
        </w:tc>
      </w:tr>
      <w:tr w:rsidR="00BF783D" w:rsidRPr="00B8011B" w14:paraId="5694FC3B" w14:textId="77777777" w:rsidTr="00793036">
        <w:trPr>
          <w:trHeight w:val="464"/>
        </w:trPr>
        <w:tc>
          <w:tcPr>
            <w:tcW w:w="3369" w:type="dxa"/>
            <w:tcBorders>
              <w:bottom w:val="single" w:sz="4" w:space="0" w:color="auto"/>
            </w:tcBorders>
            <w:shd w:val="clear" w:color="auto" w:fill="auto"/>
          </w:tcPr>
          <w:p w14:paraId="507FAE33" w14:textId="77777777" w:rsidR="00BF783D" w:rsidRPr="00B8011B" w:rsidRDefault="00BF783D" w:rsidP="00793036">
            <w:pPr>
              <w:widowControl w:val="0"/>
              <w:autoSpaceDE w:val="0"/>
              <w:autoSpaceDN w:val="0"/>
              <w:adjustRightInd w:val="0"/>
              <w:spacing w:before="40" w:after="40" w:line="240" w:lineRule="auto"/>
              <w:ind w:firstLine="0"/>
              <w:jc w:val="left"/>
              <w:rPr>
                <w:rFonts w:eastAsia="Calibri" w:cs="Helvetica"/>
                <w:sz w:val="22"/>
                <w:szCs w:val="22"/>
                <w:lang w:val="en-US" w:eastAsia="en-US"/>
              </w:rPr>
            </w:pPr>
          </w:p>
        </w:tc>
        <w:tc>
          <w:tcPr>
            <w:tcW w:w="1559" w:type="dxa"/>
            <w:tcBorders>
              <w:bottom w:val="single" w:sz="4" w:space="0" w:color="auto"/>
            </w:tcBorders>
            <w:shd w:val="clear" w:color="auto" w:fill="auto"/>
          </w:tcPr>
          <w:p w14:paraId="4D4ABBA2"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Σύνολο</w:t>
            </w:r>
          </w:p>
        </w:tc>
        <w:tc>
          <w:tcPr>
            <w:tcW w:w="1417" w:type="dxa"/>
            <w:tcBorders>
              <w:bottom w:val="single" w:sz="4" w:space="0" w:color="auto"/>
            </w:tcBorders>
            <w:shd w:val="clear" w:color="auto" w:fill="auto"/>
          </w:tcPr>
          <w:p w14:paraId="470D1F47" w14:textId="77777777" w:rsidR="00BF783D" w:rsidRPr="00B8011B" w:rsidRDefault="00BF783D" w:rsidP="00793036">
            <w:pPr>
              <w:widowControl w:val="0"/>
              <w:autoSpaceDE w:val="0"/>
              <w:autoSpaceDN w:val="0"/>
              <w:adjustRightInd w:val="0"/>
              <w:spacing w:before="40" w:after="40" w:line="240" w:lineRule="auto"/>
              <w:rPr>
                <w:rFonts w:eastAsia="Calibri" w:cs="Helvetica"/>
                <w:b/>
                <w:sz w:val="22"/>
                <w:szCs w:val="22"/>
                <w:lang w:val="en-US" w:eastAsia="en-US"/>
              </w:rPr>
            </w:pPr>
            <w:r w:rsidRPr="00B8011B">
              <w:rPr>
                <w:rFonts w:eastAsia="Calibri" w:cs="Helvetica"/>
                <w:b/>
                <w:sz w:val="22"/>
                <w:szCs w:val="22"/>
                <w:lang w:val="en-US" w:eastAsia="en-US"/>
              </w:rPr>
              <w:t>%</w:t>
            </w:r>
          </w:p>
        </w:tc>
        <w:tc>
          <w:tcPr>
            <w:tcW w:w="1560" w:type="dxa"/>
            <w:tcBorders>
              <w:bottom w:val="single" w:sz="4" w:space="0" w:color="auto"/>
            </w:tcBorders>
            <w:shd w:val="clear" w:color="auto" w:fill="auto"/>
          </w:tcPr>
          <w:p w14:paraId="5D75B012"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b/>
                <w:sz w:val="22"/>
                <w:szCs w:val="22"/>
                <w:lang w:val="en-US" w:eastAsia="en-US"/>
              </w:rPr>
            </w:pPr>
            <w:r w:rsidRPr="00B8011B">
              <w:rPr>
                <w:rFonts w:eastAsia="Calibri" w:cs="Helvetica"/>
                <w:b/>
                <w:sz w:val="22"/>
                <w:szCs w:val="22"/>
                <w:lang w:val="en-US" w:eastAsia="en-US"/>
              </w:rPr>
              <w:t>Σύνολο</w:t>
            </w:r>
          </w:p>
        </w:tc>
        <w:tc>
          <w:tcPr>
            <w:tcW w:w="1525" w:type="dxa"/>
            <w:tcBorders>
              <w:bottom w:val="single" w:sz="4" w:space="0" w:color="auto"/>
            </w:tcBorders>
            <w:shd w:val="clear" w:color="auto" w:fill="auto"/>
          </w:tcPr>
          <w:p w14:paraId="06F0951C" w14:textId="77777777" w:rsidR="00BF783D" w:rsidRPr="00B8011B" w:rsidRDefault="00BF783D" w:rsidP="00793036">
            <w:pPr>
              <w:widowControl w:val="0"/>
              <w:autoSpaceDE w:val="0"/>
              <w:autoSpaceDN w:val="0"/>
              <w:adjustRightInd w:val="0"/>
              <w:spacing w:before="40" w:after="40" w:line="240" w:lineRule="auto"/>
              <w:rPr>
                <w:rFonts w:eastAsia="Calibri" w:cs="Helvetica"/>
                <w:b/>
                <w:sz w:val="22"/>
                <w:szCs w:val="22"/>
                <w:lang w:val="en-US" w:eastAsia="en-US"/>
              </w:rPr>
            </w:pPr>
            <w:r w:rsidRPr="00B8011B">
              <w:rPr>
                <w:rFonts w:eastAsia="Calibri" w:cs="Helvetica"/>
                <w:b/>
                <w:sz w:val="22"/>
                <w:szCs w:val="22"/>
                <w:lang w:val="en-US" w:eastAsia="en-US"/>
              </w:rPr>
              <w:t>%</w:t>
            </w:r>
          </w:p>
        </w:tc>
      </w:tr>
      <w:tr w:rsidR="00BF783D" w:rsidRPr="00B8011B" w14:paraId="1DC138FD" w14:textId="77777777" w:rsidTr="00793036">
        <w:tc>
          <w:tcPr>
            <w:tcW w:w="3369" w:type="dxa"/>
            <w:shd w:val="pct15" w:color="auto" w:fill="auto"/>
          </w:tcPr>
          <w:p w14:paraId="2C9D51F4"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Οικογενειακός προγραμματισμός εν εξελίξει</w:t>
            </w:r>
          </w:p>
        </w:tc>
        <w:tc>
          <w:tcPr>
            <w:tcW w:w="1559" w:type="dxa"/>
            <w:shd w:val="pct15" w:color="auto" w:fill="auto"/>
          </w:tcPr>
          <w:p w14:paraId="2A5DD469"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125.751</w:t>
            </w:r>
          </w:p>
        </w:tc>
        <w:tc>
          <w:tcPr>
            <w:tcW w:w="1417" w:type="dxa"/>
            <w:shd w:val="pct15" w:color="auto" w:fill="auto"/>
          </w:tcPr>
          <w:p w14:paraId="6CAA80A8"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67.7</w:t>
            </w:r>
          </w:p>
        </w:tc>
        <w:tc>
          <w:tcPr>
            <w:tcW w:w="1560" w:type="dxa"/>
            <w:shd w:val="pct15" w:color="auto" w:fill="auto"/>
          </w:tcPr>
          <w:p w14:paraId="641695EE"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37.519</w:t>
            </w:r>
          </w:p>
        </w:tc>
        <w:tc>
          <w:tcPr>
            <w:tcW w:w="1525" w:type="dxa"/>
            <w:shd w:val="pct15" w:color="auto" w:fill="auto"/>
          </w:tcPr>
          <w:p w14:paraId="5182B0B0"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67.9</w:t>
            </w:r>
          </w:p>
        </w:tc>
      </w:tr>
      <w:tr w:rsidR="00BF783D" w:rsidRPr="00B8011B" w14:paraId="67792C08" w14:textId="77777777" w:rsidTr="00793036">
        <w:tc>
          <w:tcPr>
            <w:tcW w:w="3369" w:type="dxa"/>
            <w:shd w:val="pct15" w:color="auto" w:fill="auto"/>
          </w:tcPr>
          <w:p w14:paraId="18B40EB7"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Εγκατάλειψη οικογενειακού προγραμματισμού</w:t>
            </w:r>
          </w:p>
        </w:tc>
        <w:tc>
          <w:tcPr>
            <w:tcW w:w="1559" w:type="dxa"/>
            <w:shd w:val="pct15" w:color="auto" w:fill="auto"/>
          </w:tcPr>
          <w:p w14:paraId="4EA53CED"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31.215</w:t>
            </w:r>
          </w:p>
        </w:tc>
        <w:tc>
          <w:tcPr>
            <w:tcW w:w="1417" w:type="dxa"/>
            <w:shd w:val="pct15" w:color="auto" w:fill="auto"/>
          </w:tcPr>
          <w:p w14:paraId="341F1DA6"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16.8</w:t>
            </w:r>
          </w:p>
        </w:tc>
        <w:tc>
          <w:tcPr>
            <w:tcW w:w="1560" w:type="dxa"/>
            <w:shd w:val="pct15" w:color="auto" w:fill="auto"/>
          </w:tcPr>
          <w:p w14:paraId="28C14312"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9.406</w:t>
            </w:r>
          </w:p>
        </w:tc>
        <w:tc>
          <w:tcPr>
            <w:tcW w:w="1525" w:type="dxa"/>
            <w:shd w:val="pct15" w:color="auto" w:fill="auto"/>
          </w:tcPr>
          <w:p w14:paraId="1936D43F"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17</w:t>
            </w:r>
          </w:p>
        </w:tc>
      </w:tr>
      <w:tr w:rsidR="00BF783D" w:rsidRPr="00B8011B" w14:paraId="5ABD50E5" w14:textId="77777777" w:rsidTr="00793036">
        <w:tc>
          <w:tcPr>
            <w:tcW w:w="3369" w:type="dxa"/>
            <w:shd w:val="clear" w:color="auto" w:fill="auto"/>
          </w:tcPr>
          <w:p w14:paraId="2E9B231F"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Δωρεά για έρευνα</w:t>
            </w:r>
          </w:p>
        </w:tc>
        <w:tc>
          <w:tcPr>
            <w:tcW w:w="1559" w:type="dxa"/>
            <w:shd w:val="clear" w:color="auto" w:fill="auto"/>
          </w:tcPr>
          <w:p w14:paraId="109F2B8A"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18.271</w:t>
            </w:r>
          </w:p>
        </w:tc>
        <w:tc>
          <w:tcPr>
            <w:tcW w:w="1417" w:type="dxa"/>
            <w:shd w:val="clear" w:color="auto" w:fill="auto"/>
          </w:tcPr>
          <w:p w14:paraId="4556075A"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p>
        </w:tc>
        <w:tc>
          <w:tcPr>
            <w:tcW w:w="1560" w:type="dxa"/>
            <w:shd w:val="clear" w:color="auto" w:fill="auto"/>
          </w:tcPr>
          <w:p w14:paraId="1064E6B5"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5.612</w:t>
            </w:r>
          </w:p>
        </w:tc>
        <w:tc>
          <w:tcPr>
            <w:tcW w:w="1525" w:type="dxa"/>
            <w:shd w:val="clear" w:color="auto" w:fill="auto"/>
          </w:tcPr>
          <w:p w14:paraId="09F36D86"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p>
        </w:tc>
      </w:tr>
      <w:tr w:rsidR="00BF783D" w:rsidRPr="00B8011B" w14:paraId="6C7323A2" w14:textId="77777777" w:rsidTr="00793036">
        <w:trPr>
          <w:trHeight w:val="293"/>
        </w:trPr>
        <w:tc>
          <w:tcPr>
            <w:tcW w:w="3369" w:type="dxa"/>
            <w:tcBorders>
              <w:bottom w:val="single" w:sz="4" w:space="0" w:color="auto"/>
            </w:tcBorders>
            <w:shd w:val="clear" w:color="auto" w:fill="auto"/>
          </w:tcPr>
          <w:p w14:paraId="2BD54945"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Δωρεά σε τρίτο ζευγάρι</w:t>
            </w:r>
          </w:p>
        </w:tc>
        <w:tc>
          <w:tcPr>
            <w:tcW w:w="1559" w:type="dxa"/>
            <w:tcBorders>
              <w:bottom w:val="single" w:sz="4" w:space="0" w:color="auto"/>
            </w:tcBorders>
            <w:shd w:val="clear" w:color="auto" w:fill="auto"/>
          </w:tcPr>
          <w:p w14:paraId="30689B02"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12.944</w:t>
            </w:r>
          </w:p>
        </w:tc>
        <w:tc>
          <w:tcPr>
            <w:tcW w:w="1417" w:type="dxa"/>
            <w:tcBorders>
              <w:bottom w:val="single" w:sz="4" w:space="0" w:color="auto"/>
            </w:tcBorders>
            <w:shd w:val="clear" w:color="auto" w:fill="auto"/>
          </w:tcPr>
          <w:p w14:paraId="380F6562"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p>
        </w:tc>
        <w:tc>
          <w:tcPr>
            <w:tcW w:w="1560" w:type="dxa"/>
            <w:tcBorders>
              <w:bottom w:val="single" w:sz="4" w:space="0" w:color="auto"/>
            </w:tcBorders>
            <w:shd w:val="clear" w:color="auto" w:fill="auto"/>
          </w:tcPr>
          <w:p w14:paraId="41B12948"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3.794</w:t>
            </w:r>
          </w:p>
        </w:tc>
        <w:tc>
          <w:tcPr>
            <w:tcW w:w="1525" w:type="dxa"/>
            <w:tcBorders>
              <w:bottom w:val="single" w:sz="4" w:space="0" w:color="auto"/>
            </w:tcBorders>
            <w:shd w:val="clear" w:color="auto" w:fill="auto"/>
          </w:tcPr>
          <w:p w14:paraId="44899057" w14:textId="77777777" w:rsidR="00BF783D" w:rsidRPr="00B8011B" w:rsidRDefault="00BF783D" w:rsidP="00793036">
            <w:pPr>
              <w:widowControl w:val="0"/>
              <w:autoSpaceDE w:val="0"/>
              <w:autoSpaceDN w:val="0"/>
              <w:adjustRightInd w:val="0"/>
              <w:spacing w:before="40" w:after="40" w:line="240" w:lineRule="auto"/>
              <w:ind w:firstLine="0"/>
              <w:jc w:val="center"/>
              <w:rPr>
                <w:rFonts w:eastAsia="Calibri" w:cs="Helvetica"/>
                <w:sz w:val="22"/>
                <w:szCs w:val="22"/>
                <w:lang w:val="en-US" w:eastAsia="en-US"/>
              </w:rPr>
            </w:pPr>
          </w:p>
        </w:tc>
      </w:tr>
      <w:tr w:rsidR="00BF783D" w:rsidRPr="00B8011B" w14:paraId="03A30508" w14:textId="77777777" w:rsidTr="00793036">
        <w:trPr>
          <w:trHeight w:val="196"/>
        </w:trPr>
        <w:tc>
          <w:tcPr>
            <w:tcW w:w="3369" w:type="dxa"/>
            <w:shd w:val="pct15" w:color="auto" w:fill="auto"/>
          </w:tcPr>
          <w:p w14:paraId="182AE960"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Παράλειψη απάντησης ή διαφωνία του ζευγαριού</w:t>
            </w:r>
          </w:p>
        </w:tc>
        <w:tc>
          <w:tcPr>
            <w:tcW w:w="1559" w:type="dxa"/>
            <w:shd w:val="pct15" w:color="auto" w:fill="auto"/>
          </w:tcPr>
          <w:p w14:paraId="4147D487"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28.855</w:t>
            </w:r>
          </w:p>
        </w:tc>
        <w:tc>
          <w:tcPr>
            <w:tcW w:w="1417" w:type="dxa"/>
            <w:shd w:val="pct15" w:color="auto" w:fill="auto"/>
          </w:tcPr>
          <w:p w14:paraId="7BB111E9"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15.5</w:t>
            </w:r>
          </w:p>
        </w:tc>
        <w:tc>
          <w:tcPr>
            <w:tcW w:w="1560" w:type="dxa"/>
            <w:shd w:val="pct15" w:color="auto" w:fill="auto"/>
          </w:tcPr>
          <w:p w14:paraId="530913CD"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8.338</w:t>
            </w:r>
          </w:p>
        </w:tc>
        <w:tc>
          <w:tcPr>
            <w:tcW w:w="1525" w:type="dxa"/>
            <w:shd w:val="pct15" w:color="auto" w:fill="auto"/>
          </w:tcPr>
          <w:p w14:paraId="1E497891"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15.1</w:t>
            </w:r>
          </w:p>
        </w:tc>
      </w:tr>
      <w:tr w:rsidR="00BF783D" w:rsidRPr="00B8011B" w14:paraId="7A13597F" w14:textId="77777777" w:rsidTr="00793036">
        <w:trPr>
          <w:trHeight w:val="172"/>
        </w:trPr>
        <w:tc>
          <w:tcPr>
            <w:tcW w:w="3369" w:type="dxa"/>
            <w:shd w:val="clear" w:color="auto" w:fill="auto"/>
          </w:tcPr>
          <w:p w14:paraId="2004B9C8"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Λιγότερο από 5 χρόνια κρυοσυντήρησης</w:t>
            </w:r>
          </w:p>
        </w:tc>
        <w:tc>
          <w:tcPr>
            <w:tcW w:w="1559" w:type="dxa"/>
            <w:shd w:val="clear" w:color="auto" w:fill="auto"/>
          </w:tcPr>
          <w:p w14:paraId="7057F822"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11.498</w:t>
            </w:r>
          </w:p>
        </w:tc>
        <w:tc>
          <w:tcPr>
            <w:tcW w:w="1417" w:type="dxa"/>
            <w:shd w:val="clear" w:color="auto" w:fill="auto"/>
          </w:tcPr>
          <w:p w14:paraId="79D71F51" w14:textId="77777777" w:rsidR="00BF783D" w:rsidRPr="00B8011B" w:rsidRDefault="00BF783D" w:rsidP="00793036">
            <w:pPr>
              <w:widowControl w:val="0"/>
              <w:autoSpaceDE w:val="0"/>
              <w:autoSpaceDN w:val="0"/>
              <w:adjustRightInd w:val="0"/>
              <w:spacing w:after="40" w:line="240" w:lineRule="auto"/>
              <w:jc w:val="center"/>
              <w:rPr>
                <w:rFonts w:eastAsia="Calibri" w:cs="Helvetica"/>
                <w:sz w:val="22"/>
                <w:szCs w:val="22"/>
                <w:lang w:val="en-US" w:eastAsia="en-US"/>
              </w:rPr>
            </w:pPr>
          </w:p>
        </w:tc>
        <w:tc>
          <w:tcPr>
            <w:tcW w:w="1560" w:type="dxa"/>
            <w:shd w:val="clear" w:color="auto" w:fill="auto"/>
          </w:tcPr>
          <w:p w14:paraId="4CD96714"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3.560</w:t>
            </w:r>
          </w:p>
        </w:tc>
        <w:tc>
          <w:tcPr>
            <w:tcW w:w="1525" w:type="dxa"/>
            <w:shd w:val="clear" w:color="auto" w:fill="auto"/>
          </w:tcPr>
          <w:p w14:paraId="4B543F75" w14:textId="77777777" w:rsidR="00BF783D" w:rsidRPr="00B8011B" w:rsidRDefault="00BF783D" w:rsidP="00793036">
            <w:pPr>
              <w:widowControl w:val="0"/>
              <w:autoSpaceDE w:val="0"/>
              <w:autoSpaceDN w:val="0"/>
              <w:adjustRightInd w:val="0"/>
              <w:spacing w:after="40" w:line="240" w:lineRule="auto"/>
              <w:jc w:val="center"/>
              <w:rPr>
                <w:rFonts w:eastAsia="Calibri" w:cs="Helvetica"/>
                <w:sz w:val="22"/>
                <w:szCs w:val="22"/>
                <w:lang w:val="en-US" w:eastAsia="en-US"/>
              </w:rPr>
            </w:pPr>
          </w:p>
        </w:tc>
      </w:tr>
      <w:tr w:rsidR="00BF783D" w:rsidRPr="00B8011B" w14:paraId="42330EC2" w14:textId="77777777" w:rsidTr="00793036">
        <w:trPr>
          <w:trHeight w:val="256"/>
        </w:trPr>
        <w:tc>
          <w:tcPr>
            <w:tcW w:w="3369" w:type="dxa"/>
            <w:tcBorders>
              <w:bottom w:val="single" w:sz="4" w:space="0" w:color="auto"/>
            </w:tcBorders>
            <w:shd w:val="clear" w:color="auto" w:fill="auto"/>
          </w:tcPr>
          <w:p w14:paraId="535D4FDA"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Περισσότερα από 5 χρόνια κρυοσυντήρησης ή άμεση πάυση</w:t>
            </w:r>
          </w:p>
        </w:tc>
        <w:tc>
          <w:tcPr>
            <w:tcW w:w="1559" w:type="dxa"/>
            <w:tcBorders>
              <w:bottom w:val="single" w:sz="4" w:space="0" w:color="auto"/>
            </w:tcBorders>
            <w:shd w:val="clear" w:color="auto" w:fill="auto"/>
          </w:tcPr>
          <w:p w14:paraId="3DCD3BA2"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17.357</w:t>
            </w:r>
          </w:p>
        </w:tc>
        <w:tc>
          <w:tcPr>
            <w:tcW w:w="1417" w:type="dxa"/>
            <w:tcBorders>
              <w:bottom w:val="single" w:sz="4" w:space="0" w:color="auto"/>
            </w:tcBorders>
            <w:shd w:val="clear" w:color="auto" w:fill="auto"/>
          </w:tcPr>
          <w:p w14:paraId="05757CBD" w14:textId="77777777" w:rsidR="00BF783D" w:rsidRPr="00B8011B" w:rsidRDefault="00BF783D" w:rsidP="00793036">
            <w:pPr>
              <w:widowControl w:val="0"/>
              <w:autoSpaceDE w:val="0"/>
              <w:autoSpaceDN w:val="0"/>
              <w:adjustRightInd w:val="0"/>
              <w:spacing w:after="40" w:line="240" w:lineRule="auto"/>
              <w:jc w:val="center"/>
              <w:rPr>
                <w:rFonts w:eastAsia="Calibri" w:cs="Helvetica"/>
                <w:sz w:val="22"/>
                <w:szCs w:val="22"/>
                <w:lang w:val="en-US" w:eastAsia="en-US"/>
              </w:rPr>
            </w:pPr>
          </w:p>
        </w:tc>
        <w:tc>
          <w:tcPr>
            <w:tcW w:w="1560" w:type="dxa"/>
            <w:tcBorders>
              <w:bottom w:val="single" w:sz="4" w:space="0" w:color="auto"/>
            </w:tcBorders>
            <w:shd w:val="clear" w:color="auto" w:fill="auto"/>
          </w:tcPr>
          <w:p w14:paraId="073F0BB2"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4.778</w:t>
            </w:r>
          </w:p>
        </w:tc>
        <w:tc>
          <w:tcPr>
            <w:tcW w:w="1525" w:type="dxa"/>
            <w:tcBorders>
              <w:bottom w:val="single" w:sz="4" w:space="0" w:color="auto"/>
            </w:tcBorders>
            <w:shd w:val="clear" w:color="auto" w:fill="auto"/>
          </w:tcPr>
          <w:p w14:paraId="18B06583" w14:textId="77777777" w:rsidR="00BF783D" w:rsidRPr="00B8011B" w:rsidRDefault="00BF783D" w:rsidP="00793036">
            <w:pPr>
              <w:widowControl w:val="0"/>
              <w:autoSpaceDE w:val="0"/>
              <w:autoSpaceDN w:val="0"/>
              <w:adjustRightInd w:val="0"/>
              <w:spacing w:after="40" w:line="240" w:lineRule="auto"/>
              <w:jc w:val="center"/>
              <w:rPr>
                <w:rFonts w:eastAsia="Calibri" w:cs="Helvetica"/>
                <w:sz w:val="22"/>
                <w:szCs w:val="22"/>
                <w:lang w:val="en-US" w:eastAsia="en-US"/>
              </w:rPr>
            </w:pPr>
          </w:p>
        </w:tc>
      </w:tr>
      <w:tr w:rsidR="00BF783D" w:rsidRPr="00B8011B" w14:paraId="0FF881D3" w14:textId="77777777" w:rsidTr="00793036">
        <w:trPr>
          <w:trHeight w:val="172"/>
        </w:trPr>
        <w:tc>
          <w:tcPr>
            <w:tcW w:w="3369" w:type="dxa"/>
            <w:shd w:val="pct15" w:color="auto" w:fill="auto"/>
          </w:tcPr>
          <w:p w14:paraId="3BC9FCD9" w14:textId="77777777" w:rsidR="00BF783D" w:rsidRPr="007A6565" w:rsidRDefault="00BF783D" w:rsidP="00793036">
            <w:pPr>
              <w:widowControl w:val="0"/>
              <w:autoSpaceDE w:val="0"/>
              <w:autoSpaceDN w:val="0"/>
              <w:adjustRightInd w:val="0"/>
              <w:spacing w:before="40" w:after="40" w:line="240" w:lineRule="auto"/>
              <w:ind w:firstLine="0"/>
              <w:jc w:val="left"/>
              <w:rPr>
                <w:rFonts w:eastAsia="Calibri" w:cs="Helvetica"/>
                <w:spacing w:val="-8"/>
                <w:sz w:val="22"/>
                <w:szCs w:val="22"/>
                <w:lang w:val="en-US" w:eastAsia="en-US"/>
              </w:rPr>
            </w:pPr>
            <w:r w:rsidRPr="007A6565">
              <w:rPr>
                <w:rFonts w:eastAsia="Calibri" w:cs="Helvetica"/>
                <w:spacing w:val="-8"/>
                <w:sz w:val="22"/>
                <w:szCs w:val="22"/>
                <w:lang w:val="en-US" w:eastAsia="en-US"/>
              </w:rPr>
              <w:t xml:space="preserve">Σύνολο εμβρύων που κρυοσυντηρούνται </w:t>
            </w:r>
          </w:p>
        </w:tc>
        <w:tc>
          <w:tcPr>
            <w:tcW w:w="1559" w:type="dxa"/>
            <w:shd w:val="pct15" w:color="auto" w:fill="auto"/>
          </w:tcPr>
          <w:p w14:paraId="4EF5D88A"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185.821</w:t>
            </w:r>
          </w:p>
        </w:tc>
        <w:tc>
          <w:tcPr>
            <w:tcW w:w="1417" w:type="dxa"/>
            <w:shd w:val="pct15" w:color="auto" w:fill="auto"/>
          </w:tcPr>
          <w:p w14:paraId="4880F974" w14:textId="77777777" w:rsidR="00BF783D" w:rsidRPr="00B8011B" w:rsidRDefault="00BF783D" w:rsidP="00793036">
            <w:pPr>
              <w:widowControl w:val="0"/>
              <w:autoSpaceDE w:val="0"/>
              <w:autoSpaceDN w:val="0"/>
              <w:adjustRightInd w:val="0"/>
              <w:spacing w:after="40" w:line="240" w:lineRule="auto"/>
              <w:jc w:val="center"/>
              <w:rPr>
                <w:rFonts w:eastAsia="Calibri" w:cs="Helvetica"/>
                <w:sz w:val="22"/>
                <w:szCs w:val="22"/>
                <w:lang w:val="en-US" w:eastAsia="en-US"/>
              </w:rPr>
            </w:pPr>
          </w:p>
        </w:tc>
        <w:tc>
          <w:tcPr>
            <w:tcW w:w="1560" w:type="dxa"/>
            <w:shd w:val="pct15" w:color="auto" w:fill="auto"/>
          </w:tcPr>
          <w:p w14:paraId="16EEB062" w14:textId="77777777" w:rsidR="00BF783D" w:rsidRPr="00B8011B" w:rsidRDefault="00BF783D" w:rsidP="00793036">
            <w:pPr>
              <w:widowControl w:val="0"/>
              <w:autoSpaceDE w:val="0"/>
              <w:autoSpaceDN w:val="0"/>
              <w:adjustRightInd w:val="0"/>
              <w:spacing w:after="40" w:line="240" w:lineRule="auto"/>
              <w:ind w:firstLine="0"/>
              <w:jc w:val="center"/>
              <w:rPr>
                <w:rFonts w:eastAsia="Calibri" w:cs="Helvetica"/>
                <w:sz w:val="22"/>
                <w:szCs w:val="22"/>
                <w:lang w:val="en-US" w:eastAsia="en-US"/>
              </w:rPr>
            </w:pPr>
            <w:r w:rsidRPr="00B8011B">
              <w:rPr>
                <w:rFonts w:eastAsia="Calibri" w:cs="Helvetica"/>
                <w:sz w:val="22"/>
                <w:szCs w:val="22"/>
                <w:lang w:val="en-US" w:eastAsia="en-US"/>
              </w:rPr>
              <w:t>55.263</w:t>
            </w:r>
          </w:p>
        </w:tc>
        <w:tc>
          <w:tcPr>
            <w:tcW w:w="1525" w:type="dxa"/>
            <w:shd w:val="pct15" w:color="auto" w:fill="auto"/>
          </w:tcPr>
          <w:p w14:paraId="5DF15FE3" w14:textId="77777777" w:rsidR="00BF783D" w:rsidRPr="00B8011B" w:rsidRDefault="00BF783D" w:rsidP="00793036">
            <w:pPr>
              <w:widowControl w:val="0"/>
              <w:autoSpaceDE w:val="0"/>
              <w:autoSpaceDN w:val="0"/>
              <w:adjustRightInd w:val="0"/>
              <w:spacing w:after="40" w:line="240" w:lineRule="auto"/>
              <w:jc w:val="center"/>
              <w:rPr>
                <w:rFonts w:eastAsia="Calibri" w:cs="Helvetica"/>
                <w:sz w:val="22"/>
                <w:szCs w:val="22"/>
                <w:lang w:val="en-US" w:eastAsia="en-US"/>
              </w:rPr>
            </w:pPr>
          </w:p>
        </w:tc>
      </w:tr>
    </w:tbl>
    <w:p w14:paraId="0EEFCE34" w14:textId="30864198" w:rsidR="00B326AC" w:rsidRPr="004933B9" w:rsidRDefault="00BA0F1C" w:rsidP="0023213A">
      <w:pPr>
        <w:pStyle w:val="Heading5"/>
        <w:spacing w:before="240"/>
      </w:pPr>
      <w:r>
        <w:t>iv</w:t>
      </w:r>
      <w:r w:rsidR="00B326AC">
        <w:t xml:space="preserve">. Κρυοσυντήρηση ορχικού </w:t>
      </w:r>
      <w:r w:rsidR="006141B4">
        <w:t xml:space="preserve">και ωοθηκικού </w:t>
      </w:r>
      <w:r w:rsidR="00B326AC">
        <w:t xml:space="preserve">ιστού </w:t>
      </w:r>
    </w:p>
    <w:p w14:paraId="20C64B61" w14:textId="66963F2A" w:rsidR="00E80917" w:rsidRDefault="00E80917" w:rsidP="00E80917">
      <w:r>
        <w:t xml:space="preserve">Μεταξύ των εφαρμοζόμενων στην ιατρικά υποβοηθούμενη αναπαραγωγή τεχνικών </w:t>
      </w:r>
      <w:r w:rsidR="00EF070E">
        <w:t xml:space="preserve">συγκαταλέγεται </w:t>
      </w:r>
      <w:r>
        <w:t xml:space="preserve">και η κρυοσυντήρηση ορχικού </w:t>
      </w:r>
      <w:r w:rsidR="006141B4">
        <w:t xml:space="preserve">και ωθηκικού </w:t>
      </w:r>
      <w:r>
        <w:t xml:space="preserve">ιστού, η οποία στοχεύει στη διατήρηση της γονιμότητας ενός προσώπου σε περίπτωση που υπάρχει κίνδυνος να μειωθεί </w:t>
      </w:r>
      <w:r w:rsidR="003F1B7E">
        <w:t>εξαιτίας</w:t>
      </w:r>
      <w:r>
        <w:t xml:space="preserve"> κάποιας πάθησης ή θεραπευτικής αγωγής</w:t>
      </w:r>
      <w:r>
        <w:rPr>
          <w:rStyle w:val="FootnoteReference"/>
        </w:rPr>
        <w:footnoteReference w:id="272"/>
      </w:r>
      <w:r>
        <w:t xml:space="preserve">. </w:t>
      </w:r>
    </w:p>
    <w:p w14:paraId="72467B56" w14:textId="33C98590" w:rsidR="00E46683" w:rsidRDefault="00E46683" w:rsidP="00E80917">
      <w:r>
        <w:rPr>
          <w:rFonts w:eastAsia="Calibri"/>
        </w:rPr>
        <w:t>Πιο συγκεκριμένα, υπενθυμίζεται ότι δυνάμει</w:t>
      </w:r>
      <w:r w:rsidRPr="00123CB8">
        <w:rPr>
          <w:rFonts w:eastAsia="Calibri"/>
        </w:rPr>
        <w:t xml:space="preserve"> των διατάξεων του </w:t>
      </w:r>
      <w:r w:rsidRPr="00123CB8">
        <w:rPr>
          <w:rFonts w:eastAsia="Calibri"/>
          <w:b/>
        </w:rPr>
        <w:t xml:space="preserve">άρθρου L. 2141-11 </w:t>
      </w:r>
      <w:r>
        <w:rPr>
          <w:rFonts w:eastAsia="Calibri"/>
          <w:b/>
        </w:rPr>
        <w:t>ΚΔΥ</w:t>
      </w:r>
      <w:r w:rsidRPr="00123CB8">
        <w:rPr>
          <w:rFonts w:eastAsia="Calibri"/>
        </w:rPr>
        <w:t>, εφόσον μια θεραπεία ή άλλη επέμβαση επισύρει κίνδυνο στειρότητας ή πιθανολογείται ότι δύναται</w:t>
      </w:r>
      <w:r w:rsidR="003F3F91">
        <w:rPr>
          <w:rFonts w:eastAsia="Calibri"/>
        </w:rPr>
        <w:t xml:space="preserve"> να μειώσει πρόωρα τη γονιμότητα</w:t>
      </w:r>
      <w:r w:rsidRPr="00123CB8">
        <w:rPr>
          <w:rFonts w:eastAsia="Calibri"/>
        </w:rPr>
        <w:t xml:space="preserve"> ενός προσώπου, το πρόσωπ</w:t>
      </w:r>
      <w:r>
        <w:rPr>
          <w:rFonts w:eastAsia="Calibri"/>
        </w:rPr>
        <w:t xml:space="preserve">ο αυτό έχει το δικαίωμα να κρυοσυντηρήσει το γεννητικό </w:t>
      </w:r>
      <w:r w:rsidR="003F3F91">
        <w:rPr>
          <w:rFonts w:eastAsia="Calibri"/>
        </w:rPr>
        <w:t xml:space="preserve">του </w:t>
      </w:r>
      <w:r>
        <w:rPr>
          <w:rFonts w:eastAsia="Calibri"/>
        </w:rPr>
        <w:t>υλικό</w:t>
      </w:r>
      <w:r w:rsidR="00DB3FCA">
        <w:rPr>
          <w:rFonts w:eastAsia="Calibri"/>
        </w:rPr>
        <w:t>,</w:t>
      </w:r>
      <w:r>
        <w:rPr>
          <w:rFonts w:eastAsia="Calibri"/>
        </w:rPr>
        <w:t xml:space="preserve"> είτε πρόκειται για γαμέτες, είτε –</w:t>
      </w:r>
      <w:r w:rsidR="006141B4">
        <w:rPr>
          <w:rFonts w:eastAsia="Calibri"/>
        </w:rPr>
        <w:t xml:space="preserve"> εν προκειμένω</w:t>
      </w:r>
      <w:r>
        <w:rPr>
          <w:rFonts w:eastAsia="Calibri"/>
        </w:rPr>
        <w:t xml:space="preserve"> – για </w:t>
      </w:r>
      <w:r w:rsidR="006141B4">
        <w:rPr>
          <w:rFonts w:eastAsia="Calibri"/>
        </w:rPr>
        <w:t>ορχικό ή ωοθηκικό</w:t>
      </w:r>
      <w:r>
        <w:rPr>
          <w:rFonts w:eastAsia="Calibri"/>
        </w:rPr>
        <w:t xml:space="preserve"> ιστό</w:t>
      </w:r>
      <w:r w:rsidRPr="00123CB8">
        <w:rPr>
          <w:rFonts w:eastAsia="Calibri"/>
        </w:rPr>
        <w:t>, προκειμένου να καταφύγει μεταγενέστερα, αν πράγματι προκύψει ανάγκη, σ</w:t>
      </w:r>
      <w:r w:rsidR="003F3F91">
        <w:rPr>
          <w:rFonts w:eastAsia="Calibri"/>
        </w:rPr>
        <w:t xml:space="preserve">την εφαρμογή </w:t>
      </w:r>
      <w:r>
        <w:rPr>
          <w:rFonts w:eastAsia="Calibri"/>
        </w:rPr>
        <w:t>ιατρικά υποβοηθούμενη</w:t>
      </w:r>
      <w:r w:rsidR="003F3F91">
        <w:rPr>
          <w:rFonts w:eastAsia="Calibri"/>
        </w:rPr>
        <w:t>ς</w:t>
      </w:r>
      <w:r>
        <w:rPr>
          <w:rFonts w:eastAsia="Calibri"/>
        </w:rPr>
        <w:t xml:space="preserve"> αναπαραγωγή</w:t>
      </w:r>
      <w:r w:rsidR="003F3F91">
        <w:rPr>
          <w:rFonts w:eastAsia="Calibri"/>
        </w:rPr>
        <w:t>ς</w:t>
      </w:r>
      <w:r w:rsidRPr="00123CB8">
        <w:rPr>
          <w:rFonts w:eastAsia="Calibri"/>
        </w:rPr>
        <w:t xml:space="preserve">. </w:t>
      </w:r>
      <w:r w:rsidR="003F3F91">
        <w:rPr>
          <w:rFonts w:eastAsia="Calibri"/>
        </w:rPr>
        <w:t xml:space="preserve"> </w:t>
      </w:r>
    </w:p>
    <w:p w14:paraId="14F68DCD" w14:textId="202A9B9E" w:rsidR="00E46683" w:rsidRDefault="00E80917" w:rsidP="00DB3FCA">
      <w:r>
        <w:t xml:space="preserve"> </w:t>
      </w:r>
      <w:r w:rsidR="003A5C16">
        <w:t xml:space="preserve">Επίσης, ο </w:t>
      </w:r>
      <w:r w:rsidR="003A5C16" w:rsidRPr="00DD32B4">
        <w:rPr>
          <w:b/>
        </w:rPr>
        <w:t xml:space="preserve">Οδηγός καλών κλινικών και βιολογικών πρακτικών στην ιατρικά </w:t>
      </w:r>
      <w:r w:rsidR="003F1B7E" w:rsidRPr="00DD32B4">
        <w:rPr>
          <w:b/>
        </w:rPr>
        <w:t>υποβοηθούμενη</w:t>
      </w:r>
      <w:r w:rsidR="003A5C16" w:rsidRPr="00DD32B4">
        <w:rPr>
          <w:b/>
        </w:rPr>
        <w:t xml:space="preserve"> αναπαραγωγή</w:t>
      </w:r>
      <w:r w:rsidR="003A5C16">
        <w:t xml:space="preserve"> ορίζει, στο </w:t>
      </w:r>
      <w:r w:rsidR="001F5A28">
        <w:t xml:space="preserve">κεφάλαιο ΙΙΙ.4: </w:t>
      </w:r>
      <w:r w:rsidR="006141B4">
        <w:rPr>
          <w:i/>
        </w:rPr>
        <w:t>Συντήρηση γαμετών και ωοθηκικού ή ορχικού ιστού</w:t>
      </w:r>
      <w:r w:rsidR="003A5C16" w:rsidRPr="00DD32B4">
        <w:rPr>
          <w:i/>
        </w:rPr>
        <w:t xml:space="preserve"> για ίδια χρήση</w:t>
      </w:r>
      <w:r w:rsidR="003A5C16">
        <w:t xml:space="preserve">, ΙΙΙ.4.3: </w:t>
      </w:r>
      <w:r w:rsidR="003A5C16" w:rsidRPr="006141B4">
        <w:rPr>
          <w:i/>
        </w:rPr>
        <w:t xml:space="preserve">Συντήρηση </w:t>
      </w:r>
      <w:r w:rsidR="006141B4" w:rsidRPr="006141B4">
        <w:rPr>
          <w:i/>
        </w:rPr>
        <w:t>ωοθηκικού ή ορχικού ιστού</w:t>
      </w:r>
      <w:r w:rsidR="003A5C16">
        <w:t xml:space="preserve">, ότι εφόσον η λήψη και κρυοσυντήρηση </w:t>
      </w:r>
      <w:r w:rsidR="00AE67A0" w:rsidRPr="00AE67A0">
        <w:t>ωοθηκικού ή ορχικού ιστού</w:t>
      </w:r>
      <w:r w:rsidR="00AE67A0" w:rsidRPr="00DD32B4">
        <w:rPr>
          <w:i/>
        </w:rPr>
        <w:t xml:space="preserve"> </w:t>
      </w:r>
      <w:r w:rsidR="003A5C16">
        <w:t xml:space="preserve">προτείνεται, ο ασθενής </w:t>
      </w:r>
      <w:r w:rsidR="003F1B7E">
        <w:t xml:space="preserve">– συμπεριλαμβανομένων και των ανηλίκων, υπό την προϋπόθεση ότι βρίσκονται σε ηλικία που τους επιτρέπει να κατανοήσουν την κατάσταση – </w:t>
      </w:r>
      <w:r w:rsidR="001F5A28">
        <w:t>λαμβάνει</w:t>
      </w:r>
      <w:r w:rsidR="003A5C16">
        <w:t xml:space="preserve"> ειδική ενημέρωση σχετικά με τον </w:t>
      </w:r>
      <w:r w:rsidR="0091117A">
        <w:lastRenderedPageBreak/>
        <w:t>επισφαλή</w:t>
      </w:r>
      <w:r w:rsidR="003A5C16">
        <w:t xml:space="preserve"> χαρακτήρα </w:t>
      </w:r>
      <w:r w:rsidR="003F1B7E">
        <w:t xml:space="preserve">της διεργασίας κρυοσυντήρησης και την αποτελεσματικότητα της μεταγενέστερης χρήσης του ιστού. Σύμφωνα με τις ισχύουσες επιστημονικές γνώσεις, οι προϋποθέσεις μεταγενέστερης χρήσης των ιστών άπτονται του πεδίου της έρευνας και οφείλουν να συνάδουν με την ισχύουσα νομοθεσία. </w:t>
      </w:r>
    </w:p>
    <w:p w14:paraId="51AAB92E" w14:textId="1314A15E" w:rsidR="00B326AC" w:rsidRDefault="006D6AD9" w:rsidP="002B0FA3">
      <w:r>
        <w:t>Επίσης</w:t>
      </w:r>
      <w:r w:rsidRPr="00B163A8">
        <w:t xml:space="preserve">, </w:t>
      </w:r>
      <w:r>
        <w:t xml:space="preserve">δυνάμει των διατάξεων του </w:t>
      </w:r>
      <w:bookmarkStart w:id="150" w:name="L_1243_2"/>
      <w:r w:rsidRPr="00B163A8">
        <w:rPr>
          <w:b/>
        </w:rPr>
        <w:t xml:space="preserve">άρθρου </w:t>
      </w:r>
      <w:r w:rsidRPr="00B163A8">
        <w:rPr>
          <w:b/>
          <w:lang w:val="fr-FR"/>
        </w:rPr>
        <w:t>L</w:t>
      </w:r>
      <w:r w:rsidRPr="00B163A8">
        <w:rPr>
          <w:b/>
        </w:rPr>
        <w:t xml:space="preserve">. 1243-2, παρ. 1, </w:t>
      </w:r>
      <w:r>
        <w:rPr>
          <w:b/>
        </w:rPr>
        <w:t>ΚΔΥ</w:t>
      </w:r>
      <w:bookmarkEnd w:id="150"/>
      <w:r w:rsidR="00A52D2E">
        <w:t>, που φιλοξενούνται</w:t>
      </w:r>
      <w:r>
        <w:t xml:space="preserve"> σε κεφάλαιο του Κώδικα που αφορά στην </w:t>
      </w:r>
      <w:r w:rsidRPr="004E2307">
        <w:rPr>
          <w:b/>
          <w:i/>
        </w:rPr>
        <w:t>Προετοιμασία, διατήρηση και χρήση ιστών, κυττάρων και παραγώγων τους</w:t>
      </w:r>
      <w:r>
        <w:t>, αρμόδια για την προετοιμασία, διατήρηση, διανομή και διάθεση των ιστών και των παραγώγων τους είναι τα ιδρύματα και οι οργανισμοί που έχουν λάβει έγκριση για το σκοπό αυτό, κατόπιν γνωμοδότησης του Οργανισμού Βιοϊατρ</w:t>
      </w:r>
      <w:r w:rsidR="00486925">
        <w:t>ικής, από τον Εθνικό Οργανισμό Ασφάλειας Φαρμάκων και Προϊόντων Υ</w:t>
      </w:r>
      <w:r>
        <w:t>γείας</w:t>
      </w:r>
      <w:r w:rsidR="00486925">
        <w:t xml:space="preserve"> (</w:t>
      </w:r>
      <w:r w:rsidR="00486925" w:rsidRPr="00486925">
        <w:rPr>
          <w:i/>
        </w:rPr>
        <w:t>Agence Nationale de Sécurité du Médicament et des Produits de Santé</w:t>
      </w:r>
      <w:r w:rsidR="00486925" w:rsidRPr="00486925">
        <w:t>)</w:t>
      </w:r>
      <w:r>
        <w:t xml:space="preserve">, ο οποίος ελέγχει την τήρηση των </w:t>
      </w:r>
      <w:r w:rsidR="00CD5F1E">
        <w:t xml:space="preserve">σχετικών </w:t>
      </w:r>
      <w:r>
        <w:t xml:space="preserve">διατάξεων του </w:t>
      </w:r>
      <w:r w:rsidR="00CD5F1E">
        <w:t>Κώδικα Δημόσιας Υγείας (</w:t>
      </w:r>
      <w:r>
        <w:t xml:space="preserve">Βιβλίο ΙΙ: </w:t>
      </w:r>
      <w:r w:rsidRPr="00CD5F1E">
        <w:rPr>
          <w:i/>
        </w:rPr>
        <w:t xml:space="preserve">Δωρεά και χρήση των στοιχείων και προϊόντων του </w:t>
      </w:r>
      <w:r w:rsidR="00653769" w:rsidRPr="00CD5F1E">
        <w:rPr>
          <w:i/>
        </w:rPr>
        <w:t>ανθρωπίνου</w:t>
      </w:r>
      <w:r w:rsidR="00CD5F1E" w:rsidRPr="00CD5F1E">
        <w:rPr>
          <w:i/>
        </w:rPr>
        <w:t xml:space="preserve"> σώματος</w:t>
      </w:r>
      <w:r w:rsidR="00CD5F1E">
        <w:t>)</w:t>
      </w:r>
      <w:r>
        <w:t>.</w:t>
      </w:r>
    </w:p>
    <w:p w14:paraId="0F282526" w14:textId="23ED8231" w:rsidR="00BA0480" w:rsidRDefault="00104F96" w:rsidP="0023213A">
      <w:r>
        <w:t xml:space="preserve">Τέλος, σύμφωνα με την ετήσια Έκθεση του Οργανισμού Βιοϊατρικής, επισημαίνεται ότι η δραστηριότητα της συντήρησης ορχικών ιστών είναι ανεπαρκώς αναπτυγμένη στη Γαλλία. Άλλωστε, τονίζεται ότι η ποιότητα ζωής των ασθενών που θεραπεύονται από καρκίνο και η λήψη υπόψη των ενδεχόμενων επιπλοκών συνιστούν τον τρίτο πυλώνα </w:t>
      </w:r>
      <w:r w:rsidRPr="00151311">
        <w:t xml:space="preserve">του </w:t>
      </w:r>
      <w:r w:rsidR="00DA2982" w:rsidRPr="00151311">
        <w:rPr>
          <w:i/>
        </w:rPr>
        <w:t xml:space="preserve">Προγράμματος </w:t>
      </w:r>
      <w:r w:rsidRPr="00151311">
        <w:rPr>
          <w:i/>
        </w:rPr>
        <w:t>Καρκίνος</w:t>
      </w:r>
      <w:r w:rsidRPr="00151311">
        <w:t>. Η ανάπτυξη κλινικο-βιολογικών πλατφόρμων διατήρησης της γονιμότητας</w:t>
      </w:r>
      <w:r w:rsidR="00DA2982">
        <w:t>,</w:t>
      </w:r>
      <w:r>
        <w:t xml:space="preserve"> οι οποίες θα ασχολούνται με τους ασθενείς πριν, κατά τη διάρκεια και μετά </w:t>
      </w:r>
      <w:r w:rsidR="007E7C66">
        <w:t>την εφαρμογή θεραπείας κατά του καρκίνου</w:t>
      </w:r>
      <w:r>
        <w:t>, κατά τρόπο ισομερή σε όλη την επικράτεια, με τη βοήθεια όλων των εξειδικευμένων ιατρών τόσο στο πεδίο της καταπολέμησης του καρκίνου, όσο και στο πεδίο της αναπαραγωγής, έχει ως στόχο της την ανταπόκριση στις ανάγκες κάθε ασθενούς</w:t>
      </w:r>
      <w:r w:rsidR="001F01A6">
        <w:t>-</w:t>
      </w:r>
      <w:r>
        <w:t xml:space="preserve">υποβοηθούμενου </w:t>
      </w:r>
      <w:r w:rsidR="001F01A6">
        <w:t>προσώπου</w:t>
      </w:r>
      <w:r w:rsidR="00B54CA5">
        <w:t xml:space="preserve"> (Πίνακας 15</w:t>
      </w:r>
      <w:r w:rsidR="00B964E5">
        <w:t>)</w:t>
      </w:r>
      <w:r w:rsidR="00B964E5">
        <w:rPr>
          <w:rStyle w:val="FootnoteReference"/>
        </w:rPr>
        <w:footnoteReference w:id="273"/>
      </w:r>
      <w:r w:rsidR="001F01A6">
        <w:t xml:space="preserve">. </w:t>
      </w:r>
    </w:p>
    <w:p w14:paraId="1225E319" w14:textId="6C298F06" w:rsidR="003A3563" w:rsidRPr="005D6A02" w:rsidRDefault="00B54CA5" w:rsidP="0023213A">
      <w:pPr>
        <w:spacing w:before="240" w:after="240"/>
        <w:ind w:firstLine="0"/>
        <w:rPr>
          <w:b/>
        </w:rPr>
      </w:pPr>
      <w:r>
        <w:rPr>
          <w:b/>
        </w:rPr>
        <w:t>Πίνακας 15</w:t>
      </w:r>
      <w:r w:rsidR="003A3563" w:rsidRPr="005D6A02">
        <w:rPr>
          <w:b/>
        </w:rPr>
        <w:t>. Δια</w:t>
      </w:r>
      <w:r w:rsidR="003A3563">
        <w:rPr>
          <w:b/>
        </w:rPr>
        <w:t>σφάλιση γονιμότητας: συντήρηση ορχικού ιστού</w:t>
      </w:r>
      <w:r w:rsidR="003A3563" w:rsidRPr="005D6A02">
        <w:rPr>
          <w:b/>
        </w:rPr>
        <w:t xml:space="preserve"> </w:t>
      </w:r>
      <w:r w:rsidR="003A3563">
        <w:rPr>
          <w:b/>
        </w:rPr>
        <w:t>το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6"/>
        <w:gridCol w:w="1384"/>
      </w:tblGrid>
      <w:tr w:rsidR="003A3563" w14:paraId="71A43DAD" w14:textId="77777777" w:rsidTr="007E7C66">
        <w:tc>
          <w:tcPr>
            <w:tcW w:w="8046" w:type="dxa"/>
            <w:tcBorders>
              <w:bottom w:val="single" w:sz="4" w:space="0" w:color="auto"/>
            </w:tcBorders>
            <w:shd w:val="clear" w:color="auto" w:fill="auto"/>
          </w:tcPr>
          <w:p w14:paraId="5285E3B6" w14:textId="77777777" w:rsidR="003A3563" w:rsidRPr="007F1E59" w:rsidRDefault="003A3563" w:rsidP="00104F96">
            <w:pPr>
              <w:spacing w:before="40" w:after="40" w:line="240" w:lineRule="auto"/>
              <w:ind w:firstLine="0"/>
              <w:rPr>
                <w:rFonts w:eastAsia="Calibri"/>
                <w:sz w:val="22"/>
                <w:szCs w:val="22"/>
              </w:rPr>
            </w:pPr>
          </w:p>
        </w:tc>
        <w:tc>
          <w:tcPr>
            <w:tcW w:w="1384" w:type="dxa"/>
            <w:tcBorders>
              <w:bottom w:val="single" w:sz="4" w:space="0" w:color="auto"/>
            </w:tcBorders>
            <w:shd w:val="pct15" w:color="auto" w:fill="auto"/>
          </w:tcPr>
          <w:p w14:paraId="757DAEB5" w14:textId="77777777" w:rsidR="003A3563" w:rsidRPr="007F1E59" w:rsidRDefault="003A3563" w:rsidP="00104F96">
            <w:pPr>
              <w:spacing w:before="40" w:after="40" w:line="240" w:lineRule="auto"/>
              <w:ind w:firstLine="0"/>
              <w:jc w:val="right"/>
              <w:rPr>
                <w:rFonts w:eastAsia="Calibri"/>
                <w:b/>
                <w:sz w:val="22"/>
                <w:szCs w:val="22"/>
              </w:rPr>
            </w:pPr>
            <w:r w:rsidRPr="007F1E59">
              <w:rPr>
                <w:rFonts w:eastAsia="Calibri"/>
                <w:b/>
                <w:sz w:val="22"/>
                <w:szCs w:val="22"/>
              </w:rPr>
              <w:t>2012</w:t>
            </w:r>
          </w:p>
        </w:tc>
      </w:tr>
      <w:tr w:rsidR="003A3563" w14:paraId="082D1974" w14:textId="77777777" w:rsidTr="00104F96">
        <w:tc>
          <w:tcPr>
            <w:tcW w:w="8046" w:type="dxa"/>
            <w:shd w:val="pct15" w:color="auto" w:fill="auto"/>
          </w:tcPr>
          <w:p w14:paraId="44DF13A7" w14:textId="77777777" w:rsidR="003A3563" w:rsidRPr="007F1E59" w:rsidRDefault="003A3563" w:rsidP="007E7C66">
            <w:pPr>
              <w:spacing w:before="40" w:after="40" w:line="240" w:lineRule="auto"/>
              <w:ind w:firstLine="0"/>
              <w:jc w:val="left"/>
              <w:rPr>
                <w:rFonts w:eastAsia="Calibri"/>
                <w:b/>
                <w:sz w:val="22"/>
                <w:szCs w:val="22"/>
              </w:rPr>
            </w:pPr>
            <w:r>
              <w:rPr>
                <w:rFonts w:eastAsia="Calibri"/>
                <w:b/>
                <w:sz w:val="22"/>
                <w:szCs w:val="22"/>
              </w:rPr>
              <w:t>Ορχικοί ιστοί</w:t>
            </w:r>
          </w:p>
        </w:tc>
        <w:tc>
          <w:tcPr>
            <w:tcW w:w="1384" w:type="dxa"/>
            <w:shd w:val="pct15" w:color="auto" w:fill="auto"/>
          </w:tcPr>
          <w:p w14:paraId="3D01C69C" w14:textId="77777777" w:rsidR="003A3563" w:rsidRPr="007F1E59" w:rsidRDefault="003A3563" w:rsidP="00104F96">
            <w:pPr>
              <w:spacing w:before="40" w:after="40" w:line="240" w:lineRule="auto"/>
              <w:ind w:firstLine="0"/>
              <w:rPr>
                <w:rFonts w:eastAsia="Calibri"/>
                <w:sz w:val="22"/>
                <w:szCs w:val="22"/>
              </w:rPr>
            </w:pPr>
          </w:p>
        </w:tc>
      </w:tr>
      <w:tr w:rsidR="003A3563" w14:paraId="37C36567" w14:textId="77777777" w:rsidTr="00104F96">
        <w:tc>
          <w:tcPr>
            <w:tcW w:w="8046" w:type="dxa"/>
            <w:shd w:val="clear" w:color="auto" w:fill="auto"/>
          </w:tcPr>
          <w:p w14:paraId="45363542" w14:textId="77777777" w:rsidR="003A3563" w:rsidRPr="007F1E59" w:rsidRDefault="003A3563" w:rsidP="007E7C66">
            <w:pPr>
              <w:spacing w:before="40" w:after="40" w:line="240" w:lineRule="auto"/>
              <w:ind w:firstLine="0"/>
              <w:jc w:val="left"/>
              <w:rPr>
                <w:rFonts w:eastAsia="Calibri"/>
                <w:sz w:val="22"/>
                <w:szCs w:val="22"/>
              </w:rPr>
            </w:pPr>
            <w:r w:rsidRPr="007F1E59">
              <w:rPr>
                <w:rFonts w:eastAsia="Calibri"/>
                <w:sz w:val="22"/>
                <w:szCs w:val="22"/>
              </w:rPr>
              <w:t>Αριθμός εξειδικευμένων και εξουσιοδοτημένων κέντρων ιατρικά υποβοηθούμενης αναπαραγωγής</w:t>
            </w:r>
          </w:p>
        </w:tc>
        <w:tc>
          <w:tcPr>
            <w:tcW w:w="1384" w:type="dxa"/>
            <w:shd w:val="clear" w:color="auto" w:fill="auto"/>
          </w:tcPr>
          <w:p w14:paraId="4BA5EEB5" w14:textId="77777777" w:rsidR="003A3563" w:rsidRPr="007F1E59" w:rsidRDefault="003A3563" w:rsidP="003A3563">
            <w:pPr>
              <w:spacing w:after="40" w:line="240" w:lineRule="auto"/>
              <w:ind w:firstLine="0"/>
              <w:jc w:val="right"/>
              <w:rPr>
                <w:rFonts w:eastAsia="Calibri"/>
                <w:sz w:val="22"/>
                <w:szCs w:val="22"/>
              </w:rPr>
            </w:pPr>
            <w:r>
              <w:rPr>
                <w:rFonts w:eastAsia="Calibri"/>
                <w:sz w:val="22"/>
                <w:szCs w:val="22"/>
              </w:rPr>
              <w:t>14</w:t>
            </w:r>
          </w:p>
        </w:tc>
      </w:tr>
      <w:tr w:rsidR="003A3563" w14:paraId="75EA8DFD" w14:textId="77777777" w:rsidTr="00104F96">
        <w:tc>
          <w:tcPr>
            <w:tcW w:w="8046" w:type="dxa"/>
            <w:shd w:val="clear" w:color="auto" w:fill="auto"/>
          </w:tcPr>
          <w:p w14:paraId="5E15FD7A" w14:textId="77777777" w:rsidR="003A3563" w:rsidRPr="007F1E59" w:rsidRDefault="003A3563" w:rsidP="007E7C66">
            <w:pPr>
              <w:spacing w:before="40" w:after="40" w:line="240" w:lineRule="auto"/>
              <w:ind w:firstLine="0"/>
              <w:jc w:val="left"/>
              <w:rPr>
                <w:rFonts w:eastAsia="Calibri"/>
                <w:sz w:val="22"/>
                <w:szCs w:val="22"/>
              </w:rPr>
            </w:pPr>
            <w:r w:rsidRPr="007F1E59">
              <w:rPr>
                <w:rFonts w:eastAsia="Calibri"/>
                <w:sz w:val="22"/>
                <w:szCs w:val="22"/>
              </w:rPr>
              <w:t>Νέες κρυοσυντηρήσεις (ασθενείς)</w:t>
            </w:r>
          </w:p>
        </w:tc>
        <w:tc>
          <w:tcPr>
            <w:tcW w:w="1384" w:type="dxa"/>
            <w:shd w:val="clear" w:color="auto" w:fill="auto"/>
          </w:tcPr>
          <w:p w14:paraId="0CAA2217" w14:textId="77777777" w:rsidR="003A3563" w:rsidRPr="007F1E59" w:rsidRDefault="003A3563" w:rsidP="00104F96">
            <w:pPr>
              <w:spacing w:before="40" w:after="40" w:line="240" w:lineRule="auto"/>
              <w:ind w:firstLine="0"/>
              <w:jc w:val="right"/>
              <w:rPr>
                <w:rFonts w:eastAsia="Calibri"/>
                <w:sz w:val="22"/>
                <w:szCs w:val="22"/>
              </w:rPr>
            </w:pPr>
            <w:r>
              <w:rPr>
                <w:rFonts w:eastAsia="Calibri"/>
                <w:sz w:val="22"/>
                <w:szCs w:val="22"/>
              </w:rPr>
              <w:t>81</w:t>
            </w:r>
          </w:p>
        </w:tc>
      </w:tr>
      <w:tr w:rsidR="003A3563" w14:paraId="1F8938F5" w14:textId="77777777" w:rsidTr="00AE67A0">
        <w:trPr>
          <w:trHeight w:val="208"/>
        </w:trPr>
        <w:tc>
          <w:tcPr>
            <w:tcW w:w="8046" w:type="dxa"/>
            <w:tcBorders>
              <w:bottom w:val="single" w:sz="4" w:space="0" w:color="auto"/>
            </w:tcBorders>
            <w:shd w:val="clear" w:color="auto" w:fill="auto"/>
          </w:tcPr>
          <w:p w14:paraId="4256279C" w14:textId="77777777" w:rsidR="003A3563" w:rsidRPr="007F1E59" w:rsidRDefault="003A3563" w:rsidP="007E7C66">
            <w:pPr>
              <w:spacing w:before="40" w:after="40" w:line="240" w:lineRule="auto"/>
              <w:ind w:firstLine="0"/>
              <w:jc w:val="left"/>
              <w:rPr>
                <w:rFonts w:eastAsia="Calibri"/>
                <w:sz w:val="22"/>
                <w:szCs w:val="22"/>
              </w:rPr>
            </w:pPr>
            <w:r w:rsidRPr="007F1E59">
              <w:rPr>
                <w:rFonts w:eastAsia="Calibri"/>
                <w:sz w:val="22"/>
                <w:szCs w:val="22"/>
              </w:rPr>
              <w:t>Κρυοσυντηρήσεις την 31</w:t>
            </w:r>
            <w:r w:rsidRPr="007F1E59">
              <w:rPr>
                <w:rFonts w:eastAsia="Calibri"/>
                <w:sz w:val="22"/>
                <w:szCs w:val="22"/>
                <w:vertAlign w:val="superscript"/>
              </w:rPr>
              <w:t>η</w:t>
            </w:r>
            <w:r w:rsidRPr="007F1E59">
              <w:rPr>
                <w:rFonts w:eastAsia="Calibri"/>
                <w:sz w:val="22"/>
                <w:szCs w:val="22"/>
              </w:rPr>
              <w:t xml:space="preserve"> Δεκεμβρίου (ασθενείς)</w:t>
            </w:r>
          </w:p>
        </w:tc>
        <w:tc>
          <w:tcPr>
            <w:tcW w:w="1384" w:type="dxa"/>
            <w:tcBorders>
              <w:bottom w:val="single" w:sz="4" w:space="0" w:color="auto"/>
            </w:tcBorders>
            <w:shd w:val="clear" w:color="auto" w:fill="auto"/>
          </w:tcPr>
          <w:p w14:paraId="7E3A5985" w14:textId="77777777" w:rsidR="003A3563" w:rsidRPr="007F1E59" w:rsidRDefault="003A3563" w:rsidP="00104F96">
            <w:pPr>
              <w:spacing w:before="40" w:after="40" w:line="240" w:lineRule="auto"/>
              <w:ind w:firstLine="0"/>
              <w:jc w:val="right"/>
              <w:rPr>
                <w:rFonts w:eastAsia="Calibri"/>
                <w:sz w:val="22"/>
                <w:szCs w:val="22"/>
              </w:rPr>
            </w:pPr>
            <w:r>
              <w:rPr>
                <w:rFonts w:eastAsia="Calibri"/>
                <w:sz w:val="22"/>
                <w:szCs w:val="22"/>
              </w:rPr>
              <w:t>311</w:t>
            </w:r>
          </w:p>
        </w:tc>
      </w:tr>
      <w:tr w:rsidR="00AE67A0" w:rsidRPr="00AE67A0" w14:paraId="1EBF1C8B" w14:textId="77777777" w:rsidTr="00AE67A0">
        <w:trPr>
          <w:trHeight w:val="208"/>
        </w:trPr>
        <w:tc>
          <w:tcPr>
            <w:tcW w:w="8046" w:type="dxa"/>
            <w:tcBorders>
              <w:top w:val="single" w:sz="4" w:space="0" w:color="auto"/>
              <w:left w:val="single" w:sz="4" w:space="0" w:color="auto"/>
              <w:bottom w:val="single" w:sz="4" w:space="0" w:color="auto"/>
              <w:right w:val="single" w:sz="4" w:space="0" w:color="auto"/>
            </w:tcBorders>
            <w:shd w:val="pct15" w:color="auto" w:fill="auto"/>
          </w:tcPr>
          <w:p w14:paraId="6E5AC95F" w14:textId="77777777" w:rsidR="00AE67A0" w:rsidRPr="00AE67A0" w:rsidRDefault="00AE67A0" w:rsidP="007E7C66">
            <w:pPr>
              <w:spacing w:before="40" w:after="40" w:line="240" w:lineRule="auto"/>
              <w:ind w:firstLine="0"/>
              <w:jc w:val="left"/>
              <w:rPr>
                <w:rFonts w:eastAsia="Calibri"/>
                <w:b/>
                <w:sz w:val="22"/>
                <w:szCs w:val="22"/>
              </w:rPr>
            </w:pPr>
            <w:r w:rsidRPr="00AE67A0">
              <w:rPr>
                <w:rFonts w:eastAsia="Calibri"/>
                <w:b/>
                <w:sz w:val="22"/>
                <w:szCs w:val="22"/>
              </w:rPr>
              <w:t>Ωοθηκικοί ιστοί</w:t>
            </w:r>
          </w:p>
        </w:tc>
        <w:tc>
          <w:tcPr>
            <w:tcW w:w="1384" w:type="dxa"/>
            <w:tcBorders>
              <w:top w:val="single" w:sz="4" w:space="0" w:color="auto"/>
              <w:left w:val="single" w:sz="4" w:space="0" w:color="auto"/>
              <w:bottom w:val="single" w:sz="4" w:space="0" w:color="auto"/>
              <w:right w:val="single" w:sz="4" w:space="0" w:color="auto"/>
            </w:tcBorders>
            <w:shd w:val="pct15" w:color="auto" w:fill="auto"/>
          </w:tcPr>
          <w:p w14:paraId="2BEC2E76" w14:textId="77777777" w:rsidR="00AE67A0" w:rsidRPr="00AE67A0" w:rsidRDefault="00AE67A0" w:rsidP="00AE67A0">
            <w:pPr>
              <w:spacing w:before="40" w:after="40" w:line="240" w:lineRule="auto"/>
              <w:ind w:firstLine="0"/>
              <w:jc w:val="right"/>
              <w:rPr>
                <w:rFonts w:eastAsia="Calibri"/>
                <w:b/>
                <w:sz w:val="22"/>
                <w:szCs w:val="22"/>
              </w:rPr>
            </w:pPr>
          </w:p>
        </w:tc>
      </w:tr>
      <w:tr w:rsidR="00AE67A0" w14:paraId="242700AD" w14:textId="77777777" w:rsidTr="00AE67A0">
        <w:trPr>
          <w:trHeight w:val="208"/>
        </w:trPr>
        <w:tc>
          <w:tcPr>
            <w:tcW w:w="8046" w:type="dxa"/>
            <w:tcBorders>
              <w:top w:val="single" w:sz="4" w:space="0" w:color="auto"/>
              <w:left w:val="single" w:sz="4" w:space="0" w:color="auto"/>
              <w:bottom w:val="single" w:sz="4" w:space="0" w:color="auto"/>
              <w:right w:val="single" w:sz="4" w:space="0" w:color="auto"/>
            </w:tcBorders>
            <w:shd w:val="clear" w:color="auto" w:fill="auto"/>
          </w:tcPr>
          <w:p w14:paraId="24B6B266" w14:textId="77777777" w:rsidR="00AE67A0" w:rsidRPr="007F1E59" w:rsidRDefault="00AE67A0" w:rsidP="007E7C66">
            <w:pPr>
              <w:spacing w:before="40" w:after="40" w:line="240" w:lineRule="auto"/>
              <w:ind w:firstLine="0"/>
              <w:jc w:val="left"/>
              <w:rPr>
                <w:rFonts w:eastAsia="Calibri"/>
                <w:sz w:val="22"/>
                <w:szCs w:val="22"/>
              </w:rPr>
            </w:pPr>
            <w:r w:rsidRPr="007F1E59">
              <w:rPr>
                <w:rFonts w:eastAsia="Calibri"/>
                <w:sz w:val="22"/>
                <w:szCs w:val="22"/>
              </w:rPr>
              <w:t>Αριθμός εξειδικευμένων και εξουσιοδοτημένων κέντρων ιατρικά υποβοηθούμενης αναπαραγωγής</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0FE6CBD9" w14:textId="77777777" w:rsidR="00AE67A0" w:rsidRPr="007F1E59" w:rsidRDefault="00AE67A0" w:rsidP="00AE67A0">
            <w:pPr>
              <w:spacing w:before="40" w:after="40" w:line="240" w:lineRule="auto"/>
              <w:ind w:firstLine="0"/>
              <w:jc w:val="right"/>
              <w:rPr>
                <w:rFonts w:eastAsia="Calibri"/>
                <w:sz w:val="22"/>
                <w:szCs w:val="22"/>
              </w:rPr>
            </w:pPr>
            <w:r>
              <w:rPr>
                <w:rFonts w:eastAsia="Calibri"/>
                <w:sz w:val="22"/>
                <w:szCs w:val="22"/>
              </w:rPr>
              <w:t>25</w:t>
            </w:r>
          </w:p>
        </w:tc>
      </w:tr>
      <w:tr w:rsidR="00AE67A0" w14:paraId="2285F17E" w14:textId="77777777" w:rsidTr="00AE67A0">
        <w:trPr>
          <w:trHeight w:val="208"/>
        </w:trPr>
        <w:tc>
          <w:tcPr>
            <w:tcW w:w="8046" w:type="dxa"/>
            <w:tcBorders>
              <w:top w:val="single" w:sz="4" w:space="0" w:color="auto"/>
              <w:left w:val="single" w:sz="4" w:space="0" w:color="auto"/>
              <w:bottom w:val="single" w:sz="4" w:space="0" w:color="auto"/>
              <w:right w:val="single" w:sz="4" w:space="0" w:color="auto"/>
            </w:tcBorders>
            <w:shd w:val="clear" w:color="auto" w:fill="auto"/>
          </w:tcPr>
          <w:p w14:paraId="0751B336" w14:textId="77777777" w:rsidR="00AE67A0" w:rsidRPr="007F1E59" w:rsidRDefault="00AE67A0" w:rsidP="007E7C66">
            <w:pPr>
              <w:spacing w:before="40" w:after="40" w:line="240" w:lineRule="auto"/>
              <w:ind w:firstLine="0"/>
              <w:jc w:val="left"/>
              <w:rPr>
                <w:rFonts w:eastAsia="Calibri"/>
                <w:sz w:val="22"/>
                <w:szCs w:val="22"/>
              </w:rPr>
            </w:pPr>
            <w:r w:rsidRPr="007F1E59">
              <w:rPr>
                <w:rFonts w:eastAsia="Calibri"/>
                <w:sz w:val="22"/>
                <w:szCs w:val="22"/>
              </w:rPr>
              <w:t>Νέες κρυοσυντηρήσεις (ασθενείς)</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6454C13B" w14:textId="77777777" w:rsidR="00AE67A0" w:rsidRPr="007F1E59" w:rsidRDefault="00AE67A0" w:rsidP="00243E7C">
            <w:pPr>
              <w:spacing w:before="40" w:after="40" w:line="240" w:lineRule="auto"/>
              <w:ind w:firstLine="0"/>
              <w:jc w:val="right"/>
              <w:rPr>
                <w:rFonts w:eastAsia="Calibri"/>
                <w:sz w:val="22"/>
                <w:szCs w:val="22"/>
              </w:rPr>
            </w:pPr>
            <w:r>
              <w:rPr>
                <w:rFonts w:eastAsia="Calibri"/>
                <w:sz w:val="22"/>
                <w:szCs w:val="22"/>
              </w:rPr>
              <w:t>264</w:t>
            </w:r>
          </w:p>
        </w:tc>
      </w:tr>
      <w:tr w:rsidR="00AE67A0" w14:paraId="65BE3244" w14:textId="77777777" w:rsidTr="00AE67A0">
        <w:trPr>
          <w:trHeight w:val="208"/>
        </w:trPr>
        <w:tc>
          <w:tcPr>
            <w:tcW w:w="8046" w:type="dxa"/>
            <w:tcBorders>
              <w:top w:val="single" w:sz="4" w:space="0" w:color="auto"/>
              <w:left w:val="single" w:sz="4" w:space="0" w:color="auto"/>
              <w:bottom w:val="single" w:sz="4" w:space="0" w:color="auto"/>
              <w:right w:val="single" w:sz="4" w:space="0" w:color="auto"/>
            </w:tcBorders>
            <w:shd w:val="clear" w:color="auto" w:fill="auto"/>
          </w:tcPr>
          <w:p w14:paraId="078E2852" w14:textId="77777777" w:rsidR="00AE67A0" w:rsidRPr="007F1E59" w:rsidRDefault="00AE67A0" w:rsidP="007E7C66">
            <w:pPr>
              <w:spacing w:before="40" w:after="40" w:line="240" w:lineRule="auto"/>
              <w:ind w:firstLine="0"/>
              <w:jc w:val="left"/>
              <w:rPr>
                <w:rFonts w:eastAsia="Calibri"/>
                <w:sz w:val="22"/>
                <w:szCs w:val="22"/>
              </w:rPr>
            </w:pPr>
            <w:r w:rsidRPr="007F1E59">
              <w:rPr>
                <w:rFonts w:eastAsia="Calibri"/>
                <w:sz w:val="22"/>
                <w:szCs w:val="22"/>
              </w:rPr>
              <w:t>Κρυοσυντηρήσεις την 31</w:t>
            </w:r>
            <w:r w:rsidRPr="00AE67A0">
              <w:rPr>
                <w:rFonts w:eastAsia="Calibri"/>
                <w:sz w:val="22"/>
                <w:szCs w:val="22"/>
              </w:rPr>
              <w:t>η</w:t>
            </w:r>
            <w:r w:rsidRPr="007F1E59">
              <w:rPr>
                <w:rFonts w:eastAsia="Calibri"/>
                <w:sz w:val="22"/>
                <w:szCs w:val="22"/>
              </w:rPr>
              <w:t xml:space="preserve"> Δεκεμβρίου (ασθενείς)</w:t>
            </w:r>
          </w:p>
        </w:tc>
        <w:tc>
          <w:tcPr>
            <w:tcW w:w="1384" w:type="dxa"/>
            <w:tcBorders>
              <w:top w:val="single" w:sz="4" w:space="0" w:color="auto"/>
              <w:left w:val="single" w:sz="4" w:space="0" w:color="auto"/>
              <w:bottom w:val="single" w:sz="4" w:space="0" w:color="auto"/>
              <w:right w:val="single" w:sz="4" w:space="0" w:color="auto"/>
            </w:tcBorders>
            <w:shd w:val="clear" w:color="auto" w:fill="auto"/>
          </w:tcPr>
          <w:p w14:paraId="73AD9872" w14:textId="77777777" w:rsidR="00AE67A0" w:rsidRPr="007F1E59" w:rsidRDefault="00AE67A0" w:rsidP="00243E7C">
            <w:pPr>
              <w:spacing w:before="40" w:after="40" w:line="240" w:lineRule="auto"/>
              <w:ind w:firstLine="0"/>
              <w:jc w:val="right"/>
              <w:rPr>
                <w:rFonts w:eastAsia="Calibri"/>
                <w:sz w:val="22"/>
                <w:szCs w:val="22"/>
              </w:rPr>
            </w:pPr>
            <w:r>
              <w:rPr>
                <w:rFonts w:eastAsia="Calibri"/>
                <w:sz w:val="22"/>
                <w:szCs w:val="22"/>
              </w:rPr>
              <w:t>1850</w:t>
            </w:r>
          </w:p>
        </w:tc>
      </w:tr>
    </w:tbl>
    <w:p w14:paraId="7C0FE993" w14:textId="4F790256" w:rsidR="00243E7C" w:rsidRPr="001F346F" w:rsidRDefault="00BA0F1C" w:rsidP="0000631E">
      <w:pPr>
        <w:pStyle w:val="Heading4"/>
      </w:pPr>
      <w:bookmarkStart w:id="151" w:name="_Toc276574417"/>
      <w:r>
        <w:lastRenderedPageBreak/>
        <w:t>§2</w:t>
      </w:r>
      <w:r w:rsidR="0000631E">
        <w:t xml:space="preserve">. </w:t>
      </w:r>
      <w:r w:rsidR="00243E7C" w:rsidRPr="001F346F">
        <w:t xml:space="preserve">Συνέπειες μη συμμόρφωσης </w:t>
      </w:r>
      <w:r w:rsidR="001F346F" w:rsidRPr="001F346F">
        <w:t>με τα προβλεπόμενα χρονικά όρια κρυοσυντήρησης του γεννητικού υλικού</w:t>
      </w:r>
      <w:bookmarkEnd w:id="151"/>
    </w:p>
    <w:p w14:paraId="0980A976" w14:textId="2D9D23CB" w:rsidR="00243E7C" w:rsidRPr="004933B9" w:rsidRDefault="00243E7C" w:rsidP="00243E7C">
      <w:r>
        <w:t xml:space="preserve">Σε περίπτωση που </w:t>
      </w:r>
      <w:r w:rsidR="00810F59">
        <w:t xml:space="preserve">τα προβλεπόμενα από το νόμο χρονικά όρια για την κρυοσυντήρηση του </w:t>
      </w:r>
      <w:r w:rsidR="0065133B">
        <w:t>γεννητικού υλικού</w:t>
      </w:r>
      <w:r w:rsidR="00810F59">
        <w:t xml:space="preserve"> δεν τηρηθούν, </w:t>
      </w:r>
      <w:r>
        <w:t xml:space="preserve">οι συνέπειες που επιβάλλονται από το νομοθέτη αφορούν </w:t>
      </w:r>
      <w:r w:rsidR="002F483B">
        <w:t>στις</w:t>
      </w:r>
      <w:r w:rsidR="00810F59">
        <w:t xml:space="preserve"> </w:t>
      </w:r>
      <w:r w:rsidR="00810F59" w:rsidRPr="002F483B">
        <w:rPr>
          <w:b/>
        </w:rPr>
        <w:t>τρά</w:t>
      </w:r>
      <w:r w:rsidR="002F483B" w:rsidRPr="002F483B">
        <w:rPr>
          <w:b/>
        </w:rPr>
        <w:t>πεζες</w:t>
      </w:r>
      <w:r w:rsidR="00810F59" w:rsidRPr="002F483B">
        <w:rPr>
          <w:b/>
        </w:rPr>
        <w:t xml:space="preserve"> κρυοσυντήρησης</w:t>
      </w:r>
      <w:r>
        <w:t>,</w:t>
      </w:r>
      <w:r w:rsidR="00810F59">
        <w:t xml:space="preserve"> τα λεγόμενα </w:t>
      </w:r>
      <w:r w:rsidR="00810F59" w:rsidRPr="00867C9E">
        <w:t>Κέντρ</w:t>
      </w:r>
      <w:r w:rsidR="00810F59">
        <w:t>α</w:t>
      </w:r>
      <w:r w:rsidR="00810F59" w:rsidRPr="00867C9E">
        <w:t xml:space="preserve"> Μελέτης και Συντήρησης </w:t>
      </w:r>
      <w:r w:rsidR="0083348B">
        <w:t>Ανθρωπίνων</w:t>
      </w:r>
      <w:r w:rsidR="00810F59" w:rsidRPr="00867C9E">
        <w:t xml:space="preserve"> Ωαρίων και Σπέρματος (</w:t>
      </w:r>
      <w:r w:rsidR="00810F59" w:rsidRPr="00867C9E">
        <w:rPr>
          <w:i/>
          <w:lang w:val="fr-FR"/>
        </w:rPr>
        <w:t>Centre</w:t>
      </w:r>
      <w:r w:rsidR="00810F59">
        <w:rPr>
          <w:i/>
          <w:lang w:val="en-US"/>
        </w:rPr>
        <w:t>s</w:t>
      </w:r>
      <w:r w:rsidR="00810F59" w:rsidRPr="00867C9E">
        <w:rPr>
          <w:i/>
        </w:rPr>
        <w:t xml:space="preserve"> </w:t>
      </w:r>
      <w:r w:rsidR="00810F59" w:rsidRPr="00867C9E">
        <w:rPr>
          <w:i/>
          <w:lang w:val="fr-FR"/>
        </w:rPr>
        <w:t>d</w:t>
      </w:r>
      <w:r w:rsidR="00810F59" w:rsidRPr="00867C9E">
        <w:rPr>
          <w:i/>
        </w:rPr>
        <w:t>’</w:t>
      </w:r>
      <w:r w:rsidR="00810F59" w:rsidRPr="00867C9E">
        <w:rPr>
          <w:i/>
          <w:lang w:val="fr-FR"/>
        </w:rPr>
        <w:t>Etude</w:t>
      </w:r>
      <w:r w:rsidR="00810F59" w:rsidRPr="00867C9E">
        <w:rPr>
          <w:i/>
        </w:rPr>
        <w:t xml:space="preserve"> </w:t>
      </w:r>
      <w:r w:rsidR="00810F59" w:rsidRPr="00867C9E">
        <w:rPr>
          <w:i/>
          <w:lang w:val="fr-FR"/>
        </w:rPr>
        <w:t>et</w:t>
      </w:r>
      <w:r w:rsidR="00810F59" w:rsidRPr="00867C9E">
        <w:rPr>
          <w:i/>
        </w:rPr>
        <w:t xml:space="preserve"> </w:t>
      </w:r>
      <w:r w:rsidR="00810F59" w:rsidRPr="00867C9E">
        <w:rPr>
          <w:i/>
          <w:lang w:val="fr-FR"/>
        </w:rPr>
        <w:t>de</w:t>
      </w:r>
      <w:r w:rsidR="00810F59" w:rsidRPr="00867C9E">
        <w:rPr>
          <w:i/>
        </w:rPr>
        <w:t xml:space="preserve"> </w:t>
      </w:r>
      <w:r w:rsidR="00810F59" w:rsidRPr="00867C9E">
        <w:rPr>
          <w:i/>
          <w:lang w:val="fr-FR"/>
        </w:rPr>
        <w:t>Conservation</w:t>
      </w:r>
      <w:r w:rsidR="00810F59" w:rsidRPr="00867C9E">
        <w:rPr>
          <w:i/>
        </w:rPr>
        <w:t xml:space="preserve"> </w:t>
      </w:r>
      <w:r w:rsidR="00810F59" w:rsidRPr="00867C9E">
        <w:rPr>
          <w:i/>
          <w:lang w:val="fr-FR"/>
        </w:rPr>
        <w:t>des</w:t>
      </w:r>
      <w:r w:rsidR="00810F59" w:rsidRPr="00867C9E">
        <w:rPr>
          <w:i/>
        </w:rPr>
        <w:t xml:space="preserve"> Œ</w:t>
      </w:r>
      <w:r w:rsidR="00810F59" w:rsidRPr="00867C9E">
        <w:rPr>
          <w:i/>
          <w:lang w:val="fr-FR"/>
        </w:rPr>
        <w:t>ufs</w:t>
      </w:r>
      <w:r w:rsidR="00810F59" w:rsidRPr="00867C9E">
        <w:rPr>
          <w:i/>
        </w:rPr>
        <w:t xml:space="preserve"> </w:t>
      </w:r>
      <w:r w:rsidR="00810F59" w:rsidRPr="00867C9E">
        <w:rPr>
          <w:i/>
          <w:lang w:val="fr-FR"/>
        </w:rPr>
        <w:t>et</w:t>
      </w:r>
      <w:r w:rsidR="00810F59" w:rsidRPr="00867C9E">
        <w:rPr>
          <w:i/>
        </w:rPr>
        <w:t xml:space="preserve"> </w:t>
      </w:r>
      <w:r w:rsidR="00810F59" w:rsidRPr="00867C9E">
        <w:rPr>
          <w:i/>
          <w:lang w:val="fr-FR"/>
        </w:rPr>
        <w:t>du</w:t>
      </w:r>
      <w:r w:rsidR="00810F59" w:rsidRPr="00867C9E">
        <w:rPr>
          <w:i/>
        </w:rPr>
        <w:t xml:space="preserve"> </w:t>
      </w:r>
      <w:r w:rsidR="00810F59" w:rsidRPr="00867C9E">
        <w:rPr>
          <w:i/>
          <w:lang w:val="fr-FR"/>
        </w:rPr>
        <w:t>Sperme</w:t>
      </w:r>
      <w:r w:rsidR="00810F59" w:rsidRPr="00867C9E">
        <w:rPr>
          <w:i/>
        </w:rPr>
        <w:t xml:space="preserve"> </w:t>
      </w:r>
      <w:r w:rsidR="00810F59" w:rsidRPr="00867C9E">
        <w:rPr>
          <w:i/>
          <w:lang w:val="fr-FR"/>
        </w:rPr>
        <w:t>humains</w:t>
      </w:r>
      <w:r w:rsidR="00810F59" w:rsidRPr="00867C9E">
        <w:rPr>
          <w:i/>
        </w:rPr>
        <w:t xml:space="preserve">, </w:t>
      </w:r>
      <w:r w:rsidR="00810F59" w:rsidRPr="00867C9E">
        <w:rPr>
          <w:i/>
          <w:lang w:val="fr-FR"/>
        </w:rPr>
        <w:t>CECOS</w:t>
      </w:r>
      <w:r w:rsidR="00810F59" w:rsidRPr="00867C9E">
        <w:t>)</w:t>
      </w:r>
      <w:r>
        <w:rPr>
          <w:rFonts w:eastAsia="Calibri"/>
          <w:lang w:eastAsia="en-US"/>
        </w:rPr>
        <w:t>. Οι συνέπειες</w:t>
      </w:r>
      <w:r w:rsidR="00810F59">
        <w:rPr>
          <w:rFonts w:eastAsia="Calibri"/>
          <w:lang w:eastAsia="en-US"/>
        </w:rPr>
        <w:t>, δε, αυτές</w:t>
      </w:r>
      <w:r>
        <w:rPr>
          <w:rFonts w:eastAsia="Calibri"/>
          <w:lang w:eastAsia="en-US"/>
        </w:rPr>
        <w:t xml:space="preserve"> </w:t>
      </w:r>
      <w:r w:rsidR="00810F59">
        <w:rPr>
          <w:rFonts w:eastAsia="Calibri"/>
          <w:lang w:eastAsia="en-US"/>
        </w:rPr>
        <w:t xml:space="preserve">είναι </w:t>
      </w:r>
      <w:r w:rsidR="00810F59" w:rsidRPr="005B02F7">
        <w:rPr>
          <w:rFonts w:eastAsia="Calibri"/>
          <w:b/>
          <w:lang w:eastAsia="en-US"/>
        </w:rPr>
        <w:t xml:space="preserve">διοικητικής </w:t>
      </w:r>
      <w:r w:rsidRPr="005B02F7">
        <w:rPr>
          <w:rFonts w:eastAsia="Calibri"/>
          <w:b/>
          <w:lang w:eastAsia="en-US"/>
        </w:rPr>
        <w:t>φύσης</w:t>
      </w:r>
      <w:r>
        <w:rPr>
          <w:rFonts w:eastAsia="Calibri"/>
          <w:lang w:eastAsia="en-US"/>
        </w:rPr>
        <w:t xml:space="preserve">. </w:t>
      </w:r>
    </w:p>
    <w:p w14:paraId="2ED04E39" w14:textId="1ACD4DC5" w:rsidR="00B40EFF" w:rsidRDefault="00B40EFF" w:rsidP="00B40EFF">
      <w:r>
        <w:t>Το</w:t>
      </w:r>
      <w:r w:rsidRPr="00580B29">
        <w:t xml:space="preserve"> άρθρο </w:t>
      </w:r>
      <w:r w:rsidRPr="00580B29">
        <w:rPr>
          <w:b/>
          <w:lang w:val="en-US"/>
        </w:rPr>
        <w:t>L</w:t>
      </w:r>
      <w:r w:rsidRPr="00580B29">
        <w:rPr>
          <w:b/>
        </w:rPr>
        <w:t xml:space="preserve">. 6241-1 </w:t>
      </w:r>
      <w:r>
        <w:rPr>
          <w:b/>
        </w:rPr>
        <w:t xml:space="preserve">ΚΔΥ </w:t>
      </w:r>
      <w:r>
        <w:t>προβλέπει</w:t>
      </w:r>
      <w:r w:rsidR="00F17202">
        <w:t>, όπως έχει κατ’ επανάληψη επισημανθεί,</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w:t>
      </w:r>
    </w:p>
    <w:p w14:paraId="0855A8DE" w14:textId="2B99C016" w:rsidR="00B40EFF" w:rsidRDefault="00F17202" w:rsidP="00B40EFF">
      <w:r>
        <w:t>Για παράδειγμα,</w:t>
      </w:r>
      <w:r w:rsidR="00B40EFF">
        <w:t xml:space="preserve"> στην περίπτωση 4 του ανωτέρω άρθρου προβλέπεται «</w:t>
      </w:r>
      <w:r w:rsidR="00B40EFF" w:rsidRPr="00DE7D91">
        <w:rPr>
          <w:i/>
        </w:rPr>
        <w:t xml:space="preserve">η διενέργεια, από ένα εργαστήριο ιατρικής βιολογίας ή από έναν ιατρό-βιολόγο, εξετάσεων ιατρικής βιολογίας, βιολογικών δραστηριοτήτων σχετικών με την ιατρικά υποβοηθούμενη αναπαραγωγή και εξετάσεων ανατομίας και παθολογικής κυτταρολογίας που απαιτούν μια εξειδίκευση ή που προϋποθέτουν τη χρήση προϊόντων που παρουσιάζουν έναν ιδιαίτερο κίνδυνο κατά παράβαση του άρθρου </w:t>
      </w:r>
      <w:r w:rsidR="00B40EFF" w:rsidRPr="00DE7D91">
        <w:rPr>
          <w:i/>
          <w:lang w:val="fr-FR"/>
        </w:rPr>
        <w:t>L</w:t>
      </w:r>
      <w:r w:rsidR="00B40EFF" w:rsidRPr="00DE7D91">
        <w:rPr>
          <w:i/>
        </w:rPr>
        <w:t>. 6211-23</w:t>
      </w:r>
      <w:r w:rsidR="00B40EFF">
        <w:t>». Επίσης, στην περίπτωση 5 γίνεται λόγος για τη «</w:t>
      </w:r>
      <w:r w:rsidR="00B40EFF" w:rsidRPr="00DE7D91">
        <w:rPr>
          <w:i/>
        </w:rPr>
        <w:t xml:space="preserve">διενέργεια, από ένα εργαστήριο ιατρικής βιολογίας, δραστηριοτήτων ιατρικά υποβοηθούμενης αναπαραγωγής κατά </w:t>
      </w:r>
      <w:r w:rsidR="00B40EFF">
        <w:rPr>
          <w:i/>
        </w:rPr>
        <w:t>παράβαση των διατάξεων του δευτέ</w:t>
      </w:r>
      <w:r w:rsidR="00B40EFF" w:rsidRPr="00DE7D91">
        <w:rPr>
          <w:i/>
        </w:rPr>
        <w:t xml:space="preserve">ρου εδαφίου του άρθρου </w:t>
      </w:r>
      <w:r w:rsidR="00B40EFF" w:rsidRPr="00DE7D91">
        <w:rPr>
          <w:i/>
          <w:lang w:val="fr-FR"/>
        </w:rPr>
        <w:t>L</w:t>
      </w:r>
      <w:r w:rsidR="00B40EFF" w:rsidRPr="00DE7D91">
        <w:rPr>
          <w:i/>
        </w:rPr>
        <w:t>. 6212-2</w:t>
      </w:r>
      <w:r w:rsidR="00B40EFF">
        <w:t xml:space="preserve"> [προϋποθέσεις διενέργειας ιατρικά υποβοηθούμενης αναπαραγωγής από εργαστήρια ιατρικής βιολογίας]». </w:t>
      </w:r>
    </w:p>
    <w:p w14:paraId="593BFD0D" w14:textId="18118CBB" w:rsidR="00B40EFF" w:rsidRPr="00863CBA" w:rsidRDefault="00F17202" w:rsidP="00B40EFF">
      <w:r>
        <w:t xml:space="preserve">Μετά </w:t>
      </w:r>
      <w:r w:rsidR="00B40EFF" w:rsidRPr="008C725C">
        <w:t>το άρθρο</w:t>
      </w:r>
      <w:r w:rsidR="00B40EFF">
        <w:rPr>
          <w:b/>
          <w:lang w:val="en-US"/>
        </w:rPr>
        <w:t xml:space="preserve"> </w:t>
      </w:r>
      <w:r w:rsidR="00B40EFF" w:rsidRPr="00580B29">
        <w:rPr>
          <w:b/>
          <w:lang w:val="en-US"/>
        </w:rPr>
        <w:t>L</w:t>
      </w:r>
      <w:r w:rsidR="00B40EFF" w:rsidRPr="00580B29">
        <w:rPr>
          <w:b/>
        </w:rPr>
        <w:t xml:space="preserve">. 6241-1 </w:t>
      </w:r>
      <w:r w:rsidR="00B40EFF">
        <w:rPr>
          <w:b/>
        </w:rPr>
        <w:t>ΚΔΥ</w:t>
      </w:r>
      <w:r w:rsidRPr="00F17202">
        <w:t xml:space="preserve">, </w:t>
      </w:r>
      <w:r w:rsidR="00DD0107">
        <w:t>οι διατάξεις του οποίου ορίζουν</w:t>
      </w:r>
      <w:r w:rsidR="00B40EFF">
        <w:t xml:space="preserve"> τις «παραβατικές» σχετικά με την υποβοηθούμε</w:t>
      </w:r>
      <w:r w:rsidR="00DD0107">
        <w:t xml:space="preserve">νη αναπαραγωγή συμπεριφορές, ακολουθεί </w:t>
      </w:r>
      <w:r w:rsidR="00B40EFF">
        <w:t>το</w:t>
      </w:r>
      <w:r w:rsidR="00DD0107">
        <w:t xml:space="preserve"> άρθρο</w:t>
      </w:r>
      <w:r w:rsidR="00B40EFF">
        <w:t xml:space="preserve"> </w:t>
      </w:r>
      <w:r w:rsidR="00B40EFF" w:rsidRPr="00DD0107">
        <w:rPr>
          <w:b/>
          <w:lang w:val="en-US"/>
        </w:rPr>
        <w:t>L</w:t>
      </w:r>
      <w:r w:rsidR="00B40EFF" w:rsidRPr="00DD0107">
        <w:rPr>
          <w:b/>
        </w:rPr>
        <w:t>. 6241-2</w:t>
      </w:r>
      <w:r w:rsidR="00DD0107" w:rsidRPr="00DD0107">
        <w:rPr>
          <w:b/>
        </w:rPr>
        <w:t xml:space="preserve"> ΚΔΥ</w:t>
      </w:r>
      <w:r w:rsidR="00DD0107">
        <w:t>,</w:t>
      </w:r>
      <w:r w:rsidR="00B40EFF" w:rsidRPr="00E77E35">
        <w:t xml:space="preserve"> </w:t>
      </w:r>
      <w:r w:rsidR="00DD0107">
        <w:t xml:space="preserve">το οποίο </w:t>
      </w:r>
      <w:r w:rsidR="00B40EFF" w:rsidRPr="00E77E35">
        <w:t>έρχ</w:t>
      </w:r>
      <w:r w:rsidR="00B40EFF">
        <w:t>εται να ρυθμίσει τις κυρώσεις που επιβάλλονται στους υπεύθυνους επαγγελματίες υγείας. Έτσι</w:t>
      </w:r>
      <w:r w:rsidR="00B40EFF" w:rsidRPr="00863CBA">
        <w:t xml:space="preserve">, </w:t>
      </w:r>
      <w:r w:rsidR="00B40EFF">
        <w:t>λοιπόν</w:t>
      </w:r>
      <w:r w:rsidR="00B40EFF" w:rsidRPr="00863CBA">
        <w:t>:</w:t>
      </w:r>
      <w:r w:rsidR="00DD0107">
        <w:t xml:space="preserve"> </w:t>
      </w:r>
    </w:p>
    <w:p w14:paraId="6D67C299" w14:textId="77777777" w:rsidR="00B40EFF" w:rsidRPr="00F974F3" w:rsidRDefault="00B40EFF" w:rsidP="00B40EFF">
      <w:pPr>
        <w:ind w:firstLine="0"/>
        <w:rPr>
          <w:i/>
        </w:rPr>
      </w:pPr>
      <w:r>
        <w:t>«</w:t>
      </w:r>
      <w:r w:rsidRPr="00F974F3">
        <w:rPr>
          <w:i/>
        </w:rPr>
        <w:t>Ι. Μόλις μία από τις παραβάσεις που προβλέπονται στο προηγούμενο άρθρο τελεσθούν από το ερ</w:t>
      </w:r>
      <w:r>
        <w:rPr>
          <w:i/>
        </w:rPr>
        <w:t>γαστήριο ιατρικής βιολογίας, ο Γενικός Διευθυντής</w:t>
      </w:r>
      <w:r w:rsidRPr="00F974F3">
        <w:rPr>
          <w:i/>
        </w:rPr>
        <w:t xml:space="preserve"> του Περιφερειακού Οργανισμού Υγείας (</w:t>
      </w:r>
      <w:r w:rsidRPr="00F974F3">
        <w:rPr>
          <w:i/>
          <w:lang w:val="en-US"/>
        </w:rPr>
        <w:t>ARS</w:t>
      </w:r>
      <w:r w:rsidRPr="00F974F3">
        <w:rPr>
          <w:i/>
        </w:rPr>
        <w:t xml:space="preserve">) μπορεί να επιβάλει μια διοικητική ποινή στον υπεύθυνο για την ανωτέρω παράβαση. </w:t>
      </w:r>
    </w:p>
    <w:p w14:paraId="40A1507B" w14:textId="77777777" w:rsidR="00B40EFF" w:rsidRPr="00F974F3" w:rsidRDefault="00B40EFF" w:rsidP="00B40EFF">
      <w:pPr>
        <w:ind w:firstLine="0"/>
        <w:rPr>
          <w:i/>
        </w:rPr>
      </w:pPr>
      <w:r w:rsidRPr="00F974F3">
        <w:rPr>
          <w:i/>
        </w:rPr>
        <w:t xml:space="preserve">Μπορεί επίσης να συνοδεύσει την ποινή αυτή με μια συμπληρωματική ποινή, σε περίπτωση που ο παραβάτης δε συμμορφωθεί με τις οδηγίες μετά το πέρας της ταχθείσας προθεσμίας. </w:t>
      </w:r>
    </w:p>
    <w:p w14:paraId="079963EA" w14:textId="77777777" w:rsidR="00B40EFF" w:rsidRPr="00F974F3" w:rsidRDefault="00B40EFF" w:rsidP="00B40EFF">
      <w:pPr>
        <w:ind w:firstLine="0"/>
        <w:rPr>
          <w:i/>
        </w:rPr>
      </w:pPr>
      <w:r w:rsidRPr="00F974F3">
        <w:rPr>
          <w:i/>
        </w:rPr>
        <w:t>Το ποσό του διοικητικού προστίμου δε μπορεί να είναι ανώτερο των:</w:t>
      </w:r>
    </w:p>
    <w:p w14:paraId="229ACAB2" w14:textId="77777777" w:rsidR="00B40EFF" w:rsidRPr="00F974F3" w:rsidRDefault="00B40EFF" w:rsidP="00B40EFF">
      <w:pPr>
        <w:ind w:firstLine="0"/>
        <w:rPr>
          <w:i/>
        </w:rPr>
      </w:pPr>
      <w:r w:rsidRPr="00F974F3">
        <w:rPr>
          <w:i/>
        </w:rPr>
        <w:lastRenderedPageBreak/>
        <w:t xml:space="preserve">1°. 500.000 ευρώ για τις παραβάσεις που προβλέπονται στις περιπτώσεις 1 </w:t>
      </w:r>
      <w:r w:rsidRPr="00F974F3">
        <w:rPr>
          <w:i/>
          <w:lang w:val="fr-FR"/>
        </w:rPr>
        <w:t>bis</w:t>
      </w:r>
      <w:r w:rsidRPr="00F974F3">
        <w:rPr>
          <w:i/>
        </w:rPr>
        <w:t>, 3, 7, 8, 15, 16, 18, 19, 20 και 23 του άρθρου</w:t>
      </w:r>
      <w:r w:rsidRPr="00F974F3">
        <w:rPr>
          <w:b/>
          <w:i/>
        </w:rPr>
        <w:t xml:space="preserve"> </w:t>
      </w:r>
      <w:r w:rsidRPr="00F974F3">
        <w:rPr>
          <w:i/>
          <w:lang w:val="en-US"/>
        </w:rPr>
        <w:t>L</w:t>
      </w:r>
      <w:r w:rsidRPr="00F974F3">
        <w:rPr>
          <w:i/>
        </w:rPr>
        <w:t xml:space="preserve">. 6241-1, </w:t>
      </w:r>
    </w:p>
    <w:p w14:paraId="275EDB78" w14:textId="77777777" w:rsidR="00B40EFF" w:rsidRPr="00F974F3" w:rsidRDefault="00B40EFF" w:rsidP="00B40EFF">
      <w:pPr>
        <w:ind w:firstLine="0"/>
        <w:rPr>
          <w:i/>
        </w:rPr>
      </w:pPr>
      <w:r w:rsidRPr="00F974F3">
        <w:rPr>
          <w:i/>
        </w:rPr>
        <w:t xml:space="preserve">2°. </w:t>
      </w:r>
      <w:r>
        <w:rPr>
          <w:i/>
        </w:rPr>
        <w:t>2</w:t>
      </w:r>
      <w:r w:rsidRPr="00F974F3">
        <w:rPr>
          <w:i/>
        </w:rPr>
        <w:t xml:space="preserve"> εκατ</w:t>
      </w:r>
      <w:r>
        <w:rPr>
          <w:i/>
        </w:rPr>
        <w:t>.</w:t>
      </w:r>
      <w:r w:rsidRPr="00F974F3">
        <w:rPr>
          <w:i/>
        </w:rPr>
        <w:t xml:space="preserve"> ευρώ για τις παραβάσεις που προβλέπονται στις περιπτώσεις 1, 2, 4 </w:t>
      </w:r>
      <w:r>
        <w:rPr>
          <w:i/>
        </w:rPr>
        <w:t>εάν ο</w:t>
      </w:r>
      <w:r w:rsidRPr="00F974F3">
        <w:rPr>
          <w:i/>
        </w:rPr>
        <w:t xml:space="preserve"> παραβάτης είναι εργαστήριο, 5, 6, 10, 12, 13, 14 και 17 του ίδιου άρθρου. </w:t>
      </w:r>
    </w:p>
    <w:p w14:paraId="7D164509" w14:textId="77777777" w:rsidR="00B40EFF" w:rsidRPr="00F974F3" w:rsidRDefault="00B40EFF" w:rsidP="00B40EFF">
      <w:pPr>
        <w:ind w:firstLine="0"/>
        <w:rPr>
          <w:i/>
        </w:rPr>
      </w:pPr>
      <w:r w:rsidRPr="00F974F3">
        <w:rPr>
          <w:i/>
        </w:rPr>
        <w:t xml:space="preserve">ΙΙ. Εάν οι παραβάσεις που προβλέπονται στην περίπτωση 2 της παραγράφου </w:t>
      </w:r>
      <w:r w:rsidRPr="00F974F3">
        <w:rPr>
          <w:i/>
          <w:lang w:val="fr-FR"/>
        </w:rPr>
        <w:t>I</w:t>
      </w:r>
      <w:r w:rsidRPr="00F974F3">
        <w:rPr>
          <w:i/>
        </w:rPr>
        <w:t xml:space="preserve"> θεωρούνται σοβαρές ή διαπράττονται κατ’ επανάληψη, ο </w:t>
      </w:r>
      <w:r>
        <w:rPr>
          <w:i/>
        </w:rPr>
        <w:t>Γενικός Διευθυντής</w:t>
      </w:r>
      <w:r w:rsidRPr="00F974F3">
        <w:rPr>
          <w:i/>
        </w:rPr>
        <w:t xml:space="preserve"> του Περιφερειακού Οργανισμού Υγείας (</w:t>
      </w:r>
      <w:r w:rsidRPr="00F974F3">
        <w:rPr>
          <w:i/>
          <w:lang w:val="en-US"/>
        </w:rPr>
        <w:t>ARS</w:t>
      </w:r>
      <w:r w:rsidRPr="00F974F3">
        <w:rPr>
          <w:i/>
        </w:rPr>
        <w:t xml:space="preserve">) μπορεί επίσης να αποφασίσει  το προσωρινό ή οριστικό σφράγισμα μέρους ή ολόκληρου του εργαστηρίου ιατρικής βιολογίας, σε περίπτωση που το εργαστήριο έχει διαπράξει την παράβαση. </w:t>
      </w:r>
    </w:p>
    <w:p w14:paraId="5A635E2F" w14:textId="77777777" w:rsidR="00B40EFF" w:rsidRPr="00F974F3" w:rsidRDefault="00B40EFF" w:rsidP="00B40EFF">
      <w:pPr>
        <w:ind w:firstLine="0"/>
        <w:rPr>
          <w:i/>
        </w:rPr>
      </w:pPr>
      <w:r w:rsidRPr="00F974F3">
        <w:rPr>
          <w:i/>
        </w:rPr>
        <w:t xml:space="preserve">Το ποσό της συμπληρωματικής ποινής που προβλέπεται στο δεύτερο εδάφιο δε μπορεί να υπερβαίνει τα 5.000 ευρώ ημερησίως. </w:t>
      </w:r>
    </w:p>
    <w:p w14:paraId="31210AEA" w14:textId="77777777" w:rsidR="00B40EFF" w:rsidRPr="00F974F3" w:rsidRDefault="00B40EFF" w:rsidP="00B40EFF">
      <w:pPr>
        <w:ind w:firstLine="0"/>
        <w:rPr>
          <w:i/>
        </w:rPr>
      </w:pPr>
      <w:r w:rsidRPr="00F974F3">
        <w:rPr>
          <w:i/>
        </w:rPr>
        <w:t xml:space="preserve">ΙΙΙ. Για τις παραβάσεις των περιπτώσεων 4, 9 και 11 του άρθρου </w:t>
      </w:r>
      <w:r w:rsidRPr="00F974F3">
        <w:rPr>
          <w:i/>
          <w:lang w:val="fr-FR"/>
        </w:rPr>
        <w:t>L</w:t>
      </w:r>
      <w:r w:rsidRPr="00F974F3">
        <w:rPr>
          <w:i/>
        </w:rPr>
        <w:t xml:space="preserve">. 6241-1, ο </w:t>
      </w:r>
      <w:r>
        <w:rPr>
          <w:i/>
        </w:rPr>
        <w:t>Γενικός Διευθυντής</w:t>
      </w:r>
      <w:r w:rsidRPr="00F974F3">
        <w:rPr>
          <w:i/>
        </w:rPr>
        <w:t xml:space="preserve"> του Περιφερειακού Οργανισμού Υγείας (</w:t>
      </w:r>
      <w:r w:rsidRPr="00F974F3">
        <w:rPr>
          <w:i/>
          <w:lang w:val="en-US"/>
        </w:rPr>
        <w:t>ARS</w:t>
      </w:r>
      <w:r w:rsidRPr="00F974F3">
        <w:rPr>
          <w:i/>
        </w:rPr>
        <w:t>) δύναται να επιβάλει την αναστολή άσκησης επαγγέλματος του ιατρού-βιολόγου, του βιολόγου υπευθύνου, του βιολόγου συνυπεύθυνου ή του εξειδικευμένου ιατρού στην ανατομία ή την παθολογική κυτταρολογία συνυπεύθυνου του</w:t>
      </w:r>
      <w:r>
        <w:rPr>
          <w:i/>
        </w:rPr>
        <w:t xml:space="preserve"> εργαστηρίου ιατρικής βιολογίας, </w:t>
      </w:r>
      <w:r w:rsidRPr="00F974F3">
        <w:rPr>
          <w:i/>
        </w:rPr>
        <w:t xml:space="preserve">εφόσον είναι ο παραβάτης. </w:t>
      </w:r>
    </w:p>
    <w:p w14:paraId="1DE31DFC" w14:textId="130FB3EA" w:rsidR="00BE1A9A" w:rsidRPr="00F17202" w:rsidRDefault="00B40EFF" w:rsidP="00DD0107">
      <w:pPr>
        <w:ind w:firstLine="0"/>
      </w:pPr>
      <w:r w:rsidRPr="00F974F3">
        <w:rPr>
          <w:i/>
          <w:lang w:val="fr-FR"/>
        </w:rPr>
        <w:t>IV</w:t>
      </w:r>
      <w:r w:rsidRPr="00F974F3">
        <w:rPr>
          <w:i/>
        </w:rPr>
        <w:t xml:space="preserve">. Για τις παραβάσεις που προβλέπονται στις περιπτώσεις 19 εφόσον ο παραβάτης δεν είναι εργαστήριο, 21 και 22, ο </w:t>
      </w:r>
      <w:r>
        <w:rPr>
          <w:i/>
        </w:rPr>
        <w:t>Γενικός Διευθυντής</w:t>
      </w:r>
      <w:r w:rsidRPr="00F974F3">
        <w:rPr>
          <w:i/>
        </w:rPr>
        <w:t xml:space="preserve"> του Περιφερειακού Οργανισμού Υγείας (</w:t>
      </w:r>
      <w:r w:rsidRPr="00F974F3">
        <w:rPr>
          <w:i/>
          <w:lang w:val="en-US"/>
        </w:rPr>
        <w:t>ARS</w:t>
      </w:r>
      <w:r w:rsidRPr="00F974F3">
        <w:rPr>
          <w:i/>
        </w:rPr>
        <w:t xml:space="preserve">) δύναται να επιβάλει διοικητικό πρόστιμο, του οποίου το ύψος δε μπορεί να υπερβαίνει τα </w:t>
      </w:r>
      <w:r>
        <w:rPr>
          <w:i/>
        </w:rPr>
        <w:t>2 εκατ. ευρώ</w:t>
      </w:r>
      <w:r w:rsidRPr="00F974F3">
        <w:rPr>
          <w:i/>
        </w:rPr>
        <w:t xml:space="preserve"> όταν επιβάλλεται σε νομικό πρόσωπο και τις 500.000 ευρώ </w:t>
      </w:r>
      <w:r>
        <w:rPr>
          <w:i/>
        </w:rPr>
        <w:t>όταν</w:t>
      </w:r>
      <w:r w:rsidRPr="00F974F3">
        <w:rPr>
          <w:i/>
        </w:rPr>
        <w:t xml:space="preserve"> ο παραβάτης είναι φυσικό πρόσωπο</w:t>
      </w:r>
      <w:r w:rsidRPr="00F77D85">
        <w:t>».</w:t>
      </w:r>
      <w:r w:rsidR="00243E7C" w:rsidRPr="00642B1A">
        <w:rPr>
          <w:highlight w:val="lightGray"/>
        </w:rPr>
        <w:t xml:space="preserve"> </w:t>
      </w:r>
    </w:p>
    <w:p w14:paraId="2D02056B" w14:textId="77777777" w:rsidR="002B0FA3" w:rsidRPr="00EB32B1" w:rsidRDefault="00C4415A" w:rsidP="002B0FA3">
      <w:pPr>
        <w:pStyle w:val="Heading3"/>
      </w:pPr>
      <w:bookmarkStart w:id="152" w:name="_Toc394082560"/>
      <w:bookmarkStart w:id="153" w:name="_Toc275535606"/>
      <w:bookmarkStart w:id="154" w:name="_Toc276574418"/>
      <w:r>
        <w:t>γ</w:t>
      </w:r>
      <w:r w:rsidR="002B0FA3" w:rsidRPr="00EB32B1">
        <w:t xml:space="preserve">. </w:t>
      </w:r>
      <w:r w:rsidR="001140DF">
        <w:t>Χρόνος διατήρησης μη-κρυοσυντηρημένου γεννητικού υλικού</w:t>
      </w:r>
      <w:bookmarkEnd w:id="152"/>
      <w:bookmarkEnd w:id="153"/>
      <w:bookmarkEnd w:id="154"/>
    </w:p>
    <w:p w14:paraId="4196AE8A" w14:textId="30F56CEF" w:rsidR="00254CCE" w:rsidRDefault="00254CCE" w:rsidP="00EE221E">
      <w:r>
        <w:t>Στο γαλλικό νομοθετικό πλαίσιο, δεν υπάρχει καμία διάταξη που να προσδιορίζει το χρόνο διατήρησης μη κρυοσυντηρημένου γενν</w:t>
      </w:r>
      <w:r w:rsidR="00752CE8">
        <w:t xml:space="preserve">ητικού υλικού. Είναι ενδεικτικό, δε, </w:t>
      </w:r>
      <w:r>
        <w:t>ότι ουδεμία αναφορά</w:t>
      </w:r>
      <w:r w:rsidR="00752CE8">
        <w:t xml:space="preserve"> </w:t>
      </w:r>
      <w:r w:rsidR="00F70BFE">
        <w:t xml:space="preserve">γίνεται </w:t>
      </w:r>
      <w:r w:rsidR="00752CE8">
        <w:t xml:space="preserve">στη διατήρηση του νωπού σπέρματος ή ωαρίων </w:t>
      </w:r>
      <w:r w:rsidR="00F70BFE">
        <w:t>τόσο</w:t>
      </w:r>
      <w:r w:rsidR="00752CE8">
        <w:t xml:space="preserve"> στον Κώδικα Δημόσιας Υγείας, </w:t>
      </w:r>
      <w:r w:rsidR="00F70BFE">
        <w:t>όσο και</w:t>
      </w:r>
      <w:r w:rsidR="00752CE8">
        <w:t xml:space="preserve"> στον Οδηγό καλών κλινικών και βιολογικών πρακτικών στην ιατρικά υποβοηθούμενη αναπαραγωγή. Γεγονός που σημαίνει ότι </w:t>
      </w:r>
      <w:r>
        <w:t>αν</w:t>
      </w:r>
      <w:r w:rsidR="00752CE8">
        <w:t xml:space="preserve"> το γεννητικό υλικό</w:t>
      </w:r>
      <w:r>
        <w:t xml:space="preserve"> δε χρησιμοποιηθεί αμέσως κρυοσυντηρείται. </w:t>
      </w:r>
    </w:p>
    <w:p w14:paraId="4CB2C7B6" w14:textId="6DDD3FF6" w:rsidR="00EE221E" w:rsidRPr="00F90564" w:rsidRDefault="00254CCE" w:rsidP="00752CE8">
      <w:r>
        <w:t>Κι αυτό το σενάριο, βέβαια, είναι έγκυρο μόνο σε περίπτωση «ενδο</w:t>
      </w:r>
      <w:r w:rsidR="00AB4962">
        <w:t>-συζυγι</w:t>
      </w:r>
      <w:r>
        <w:t xml:space="preserve">κής» </w:t>
      </w:r>
      <w:r w:rsidR="00F70BFE">
        <w:t xml:space="preserve">(ομόλογης) </w:t>
      </w:r>
      <w:r>
        <w:t xml:space="preserve">αναπαραγωγής, καθότι σε περίπτωση αναπαραγωγής με δωρεά τρίτου δότη ο νομοθέτης είναι σαφής: </w:t>
      </w:r>
      <w:r w:rsidRPr="00254CCE">
        <w:t>η</w:t>
      </w:r>
      <w:r w:rsidR="003B695A" w:rsidRPr="00254CCE">
        <w:t xml:space="preserve"> τεχνητή γονιμοποίηση με νωπό σπέρμα </w:t>
      </w:r>
      <w:r w:rsidRPr="00254CCE">
        <w:t>απαγορεύεται</w:t>
      </w:r>
      <w:r w:rsidR="003B695A">
        <w:t xml:space="preserve"> (</w:t>
      </w:r>
      <w:r w:rsidR="003B695A">
        <w:rPr>
          <w:lang w:val="en-US"/>
        </w:rPr>
        <w:t xml:space="preserve">L. </w:t>
      </w:r>
      <w:r w:rsidR="003B695A">
        <w:t>1244-3 ΚΔΥ)</w:t>
      </w:r>
      <w:r>
        <w:t xml:space="preserve">. </w:t>
      </w:r>
    </w:p>
    <w:p w14:paraId="01A47A52" w14:textId="77777777" w:rsidR="002B0FA3" w:rsidRPr="004933B9" w:rsidRDefault="00C4415A" w:rsidP="002B0FA3">
      <w:pPr>
        <w:pStyle w:val="Heading3"/>
      </w:pPr>
      <w:bookmarkStart w:id="155" w:name="_Toc394082561"/>
      <w:bookmarkStart w:id="156" w:name="_Toc275535607"/>
      <w:bookmarkStart w:id="157" w:name="_Toc276574419"/>
      <w:r>
        <w:t>δ</w:t>
      </w:r>
      <w:r w:rsidR="002B0FA3" w:rsidRPr="004933B9">
        <w:t xml:space="preserve">. </w:t>
      </w:r>
      <w:r w:rsidR="00527BFB">
        <w:t>Πλεονάζον γεννητικό υλικ</w:t>
      </w:r>
      <w:bookmarkEnd w:id="155"/>
      <w:r w:rsidR="00527BFB">
        <w:t>ό</w:t>
      </w:r>
      <w:bookmarkEnd w:id="156"/>
      <w:bookmarkEnd w:id="157"/>
      <w:r w:rsidR="00527BFB">
        <w:t xml:space="preserve"> </w:t>
      </w:r>
    </w:p>
    <w:p w14:paraId="6CC5C77E" w14:textId="77777777" w:rsidR="0085698E" w:rsidRDefault="00B622E5" w:rsidP="00A363A9">
      <w:r>
        <w:rPr>
          <w:lang w:eastAsia="en-US"/>
        </w:rPr>
        <w:t xml:space="preserve">Παρότι, όπως </w:t>
      </w:r>
      <w:r w:rsidR="0085698E">
        <w:rPr>
          <w:lang w:eastAsia="en-US"/>
        </w:rPr>
        <w:t>προ</w:t>
      </w:r>
      <w:r>
        <w:rPr>
          <w:lang w:eastAsia="en-US"/>
        </w:rPr>
        <w:t xml:space="preserve">αναφέρθηκε, ο νομοθέτης αποφάσισε το 2011 να επιτρέψει την εφαρμογή της </w:t>
      </w:r>
      <w:r w:rsidRPr="00803E94">
        <w:t>τεχνική</w:t>
      </w:r>
      <w:r>
        <w:t xml:space="preserve">ς της ταχείας κρυοσυντήρησης (υαλοποίησης) </w:t>
      </w:r>
      <w:r w:rsidRPr="00803E94">
        <w:t>των ωαρίων</w:t>
      </w:r>
      <w:r w:rsidR="00E30C3B">
        <w:t xml:space="preserve"> </w:t>
      </w:r>
      <w:r>
        <w:t>(ά</w:t>
      </w:r>
      <w:r w:rsidRPr="004720ED">
        <w:t xml:space="preserve">ρθρο L. </w:t>
      </w:r>
      <w:r w:rsidRPr="004720ED">
        <w:lastRenderedPageBreak/>
        <w:t>2141-1</w:t>
      </w:r>
      <w:r>
        <w:t>, παρ. 4,</w:t>
      </w:r>
      <w:r w:rsidRPr="004720ED">
        <w:t xml:space="preserve"> ΚΔΥ</w:t>
      </w:r>
      <w:r w:rsidR="00E30C3B">
        <w:t>), ουδεμία αναφορά γίνεται στην τύχη των πλεοναζόντων ωαρίων. Δεν είναι λίγοι, βέβαια, αυτοί που θεωρούν ότι σκόπιμο θα ήταν να είχε συμπληρωθεί το ρυθμιστικό πλαίσιο με ένα σύστημα παρόμοιο με αυτό που προβλέπεται για τα πλεονάζοντα έμβρυα</w:t>
      </w:r>
      <w:r w:rsidR="00B4153E">
        <w:rPr>
          <w:rStyle w:val="FootnoteReference"/>
        </w:rPr>
        <w:footnoteReference w:id="274"/>
      </w:r>
      <w:r w:rsidR="00E30C3B">
        <w:t xml:space="preserve">. </w:t>
      </w:r>
    </w:p>
    <w:p w14:paraId="1DF5502B" w14:textId="7A8327CD" w:rsidR="00B622E5" w:rsidRDefault="00781E3D" w:rsidP="00A363A9">
      <w:r>
        <w:t>Το «κενό νόμου»</w:t>
      </w:r>
      <w:r w:rsidR="005D3D93">
        <w:t xml:space="preserve"> θυμίζει λίγο, όπως επεσήμανε στη συνέντευξή του και ο γιατρός </w:t>
      </w:r>
      <w:r w:rsidR="005D3D93">
        <w:rPr>
          <w:lang w:val="en-US"/>
        </w:rPr>
        <w:t xml:space="preserve">Guerin, </w:t>
      </w:r>
      <w:r>
        <w:rPr>
          <w:lang w:val="en-US"/>
        </w:rPr>
        <w:t>το αντίστοιχο κενό που υπήρχε όταν πρωτοεπιτράπηκε η εφαρμογή της μεθόδου της κρυοσυντήρησης εμβρύων, καθότι και τότε</w:t>
      </w:r>
      <w:r w:rsidRPr="00781E3D">
        <w:t xml:space="preserve"> </w:t>
      </w:r>
      <w:r>
        <w:t>δεν υπήρχε καμία πρόβλεψη για την τύχη των πλεοναζόντων εμβρύων. Ο γιατρός, μάλιστα, παραδέχεται ότι υπήρχαν συνάδελφοί του που, μπροστά στην αδιέξοδη αυτή κατάσταση, προέβαιναν κατά παράβαση της νομοθεσίας σε καταστροφή των πλεοναζόντων εμβρύων</w:t>
      </w:r>
      <w:r>
        <w:rPr>
          <w:rStyle w:val="FootnoteReference"/>
        </w:rPr>
        <w:footnoteReference w:id="275"/>
      </w:r>
      <w:r>
        <w:t xml:space="preserve">. Ο Οργανισμός Βιοϊατρικής και οι αρμόδιοι για τους ελέγχους </w:t>
      </w:r>
      <w:r w:rsidR="00A363A9">
        <w:t>Περιφερειακοί Οργανισμοί Υγείας συχνά λάμβαναν γνώση και δ</w:t>
      </w:r>
      <w:r>
        <w:t xml:space="preserve">εν αντιδρούσαν. </w:t>
      </w:r>
    </w:p>
    <w:p w14:paraId="671133D2" w14:textId="045138E4" w:rsidR="00DA6748" w:rsidRDefault="00A56A99" w:rsidP="00E30C3B">
      <w:pPr>
        <w:rPr>
          <w:rFonts w:ascii="Arial" w:hAnsi="Arial" w:cs="Arial"/>
          <w:sz w:val="26"/>
          <w:szCs w:val="26"/>
          <w:lang w:val="en-US" w:eastAsia="en-US"/>
        </w:rPr>
      </w:pPr>
      <w:r>
        <w:t>Σε αντίθεση, λοιπόν, με τα πλεονάζοντα ωάρια για τα οποία δεν υπάρχει καμία πρ</w:t>
      </w:r>
      <w:r w:rsidR="00F62ACF">
        <w:t xml:space="preserve">όβλεψη, ο γάλλος νομοθέτης </w:t>
      </w:r>
      <w:r w:rsidR="0062199E">
        <w:t>παρ</w:t>
      </w:r>
      <w:r w:rsidR="00F62ACF">
        <w:t>έχει σήμερα</w:t>
      </w:r>
      <w:r>
        <w:t xml:space="preserve"> πλήρη νομοθετική ρύθμιση για την τύχη τ</w:t>
      </w:r>
      <w:r w:rsidR="00F62ACF">
        <w:t>ων εμβρύων που δεν αποτελούν πλέον</w:t>
      </w:r>
      <w:r>
        <w:t xml:space="preserve"> μέρος του οικογενειακού προγραμματισμού του υποβοηθούμενου ζευγαριού.</w:t>
      </w:r>
      <w:r w:rsidR="0062199E">
        <w:t xml:space="preserve"> Αυτό, βέβαια, </w:t>
      </w:r>
      <w:r w:rsidR="0085698E">
        <w:t xml:space="preserve">συνέβη σταδιακά. Ήδη, </w:t>
      </w:r>
      <w:r w:rsidR="0062199E">
        <w:t xml:space="preserve">πριν το 1994, η ανάγκη μείωσης του κόστους των γονιμοποιήσεων </w:t>
      </w:r>
      <w:r w:rsidR="0062199E" w:rsidRPr="0062199E">
        <w:rPr>
          <w:i/>
          <w:lang w:val="en-US"/>
        </w:rPr>
        <w:t>in vitro</w:t>
      </w:r>
      <w:r w:rsidR="0062199E">
        <w:t xml:space="preserve"> και της ιατρικά υποβοηθούμενης αναπαραγωγής είχε ως αποτέλεσμα </w:t>
      </w:r>
      <w:r w:rsidR="00BD37E7">
        <w:t xml:space="preserve">ορισμένες </w:t>
      </w:r>
      <w:r w:rsidR="0062199E">
        <w:t xml:space="preserve">ιατρικές ομάδες να προβαίνουν σε γονιμοποίηση πολλών ωαρίων και μετά να τα καταψύχουν, ώστε να μπορούν να τα </w:t>
      </w:r>
      <w:r w:rsidR="00DA6748">
        <w:t>χρησιμοποιήσουν</w:t>
      </w:r>
      <w:r w:rsidR="00DC5132">
        <w:t xml:space="preserve"> αργότερα εάν ανέκυπτε ανάγκη</w:t>
      </w:r>
      <w:r w:rsidR="00BD37E7">
        <w:t>.</w:t>
      </w:r>
      <w:r w:rsidR="0062199E">
        <w:t xml:space="preserve"> Ο νομοθέτης του 1994, έχοντας επίγνωση </w:t>
      </w:r>
      <w:r w:rsidR="00DC5132">
        <w:t>της περιορισμένης διαθεσιμότητας</w:t>
      </w:r>
      <w:r w:rsidR="0062199E">
        <w:t xml:space="preserve"> δημόσιων πόρων και αρνούμενος να απαγορεύσει κατηγορηματικά την έρευνα στο έμβρυο, επικύρωσε την υφιστάμενη πρακτική: «</w:t>
      </w:r>
      <w:r w:rsidR="0062199E" w:rsidRPr="009B017E">
        <w:rPr>
          <w:i/>
          <w:lang w:val="en-US" w:eastAsia="en-US"/>
        </w:rPr>
        <w:t>λαμβάνοντας υπόψη την εξέλιξη των ιατρικών τεχνικών, το υποβοηθούμενο ζευγάρι μπορεί να συναινέσει εγγράφως στη γονιμοποίηση αριθμού ωαρίων, ο οποίος να καθιστά αναγκαία τη συντήρηση των εμβρύων με σκοπό τη μεταγενέστερη υλοποίηση του οικογενειακού</w:t>
      </w:r>
      <w:r w:rsidR="005C4EA5">
        <w:rPr>
          <w:i/>
          <w:lang w:val="en-US" w:eastAsia="en-US"/>
        </w:rPr>
        <w:t xml:space="preserve"> του</w:t>
      </w:r>
      <w:r w:rsidR="0062199E" w:rsidRPr="009B017E">
        <w:rPr>
          <w:i/>
          <w:lang w:val="en-US" w:eastAsia="en-US"/>
        </w:rPr>
        <w:t xml:space="preserve"> προγραμματισμού</w:t>
      </w:r>
      <w:r w:rsidR="0062199E" w:rsidRPr="00364E4F">
        <w:t>»</w:t>
      </w:r>
      <w:r w:rsidR="0062199E">
        <w:t xml:space="preserve"> (L. 2141-3, παρ. 2</w:t>
      </w:r>
      <w:r w:rsidR="00D21D87">
        <w:t xml:space="preserve"> εδ. α</w:t>
      </w:r>
      <w:r w:rsidR="00534C92">
        <w:t>΄</w:t>
      </w:r>
      <w:r w:rsidR="0062199E">
        <w:t>, ΚΔΥ). Στη συνέχεια, οι αναθεωρήσεις που ακολούθησαν στόχο τους είχαν να αποφύγουν τη γενίκευση της διαδικασίας. Ο Νόμος της 6</w:t>
      </w:r>
      <w:r w:rsidR="0062199E" w:rsidRPr="0062199E">
        <w:rPr>
          <w:vertAlign w:val="superscript"/>
        </w:rPr>
        <w:t>ης</w:t>
      </w:r>
      <w:r w:rsidR="0062199E">
        <w:t xml:space="preserve"> Αυγούστου 2004 επέβαλε </w:t>
      </w:r>
      <w:r w:rsidR="00D21D87">
        <w:t>την παροχή «</w:t>
      </w:r>
      <w:r w:rsidR="00D21D87" w:rsidRPr="00DC5132">
        <w:rPr>
          <w:i/>
        </w:rPr>
        <w:t xml:space="preserve">λεπτομερούς πληροφόρησης </w:t>
      </w:r>
      <w:r w:rsidR="00DA6748" w:rsidRPr="00DC5132">
        <w:rPr>
          <w:i/>
        </w:rPr>
        <w:t>στο υποβοη</w:t>
      </w:r>
      <w:r w:rsidR="00D21D87" w:rsidRPr="00DC5132">
        <w:rPr>
          <w:i/>
        </w:rPr>
        <w:t>θούμενο ζευγάρι σχετικά με τις δυνατότητες διάθεσης των κρυοσυντηρημένων εμβρύων του που δε θα αποτελούσαν πλ</w:t>
      </w:r>
      <w:r w:rsidR="00DC5132">
        <w:rPr>
          <w:i/>
        </w:rPr>
        <w:t>έον μέρος του οικογενειακού του</w:t>
      </w:r>
      <w:r w:rsidR="00D21D87" w:rsidRPr="00DC5132">
        <w:rPr>
          <w:i/>
        </w:rPr>
        <w:t xml:space="preserve"> προγραμματισμού</w:t>
      </w:r>
      <w:r w:rsidR="00D21D87">
        <w:t xml:space="preserve">» (L. 2141-3, παρ. 2 εδ. </w:t>
      </w:r>
      <w:r w:rsidR="00534C92">
        <w:t>γ΄</w:t>
      </w:r>
      <w:r w:rsidR="00D21D87">
        <w:t>, ΚΔΥ</w:t>
      </w:r>
      <w:r w:rsidR="00534C92">
        <w:t>)</w:t>
      </w:r>
      <w:r w:rsidR="00D21D87">
        <w:t xml:space="preserve">. </w:t>
      </w:r>
      <w:r w:rsidR="00534C92">
        <w:t>Ο Νόμος της 7</w:t>
      </w:r>
      <w:r w:rsidR="00534C92" w:rsidRPr="00534C92">
        <w:rPr>
          <w:vertAlign w:val="superscript"/>
        </w:rPr>
        <w:t>ης</w:t>
      </w:r>
      <w:r w:rsidR="00534C92">
        <w:t xml:space="preserve"> Ιουλίου 2011 επιχείρησε να περιορίσει την προσφυγή στην τεχνική αυτή: το άρθρο L. 2141-3, παρ. 2 εδ. β΄, ΚΔΥ προβλέπει εφεξής ότι ο αριθμός των εμβρύων που συλλαμβάνονται προκειμένου να κρυοσυντηρηθούν «</w:t>
      </w:r>
      <w:r w:rsidR="00534C92">
        <w:rPr>
          <w:i/>
          <w:lang w:val="en-US" w:eastAsia="en-US"/>
        </w:rPr>
        <w:t>περιορίζεται στον απολύτως αναγκαίο για την επιτυχία της ιατρικής υποβοήθησης στην αναπαραγωγή, ανάλογα με την τεχνική που τίθεται σε εφαρμογή</w:t>
      </w:r>
      <w:r w:rsidR="00534C92" w:rsidRPr="00364E4F">
        <w:t>»</w:t>
      </w:r>
      <w:r w:rsidR="00534C92">
        <w:t>.</w:t>
      </w:r>
      <w:r w:rsidR="00176339">
        <w:t xml:space="preserve"> </w:t>
      </w:r>
      <w:r w:rsidR="00DC5132">
        <w:t xml:space="preserve">Αναφορικά, δε, με </w:t>
      </w:r>
      <w:r w:rsidR="00176339">
        <w:t xml:space="preserve">το άρθρο </w:t>
      </w:r>
      <w:r w:rsidR="00176339">
        <w:rPr>
          <w:lang w:val="en-US"/>
        </w:rPr>
        <w:t xml:space="preserve">L. 2141-1, παρ. 5, </w:t>
      </w:r>
      <w:r w:rsidR="00176339">
        <w:t xml:space="preserve">ΚΔΥ, το οποίο </w:t>
      </w:r>
      <w:r w:rsidR="00DC5132">
        <w:t>δίνει τον ορισμό της</w:t>
      </w:r>
      <w:r w:rsidR="00176339">
        <w:t xml:space="preserve"> «ιατρικά υποβοηθούμενη</w:t>
      </w:r>
      <w:r w:rsidR="00DC5132">
        <w:t>ς</w:t>
      </w:r>
      <w:r w:rsidR="00176339">
        <w:t xml:space="preserve"> αναπαραγωγή</w:t>
      </w:r>
      <w:r w:rsidR="00DC5132">
        <w:t>ς», προβλέπεται</w:t>
      </w:r>
      <w:r w:rsidR="00176339">
        <w:t xml:space="preserve"> ότι </w:t>
      </w:r>
      <w:r w:rsidR="00176339">
        <w:lastRenderedPageBreak/>
        <w:t>είναι αναγκαίο να ευνοούνται «</w:t>
      </w:r>
      <w:r w:rsidR="00176339">
        <w:rPr>
          <w:i/>
        </w:rPr>
        <w:t>οι τεχνικές και οι</w:t>
      </w:r>
      <w:r w:rsidR="00176339" w:rsidRPr="00C722C0">
        <w:rPr>
          <w:i/>
        </w:rPr>
        <w:t xml:space="preserve"> διεργασίες εκείνες που επιτρέπουν τον περιορισμό του αριθμού των κρυοσυντηρημένων εμβρύων</w:t>
      </w:r>
      <w:r w:rsidR="00176339">
        <w:t xml:space="preserve">» και ότι ο Οργανισμός Βιοϊατρικής πρέπει να αξιολογεί, στην ετήσια Έκθεσή του, τις μεθόδους που χρησιμοποιούνται και τα αποτελέσματά τους. </w:t>
      </w:r>
    </w:p>
    <w:p w14:paraId="19FDFF75" w14:textId="1AF08A14" w:rsidR="00176339" w:rsidRDefault="00176339" w:rsidP="00E30C3B">
      <w:r>
        <w:t xml:space="preserve">Το ερώτημα λοιπόν που αναπόφευκτα τίθεται, </w:t>
      </w:r>
      <w:r w:rsidR="00027C42">
        <w:t>εφόσον</w:t>
      </w:r>
      <w:r>
        <w:t xml:space="preserve"> ο νομοθέτης </w:t>
      </w:r>
      <w:r w:rsidR="00027C42">
        <w:t>έκανε δεκτή τη δημιουργία πλεονάζοντος</w:t>
      </w:r>
      <w:r>
        <w:t xml:space="preserve"> αριθμού εμβρύων, </w:t>
      </w:r>
      <w:r w:rsidR="00027C42">
        <w:t xml:space="preserve">είναι ποια είναι η τύχη </w:t>
      </w:r>
      <w:r w:rsidR="00DC5132">
        <w:t xml:space="preserve">που τους επιφυλάσσεται </w:t>
      </w:r>
      <w:r w:rsidR="00027C42">
        <w:t xml:space="preserve">μετά. </w:t>
      </w:r>
    </w:p>
    <w:p w14:paraId="403DE68C" w14:textId="1D21ED6E" w:rsidR="00027C42" w:rsidRDefault="00027C42" w:rsidP="00E30C3B">
      <w:r>
        <w:t xml:space="preserve">Ασφαλώς, εννοείται πως εάν το υποβοηθούμενο ζευγάρι εξακολουθεί να διατηρεί τον «οικογενειακό του προγραμματισμό», το έμβρυο που θα μεταφερθεί θα είναι σίγουρα ένα από τα </w:t>
      </w:r>
      <w:r w:rsidR="004547B2">
        <w:t xml:space="preserve">δικά του </w:t>
      </w:r>
      <w:r>
        <w:t>κρυοσυντηρημένα έμβρυα. Από το Νόμο της 6</w:t>
      </w:r>
      <w:r w:rsidRPr="00027C42">
        <w:rPr>
          <w:vertAlign w:val="superscript"/>
        </w:rPr>
        <w:t>ης</w:t>
      </w:r>
      <w:r>
        <w:t xml:space="preserve"> Αυγούστου 2004, μάλιστα, αυτό συνιστά υποχρέωση του ζευγαριού: δε μπορεί να πραγματοποιηθεί νέα προσπάθεια εξωσωματικής γονιμοποίησης πριν τη μεταφορά των κρυοσυντηρημένων εμβρύων του ζευγαριού, εκτός κι αν κάποιο πρόβλημα ποιότητας επηρεάζει τα έμβρυα αυτά (άρθρο </w:t>
      </w:r>
      <w:r>
        <w:rPr>
          <w:lang w:val="en-US"/>
        </w:rPr>
        <w:t>L. 2141-3</w:t>
      </w:r>
      <w:r>
        <w:t xml:space="preserve">, παρ. 4, ΚΔΥ). </w:t>
      </w:r>
    </w:p>
    <w:p w14:paraId="2D854F11" w14:textId="04A48FB9" w:rsidR="004547B2" w:rsidRDefault="000F0849" w:rsidP="00580B15">
      <w:pPr>
        <w:rPr>
          <w:lang w:val="en-US"/>
        </w:rPr>
      </w:pPr>
      <w:r>
        <w:t>Τι γίνεται όμως με τα υπόλοιπα</w:t>
      </w:r>
      <w:r w:rsidR="004547B2">
        <w:t xml:space="preserve"> κρυοσυντηρημένα έμβρυα</w:t>
      </w:r>
      <w:r>
        <w:t xml:space="preserve"> </w:t>
      </w:r>
      <w:r>
        <w:rPr>
          <w:lang w:val="en-US"/>
        </w:rPr>
        <w:t>;</w:t>
      </w:r>
      <w:r w:rsidR="004547B2">
        <w:t xml:space="preserve"> Με αυτά, δηλαδή, </w:t>
      </w:r>
      <w:r>
        <w:t>τα οποία δεν αποτελούν πλέον μέρος του «οικογενειακού προγραμματισμού» του υποβοηθούμενου ζευγαριού</w:t>
      </w:r>
      <w:r>
        <w:rPr>
          <w:lang w:val="en-US"/>
        </w:rPr>
        <w:t xml:space="preserve">; </w:t>
      </w:r>
    </w:p>
    <w:p w14:paraId="22D4FFD7" w14:textId="04B84DEC" w:rsidR="00B91ED2" w:rsidRDefault="008753EB" w:rsidP="00580B15">
      <w:pPr>
        <w:rPr>
          <w:lang w:val="en-US"/>
        </w:rPr>
      </w:pPr>
      <w:r>
        <w:rPr>
          <w:lang w:val="en-US"/>
        </w:rPr>
        <w:t xml:space="preserve">Επιχειρείται στην παρούσα ενότητα να δοθεί απάντηση στα </w:t>
      </w:r>
      <w:r w:rsidR="002461A1">
        <w:rPr>
          <w:lang w:val="en-US"/>
        </w:rPr>
        <w:t>πιο πάνω</w:t>
      </w:r>
      <w:r>
        <w:rPr>
          <w:lang w:val="en-US"/>
        </w:rPr>
        <w:t xml:space="preserve"> ερωτήματα </w:t>
      </w:r>
      <w:r w:rsidR="002461A1">
        <w:rPr>
          <w:lang w:val="en-US"/>
        </w:rPr>
        <w:t xml:space="preserve">σχετικά με τις εναλλακτικές επιλογές του υποβοηθούμενου ζευγαριού σε περίπτωση που δεν κάνει χρήση το ίδιο του γεννητικού του υλικού </w:t>
      </w:r>
      <w:r>
        <w:rPr>
          <w:lang w:val="en-US"/>
        </w:rPr>
        <w:t>(§1)</w:t>
      </w:r>
      <w:r w:rsidR="002461A1">
        <w:rPr>
          <w:lang w:val="en-US"/>
        </w:rPr>
        <w:t xml:space="preserve">. Σε αυτή την προσπάθεια, ιδιαιτέρως διαφωτιστικά για την εφαρμογή της νομοθεσίας και την πρακτική της ιατρικά υποβοηθούμενης αναπαραγωγής γενικότερα είναι τα στατιστικά στοιχεία που παρέχει σχετικά ο Οργανισμός Βιοϊατρικής (§3). </w:t>
      </w:r>
      <w:r w:rsidR="001123A3">
        <w:rPr>
          <w:lang w:val="en-US"/>
        </w:rPr>
        <w:t xml:space="preserve">Τέλος, η παρούσα ενότητα ολοκληρώνεται με </w:t>
      </w:r>
      <w:r w:rsidR="002F01A6">
        <w:rPr>
          <w:lang w:val="en-US"/>
        </w:rPr>
        <w:t xml:space="preserve">αναφορά στις έννομες </w:t>
      </w:r>
      <w:r w:rsidR="002F01A6">
        <w:t xml:space="preserve">συνέπειες που επιβάλλονται από το νομοθέτη σε </w:t>
      </w:r>
      <w:r w:rsidR="001202FC">
        <w:t xml:space="preserve">περίπτωση που οι ανωτέρω νομοθετικά προβλεπόμενες διαδικασίες σχετικά με τη </w:t>
      </w:r>
      <w:r w:rsidR="002F01A6">
        <w:t xml:space="preserve">διάθεση του πλεονάζοντος υλικού δεν τηρηθούν (§2). </w:t>
      </w:r>
    </w:p>
    <w:p w14:paraId="4F0D2B10" w14:textId="4F6113F3" w:rsidR="004547B2" w:rsidRDefault="004547B2" w:rsidP="00787DEC">
      <w:pPr>
        <w:pStyle w:val="Heading4"/>
        <w:rPr>
          <w:lang w:val="en-US"/>
        </w:rPr>
      </w:pPr>
      <w:bookmarkStart w:id="158" w:name="_Toc276574420"/>
      <w:r>
        <w:rPr>
          <w:lang w:val="en-US"/>
        </w:rPr>
        <w:t xml:space="preserve">§1. </w:t>
      </w:r>
      <w:r w:rsidR="001C01EC">
        <w:rPr>
          <w:lang w:val="en-US"/>
        </w:rPr>
        <w:t>Διάθεση πλεοναζόντων εμβρύων: ε</w:t>
      </w:r>
      <w:r>
        <w:rPr>
          <w:lang w:val="en-US"/>
        </w:rPr>
        <w:t xml:space="preserve">ναλλακτικές </w:t>
      </w:r>
      <w:r w:rsidR="00DB0516">
        <w:t xml:space="preserve">επιλογές </w:t>
      </w:r>
      <w:r w:rsidR="001C01EC">
        <w:t xml:space="preserve">του </w:t>
      </w:r>
      <w:r w:rsidR="00787DEC">
        <w:rPr>
          <w:lang w:val="en-US"/>
        </w:rPr>
        <w:t>υποβοηθούμενου ζευγαριού</w:t>
      </w:r>
      <w:bookmarkEnd w:id="158"/>
      <w:r w:rsidR="00787DEC">
        <w:rPr>
          <w:lang w:val="en-US"/>
        </w:rPr>
        <w:t xml:space="preserve"> </w:t>
      </w:r>
    </w:p>
    <w:p w14:paraId="21C267CC" w14:textId="36366D67" w:rsidR="0062199E" w:rsidRDefault="009D7D94" w:rsidP="00580B15">
      <w:r>
        <w:t xml:space="preserve">Ο Νόμος του 1994 προέβλεπε, εκτός από την καταστροφή των πλεοναζόντων εμβρύων και τη λήψη τους από τρίτο ζευγάρι, αλλά μόνο ως λύση ανάγκης, ενώ ο Νόμος του 2004 αναθεώρησε ελαφρά τη διάταξη αυτή. Σήμερα, μετά και τις τροποποιήσεις που επέφερε ο Νόμος του 2011, το άρθρο </w:t>
      </w:r>
      <w:r w:rsidR="00E30C3B" w:rsidRPr="001D7418">
        <w:rPr>
          <w:b/>
        </w:rPr>
        <w:t>L. 2141-4</w:t>
      </w:r>
      <w:r w:rsidR="00F62ACF">
        <w:rPr>
          <w:b/>
        </w:rPr>
        <w:t>, παρ. Ι,</w:t>
      </w:r>
      <w:r w:rsidR="00E30C3B" w:rsidRPr="001D7418">
        <w:rPr>
          <w:b/>
        </w:rPr>
        <w:t xml:space="preserve"> </w:t>
      </w:r>
      <w:r w:rsidR="00E30C3B">
        <w:rPr>
          <w:b/>
        </w:rPr>
        <w:t>ΚΔΥ</w:t>
      </w:r>
      <w:r w:rsidR="00F62ACF">
        <w:rPr>
          <w:b/>
        </w:rPr>
        <w:t>,</w:t>
      </w:r>
      <w:r w:rsidR="00F62ACF">
        <w:t xml:space="preserve"> </w:t>
      </w:r>
      <w:r>
        <w:t xml:space="preserve">ορίζει ότι </w:t>
      </w:r>
      <w:r w:rsidR="00E30C3B">
        <w:t>στα υποβοηθούμενα πρόσωπα που κρυοσυντηρούν τα έμβρυά τους απευθύνεται κάθε χρόνο εγγράφως ερώτηση σχετικά με το αν διατηρούν τον «οικογενειακό τους προγραμματισμό» (</w:t>
      </w:r>
      <w:r w:rsidR="00E30C3B" w:rsidRPr="001D7418">
        <w:rPr>
          <w:i/>
          <w:lang w:val="fr-FR"/>
        </w:rPr>
        <w:t>projet</w:t>
      </w:r>
      <w:r w:rsidR="00E30C3B" w:rsidRPr="001D7418">
        <w:rPr>
          <w:i/>
        </w:rPr>
        <w:t xml:space="preserve"> </w:t>
      </w:r>
      <w:r w:rsidR="00E30C3B" w:rsidRPr="001D7418">
        <w:rPr>
          <w:i/>
          <w:lang w:val="fr-FR"/>
        </w:rPr>
        <w:t>parental</w:t>
      </w:r>
      <w:r w:rsidR="00E30C3B">
        <w:t xml:space="preserve">). </w:t>
      </w:r>
      <w:r w:rsidR="00F62ACF">
        <w:t xml:space="preserve">Δυνάμει, δε, των διατάξεων της αμέσως επόμενης παραγράφου </w:t>
      </w:r>
      <w:r w:rsidR="00F62ACF" w:rsidRPr="00F62ACF">
        <w:t>(L. 2141-4, παρ. ΙΙ, ΚΔΥ)</w:t>
      </w:r>
      <w:r w:rsidR="00F62ACF">
        <w:t>, σ</w:t>
      </w:r>
      <w:r w:rsidR="00E30C3B">
        <w:t xml:space="preserve">ε περίπτωση εγκατάλειψης του εν λόγω «προγραμματισμού» ή θανάτου ενός εκ των δύο προσώπων, τα ενδιαφερόμενα ή το επιζών ενδιαφερόμενο πρόσωπο, μπορούν να συναινέσουν είτε στην </w:t>
      </w:r>
      <w:r w:rsidR="00E30C3B">
        <w:lastRenderedPageBreak/>
        <w:t>παραχώρηση των εμβρύων σε άλλο ζευγάρι</w:t>
      </w:r>
      <w:r w:rsidR="00F62ACF">
        <w:t xml:space="preserve"> (</w:t>
      </w:r>
      <w:r w:rsidR="00787DEC">
        <w:rPr>
          <w:lang w:val="en-US"/>
        </w:rPr>
        <w:t>i</w:t>
      </w:r>
      <w:r w:rsidR="00F62ACF">
        <w:t>)</w:t>
      </w:r>
      <w:r w:rsidR="00E30C3B">
        <w:t>, είτε στην παραχώρησή τους για διεξαγωγή έρευνας</w:t>
      </w:r>
      <w:r w:rsidR="00787DEC">
        <w:t xml:space="preserve"> (ii</w:t>
      </w:r>
      <w:r w:rsidR="00F62ACF">
        <w:t>)</w:t>
      </w:r>
      <w:r w:rsidR="00E30C3B">
        <w:t>, είτε στην καταστροφή τους</w:t>
      </w:r>
      <w:r w:rsidR="00787DEC">
        <w:t xml:space="preserve"> (iii</w:t>
      </w:r>
      <w:r w:rsidR="00F62ACF">
        <w:t>)</w:t>
      </w:r>
      <w:r w:rsidR="00E30C3B">
        <w:t>.</w:t>
      </w:r>
    </w:p>
    <w:p w14:paraId="3A14B5E8" w14:textId="0A6FF033" w:rsidR="00F62ACF" w:rsidRDefault="004547B2" w:rsidP="004547B2">
      <w:pPr>
        <w:pStyle w:val="Heading5"/>
      </w:pPr>
      <w:r>
        <w:rPr>
          <w:lang w:val="en-US"/>
        </w:rPr>
        <w:t>i</w:t>
      </w:r>
      <w:r w:rsidR="00F62ACF">
        <w:t xml:space="preserve">. Δωρεά πλεοναζόντων κρυοσυντηρημένων εμβρύων σε άλλο ζευγάρι </w:t>
      </w:r>
    </w:p>
    <w:p w14:paraId="479352FB" w14:textId="77777777" w:rsidR="005739CC" w:rsidRDefault="005739CC" w:rsidP="00A929A2">
      <w:r>
        <w:t>Παρότι η λήψη εμβρύων από τρίτο ζευγάρι είχε αναγνωριστεί νομοθετικά από το 1994, η τεχνική</w:t>
      </w:r>
      <w:r w:rsidR="00626BC9">
        <w:t xml:space="preserve"> τέθηκε</w:t>
      </w:r>
      <w:r>
        <w:t xml:space="preserve"> για πρώτη φορά σε εφαρμογή το 2004. </w:t>
      </w:r>
    </w:p>
    <w:p w14:paraId="79E34EE2" w14:textId="77777777" w:rsidR="00A929A2" w:rsidRDefault="00A929A2" w:rsidP="00A929A2">
      <w:r w:rsidRPr="001D7418">
        <w:t xml:space="preserve">Ο γάλλος νομοθέτης προβλέπει στο άρθρο </w:t>
      </w:r>
      <w:r w:rsidRPr="001D7418">
        <w:rPr>
          <w:b/>
        </w:rPr>
        <w:t>L. 2141-4</w:t>
      </w:r>
      <w:r w:rsidR="0012600E">
        <w:rPr>
          <w:b/>
        </w:rPr>
        <w:t>, παρ. Ι και ΙΙ (1</w:t>
      </w:r>
      <w:r w:rsidR="0012600E" w:rsidRPr="0012600E">
        <w:rPr>
          <w:b/>
          <w:vertAlign w:val="superscript"/>
        </w:rPr>
        <w:t>ο</w:t>
      </w:r>
      <w:r w:rsidR="0012600E">
        <w:rPr>
          <w:b/>
        </w:rPr>
        <w:t>),</w:t>
      </w:r>
      <w:r w:rsidRPr="001D7418">
        <w:rPr>
          <w:b/>
        </w:rPr>
        <w:t xml:space="preserve"> </w:t>
      </w:r>
      <w:r>
        <w:rPr>
          <w:b/>
        </w:rPr>
        <w:t>ΚΔΥ</w:t>
      </w:r>
      <w:r>
        <w:t xml:space="preserve"> ότι στα υποβοηθούμενα πρόσωπα των οποίων τα έμβρυα συντηρούνται, απευθύνεται κάθε χρόνο εγγράφως ερώτηση σχετικά με το αν διατηρούν τον «οικογενειακό τους προγραμματισμό» (</w:t>
      </w:r>
      <w:r w:rsidRPr="001D7418">
        <w:rPr>
          <w:i/>
          <w:lang w:val="fr-FR"/>
        </w:rPr>
        <w:t>projet</w:t>
      </w:r>
      <w:r w:rsidRPr="001D7418">
        <w:rPr>
          <w:i/>
        </w:rPr>
        <w:t xml:space="preserve"> </w:t>
      </w:r>
      <w:r w:rsidRPr="001D7418">
        <w:rPr>
          <w:i/>
          <w:lang w:val="fr-FR"/>
        </w:rPr>
        <w:t>parental</w:t>
      </w:r>
      <w:r>
        <w:t>). Σε περίπτωση εγκατάλειψής του ή θανάτου ενός εκ των δύο προσώπων, τα ενδιαφερόμενα</w:t>
      </w:r>
      <w:r w:rsidR="0012600E">
        <w:t xml:space="preserve"> πρόσωπα με κοινή τους δήλωση</w:t>
      </w:r>
      <w:r>
        <w:t xml:space="preserve"> ή το επιζών ενδιαφερόμενο πρόσωπο </w:t>
      </w:r>
      <w:r w:rsidR="0012600E">
        <w:t xml:space="preserve">με μονομερή δήλωσή του </w:t>
      </w:r>
      <w:r>
        <w:t>μπορούν να συναινέσουν ώστε</w:t>
      </w:r>
      <w:r w:rsidR="0012600E">
        <w:t xml:space="preserve"> </w:t>
      </w:r>
      <w:r>
        <w:t xml:space="preserve">τα έμβρυά τους να τύχουν υποδοχής από ένα άλλο ζευγάρι υπό τις προϋποθέσεις που ορίζουν τα άρθρα </w:t>
      </w:r>
      <w:r w:rsidRPr="007D1623">
        <w:rPr>
          <w:lang w:val="fr-FR"/>
        </w:rPr>
        <w:t>L</w:t>
      </w:r>
      <w:r w:rsidRPr="007D1623">
        <w:t xml:space="preserve">. 2141-5 </w:t>
      </w:r>
      <w:r>
        <w:t>και</w:t>
      </w:r>
      <w:r w:rsidRPr="007D1623">
        <w:t xml:space="preserve"> </w:t>
      </w:r>
      <w:r w:rsidRPr="007D1623">
        <w:rPr>
          <w:lang w:val="fr-FR"/>
        </w:rPr>
        <w:t>L</w:t>
      </w:r>
      <w:r w:rsidRPr="007D1623">
        <w:t>. 2141-6</w:t>
      </w:r>
      <w:r>
        <w:t>.</w:t>
      </w:r>
    </w:p>
    <w:p w14:paraId="20561CEE" w14:textId="01FF38D6" w:rsidR="00D375D9" w:rsidRDefault="00142577" w:rsidP="00A929A2">
      <w:r>
        <w:t>Σε ό,τι αφορά στη συναίνεση, οι απαιτήσεις του νομοθέτη εί</w:t>
      </w:r>
      <w:r w:rsidR="00D901D8">
        <w:t>να</w:t>
      </w:r>
      <w:r>
        <w:t>ι πολλαπλές. Ειδικότερα, δ</w:t>
      </w:r>
      <w:r w:rsidR="00D375D9">
        <w:t xml:space="preserve">υνάμει των διατάξεων του άρθρου </w:t>
      </w:r>
      <w:r w:rsidR="00D375D9" w:rsidRPr="00F37356">
        <w:rPr>
          <w:b/>
          <w:lang w:val="en-US"/>
        </w:rPr>
        <w:t xml:space="preserve">L. 2141-5, παρ. 1, </w:t>
      </w:r>
      <w:r w:rsidR="00D375D9" w:rsidRPr="00F37356">
        <w:rPr>
          <w:b/>
        </w:rPr>
        <w:t>ΚΔΥ,</w:t>
      </w:r>
      <w:r w:rsidR="00D375D9">
        <w:t xml:space="preserve"> η συναίνεση των υποβοηθούμενων προσώπων που αποφασίζουν να δωρίσουν το έμβρυό τους παρέχεται εγγράφως, ενώ, σύμφωνα με τη δεύτερη παράγραφο του ίδιου άρθρου, σε περίπτωση θανάτου ενός εκ των δύο υποβοηθούμενων προσώπων </w:t>
      </w:r>
      <w:r w:rsidR="000A0D87">
        <w:t>που</w:t>
      </w:r>
      <w:r w:rsidR="00D375D9">
        <w:t xml:space="preserve"> κρυοσυντηρούν τα έμβρυά τους, απευθύνεται επιστολή στο επιζών πρόσωπο</w:t>
      </w:r>
      <w:r w:rsidR="009E77C0">
        <w:rPr>
          <w:rStyle w:val="FootnoteReference"/>
        </w:rPr>
        <w:footnoteReference w:id="276"/>
      </w:r>
      <w:r w:rsidR="000A0D87">
        <w:t xml:space="preserve">, </w:t>
      </w:r>
      <w:r w:rsidR="00D375D9">
        <w:t xml:space="preserve">η οποία διερευνά </w:t>
      </w:r>
      <w:r w:rsidR="000A0D87">
        <w:t>την πιθανότητα ενδεχόμενης δωρεάς των κρυοσυντηρημένων</w:t>
      </w:r>
      <w:r w:rsidR="00D375D9">
        <w:t xml:space="preserve"> </w:t>
      </w:r>
      <w:r w:rsidR="000A0D87">
        <w:t>εμβρύων</w:t>
      </w:r>
      <w:r w:rsidR="00D375D9">
        <w:t xml:space="preserve"> υπό της συνθήκες που περιγράφονται στο άρθρο </w:t>
      </w:r>
      <w:r w:rsidR="00D375D9">
        <w:rPr>
          <w:lang w:val="en-US"/>
        </w:rPr>
        <w:t xml:space="preserve">L. 2141-6 </w:t>
      </w:r>
      <w:r w:rsidR="00D375D9">
        <w:t xml:space="preserve">ΚΔΥ. </w:t>
      </w:r>
      <w:r>
        <w:t xml:space="preserve">Εκτός από τα υποβοηθούμενα πρόσωπα, τη συναίνεσή του πρέπει να δώσει και το ζευγάρι που λαμβάνει το έμβρυο, όπως θα δούμε πιο κάτω (άρθρα </w:t>
      </w:r>
      <w:r>
        <w:rPr>
          <w:lang w:val="en-US"/>
        </w:rPr>
        <w:t>L. 2141-2 και L. 2141-6 ΚΔΥ</w:t>
      </w:r>
      <w:r>
        <w:t xml:space="preserve">), καθώς επίσης και ο δότης με το σύντροφό του, εάν το έμβρυο έχει συλληφθεί με δωρεά γεννητικού υλικού (άρθρο </w:t>
      </w:r>
      <w:r>
        <w:rPr>
          <w:lang w:val="en-US"/>
        </w:rPr>
        <w:t xml:space="preserve">L. 1244-2 </w:t>
      </w:r>
      <w:r>
        <w:t xml:space="preserve">ΚΔΥ). </w:t>
      </w:r>
    </w:p>
    <w:p w14:paraId="22A08E6F" w14:textId="715FA1C6" w:rsidR="008F18A4" w:rsidRPr="00D375D9" w:rsidRDefault="008F18A4" w:rsidP="00A929A2">
      <w:r>
        <w:t>Ειδικότερα, παρότι η δωρεά εμβρύων είχε θεσπιστεί ως μια εξαιρετική διαδικασία και επιτρεπόταν αποκλειστικά και μόνο σε περιπτώσεις κατά τις οποίες η αναπαραγωγή με τρίτο δότη</w:t>
      </w:r>
      <w:r w:rsidR="00674292">
        <w:t xml:space="preserve"> δεν ήταν δυνατή, ο </w:t>
      </w:r>
      <w:r w:rsidR="00674292" w:rsidRPr="00674292">
        <w:rPr>
          <w:i/>
        </w:rPr>
        <w:t>Νόμος περί Β</w:t>
      </w:r>
      <w:r w:rsidRPr="00674292">
        <w:rPr>
          <w:i/>
        </w:rPr>
        <w:t xml:space="preserve">ιοηθικής </w:t>
      </w:r>
      <w:r w:rsidR="00A244C0">
        <w:t xml:space="preserve">του 2011 </w:t>
      </w:r>
      <w:r w:rsidR="007D157F">
        <w:t>κατάργησε</w:t>
      </w:r>
      <w:r>
        <w:t xml:space="preserve"> τον «εξαιρε</w:t>
      </w:r>
      <w:r w:rsidR="00A244C0">
        <w:t>τικό» αυτό χαρακτήρα της δωρεάς, διευρύνοντάς τη</w:t>
      </w:r>
      <w:r>
        <w:t xml:space="preserve"> </w:t>
      </w:r>
      <w:r w:rsidR="007D157F">
        <w:t>σημαντικά και διατηρώντας, ωστόσο, ως προαπαιτούμενο την αδυναμία</w:t>
      </w:r>
      <w:r>
        <w:t xml:space="preserve"> «</w:t>
      </w:r>
      <w:r w:rsidR="007D157F">
        <w:rPr>
          <w:i/>
        </w:rPr>
        <w:t>η εφαρμογή των λοιπώ</w:t>
      </w:r>
      <w:r w:rsidRPr="00AD17DF">
        <w:rPr>
          <w:i/>
        </w:rPr>
        <w:t xml:space="preserve">ν μεθόδων ιατρικά υποβοηθούμενης αναπαραγωγής στο ενδιαφερόμενο ζευγάρι </w:t>
      </w:r>
      <w:r w:rsidR="007D157F">
        <w:rPr>
          <w:i/>
        </w:rPr>
        <w:t>[...]</w:t>
      </w:r>
      <w:r w:rsidRPr="00AD17DF">
        <w:rPr>
          <w:i/>
        </w:rPr>
        <w:t xml:space="preserve"> να οδηγήσει στο επιθυμητό αποτέλεσμα</w:t>
      </w:r>
      <w:r>
        <w:t xml:space="preserve">» (άρθρο </w:t>
      </w:r>
      <w:r>
        <w:rPr>
          <w:lang w:val="en-US"/>
        </w:rPr>
        <w:t>L. 2141-6,</w:t>
      </w:r>
      <w:r>
        <w:t xml:space="preserve"> παρ. 1, ΚΔΥ). </w:t>
      </w:r>
      <w:r w:rsidR="007D157F">
        <w:t>Παράλληλα με την προϋπόθεση αυτή,</w:t>
      </w:r>
      <w:r>
        <w:t xml:space="preserve"> η δωρεά εμβρύων υπόκειται σε σειρά </w:t>
      </w:r>
      <w:r w:rsidR="007D157F">
        <w:t xml:space="preserve">άλλων </w:t>
      </w:r>
      <w:r>
        <w:t xml:space="preserve">προϋποθέσεων, ο έλεγχος της τήρησης μάλιστα των οποίων έχει ανατεθεί στη δικαστική εξουσία. </w:t>
      </w:r>
    </w:p>
    <w:p w14:paraId="0485061B" w14:textId="23E65770" w:rsidR="009E77C0" w:rsidRPr="003A6FDD" w:rsidRDefault="008F18A4" w:rsidP="00EE42BD">
      <w:r>
        <w:lastRenderedPageBreak/>
        <w:t xml:space="preserve">Πιο συγκεκριμένα, δυνάμει των διατάξεων </w:t>
      </w:r>
      <w:r w:rsidR="00623138">
        <w:t xml:space="preserve">του άρθρου </w:t>
      </w:r>
      <w:r w:rsidR="00623138" w:rsidRPr="00F37356">
        <w:rPr>
          <w:b/>
          <w:lang w:val="en-US"/>
        </w:rPr>
        <w:t xml:space="preserve">L. 2141-6 </w:t>
      </w:r>
      <w:r w:rsidR="00623138" w:rsidRPr="00F37356">
        <w:rPr>
          <w:b/>
        </w:rPr>
        <w:t>ΚΔΥ,</w:t>
      </w:r>
      <w:r w:rsidR="00623138">
        <w:t xml:space="preserve"> ένα ζευγάρι που πληροί τις προϋποθέσεις του </w:t>
      </w:r>
      <w:r w:rsidR="00623138" w:rsidRPr="00A93578">
        <w:t xml:space="preserve">άρθρου </w:t>
      </w:r>
      <w:r w:rsidR="00623138" w:rsidRPr="00A93578">
        <w:rPr>
          <w:lang w:val="en-US"/>
        </w:rPr>
        <w:t>L</w:t>
      </w:r>
      <w:r w:rsidR="00623138" w:rsidRPr="00A93578">
        <w:t>. 2141-2</w:t>
      </w:r>
      <w:r w:rsidR="006D282D">
        <w:t xml:space="preserve"> ΚΔΥ</w:t>
      </w:r>
      <w:r w:rsidR="00623138">
        <w:rPr>
          <w:b/>
        </w:rPr>
        <w:t xml:space="preserve"> </w:t>
      </w:r>
      <w:r w:rsidR="002C43A5">
        <w:t>[όροι πρόσβασης και γενικές προϋποθέσεις προσφυγής στην ιατρικά υποβοηθούμενη αναπαραγωγή]</w:t>
      </w:r>
      <w:r w:rsidR="002C43A5">
        <w:rPr>
          <w:b/>
        </w:rPr>
        <w:t xml:space="preserve"> </w:t>
      </w:r>
      <w:r w:rsidR="00623138" w:rsidRPr="00861093">
        <w:t xml:space="preserve">μπορεί να </w:t>
      </w:r>
      <w:r w:rsidR="002C43A5">
        <w:t xml:space="preserve">λάβει ένα έμβρυο, </w:t>
      </w:r>
      <w:r w:rsidR="00623138">
        <w:t xml:space="preserve">υπό </w:t>
      </w:r>
      <w:r w:rsidR="006D282D">
        <w:t>τον όρο ότι η εφαρμογή των λοιπώ</w:t>
      </w:r>
      <w:r w:rsidR="00623138">
        <w:t xml:space="preserve">ν μεθόδων ιατρικά υποβοηθούμενης αναπαραγωγής στο ενδιαφερόμενο ζευγάρι δε δύναται να οδηγήσει στο επιθυμητό αποτέλεσμα και ότι το ζευγάρι στο οποίο ανήκει το έμβρυο, πλήρως ενημερωμένο, όπως ορίζει το άρθρο </w:t>
      </w:r>
      <w:r w:rsidR="00623138" w:rsidRPr="00A93578">
        <w:rPr>
          <w:lang w:val="en-US"/>
        </w:rPr>
        <w:t>L</w:t>
      </w:r>
      <w:r w:rsidR="00623138" w:rsidRPr="00A93578">
        <w:t>. 2141-10</w:t>
      </w:r>
      <w:r w:rsidR="006D282D">
        <w:t xml:space="preserve"> ΚΔΥ</w:t>
      </w:r>
      <w:r w:rsidR="00623138" w:rsidRPr="00A93578">
        <w:t>,</w:t>
      </w:r>
      <w:r w:rsidR="00623138">
        <w:t xml:space="preserve"> παραιτείται από αυτό. Η λήψη του εμβρύου υπόκειται στην κρίση της δικαστικής εξουσίας, η οποία δέχεται προηγουμένως τη συναίνεση του ζευγαριού που παραχωρεί το έμβρυο. Ο δικαστής βεβαιώνεται ότι το ζευγάρι που θα λάβει το έμβρυο πληροί τις προϋποθέσεις που προβλέπονται στο άρθρο </w:t>
      </w:r>
      <w:r w:rsidR="00623138" w:rsidRPr="00A93578">
        <w:rPr>
          <w:lang w:val="en-US"/>
        </w:rPr>
        <w:t>L</w:t>
      </w:r>
      <w:r w:rsidR="00623138" w:rsidRPr="00A93578">
        <w:t>. 2141-2</w:t>
      </w:r>
      <w:r w:rsidR="00623138">
        <w:t xml:space="preserve"> ΚΔΥ και ζητάει να διεξαχθεί κάθε αναγκαία διαδικασία διερεύνησης και εκτίμησης των συνθηκών υποδοχής του εμβρύου από το ζευγάρι</w:t>
      </w:r>
      <w:r w:rsidR="00316699">
        <w:rPr>
          <w:rStyle w:val="FootnoteReference"/>
        </w:rPr>
        <w:footnoteReference w:id="277"/>
      </w:r>
      <w:r w:rsidR="00623138">
        <w:t xml:space="preserve">. Η άδεια λήψης του εμβρύου εκδίδεται για διάρκεια τριών (3) ετών με δυνατότητα ανανέωσης. </w:t>
      </w:r>
      <w:r w:rsidR="00623138" w:rsidRPr="00B849B3">
        <w:t>Τα δύο ζευγάρια [αυτό των ληπτών και αυτό των δοτών</w:t>
      </w:r>
      <w:r w:rsidR="00623138">
        <w:t xml:space="preserve"> </w:t>
      </w:r>
      <w:r w:rsidR="00623138" w:rsidRPr="00B849B3">
        <w:t xml:space="preserve">του εμβρύου] δε δύνανται να γνωρίζουν </w:t>
      </w:r>
      <w:r w:rsidR="00623138">
        <w:t>το ένα την ταυτότητα του άλλου</w:t>
      </w:r>
      <w:r w:rsidR="00383384">
        <w:rPr>
          <w:rStyle w:val="FootnoteReference"/>
        </w:rPr>
        <w:footnoteReference w:id="278"/>
      </w:r>
      <w:r w:rsidR="00623138">
        <w:t>. Παρόλα αυτά, σε περίπτωση θεραπευτικής ανάγκης, ένας ιατρός μπορεί να έχει πρόσβαση σε μη-αναγνωρίσιμες ιατρικές πληροφορίες σχετικά με το ζευγάρι που παραχώρησε το έμβρυο. Κανενός είδους αμοιβή δε μπορεί να παρασχεθεί στο ζευγάρι που παραχωρεί το έμβρυο. Η λήψη του εμβρύου υπόκειται σε κανόνες υγειονομικής ασφάλειας, οι οποίοι περιλαμβάνουν ιδίως αναλύσεις εντοπισμού μολυσματικών ασθενειών</w:t>
      </w:r>
      <w:r w:rsidR="009C6617">
        <w:rPr>
          <w:rStyle w:val="FootnoteReference"/>
        </w:rPr>
        <w:footnoteReference w:id="279"/>
      </w:r>
      <w:r w:rsidR="00623138">
        <w:t>. Μόνο τα δημόσια ή τα ιδιωτικά ιδρύ</w:t>
      </w:r>
      <w:r w:rsidR="007A4195">
        <w:t xml:space="preserve">ματα μη κερδοσκοπικού χαρακτήρα, </w:t>
      </w:r>
      <w:r w:rsidR="00623138">
        <w:t>που έχουν άδεια για το σκοπό αυτό</w:t>
      </w:r>
      <w:r w:rsidR="007A4195">
        <w:t>,</w:t>
      </w:r>
      <w:r w:rsidR="00623138">
        <w:t xml:space="preserve"> μπορούν να κρυοσυντηρούν τα έμβρυα και να θέτουν σε εφαρμογή τη διαδικασία υποδοχής</w:t>
      </w:r>
      <w:r w:rsidR="00C7444F">
        <w:rPr>
          <w:rStyle w:val="FootnoteReference"/>
        </w:rPr>
        <w:footnoteReference w:id="280"/>
      </w:r>
      <w:r w:rsidR="00623138">
        <w:t xml:space="preserve">. </w:t>
      </w:r>
    </w:p>
    <w:p w14:paraId="7E47DBBF" w14:textId="43542FC4" w:rsidR="00F62ACF" w:rsidRDefault="004547B2" w:rsidP="004547B2">
      <w:pPr>
        <w:pStyle w:val="Heading5"/>
      </w:pPr>
      <w:r>
        <w:t>ii</w:t>
      </w:r>
      <w:r w:rsidR="00F62ACF">
        <w:t xml:space="preserve">. Δωρεά πλεοναζόντων κρυοσυντηρημένων εμβρύων για έρευνα </w:t>
      </w:r>
    </w:p>
    <w:p w14:paraId="25C63975" w14:textId="07DA9356" w:rsidR="009F5F18" w:rsidRPr="00981AC5" w:rsidRDefault="00674292" w:rsidP="003E7017">
      <w:r>
        <w:t xml:space="preserve">Ο </w:t>
      </w:r>
      <w:r w:rsidRPr="00674292">
        <w:rPr>
          <w:i/>
        </w:rPr>
        <w:t>Νόμος περί Β</w:t>
      </w:r>
      <w:r w:rsidR="00463C6E" w:rsidRPr="00674292">
        <w:rPr>
          <w:i/>
        </w:rPr>
        <w:t>ιοηθικής</w:t>
      </w:r>
      <w:r w:rsidR="00463C6E">
        <w:t xml:space="preserve"> του 2011 διεύρυνε επίσης ελαφρώς τη δυνατότητα έρευνας στα πλεονάζοντα έμβρυα. </w:t>
      </w:r>
      <w:r w:rsidR="002A191B">
        <w:t>Σύμφωνα με τις διατάξεις του άρθρου</w:t>
      </w:r>
      <w:r w:rsidR="003B624A" w:rsidRPr="001D7418">
        <w:t xml:space="preserve"> </w:t>
      </w:r>
      <w:r w:rsidR="001D25F1" w:rsidRPr="001D7418">
        <w:rPr>
          <w:b/>
        </w:rPr>
        <w:t>L. 2141-4</w:t>
      </w:r>
      <w:r w:rsidR="001D25F1">
        <w:rPr>
          <w:b/>
        </w:rPr>
        <w:t>, παρ. Ι και ΙΙ (2</w:t>
      </w:r>
      <w:r w:rsidR="001D25F1" w:rsidRPr="0012600E">
        <w:rPr>
          <w:b/>
          <w:vertAlign w:val="superscript"/>
        </w:rPr>
        <w:t>ο</w:t>
      </w:r>
      <w:r w:rsidR="001D25F1">
        <w:rPr>
          <w:b/>
        </w:rPr>
        <w:t>),</w:t>
      </w:r>
      <w:r w:rsidR="001D25F1" w:rsidRPr="001D7418">
        <w:rPr>
          <w:b/>
        </w:rPr>
        <w:t xml:space="preserve"> </w:t>
      </w:r>
      <w:r w:rsidR="001D25F1">
        <w:rPr>
          <w:b/>
        </w:rPr>
        <w:t>ΚΔΥ</w:t>
      </w:r>
      <w:r w:rsidR="002A191B">
        <w:t xml:space="preserve">, </w:t>
      </w:r>
      <w:r w:rsidR="003B624A">
        <w:t xml:space="preserve">στα υποβοηθούμενα πρόσωπα των οποίων τα έμβρυα συντηρούνται </w:t>
      </w:r>
      <w:r w:rsidR="007A4195">
        <w:t xml:space="preserve">απευθύνεται κάθε χρόνο, εγγράφως, </w:t>
      </w:r>
      <w:r w:rsidR="003B624A">
        <w:t>ερώτηση σχετικά με το αν διατηρούν τον «οικογενειακό τους προγραμματισμό» (</w:t>
      </w:r>
      <w:r w:rsidR="003B624A" w:rsidRPr="001D7418">
        <w:rPr>
          <w:i/>
          <w:lang w:val="fr-FR"/>
        </w:rPr>
        <w:t>projet</w:t>
      </w:r>
      <w:r w:rsidR="003B624A" w:rsidRPr="001D7418">
        <w:rPr>
          <w:i/>
        </w:rPr>
        <w:t xml:space="preserve"> </w:t>
      </w:r>
      <w:r w:rsidR="003B624A" w:rsidRPr="001D7418">
        <w:rPr>
          <w:i/>
          <w:lang w:val="fr-FR"/>
        </w:rPr>
        <w:t>parental</w:t>
      </w:r>
      <w:r w:rsidR="003B624A">
        <w:t xml:space="preserve">). Σε περίπτωση εγκατάλειψής του ή θανάτου ενός εκ των δύο προσώπων, </w:t>
      </w:r>
      <w:r w:rsidR="001D25F1">
        <w:t>τα ενδιαφερόμενα πρόσωπα με κοινή τους δήλωση ή το επιζών ενδιαφερόμενο πρόσωπο με μονομερή δήλωσή του</w:t>
      </w:r>
      <w:r w:rsidR="003B624A">
        <w:t xml:space="preserve"> μπορούν</w:t>
      </w:r>
      <w:r w:rsidR="002A191B">
        <w:t>, όπως και πριν το 2011,</w:t>
      </w:r>
      <w:r w:rsidR="003B624A">
        <w:t xml:space="preserve"> να </w:t>
      </w:r>
      <w:r w:rsidR="003B624A">
        <w:lastRenderedPageBreak/>
        <w:t>συναινέσουν ώστε</w:t>
      </w:r>
      <w:r w:rsidR="001D25F1">
        <w:t xml:space="preserve"> τ</w:t>
      </w:r>
      <w:r w:rsidR="003B624A">
        <w:t xml:space="preserve">α έμβρυά τους να αποτελέσουν αντικείμενο έρευνας υπό τις προϋποθέσεις που ορίζει το άρθρο </w:t>
      </w:r>
      <w:r w:rsidR="003B624A" w:rsidRPr="00E84FCA">
        <w:rPr>
          <w:b/>
          <w:lang w:val="fr-FR"/>
        </w:rPr>
        <w:t>L</w:t>
      </w:r>
      <w:r w:rsidR="003B624A" w:rsidRPr="00E84FCA">
        <w:rPr>
          <w:b/>
        </w:rPr>
        <w:t>. 2151-5</w:t>
      </w:r>
      <w:r w:rsidR="00E84FCA">
        <w:rPr>
          <w:b/>
        </w:rPr>
        <w:t xml:space="preserve"> ΚΔΥ</w:t>
      </w:r>
      <w:r w:rsidR="002A191B">
        <w:t xml:space="preserve"> [προϋποθέσεις υπό τις οποίες διεξάγεται η έρευνα στα έμβρυα]</w:t>
      </w:r>
      <w:r w:rsidR="001729C0">
        <w:t xml:space="preserve">. </w:t>
      </w:r>
      <w:r w:rsidR="002A191B">
        <w:t xml:space="preserve">Από το </w:t>
      </w:r>
      <w:r w:rsidR="002A191B" w:rsidRPr="007A4195">
        <w:rPr>
          <w:i/>
        </w:rPr>
        <w:t xml:space="preserve">Νόμο </w:t>
      </w:r>
      <w:r w:rsidR="007A4195" w:rsidRPr="007A4195">
        <w:rPr>
          <w:i/>
        </w:rPr>
        <w:t>περί Βιοηθικής</w:t>
      </w:r>
      <w:r w:rsidR="007A4195">
        <w:t xml:space="preserve"> </w:t>
      </w:r>
      <w:r w:rsidR="002A191B">
        <w:t>του 2011 και εφεξής,</w:t>
      </w:r>
      <w:r w:rsidR="003B624A">
        <w:t xml:space="preserve"> υπό τις προϋποθέσεις που προβλέπονται </w:t>
      </w:r>
      <w:r w:rsidR="007A4195">
        <w:t xml:space="preserve">στο ανωτέρω άρθρο, καθώς επίσης </w:t>
      </w:r>
      <w:r w:rsidR="003B624A">
        <w:t xml:space="preserve">και </w:t>
      </w:r>
      <w:r w:rsidR="007A4195">
        <w:t>σ</w:t>
      </w:r>
      <w:r w:rsidR="003B624A">
        <w:t xml:space="preserve">το άρθρο </w:t>
      </w:r>
      <w:r w:rsidR="003B624A" w:rsidRPr="00E84FCA">
        <w:rPr>
          <w:b/>
          <w:lang w:val="fr-FR"/>
        </w:rPr>
        <w:t>L</w:t>
      </w:r>
      <w:r w:rsidR="003B624A" w:rsidRPr="00E84FCA">
        <w:rPr>
          <w:b/>
        </w:rPr>
        <w:t>. 1125-1</w:t>
      </w:r>
      <w:r w:rsidR="00E84FCA">
        <w:rPr>
          <w:b/>
        </w:rPr>
        <w:t xml:space="preserve"> ΚΔΥ</w:t>
      </w:r>
      <w:r w:rsidR="008B6E4A">
        <w:rPr>
          <w:b/>
        </w:rPr>
        <w:t xml:space="preserve"> </w:t>
      </w:r>
      <w:r w:rsidR="008B6E4A">
        <w:t>[προϋποθέσεις υπό τις οποίες διεξάγεται η έρευνα στα έμβρυα]</w:t>
      </w:r>
      <w:r w:rsidR="003B624A" w:rsidRPr="008B6E4A">
        <w:t>,</w:t>
      </w:r>
      <w:r w:rsidR="003B624A">
        <w:t xml:space="preserve"> </w:t>
      </w:r>
      <w:r w:rsidR="007A4195">
        <w:t xml:space="preserve">τα υποβοηθούμενα πρόσωπα ή το επιζών υποβοηθούμενο πρόσωπο </w:t>
      </w:r>
      <w:r w:rsidR="002A191B">
        <w:t>μπορούν επίσης να συναινέσουν ώστε τα</w:t>
      </w:r>
      <w:r w:rsidR="003B624A">
        <w:t xml:space="preserve"> κύτταρα που προέρχονται από </w:t>
      </w:r>
      <w:r w:rsidR="002A191B">
        <w:t>τα έμβρυά τους</w:t>
      </w:r>
      <w:r w:rsidR="003B624A">
        <w:t xml:space="preserve"> να μπουν σε μια προετοιμασία κυτταρικής θεραπείας με αποκλειστικά θ</w:t>
      </w:r>
      <w:r w:rsidR="001D25F1">
        <w:t>εραπευτικούς σκοπούς</w:t>
      </w:r>
      <w:r w:rsidR="00551903">
        <w:rPr>
          <w:rStyle w:val="FootnoteReference"/>
        </w:rPr>
        <w:footnoteReference w:id="281"/>
      </w:r>
      <w:r w:rsidR="003B624A">
        <w:t>.</w:t>
      </w:r>
    </w:p>
    <w:p w14:paraId="4096F5C6" w14:textId="0AD29C87" w:rsidR="003B624A" w:rsidRDefault="003B624A" w:rsidP="003B624A">
      <w:r>
        <w:t xml:space="preserve">Επίσης, αξίζει να σημειωθεί ότι κατά τις διατάξεις του άρθρου </w:t>
      </w:r>
      <w:r w:rsidRPr="001D7418">
        <w:rPr>
          <w:b/>
        </w:rPr>
        <w:t>L. 21</w:t>
      </w:r>
      <w:r>
        <w:rPr>
          <w:b/>
        </w:rPr>
        <w:t>3</w:t>
      </w:r>
      <w:r w:rsidRPr="001D7418">
        <w:rPr>
          <w:b/>
        </w:rPr>
        <w:t>1-4</w:t>
      </w:r>
      <w:r>
        <w:rPr>
          <w:b/>
        </w:rPr>
        <w:t xml:space="preserve">, παρ. 8, ΚΔΥ, </w:t>
      </w:r>
      <w:r>
        <w:t>σε περίπτωση που διαγνωσθεί σε ένα έμβρυο, κατόπιν διενέργειας προεμφυτευτικής διάγνωσης, ανωμαλία ή ανωμαλίες που ευθύνονται για μία από τις παθήσεις που αναφέρονται στο δεύτερο εδάφιο του ίδιου άρθρου [σοβαρή και ανίατη γενετική ασθένεια], εάν τα δύο υποβοηθούμενα πρόσωπα επιβεβαιώσουν την πρόθεσή τους να μη συνεχίσουν τον «οικογενειακό τους προγραμματισμό» με το συγκεκριμένο έμβρυο, δύνανται να συναινέσουν ώστε αυτ</w:t>
      </w:r>
      <w:r w:rsidR="00084E6B">
        <w:t xml:space="preserve">ό το τελευταίο να αποτελέσει </w:t>
      </w:r>
      <w:r>
        <w:t xml:space="preserve">αντικείμενο έρευνας υπό τις προϋποθέσεις που ορίζονται στο άρθρο </w:t>
      </w:r>
      <w:r w:rsidRPr="00515F22">
        <w:rPr>
          <w:lang w:val="fr-FR"/>
        </w:rPr>
        <w:t>L</w:t>
      </w:r>
      <w:r w:rsidRPr="00515F22">
        <w:t>. 2151-5</w:t>
      </w:r>
      <w:r w:rsidR="00A32B80">
        <w:t xml:space="preserve"> ΚΔΥ</w:t>
      </w:r>
      <w:r w:rsidR="006036A5">
        <w:t xml:space="preserve"> [προϋποθέσεις υπό τις οποίες διεξάγεται η έρευνα στα έμβρυα]</w:t>
      </w:r>
      <w:r>
        <w:t xml:space="preserve">. </w:t>
      </w:r>
      <w:r w:rsidR="00335E5D">
        <w:t>Κατά παρέκκλιση</w:t>
      </w:r>
      <w:r>
        <w:t xml:space="preserve"> του δευτέρου εδαφίου των άρθρων </w:t>
      </w:r>
      <w:r w:rsidRPr="00515F22">
        <w:rPr>
          <w:lang w:val="fr-FR"/>
        </w:rPr>
        <w:t>L</w:t>
      </w:r>
      <w:r w:rsidRPr="00515F22">
        <w:t xml:space="preserve">. </w:t>
      </w:r>
      <w:r>
        <w:t>1111</w:t>
      </w:r>
      <w:r w:rsidRPr="00515F22">
        <w:t>-</w:t>
      </w:r>
      <w:r>
        <w:t>2</w:t>
      </w:r>
      <w:r w:rsidR="00A32B80">
        <w:t xml:space="preserve"> ΚΔΥ</w:t>
      </w:r>
      <w:r>
        <w:t xml:space="preserve"> </w:t>
      </w:r>
      <w:r w:rsidR="006036A5">
        <w:t xml:space="preserve">[υποχρέωση </w:t>
      </w:r>
      <w:r w:rsidR="00C06883">
        <w:t>κάθε επαγγελματία υγείας να ενημερώνει τον ασθενή σχετικά με την κατάσταση της υγείας του</w:t>
      </w:r>
      <w:r w:rsidR="006036A5">
        <w:t xml:space="preserve">] </w:t>
      </w:r>
      <w:r>
        <w:t xml:space="preserve">και </w:t>
      </w:r>
      <w:r w:rsidRPr="00515F22">
        <w:rPr>
          <w:lang w:val="fr-FR"/>
        </w:rPr>
        <w:t>L</w:t>
      </w:r>
      <w:r w:rsidRPr="00515F22">
        <w:t xml:space="preserve">. </w:t>
      </w:r>
      <w:r>
        <w:t>1111</w:t>
      </w:r>
      <w:r w:rsidRPr="00515F22">
        <w:t>-</w:t>
      </w:r>
      <w:r>
        <w:t>7</w:t>
      </w:r>
      <w:r w:rsidR="006036A5">
        <w:t xml:space="preserve"> </w:t>
      </w:r>
      <w:r w:rsidR="00A32B80">
        <w:t xml:space="preserve">ΚΔΥ </w:t>
      </w:r>
      <w:r w:rsidR="006036A5">
        <w:t>[δικαίωμα πρόσβασης ασθενούς στον ιατρικό του φάκελο</w:t>
      </w:r>
      <w:r w:rsidR="00C06883">
        <w:t xml:space="preserve"> απευθείας ή διαμέσω ιατρού που ο ίδιος ορίζει</w:t>
      </w:r>
      <w:r w:rsidR="006036A5">
        <w:t>]</w:t>
      </w:r>
      <w:r>
        <w:t xml:space="preserve">, μόνο ο ιατρός που έχει </w:t>
      </w:r>
      <w:r w:rsidR="00EC58D4">
        <w:t>ζητήσει τη διενέργεια των βιολογικών εξετάσεων</w:t>
      </w:r>
      <w:r>
        <w:t xml:space="preserve"> της προγεννητικής διάγνωσης μπορεί να ενημερώσει την έγκυο σχετικά με τα αποτελέσματά τους.  </w:t>
      </w:r>
    </w:p>
    <w:p w14:paraId="7A5F9693" w14:textId="647C9912" w:rsidR="003B624A" w:rsidRDefault="003B624A" w:rsidP="0068373B">
      <w:r>
        <w:t xml:space="preserve">Τέλος, σύμφωνα με τις διατάξεις του άρθρου </w:t>
      </w:r>
      <w:r w:rsidRPr="00861093">
        <w:rPr>
          <w:b/>
          <w:lang w:val="en-US"/>
        </w:rPr>
        <w:t>L</w:t>
      </w:r>
      <w:r w:rsidRPr="00861093">
        <w:rPr>
          <w:b/>
        </w:rPr>
        <w:t>. 2141-3</w:t>
      </w:r>
      <w:r>
        <w:rPr>
          <w:b/>
        </w:rPr>
        <w:t>, παρ. 3, ΚΔΥ</w:t>
      </w:r>
      <w:r>
        <w:t xml:space="preserve">, τα υποβοηθούμενα πρόσωπα δύνανται να συναινέσουν ώστε τα έμβρυα, που δε θα μπορέσουν να μεταφερθούν ή να </w:t>
      </w:r>
      <w:r w:rsidR="00C06883">
        <w:t>συν</w:t>
      </w:r>
      <w:r w:rsidR="00EC58D4">
        <w:t xml:space="preserve">τηρηθούν, να αποτελέσουν </w:t>
      </w:r>
      <w:r>
        <w:t xml:space="preserve">αντικείμενο </w:t>
      </w:r>
      <w:r w:rsidRPr="00F37688">
        <w:t>έρευνας</w:t>
      </w:r>
      <w:r>
        <w:t xml:space="preserve">, υπό τις προϋποθέσεις που προβλέπει για το σκοπό αυτό το άρθρο </w:t>
      </w:r>
      <w:r w:rsidRPr="00515F22">
        <w:rPr>
          <w:lang w:val="fr-FR"/>
        </w:rPr>
        <w:t>L</w:t>
      </w:r>
      <w:r w:rsidRPr="00515F22">
        <w:t xml:space="preserve">. </w:t>
      </w:r>
      <w:r>
        <w:t>2151</w:t>
      </w:r>
      <w:r w:rsidRPr="00515F22">
        <w:t>-</w:t>
      </w:r>
      <w:r>
        <w:t>5 ΚΔΥ</w:t>
      </w:r>
      <w:r w:rsidR="00C06883">
        <w:t xml:space="preserve"> [προϋποθέσεις υπό τις οποίες διεξάγεται η έρευνα στα έμβρυα]</w:t>
      </w:r>
      <w:r w:rsidR="00FB4862">
        <w:rPr>
          <w:rStyle w:val="FootnoteReference"/>
        </w:rPr>
        <w:footnoteReference w:id="282"/>
      </w:r>
      <w:r>
        <w:t>.</w:t>
      </w:r>
    </w:p>
    <w:p w14:paraId="402089F3" w14:textId="37779D03" w:rsidR="00F62ACF" w:rsidRDefault="004547B2" w:rsidP="004547B2">
      <w:pPr>
        <w:pStyle w:val="Heading5"/>
      </w:pPr>
      <w:r>
        <w:t>iii</w:t>
      </w:r>
      <w:r w:rsidR="00F62ACF">
        <w:t>. Καταστροφή πλεοναζόντων κρυοσυντηρημένων εμβρύων για έρευνα</w:t>
      </w:r>
    </w:p>
    <w:p w14:paraId="3B59158E" w14:textId="47C8D8BF" w:rsidR="004545A5" w:rsidRDefault="004545A5" w:rsidP="004545A5">
      <w:r>
        <w:t>Τέλος, σύμφωνα πάντα με το</w:t>
      </w:r>
      <w:r w:rsidRPr="001D7418">
        <w:t xml:space="preserve"> άρθρο </w:t>
      </w:r>
      <w:r w:rsidRPr="001D7418">
        <w:rPr>
          <w:b/>
        </w:rPr>
        <w:t>L. 2141-4</w:t>
      </w:r>
      <w:r>
        <w:rPr>
          <w:b/>
        </w:rPr>
        <w:t>, παρ. ΙΙ (3</w:t>
      </w:r>
      <w:r w:rsidRPr="0012600E">
        <w:rPr>
          <w:b/>
          <w:vertAlign w:val="superscript"/>
        </w:rPr>
        <w:t>ο</w:t>
      </w:r>
      <w:r>
        <w:rPr>
          <w:b/>
        </w:rPr>
        <w:t>)</w:t>
      </w:r>
      <w:r w:rsidR="00EC58D4">
        <w:rPr>
          <w:b/>
        </w:rPr>
        <w:t xml:space="preserve"> ΚΔΥ</w:t>
      </w:r>
      <w:r>
        <w:rPr>
          <w:b/>
        </w:rPr>
        <w:t xml:space="preserve">, </w:t>
      </w:r>
      <w:r w:rsidRPr="004545A5">
        <w:t>σ</w:t>
      </w:r>
      <w:r>
        <w:t>ε περίπτωση που το ή τα κρυοσυντηρημένα έμβρυα του υποψήφιου υποβ</w:t>
      </w:r>
      <w:r w:rsidR="00EC58D4">
        <w:t>οηθούμενου ζευγαριού δεν αποτελούν</w:t>
      </w:r>
      <w:r>
        <w:t xml:space="preserve"> πια μέρος του «οικογενειακού του προγραμματισμού» ή σε περίπτωση θανάτου ενός εκ των δύο υποβοηθούμενων προσώπων, τα ενδιαφερόμενα πρόσωπα με κοινή τους δήλωση ή το επιζών ενδιαφερόμενο πρόσωπο με μονομερή δήλωσή του μπορούν να συναινέσουν ώστε να τεθεί τέρμα στη διατήρηση των εμβρύων τους. </w:t>
      </w:r>
    </w:p>
    <w:p w14:paraId="639CC01A" w14:textId="6150DDAB" w:rsidR="004545A5" w:rsidRDefault="004545A5" w:rsidP="004545A5">
      <w:r>
        <w:lastRenderedPageBreak/>
        <w:t xml:space="preserve">Ειδικότερα, και σε σχέση με το χρόνο κρυοσυντήρησης του γεννητικού υλικού ή των εμβρύων, </w:t>
      </w:r>
      <w:r w:rsidR="005930C6">
        <w:t xml:space="preserve">στην επόμενη παράγραφο (παρ. ΙΙΙ) </w:t>
      </w:r>
      <w:r>
        <w:t xml:space="preserve">του άρθρου </w:t>
      </w:r>
      <w:r w:rsidRPr="005B4915">
        <w:rPr>
          <w:b/>
        </w:rPr>
        <w:t>L. 2141-4</w:t>
      </w:r>
      <w:r w:rsidR="005B4915" w:rsidRPr="005B4915">
        <w:rPr>
          <w:b/>
        </w:rPr>
        <w:t xml:space="preserve"> ΚΔΥ</w:t>
      </w:r>
      <w:r w:rsidR="00EC58D4">
        <w:t xml:space="preserve">, </w:t>
      </w:r>
      <w:r>
        <w:t xml:space="preserve">ορίζεται ότι σε περίπτωση που ένα από τα υποβοηθούμενα πρόσωπα, κατόπιν πολλαπλών προσπαθειών του Κέντρου να το εντοπίσουν, δεν απαντά προκειμένου να γνωστοποιήσει τις προθέσεις του σχετικά με την κρυοσυντήρηση των εμβρύων, τίθεται τέρμα στη συντήρηση των εμβρύων, εάν η διάρκεια αυτής της τελευταίας </w:t>
      </w:r>
      <w:r w:rsidRPr="007D1623">
        <w:rPr>
          <w:b/>
        </w:rPr>
        <w:t>είναι τουλάχιστον ίση με πέντε (5) έτη</w:t>
      </w:r>
      <w:r w:rsidR="005930C6">
        <w:t xml:space="preserve">. </w:t>
      </w:r>
      <w:r w:rsidR="00EC58D4">
        <w:t>Το</w:t>
      </w:r>
      <w:r>
        <w:t xml:space="preserve"> ίδιο ισχύει και σε περίπτωση διαφωνίας μεταξύ των υποβοηθούμενων σχετικά με </w:t>
      </w:r>
      <w:r w:rsidR="00EC58D4">
        <w:t xml:space="preserve">το μέλλον </w:t>
      </w:r>
      <w:r>
        <w:t xml:space="preserve">των </w:t>
      </w:r>
      <w:r w:rsidR="00EC58D4">
        <w:t xml:space="preserve">κρυοσυντηρημένων </w:t>
      </w:r>
      <w:r>
        <w:t xml:space="preserve">εμβρύων. </w:t>
      </w:r>
    </w:p>
    <w:p w14:paraId="0F828548" w14:textId="00156B57" w:rsidR="004545A5" w:rsidRPr="004125B0" w:rsidRDefault="004545A5" w:rsidP="004545A5">
      <w:r>
        <w:t xml:space="preserve">Με το ίδιο σκεπτικό, εφόσον τα δύο υποβοηθούμενα πρόσωπα ή ο επιζών σύντροφος έχουν συναινέσει, κατά τις διατάξεις των άρθρων </w:t>
      </w:r>
      <w:r w:rsidRPr="007D1623">
        <w:rPr>
          <w:lang w:val="fr-FR"/>
        </w:rPr>
        <w:t>L</w:t>
      </w:r>
      <w:r w:rsidRPr="007D1623">
        <w:t>. 2141-5</w:t>
      </w:r>
      <w:r>
        <w:t xml:space="preserve"> και</w:t>
      </w:r>
      <w:r w:rsidRPr="007D1623">
        <w:t xml:space="preserve"> </w:t>
      </w:r>
      <w:r w:rsidRPr="007D1623">
        <w:rPr>
          <w:lang w:val="fr-FR"/>
        </w:rPr>
        <w:t>L</w:t>
      </w:r>
      <w:r w:rsidRPr="007D1623">
        <w:t>. 2141-6</w:t>
      </w:r>
      <w:r w:rsidR="00487BBE">
        <w:t xml:space="preserve"> ΚΔΥ</w:t>
      </w:r>
      <w:r>
        <w:t xml:space="preserve">, στη λήψη των εμβρύων τους από άλλο ζευγάρι και αυτό δεν έχει πραγματοποιηθεί </w:t>
      </w:r>
      <w:r w:rsidRPr="004439A8">
        <w:rPr>
          <w:b/>
        </w:rPr>
        <w:t>εντός χρονικού διαστήματος πέντε (5) ετών</w:t>
      </w:r>
      <w:r>
        <w:t xml:space="preserve"> από την ημέρα της παροχής έγγραφης συναίνεσης, </w:t>
      </w:r>
      <w:r w:rsidR="005930C6" w:rsidRPr="004125B0">
        <w:t xml:space="preserve">το άρθρο L. 2141-4, παρ. </w:t>
      </w:r>
      <w:r w:rsidR="005930C6" w:rsidRPr="004125B0">
        <w:rPr>
          <w:lang w:val="en-US"/>
        </w:rPr>
        <w:t>IV</w:t>
      </w:r>
      <w:r w:rsidR="005930C6" w:rsidRPr="004125B0">
        <w:t xml:space="preserve">, ΚΔΥ ορίζει ότι </w:t>
      </w:r>
      <w:r w:rsidRPr="004125B0">
        <w:t>τίθεται τέρμα στη συντήρηση των εμβρύων.</w:t>
      </w:r>
    </w:p>
    <w:p w14:paraId="1D3FDAD9" w14:textId="77777777" w:rsidR="00533FA0" w:rsidRDefault="00BE0244" w:rsidP="009F12C6">
      <w:r>
        <w:t xml:space="preserve">Όλα τα πρόσωπα αναφοράς, πάντως, με τα οποία διεξάχθηκαν οι συνεντεύξεις στη Γαλλία, συμφώνησαν ότι </w:t>
      </w:r>
      <w:r w:rsidR="00D50CB0">
        <w:t xml:space="preserve">στο υποβοηθούμενο ζευγάρι πρέπει να παρέχονται </w:t>
      </w:r>
      <w:r>
        <w:t>και οι τρεις</w:t>
      </w:r>
      <w:r w:rsidR="00533FA0" w:rsidRPr="006C12D2">
        <w:rPr>
          <w:lang w:val="fr-FR"/>
        </w:rPr>
        <w:t xml:space="preserve"> </w:t>
      </w:r>
      <w:r w:rsidR="00533FA0" w:rsidRPr="006C12D2">
        <w:t>εναλλακτικές</w:t>
      </w:r>
      <w:r w:rsidR="00533FA0" w:rsidRPr="006C12D2">
        <w:rPr>
          <w:lang w:val="fr-FR"/>
        </w:rPr>
        <w:t xml:space="preserve">, </w:t>
      </w:r>
      <w:r>
        <w:rPr>
          <w:lang w:val="fr-FR"/>
        </w:rPr>
        <w:t xml:space="preserve">ώστε να καταλήγει στην απόφασή του </w:t>
      </w:r>
      <w:r w:rsidR="00533FA0" w:rsidRPr="006C12D2">
        <w:t>σύμφωνα</w:t>
      </w:r>
      <w:r w:rsidR="00533FA0" w:rsidRPr="006C12D2">
        <w:rPr>
          <w:lang w:val="fr-FR"/>
        </w:rPr>
        <w:t xml:space="preserve"> </w:t>
      </w:r>
      <w:r w:rsidR="00533FA0" w:rsidRPr="006C12D2">
        <w:t>με</w:t>
      </w:r>
      <w:r w:rsidR="00533FA0" w:rsidRPr="006C12D2">
        <w:rPr>
          <w:lang w:val="fr-FR"/>
        </w:rPr>
        <w:t xml:space="preserve"> </w:t>
      </w:r>
      <w:r w:rsidR="00533FA0" w:rsidRPr="006C12D2">
        <w:t>τη</w:t>
      </w:r>
      <w:r w:rsidR="00533FA0" w:rsidRPr="006C12D2">
        <w:rPr>
          <w:lang w:val="fr-FR"/>
        </w:rPr>
        <w:t xml:space="preserve"> </w:t>
      </w:r>
      <w:r w:rsidR="00533FA0" w:rsidRPr="006C12D2">
        <w:t>βούληση</w:t>
      </w:r>
      <w:r w:rsidR="00533FA0" w:rsidRPr="006C12D2">
        <w:rPr>
          <w:lang w:val="fr-FR"/>
        </w:rPr>
        <w:t xml:space="preserve"> </w:t>
      </w:r>
      <w:r w:rsidR="00533FA0" w:rsidRPr="006C12D2">
        <w:t>και</w:t>
      </w:r>
      <w:r w:rsidR="00533FA0" w:rsidRPr="006C12D2">
        <w:rPr>
          <w:lang w:val="fr-FR"/>
        </w:rPr>
        <w:t xml:space="preserve"> </w:t>
      </w:r>
      <w:r w:rsidR="00533FA0" w:rsidRPr="006C12D2">
        <w:t>τις</w:t>
      </w:r>
      <w:r w:rsidR="00533FA0" w:rsidRPr="006C12D2">
        <w:rPr>
          <w:lang w:val="fr-FR"/>
        </w:rPr>
        <w:t xml:space="preserve"> </w:t>
      </w:r>
      <w:r w:rsidR="00533FA0" w:rsidRPr="006C12D2">
        <w:t>επιθυμίες</w:t>
      </w:r>
      <w:r w:rsidR="00533FA0" w:rsidRPr="006C12D2">
        <w:rPr>
          <w:lang w:val="fr-FR"/>
        </w:rPr>
        <w:t xml:space="preserve"> </w:t>
      </w:r>
      <w:r w:rsidR="00533FA0" w:rsidRPr="006C12D2">
        <w:t>του</w:t>
      </w:r>
      <w:r w:rsidR="00150547">
        <w:rPr>
          <w:rStyle w:val="FootnoteReference"/>
        </w:rPr>
        <w:footnoteReference w:id="283"/>
      </w:r>
      <w:r w:rsidR="00533FA0" w:rsidRPr="006C12D2">
        <w:rPr>
          <w:lang w:val="fr-FR"/>
        </w:rPr>
        <w:t xml:space="preserve">. </w:t>
      </w:r>
      <w:r w:rsidR="00533FA0" w:rsidRPr="006C12D2">
        <w:t xml:space="preserve">Στην περίπτωση, μάλιστα, που </w:t>
      </w:r>
      <w:r w:rsidR="009F12C6">
        <w:t>το ζευγάρι δεν ανταποκρίνεται</w:t>
      </w:r>
      <w:r w:rsidR="00533FA0" w:rsidRPr="006C12D2">
        <w:t xml:space="preserve"> σ</w:t>
      </w:r>
      <w:r w:rsidR="00F2336D">
        <w:t>το κάλεσμα του κέντρου να πάρει</w:t>
      </w:r>
      <w:r w:rsidR="00533FA0" w:rsidRPr="006C12D2">
        <w:t xml:space="preserve"> απόφαση γ</w:t>
      </w:r>
      <w:r w:rsidR="00F2336D">
        <w:t>ια το μέλλον του γεννητικού του</w:t>
      </w:r>
      <w:r w:rsidR="00533FA0" w:rsidRPr="006C12D2">
        <w:t xml:space="preserve"> υλικού, </w:t>
      </w:r>
      <w:r w:rsidR="009F12C6">
        <w:t xml:space="preserve">ο καθηγητής </w:t>
      </w:r>
      <w:r w:rsidR="009F12C6">
        <w:rPr>
          <w:lang w:val="en-US"/>
        </w:rPr>
        <w:t xml:space="preserve">Guerin επισημαίνει ότι είναι σημαντικό να </w:t>
      </w:r>
      <w:r w:rsidR="009F12C6">
        <w:t xml:space="preserve">γίνει κατανοητό </w:t>
      </w:r>
      <w:r w:rsidR="00F2336D">
        <w:t>ότι το ζευγάρι το κάνει</w:t>
      </w:r>
      <w:r w:rsidR="00533FA0" w:rsidRPr="006C12D2">
        <w:t xml:space="preserve"> όχι από </w:t>
      </w:r>
      <w:r w:rsidR="00F2336D">
        <w:t>αδιαφορία, αλλά γιατί δε μπορεί</w:t>
      </w:r>
      <w:r w:rsidR="00533FA0" w:rsidRPr="006C12D2">
        <w:t xml:space="preserve"> </w:t>
      </w:r>
      <w:r w:rsidR="009F12C6">
        <w:t xml:space="preserve">πάντα </w:t>
      </w:r>
      <w:r w:rsidR="00F2336D">
        <w:t>να πάρει</w:t>
      </w:r>
      <w:r w:rsidR="00533FA0" w:rsidRPr="006C12D2">
        <w:t xml:space="preserve"> μια </w:t>
      </w:r>
      <w:r w:rsidR="00F2336D">
        <w:t xml:space="preserve">τόσο δύσκολη </w:t>
      </w:r>
      <w:r w:rsidR="00533FA0" w:rsidRPr="006C12D2">
        <w:t>απόφαση. Γι’ αυτό</w:t>
      </w:r>
      <w:r w:rsidR="00F2336D">
        <w:t xml:space="preserve">, </w:t>
      </w:r>
      <w:r w:rsidR="00533FA0" w:rsidRPr="006C12D2">
        <w:t>ουσιαστικά</w:t>
      </w:r>
      <w:r w:rsidR="00F2336D">
        <w:t>, αποφεύγοντας να απαντήσει, ρίχνει</w:t>
      </w:r>
      <w:r w:rsidR="00533FA0" w:rsidRPr="006C12D2">
        <w:t xml:space="preserve"> το βάρος της απόφασης στον ιατρό και την</w:t>
      </w:r>
      <w:r w:rsidR="00F2336D">
        <w:t xml:space="preserve"> ομάδα του. Στην </w:t>
      </w:r>
      <w:r w:rsidR="00D73F72">
        <w:t>τελευταία αυτή περίπτωση</w:t>
      </w:r>
      <w:r w:rsidR="00F2336D">
        <w:t xml:space="preserve">, ο καθηγητής, υποστηρίζει ότι </w:t>
      </w:r>
      <w:r w:rsidR="00533FA0" w:rsidRPr="006C12D2">
        <w:t xml:space="preserve">το κέντρο πρέπει να προβαίνει </w:t>
      </w:r>
      <w:r w:rsidR="00F2336D">
        <w:t xml:space="preserve">αποκλειστικά και μόνο </w:t>
      </w:r>
      <w:r w:rsidR="00533FA0" w:rsidRPr="006C12D2">
        <w:t>στην καταστροφή του πλεονάζοντος γεννητικού υλικού</w:t>
      </w:r>
      <w:r w:rsidR="00BC77F2">
        <w:rPr>
          <w:rStyle w:val="FootnoteReference"/>
        </w:rPr>
        <w:footnoteReference w:id="284"/>
      </w:r>
      <w:r w:rsidR="00533FA0" w:rsidRPr="006C12D2">
        <w:t xml:space="preserve">.  </w:t>
      </w:r>
    </w:p>
    <w:p w14:paraId="35BB7972" w14:textId="7C10FED4" w:rsidR="00121546" w:rsidRDefault="00361CD6" w:rsidP="00361CD6">
      <w:r>
        <w:t xml:space="preserve">Αντίθετη γνώμη έχει η </w:t>
      </w:r>
      <w:r>
        <w:rPr>
          <w:lang w:val="en-US"/>
        </w:rPr>
        <w:t xml:space="preserve">Aude Mirkovic, </w:t>
      </w:r>
      <w:r>
        <w:t xml:space="preserve">η οποία θεωρεί γενικότερα ότι μόνο οι γαμέτες θα έπρεπε να κρυοσυντηρούνται προκειμένου να αξιοποιηθούν από το ίδιο το ζευγάρι </w:t>
      </w:r>
      <w:r w:rsidR="00487BBE">
        <w:t>μεταγενέστερα</w:t>
      </w:r>
      <w:r>
        <w:t>. Εάν δε χ</w:t>
      </w:r>
      <w:r w:rsidR="004D29D5">
        <w:t>ρησιμοποιηθούν από το ζευγάρι, υποστηρίζει</w:t>
      </w:r>
      <w:r>
        <w:t xml:space="preserve"> ότι πρέπει να κα</w:t>
      </w:r>
      <w:r w:rsidR="006A068B">
        <w:t>τα</w:t>
      </w:r>
      <w:r>
        <w:t>στρέ</w:t>
      </w:r>
      <w:r w:rsidR="000B3BC0">
        <w:t>φονται. Με άλλα λόγια, η</w:t>
      </w:r>
      <w:r>
        <w:t xml:space="preserve"> δωρεά </w:t>
      </w:r>
      <w:r w:rsidR="000B3BC0">
        <w:t xml:space="preserve">των γαμετών </w:t>
      </w:r>
      <w:r>
        <w:t xml:space="preserve">σε τρίτο ζευγάρι </w:t>
      </w:r>
      <w:r w:rsidR="004D29D5">
        <w:t>και</w:t>
      </w:r>
      <w:r>
        <w:t xml:space="preserve"> η δωρεά </w:t>
      </w:r>
      <w:r w:rsidR="000B3BC0">
        <w:t xml:space="preserve">τους </w:t>
      </w:r>
      <w:r>
        <w:t xml:space="preserve">για </w:t>
      </w:r>
      <w:r w:rsidR="004D29D5">
        <w:t>έρευνα δε θα έπρεπε να συνιστούν</w:t>
      </w:r>
      <w:r>
        <w:t xml:space="preserve"> εναλλακτικές του ζευγαριού. </w:t>
      </w:r>
      <w:r w:rsidRPr="00E51344">
        <w:t xml:space="preserve">Σε ό,τι αφορά στα γονιμοποιημένα ωάρια/έμβρυα, η </w:t>
      </w:r>
      <w:r w:rsidR="004D29D5">
        <w:rPr>
          <w:lang w:val="en-US"/>
        </w:rPr>
        <w:t>Aude</w:t>
      </w:r>
      <w:r>
        <w:t xml:space="preserve"> </w:t>
      </w:r>
      <w:r>
        <w:rPr>
          <w:lang w:val="en-US"/>
        </w:rPr>
        <w:t xml:space="preserve">Mirkovic </w:t>
      </w:r>
      <w:r>
        <w:t xml:space="preserve">υποστηρίζει ότι η </w:t>
      </w:r>
      <w:r w:rsidR="000B3BC0">
        <w:t xml:space="preserve">ίδια η </w:t>
      </w:r>
      <w:r w:rsidRPr="00E51344">
        <w:t xml:space="preserve">κρυοσυντήρησή τους είναι πολύ κακή λύση, οπότε οποιαδήποτε εναλλακτική </w:t>
      </w:r>
      <w:r w:rsidR="008A08CA">
        <w:t xml:space="preserve">που σχετίζεται με αυτή </w:t>
      </w:r>
      <w:r w:rsidR="004D29D5">
        <w:t xml:space="preserve">είναι εξίσου κακή λύση και </w:t>
      </w:r>
      <w:r w:rsidR="006A068B">
        <w:t>δε θα έπρεπε να πρ</w:t>
      </w:r>
      <w:r w:rsidR="004D29D5">
        <w:t>οτείνεται</w:t>
      </w:r>
      <w:r w:rsidR="006A068B">
        <w:t xml:space="preserve"> στο ζευγάρι</w:t>
      </w:r>
      <w:r w:rsidRPr="00E51344">
        <w:t>. Γι’ αυτό</w:t>
      </w:r>
      <w:r w:rsidR="008A08CA">
        <w:t xml:space="preserve">, άλλωστε, πιστεύει </w:t>
      </w:r>
      <w:r w:rsidR="008A08CA">
        <w:lastRenderedPageBreak/>
        <w:t>ότι</w:t>
      </w:r>
      <w:r w:rsidRPr="00E51344">
        <w:t xml:space="preserve"> δε θα έπρεπε να επιτρέπε</w:t>
      </w:r>
      <w:r w:rsidR="008A08CA">
        <w:t xml:space="preserve">ται η κρυοσυντήρηση των εμβρύων, ώστε </w:t>
      </w:r>
      <w:r w:rsidRPr="00E51344">
        <w:t xml:space="preserve">να μη χρειάζεται να </w:t>
      </w:r>
      <w:r w:rsidR="008A08CA">
        <w:t>αντιμετωπίζουν</w:t>
      </w:r>
      <w:r w:rsidRPr="00E51344">
        <w:t xml:space="preserve"> οι ιατροί και τα ζευγάρια τέτοι</w:t>
      </w:r>
      <w:r w:rsidR="006A068B">
        <w:t>ου είδους</w:t>
      </w:r>
      <w:r w:rsidRPr="00E51344">
        <w:t xml:space="preserve"> </w:t>
      </w:r>
      <w:r w:rsidR="006A068B" w:rsidRPr="00E51344">
        <w:t>διλήμματα</w:t>
      </w:r>
      <w:r w:rsidR="00E12F31">
        <w:rPr>
          <w:rStyle w:val="FootnoteReference"/>
        </w:rPr>
        <w:footnoteReference w:id="285"/>
      </w:r>
      <w:r w:rsidRPr="00E51344">
        <w:t xml:space="preserve">.  </w:t>
      </w:r>
      <w:r w:rsidR="004D29D5">
        <w:t xml:space="preserve"> </w:t>
      </w:r>
    </w:p>
    <w:p w14:paraId="742ED03F" w14:textId="0CB9C062" w:rsidR="001D470F" w:rsidRDefault="00B70E51" w:rsidP="004320AE">
      <w:r>
        <w:t>Ειδικότερα,</w:t>
      </w:r>
      <w:r w:rsidR="004320AE">
        <w:t xml:space="preserve"> δε,</w:t>
      </w:r>
      <w:r>
        <w:t xml:space="preserve"> σε ότι αφορά στην καταστροφή του γεννητικού υλικού από το κέντρο ιατρικά υποβοηθούμενης αναπαραγωγής που είναι υπεύθυν</w:t>
      </w:r>
      <w:r w:rsidR="004320AE">
        <w:t>ο</w:t>
      </w:r>
      <w:r>
        <w:t xml:space="preserve"> για την κρυοσυντήρησή του, ενδιαφέρον παρουσιάζει η νομολογία του Διοικητικού</w:t>
      </w:r>
      <w:r w:rsidRPr="00390B86">
        <w:t xml:space="preserve"> Εφετείο</w:t>
      </w:r>
      <w:r>
        <w:t>υ</w:t>
      </w:r>
      <w:r w:rsidRPr="00390B86">
        <w:t xml:space="preserve"> της </w:t>
      </w:r>
      <w:r w:rsidRPr="00390B86">
        <w:rPr>
          <w:lang w:val="fr-FR"/>
        </w:rPr>
        <w:t>Douai</w:t>
      </w:r>
      <w:r>
        <w:rPr>
          <w:rStyle w:val="FootnoteReference"/>
          <w:lang w:val="fr-FR"/>
        </w:rPr>
        <w:footnoteReference w:id="286"/>
      </w:r>
      <w:r>
        <w:rPr>
          <w:lang w:val="fr-FR"/>
        </w:rPr>
        <w:t xml:space="preserve">. Πιο συγκεκριμένα, </w:t>
      </w:r>
      <w:r w:rsidR="004320AE">
        <w:rPr>
          <w:lang w:val="fr-FR"/>
        </w:rPr>
        <w:t>σύμφωνα με τα πραγματικά περιστατικά της υπόθεσης, ο</w:t>
      </w:r>
      <w:r w:rsidR="00CB37F7">
        <w:t xml:space="preserve"> κ. και η κυρία</w:t>
      </w:r>
      <w:r w:rsidR="00CE6EC2">
        <w:t xml:space="preserve"> Χ</w:t>
      </w:r>
      <w:r w:rsidR="004320AE" w:rsidRPr="00390B86">
        <w:t xml:space="preserve"> </w:t>
      </w:r>
      <w:r w:rsidR="00FA47DE">
        <w:t>υπέβαλαν,</w:t>
      </w:r>
      <w:r w:rsidR="00CE6EC2">
        <w:t xml:space="preserve"> </w:t>
      </w:r>
      <w:r w:rsidR="00CE6EC2" w:rsidRPr="00390B86">
        <w:t xml:space="preserve">στις 20 Μαρτίου 1996, </w:t>
      </w:r>
      <w:r w:rsidR="004320AE" w:rsidRPr="00390B86">
        <w:t xml:space="preserve">αίτημα ιατρικά υποβοηθούμενης αναπαραγωγής στο Πανεπιστημιακό νοσοκομείο της </w:t>
      </w:r>
      <w:r w:rsidR="004320AE" w:rsidRPr="00390B86">
        <w:rPr>
          <w:lang w:val="fr-FR"/>
        </w:rPr>
        <w:t>Amiens</w:t>
      </w:r>
      <w:r w:rsidR="004320AE" w:rsidRPr="00390B86">
        <w:t xml:space="preserve">, κατ’ εφαρμογή των διατάξεων του άρθρου </w:t>
      </w:r>
      <w:r w:rsidR="004320AE" w:rsidRPr="00390B86">
        <w:rPr>
          <w:lang w:val="fr-FR"/>
        </w:rPr>
        <w:t>L</w:t>
      </w:r>
      <w:r w:rsidR="004320AE" w:rsidRPr="00390B86">
        <w:t xml:space="preserve">. 2141-1 του </w:t>
      </w:r>
      <w:r w:rsidR="00CE6EC2">
        <w:t>ΚΔΥ</w:t>
      </w:r>
      <w:r w:rsidR="004320AE" w:rsidRPr="00390B86">
        <w:t>. Μετά την επιτυχή (εν μέρει) εμφύτευση τριών εμβρύων, η κ</w:t>
      </w:r>
      <w:r w:rsidR="00CB37F7">
        <w:t>υρί</w:t>
      </w:r>
      <w:r w:rsidR="004320AE" w:rsidRPr="00390B86">
        <w:t>α Χ γέννησε δίδυμα το 1998</w:t>
      </w:r>
      <w:r w:rsidR="00195705">
        <w:t>. Όσο για τα πλεονάζοντα έμβρυα</w:t>
      </w:r>
      <w:r w:rsidR="004320AE" w:rsidRPr="00390B86">
        <w:t xml:space="preserve">, </w:t>
      </w:r>
      <w:r w:rsidR="00195705">
        <w:t>το ζευγάρι αποφάσισε να τα κρυοσυντηρήσει</w:t>
      </w:r>
      <w:r w:rsidR="004320AE" w:rsidRPr="00390B86">
        <w:t>. Δύο χρόνια αργότερα, στις 6 Οκτωβρίου 2000, το ζευγάρι ειδοποιήθηκε</w:t>
      </w:r>
      <w:r w:rsidR="00740A1C">
        <w:t>,</w:t>
      </w:r>
      <w:r w:rsidR="004320AE" w:rsidRPr="00390B86">
        <w:t xml:space="preserve"> με επιστολή του διευθυντή του Κέντρου </w:t>
      </w:r>
      <w:r w:rsidR="008D08E9">
        <w:t>ιατρ</w:t>
      </w:r>
      <w:r w:rsidR="00740A1C">
        <w:t>ικά υποβοηθούμενης αναπαραγωγής</w:t>
      </w:r>
      <w:r w:rsidR="008D08E9">
        <w:t xml:space="preserve"> που ήταν </w:t>
      </w:r>
      <w:r w:rsidR="00740A1C">
        <w:t xml:space="preserve">υπεύθυνο για τη συντήρησή τους, </w:t>
      </w:r>
      <w:r w:rsidR="004320AE" w:rsidRPr="00390B86">
        <w:t xml:space="preserve">ότι ένα απρόβλεπτο γεγονός είχε σοβαρές επιπτώσεις στα κρυοσυντηρημένα έμβρυά τους. </w:t>
      </w:r>
      <w:r w:rsidR="008D08E9">
        <w:t xml:space="preserve">Το ζευγάρι, ισχυριζόμενο ότι υπέστη ζημία, προσέφυγε στις </w:t>
      </w:r>
      <w:r w:rsidR="004320AE" w:rsidRPr="00390B86">
        <w:t xml:space="preserve">15 Ιουλίου 2002 ενώπιον του Διοικητικού Πρωτοδικείου της </w:t>
      </w:r>
      <w:r w:rsidR="004320AE" w:rsidRPr="00390B86">
        <w:rPr>
          <w:lang w:val="fr-FR"/>
        </w:rPr>
        <w:t>Amiens</w:t>
      </w:r>
      <w:r w:rsidR="008D08E9">
        <w:t>, ζητώντας</w:t>
      </w:r>
      <w:r w:rsidR="00740A1C">
        <w:t xml:space="preserve"> την καταδίκη του Κέντρου ιατρικά υποβοηθούμενης αναπαραγωγής</w:t>
      </w:r>
      <w:r w:rsidR="004320AE" w:rsidRPr="00390B86">
        <w:t xml:space="preserve"> στην καταβολή αποζημίωσης ύψους 207</w:t>
      </w:r>
      <w:r w:rsidR="008D08E9">
        <w:t>.</w:t>
      </w:r>
      <w:r w:rsidR="004320AE" w:rsidRPr="00390B86">
        <w:t>000 ευρώ για αποκατάσταση της ζημίας που υπέστη εξαιτίας της απώλειας των εννέα (</w:t>
      </w:r>
      <w:r w:rsidR="008D08E9">
        <w:t>9) εμβρύων, καθώς επίσης και 76.</w:t>
      </w:r>
      <w:r w:rsidR="004320AE" w:rsidRPr="00390B86">
        <w:t>225 ευρώ στη βάση της απώλειας κάθε μελλοντικής ευκαιρία</w:t>
      </w:r>
      <w:r w:rsidR="008D08E9">
        <w:t>ς</w:t>
      </w:r>
      <w:r w:rsidR="004320AE" w:rsidRPr="00390B86">
        <w:t xml:space="preserve"> να γίνουν γονείς. </w:t>
      </w:r>
      <w:r w:rsidR="008D08E9">
        <w:t>Το Διοικητικό Πρωτοδικείο έκανε δεκτή την προσφυγή του ζευγαριού, επιδικάζοντάς τους ωστόσο αποζημίωση ύψους 10.</w:t>
      </w:r>
      <w:r w:rsidR="008D08E9" w:rsidRPr="00390B86">
        <w:t>000 ευρώ</w:t>
      </w:r>
      <w:r w:rsidR="008D08E9">
        <w:t xml:space="preserve">. Κατόπιν τούτου, το ζευγάρι κατέθεσε έφεση κατά της </w:t>
      </w:r>
      <w:r w:rsidR="008D08E9" w:rsidRPr="00390B86">
        <w:t>από 9 Μαρτίου 2004</w:t>
      </w:r>
      <w:r w:rsidR="008D08E9">
        <w:t xml:space="preserve"> πρωτοβάθμιας απόφασης. Την ακύρωση της </w:t>
      </w:r>
      <w:r w:rsidR="00740A1C">
        <w:t>πρωτοβάθμιας</w:t>
      </w:r>
      <w:r w:rsidR="008D08E9">
        <w:t xml:space="preserve"> απόφασης ζήτησε και το</w:t>
      </w:r>
      <w:r w:rsidR="004320AE" w:rsidRPr="00390B86">
        <w:t xml:space="preserve"> Κέντρο </w:t>
      </w:r>
      <w:r w:rsidR="008D08E9">
        <w:t>αναπαραγωγής</w:t>
      </w:r>
      <w:r w:rsidR="004320AE" w:rsidRPr="00390B86">
        <w:t xml:space="preserve"> της </w:t>
      </w:r>
      <w:r w:rsidR="004320AE" w:rsidRPr="00390B86">
        <w:rPr>
          <w:lang w:val="fr-FR"/>
        </w:rPr>
        <w:t>Amiens</w:t>
      </w:r>
      <w:r w:rsidR="008D08E9">
        <w:t xml:space="preserve">, </w:t>
      </w:r>
      <w:r w:rsidR="004320AE" w:rsidRPr="00390B86">
        <w:t>ισχυριζόμενο, αφενός, ότι δεν έχει καμία ευθύνη για το συμβά</w:t>
      </w:r>
      <w:r w:rsidR="00740A1C">
        <w:t>ν, αφετέρου, ότι το ζευγάρι δεν</w:t>
      </w:r>
      <w:r w:rsidR="004320AE" w:rsidRPr="00390B86">
        <w:t xml:space="preserve"> υπέστη καμία ζημία</w:t>
      </w:r>
    </w:p>
    <w:p w14:paraId="42F7E5D1" w14:textId="1A98E67B" w:rsidR="008B0CEF" w:rsidRPr="00390B86" w:rsidRDefault="008B0CEF" w:rsidP="008B0CEF">
      <w:r>
        <w:t xml:space="preserve">Το Διοικητικό Εφετείο </w:t>
      </w:r>
      <w:r w:rsidRPr="00390B86">
        <w:t xml:space="preserve">της </w:t>
      </w:r>
      <w:r w:rsidRPr="00390B86">
        <w:rPr>
          <w:lang w:val="fr-FR"/>
        </w:rPr>
        <w:t>Douai</w:t>
      </w:r>
      <w:r>
        <w:t xml:space="preserve"> δέχτηκε</w:t>
      </w:r>
      <w:r w:rsidR="003701DF">
        <w:t xml:space="preserve"> καταρχάς</w:t>
      </w:r>
      <w:r w:rsidRPr="00390B86">
        <w:t xml:space="preserve"> </w:t>
      </w:r>
      <w:r>
        <w:t xml:space="preserve">ότι σύμφωνα με το Κέντρο ιατρικά </w:t>
      </w:r>
      <w:r w:rsidR="003D51D9">
        <w:t>υποβοηθούμενης</w:t>
      </w:r>
      <w:r>
        <w:t xml:space="preserve"> αναπαραγωγής </w:t>
      </w:r>
      <w:r w:rsidR="003D51D9">
        <w:t>τα διάδικα πρόσωπα δεν είχαν</w:t>
      </w:r>
      <w:r w:rsidRPr="00390B86">
        <w:t xml:space="preserve"> πλέο</w:t>
      </w:r>
      <w:r w:rsidR="003D51D9">
        <w:t>ν καμία πρόθεση να τεκνοποιήσουν</w:t>
      </w:r>
      <w:r w:rsidRPr="00390B86">
        <w:t xml:space="preserve">, κάτι το οποίο αποδεικνύεται </w:t>
      </w:r>
      <w:r w:rsidR="003D51D9">
        <w:t xml:space="preserve">από τα ακόλουθα γεγονότα: </w:t>
      </w:r>
      <w:r w:rsidRPr="00390B86">
        <w:t xml:space="preserve">μετά τη </w:t>
      </w:r>
      <w:r w:rsidR="003D51D9">
        <w:t xml:space="preserve">γέννηση των δίδυμων τέκνων τους, </w:t>
      </w:r>
      <w:r w:rsidRPr="00390B86">
        <w:t>το 1998</w:t>
      </w:r>
      <w:r w:rsidR="003D51D9">
        <w:t>,</w:t>
      </w:r>
      <w:r w:rsidRPr="00390B86">
        <w:t xml:space="preserve"> και έως ότου λάβουν την επιστολή του Διευθυντή το</w:t>
      </w:r>
      <w:r w:rsidR="003D51D9">
        <w:t>υ Κέντρου στις 6 Οκτωβρίου 2000</w:t>
      </w:r>
      <w:r w:rsidR="00740A1C">
        <w:t xml:space="preserve">, </w:t>
      </w:r>
      <w:r w:rsidRPr="00390B86">
        <w:t>δε διατ</w:t>
      </w:r>
      <w:r w:rsidR="003D51D9">
        <w:t xml:space="preserve">ηρούσαν καμία </w:t>
      </w:r>
      <w:r w:rsidR="00740A1C">
        <w:t>επικοινωνία</w:t>
      </w:r>
      <w:r w:rsidR="003D51D9">
        <w:t xml:space="preserve"> με το Κέντρο. Επίσης, αφού έλαβαν την επιστολή του Διευθυντή του Κέντρου, </w:t>
      </w:r>
      <w:r w:rsidRPr="00390B86">
        <w:t xml:space="preserve">περίμεναν για πάνω από 18 μήνες για να κλείσουν ραντεβού στο Κέντρο, </w:t>
      </w:r>
      <w:r w:rsidR="003D51D9">
        <w:t>ενώ,</w:t>
      </w:r>
      <w:r w:rsidRPr="00390B86">
        <w:t xml:space="preserve"> μετά την πραγματοποίηση της συνάντησης αυτής, δεν αποκρίθηκαν ούτε στο αίτημα του Κέντρου να τους διαβιβάσουν τις επιθυμίες τους ως προς την τύχη των 9 εμβρύων, ούτε στην πρόταση του Κέντρου να επιχειρήσουν, με </w:t>
      </w:r>
      <w:r w:rsidRPr="00390B86">
        <w:lastRenderedPageBreak/>
        <w:t>δαπάνες του Κέντρου, ένα νέο κύκλο εξωσωματικής γονιμοποίησης. Επιπλέον, σημειώνεται ότι το Δικαστήριο θεωρεί κρίσιμο στοιχείο ότι σε καμία χρονική στιγμή, ούτε ενώπιο</w:t>
      </w:r>
      <w:r w:rsidR="00C52201">
        <w:t xml:space="preserve">ν του πρωτοβάθμιου Δικαστηρίου </w:t>
      </w:r>
      <w:r w:rsidRPr="00390B86">
        <w:t xml:space="preserve">ούτε ενώπιον του Εφετείου, το ζευγάρι δεν άφησε να εννοηθεί ότι επιθυμούσε να αποκτήσει </w:t>
      </w:r>
      <w:r w:rsidR="00740A1C">
        <w:t>κ</w:t>
      </w:r>
      <w:r w:rsidRPr="00390B86">
        <w:t>ι άλλα τ</w:t>
      </w:r>
      <w:r w:rsidR="00740A1C">
        <w:t>έκνα. Αντιθέτως, διευκρινίστηκε</w:t>
      </w:r>
      <w:r w:rsidR="00C52201">
        <w:t xml:space="preserve">, στο υπόμνημά τους, </w:t>
      </w:r>
      <w:r w:rsidRPr="00390B86">
        <w:t>ότι η γέννηση των δύο δίδυμων παιδιών τους ικανοποίησε την επιθυμία τους να γίνο</w:t>
      </w:r>
      <w:r w:rsidR="00C52201">
        <w:t xml:space="preserve">υν γονείς. Είναι μάλλον οξύμωρο, συνεπώς, </w:t>
      </w:r>
      <w:r w:rsidRPr="00390B86">
        <w:t>ότι ο κ. και η κ</w:t>
      </w:r>
      <w:r w:rsidR="00C52201">
        <w:t>υρί</w:t>
      </w:r>
      <w:r w:rsidRPr="00390B86">
        <w:t>α Χ ισχυρίζονται ότι ζημιώθηκαν γιατί απώλεσαν κάθε μελλοντική ευκαιρία να γίνουν γονείς, ενώ ταυτόχρονα</w:t>
      </w:r>
      <w:r w:rsidR="00C52201">
        <w:t xml:space="preserve">, όπως αποδεικνύεται, </w:t>
      </w:r>
      <w:r w:rsidRPr="00390B86">
        <w:t>δεν είχαν καμία πρόθεση να</w:t>
      </w:r>
      <w:r w:rsidR="00C52201">
        <w:t xml:space="preserve"> ξαναγίνουν </w:t>
      </w:r>
      <w:r w:rsidRPr="00390B86">
        <w:t xml:space="preserve">γονείς. </w:t>
      </w:r>
    </w:p>
    <w:p w14:paraId="3B38502D" w14:textId="772CD36E" w:rsidR="008B0CEF" w:rsidRPr="00390B86" w:rsidRDefault="008B0CEF" w:rsidP="008B0CEF">
      <w:r w:rsidRPr="00390B86">
        <w:t xml:space="preserve">Υπό το φως των ανωτέρω διαπιστώσεων, και λαμβάνοντας υπόψη ότι η ιατρικά υποβοηθούμενη δημιουργία εμβρύων </w:t>
      </w:r>
      <w:r w:rsidRPr="007E6933">
        <w:rPr>
          <w:i/>
          <w:lang w:val="fr-FR"/>
        </w:rPr>
        <w:t>in</w:t>
      </w:r>
      <w:r w:rsidRPr="007E6933">
        <w:rPr>
          <w:i/>
        </w:rPr>
        <w:t xml:space="preserve"> </w:t>
      </w:r>
      <w:r w:rsidRPr="007E6933">
        <w:rPr>
          <w:i/>
          <w:lang w:val="fr-FR"/>
        </w:rPr>
        <w:t>vitro</w:t>
      </w:r>
      <w:r w:rsidRPr="00390B86">
        <w:t xml:space="preserve"> δε μπορεί να πραγματοποιηθεί, όπως ορίζεται στο άρθρο </w:t>
      </w:r>
      <w:r w:rsidRPr="00390B86">
        <w:rPr>
          <w:lang w:val="fr-FR"/>
        </w:rPr>
        <w:t>L</w:t>
      </w:r>
      <w:r w:rsidR="00740A1C">
        <w:t xml:space="preserve">. 2141-2 </w:t>
      </w:r>
      <w:r w:rsidR="007E6933">
        <w:t>ΚΔΥ</w:t>
      </w:r>
      <w:r w:rsidRPr="00390B86">
        <w:t>, παρά μόνο στο πλαίσιο του «</w:t>
      </w:r>
      <w:r w:rsidR="00E50924">
        <w:t>οικογενειακού προγραμματισμού</w:t>
      </w:r>
      <w:r w:rsidRPr="00390B86">
        <w:t>» (</w:t>
      </w:r>
      <w:r w:rsidRPr="00390B86">
        <w:rPr>
          <w:i/>
          <w:lang w:val="fr-FR"/>
        </w:rPr>
        <w:t>projet</w:t>
      </w:r>
      <w:r w:rsidRPr="00390B86">
        <w:rPr>
          <w:i/>
        </w:rPr>
        <w:t xml:space="preserve"> </w:t>
      </w:r>
      <w:r w:rsidRPr="00390B86">
        <w:rPr>
          <w:i/>
          <w:lang w:val="fr-FR"/>
        </w:rPr>
        <w:t>parental</w:t>
      </w:r>
      <w:r w:rsidRPr="00390B86">
        <w:t xml:space="preserve">) του υποβοηθούμενου ζευγαριού, το Εφετείο έκρινε ότι </w:t>
      </w:r>
      <w:r w:rsidRPr="00390B86">
        <w:rPr>
          <w:b/>
        </w:rPr>
        <w:t xml:space="preserve">η απώλεια των εμβρύων συνιστά αιτία ζημίας για την οποία το Κέντρο </w:t>
      </w:r>
      <w:r w:rsidR="00E50924">
        <w:rPr>
          <w:b/>
        </w:rPr>
        <w:t>ιατρικά υποβοηθούμενης αναπαραγωγής</w:t>
      </w:r>
      <w:r w:rsidRPr="00390B86">
        <w:rPr>
          <w:b/>
        </w:rPr>
        <w:t xml:space="preserve"> οφείλει αποζημίωση μόνο όταν το</w:t>
      </w:r>
      <w:r w:rsidR="00FC107C">
        <w:rPr>
          <w:b/>
        </w:rPr>
        <w:t xml:space="preserve"> ζευγάρι εξακολουθεί να έχει</w:t>
      </w:r>
      <w:r w:rsidRPr="00390B86">
        <w:rPr>
          <w:b/>
        </w:rPr>
        <w:t xml:space="preserve"> πρόθεση τεκνοποίησης. Έναντι</w:t>
      </w:r>
      <w:r w:rsidR="00FC107C">
        <w:rPr>
          <w:b/>
        </w:rPr>
        <w:t xml:space="preserve"> αποκλειστικά και μόνο αυτής</w:t>
      </w:r>
      <w:r w:rsidRPr="00390B86">
        <w:rPr>
          <w:b/>
        </w:rPr>
        <w:t xml:space="preserve"> της πρόθεσης είναι ζημιογόνος η απώλεια των εμβρύων.</w:t>
      </w:r>
      <w:r w:rsidRPr="00390B86">
        <w:t xml:space="preserve"> Αντίθετα, δε μπορεί να </w:t>
      </w:r>
      <w:r w:rsidR="00FC107C">
        <w:t>υπο</w:t>
      </w:r>
      <w:r w:rsidRPr="00390B86">
        <w:t xml:space="preserve">στηριχθεί σοβαρά από το ζευγάρι </w:t>
      </w:r>
      <w:r w:rsidR="00740A1C">
        <w:t xml:space="preserve">ούτε </w:t>
      </w:r>
      <w:r w:rsidRPr="00390B86">
        <w:t xml:space="preserve">ότι τα έμβρυα συνιστούν </w:t>
      </w:r>
      <w:r w:rsidR="00740A1C">
        <w:t>«</w:t>
      </w:r>
      <w:r w:rsidRPr="00390B86">
        <w:t>ανθρώπινα όντα</w:t>
      </w:r>
      <w:r w:rsidR="00740A1C">
        <w:t xml:space="preserve">», ούτε </w:t>
      </w:r>
      <w:r w:rsidRPr="00390B86">
        <w:t xml:space="preserve">ότι αποτελούν </w:t>
      </w:r>
      <w:r w:rsidR="00740A1C">
        <w:t>«</w:t>
      </w:r>
      <w:r w:rsidRPr="00390B86">
        <w:t xml:space="preserve">ανθρώπινα προϊόντα </w:t>
      </w:r>
      <w:r w:rsidR="00C97CC5">
        <w:t xml:space="preserve">με χαρακτήρα ιερού πράγματος και </w:t>
      </w:r>
      <w:r w:rsidRPr="00390B86">
        <w:t>περιουσιακή αξία</w:t>
      </w:r>
      <w:r w:rsidR="00740A1C">
        <w:t>»</w:t>
      </w:r>
      <w:r w:rsidRPr="00390B86">
        <w:t xml:space="preserve">.  </w:t>
      </w:r>
    </w:p>
    <w:p w14:paraId="7A68B299" w14:textId="6CF13AEB" w:rsidR="008B0CEF" w:rsidRDefault="008B0CEF" w:rsidP="008B0CEF">
      <w:r w:rsidRPr="00390B86">
        <w:t xml:space="preserve">Για τους ως άνω λόγους, το </w:t>
      </w:r>
      <w:r w:rsidR="00E50924">
        <w:t xml:space="preserve">Διοικητικό Εφετείο </w:t>
      </w:r>
      <w:r w:rsidR="00E50924" w:rsidRPr="00390B86">
        <w:t xml:space="preserve">της </w:t>
      </w:r>
      <w:r w:rsidR="00E50924" w:rsidRPr="00390B86">
        <w:rPr>
          <w:lang w:val="fr-FR"/>
        </w:rPr>
        <w:t>Douai</w:t>
      </w:r>
      <w:r w:rsidR="00E50924">
        <w:t xml:space="preserve"> </w:t>
      </w:r>
      <w:r w:rsidRPr="00390B86">
        <w:t>ακ</w:t>
      </w:r>
      <w:r w:rsidR="00B76A3A">
        <w:t>ύρωσε</w:t>
      </w:r>
      <w:r w:rsidRPr="00390B86">
        <w:t xml:space="preserve"> την από 9 Μαρτίου 2004 απόφαση του Διοικητικού Πρωτοδικείου της </w:t>
      </w:r>
      <w:r w:rsidRPr="00390B86">
        <w:rPr>
          <w:lang w:val="fr-FR"/>
        </w:rPr>
        <w:t>Amiens</w:t>
      </w:r>
      <w:r w:rsidR="00B76A3A">
        <w:t xml:space="preserve"> στο βαθμό που καταδίκαζε</w:t>
      </w:r>
      <w:r w:rsidRPr="00390B86">
        <w:t xml:space="preserve"> το Πανεπιστημιακό Νοσοκομείο της </w:t>
      </w:r>
      <w:r w:rsidRPr="00390B86">
        <w:rPr>
          <w:lang w:val="fr-FR"/>
        </w:rPr>
        <w:t>Amiens</w:t>
      </w:r>
      <w:r w:rsidR="00E50924">
        <w:t xml:space="preserve"> σε αποζημίωση 10.</w:t>
      </w:r>
      <w:r w:rsidRPr="00390B86">
        <w:t xml:space="preserve">000 ευρώ και </w:t>
      </w:r>
      <w:r w:rsidR="00B76A3A" w:rsidRPr="00390B86">
        <w:t>απ</w:t>
      </w:r>
      <w:r w:rsidR="00B76A3A">
        <w:t>έρριψε</w:t>
      </w:r>
      <w:r w:rsidR="00E50924">
        <w:t xml:space="preserve"> την προσφυγή του κ. και της </w:t>
      </w:r>
      <w:r w:rsidR="00B76A3A">
        <w:t>κυρίας</w:t>
      </w:r>
      <w:r w:rsidRPr="00390B86">
        <w:t xml:space="preserve"> Χ</w:t>
      </w:r>
      <w:r w:rsidR="0046774D">
        <w:rPr>
          <w:rStyle w:val="FootnoteReference"/>
        </w:rPr>
        <w:footnoteReference w:id="287"/>
      </w:r>
      <w:r w:rsidR="00E50924">
        <w:t xml:space="preserve">. </w:t>
      </w:r>
    </w:p>
    <w:p w14:paraId="1D989923" w14:textId="672EBC7C" w:rsidR="00325C89" w:rsidRPr="001F346F" w:rsidRDefault="00D32B61" w:rsidP="00DC4AEA">
      <w:pPr>
        <w:pStyle w:val="Heading4"/>
        <w:rPr>
          <w:u w:val="dash"/>
        </w:rPr>
      </w:pPr>
      <w:bookmarkStart w:id="160" w:name="_Toc276574421"/>
      <w:r>
        <w:rPr>
          <w:u w:val="dash"/>
        </w:rPr>
        <w:t>§</w:t>
      </w:r>
      <w:r w:rsidR="004547B2">
        <w:rPr>
          <w:u w:val="dash"/>
        </w:rPr>
        <w:t>2</w:t>
      </w:r>
      <w:r w:rsidR="00DC4AEA">
        <w:rPr>
          <w:u w:val="dash"/>
        </w:rPr>
        <w:t xml:space="preserve">. </w:t>
      </w:r>
      <w:r w:rsidR="00325C89" w:rsidRPr="001F346F">
        <w:rPr>
          <w:u w:val="dash"/>
        </w:rPr>
        <w:t xml:space="preserve">Συνέπειες μη συμμόρφωσης με </w:t>
      </w:r>
      <w:r w:rsidR="006A2C45">
        <w:t>τις διατάξεις του</w:t>
      </w:r>
      <w:r w:rsidR="006A2C45" w:rsidRPr="001D7418">
        <w:t xml:space="preserve"> άρθρο</w:t>
      </w:r>
      <w:r w:rsidR="006A2C45">
        <w:t>υ</w:t>
      </w:r>
      <w:r w:rsidR="006A2C45" w:rsidRPr="001D7418">
        <w:t xml:space="preserve"> L. 2141-4</w:t>
      </w:r>
      <w:r w:rsidR="006A2C45">
        <w:t xml:space="preserve"> ΚΔΥ</w:t>
      </w:r>
      <w:r w:rsidR="00325C89">
        <w:rPr>
          <w:u w:val="dash"/>
        </w:rPr>
        <w:t>:</w:t>
      </w:r>
      <w:bookmarkEnd w:id="160"/>
    </w:p>
    <w:p w14:paraId="02378971" w14:textId="77777777" w:rsidR="00325C89" w:rsidRPr="004933B9" w:rsidRDefault="00325C89" w:rsidP="00325C89">
      <w:r>
        <w:t xml:space="preserve">Σε περίπτωση που </w:t>
      </w:r>
      <w:r w:rsidR="006A2C45">
        <w:t xml:space="preserve">οι </w:t>
      </w:r>
      <w:r w:rsidR="00BA3367">
        <w:t xml:space="preserve">ανωτέρω νομοθετικά προβλεπόμενες διαδικασίες </w:t>
      </w:r>
      <w:r w:rsidR="00190609">
        <w:t xml:space="preserve">σχετικά με τη δωρεά, την έρευνα ή την καταστροφή του γεννητικού υλικού </w:t>
      </w:r>
      <w:r>
        <w:t xml:space="preserve">δεν τηρηθούν, οι συνέπειες που επιβάλλονται από το νομοθέτη </w:t>
      </w:r>
      <w:r w:rsidR="00190609">
        <w:t xml:space="preserve">είναι τόσο διοικητικής, όσο και ποινικής φύσης και </w:t>
      </w:r>
      <w:r>
        <w:t xml:space="preserve">αφορούν </w:t>
      </w:r>
      <w:r w:rsidR="00194FA4">
        <w:t>στον ιατρό και το κέντρο ιατρικά υποβοηθούμενης αναπαραγωγής που ευθύνονται για τις πράξεις</w:t>
      </w:r>
      <w:r>
        <w:rPr>
          <w:rFonts w:eastAsia="Calibri"/>
          <w:lang w:eastAsia="en-US"/>
        </w:rPr>
        <w:t xml:space="preserve">. </w:t>
      </w:r>
    </w:p>
    <w:p w14:paraId="27A07098" w14:textId="77777777" w:rsidR="00E202E4" w:rsidRPr="00286AD7" w:rsidRDefault="00E202E4" w:rsidP="00286AD7">
      <w:pPr>
        <w:pStyle w:val="Heading6"/>
      </w:pPr>
      <w:r w:rsidRPr="00286AD7">
        <w:t>Συνέπειες διοικητικής φύσης:</w:t>
      </w:r>
    </w:p>
    <w:p w14:paraId="510C4811" w14:textId="344F5024" w:rsidR="00E202E4" w:rsidRPr="0088791B" w:rsidRDefault="0088791B" w:rsidP="0088791B">
      <w:r w:rsidRPr="00EE4056">
        <w:t>Όπως έχει ήδη σημειωθεί</w:t>
      </w:r>
      <w:r>
        <w:t xml:space="preserve"> κατ’ επανάληψη πιο πάνω</w:t>
      </w:r>
      <w:r>
        <w:rPr>
          <w:rStyle w:val="FootnoteReference"/>
        </w:rPr>
        <w:footnoteReference w:id="288"/>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lastRenderedPageBreak/>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r w:rsidR="00E202E4" w:rsidRPr="00E202E4">
        <w:rPr>
          <w:highlight w:val="lightGray"/>
        </w:rPr>
        <w:t xml:space="preserve"> </w:t>
      </w:r>
    </w:p>
    <w:p w14:paraId="470BD3BE" w14:textId="77777777" w:rsidR="00194FA4" w:rsidRPr="00194FA4" w:rsidRDefault="00194FA4" w:rsidP="00D10F73">
      <w:pPr>
        <w:pStyle w:val="Heading6"/>
      </w:pPr>
      <w:r w:rsidRPr="00194FA4">
        <w:t>Συνέπειες ποινικής φύσης:</w:t>
      </w:r>
    </w:p>
    <w:p w14:paraId="2BC70A33" w14:textId="77777777" w:rsidR="00A41C97" w:rsidRDefault="00A41C97" w:rsidP="00A41C97">
      <w:r>
        <w:rPr>
          <w:rFonts w:eastAsia="Calibri"/>
          <w:lang w:eastAsia="en-US"/>
        </w:rPr>
        <w:t xml:space="preserve">Δυνάμει των διατάξεων του άρθρου </w:t>
      </w:r>
      <w:r w:rsidRPr="00161A9D">
        <w:rPr>
          <w:b/>
        </w:rPr>
        <w:t xml:space="preserve">L. 2163-3 </w:t>
      </w:r>
      <w:r>
        <w:rPr>
          <w:b/>
        </w:rPr>
        <w:t>ΚΔΥ</w:t>
      </w:r>
      <w:r>
        <w:t xml:space="preserve">, εφαρμόζεται στην περίπτωση αυτή το άρθρο </w:t>
      </w:r>
      <w:r w:rsidRPr="00161A9D">
        <w:rPr>
          <w:b/>
        </w:rPr>
        <w:t>511-17 ΠΚ</w:t>
      </w:r>
      <w:r>
        <w:t>, σύμφωνα με το οποίο:</w:t>
      </w:r>
    </w:p>
    <w:p w14:paraId="0DDF08C4" w14:textId="52C4B765" w:rsidR="00A41C97" w:rsidRDefault="00A41C97" w:rsidP="00A41C97">
      <w:r>
        <w:t>«</w:t>
      </w:r>
      <w:r w:rsidRPr="0041195C">
        <w:rPr>
          <w:i/>
        </w:rPr>
        <w:t>[…</w:t>
      </w:r>
      <w:r>
        <w:rPr>
          <w:i/>
        </w:rPr>
        <w:t xml:space="preserve">] </w:t>
      </w:r>
      <w:r w:rsidRPr="0041195C">
        <w:rPr>
          <w:i/>
        </w:rPr>
        <w:t>Με τις ίδιες ποινές [δηλαδή με επτά (7) χρόνια φυλάκισης και 100</w:t>
      </w:r>
      <w:r>
        <w:rPr>
          <w:i/>
        </w:rPr>
        <w:t>.000</w:t>
      </w:r>
      <w:r w:rsidRPr="0041195C">
        <w:rPr>
          <w:i/>
        </w:rPr>
        <w:t xml:space="preserve"> ευρώ χρηματική ποινή] τιμωρείται και η χρήση </w:t>
      </w:r>
      <w:r w:rsidR="0088791B">
        <w:rPr>
          <w:i/>
        </w:rPr>
        <w:t>α</w:t>
      </w:r>
      <w:r w:rsidR="0083348B">
        <w:rPr>
          <w:i/>
        </w:rPr>
        <w:t>νθρωπίνων</w:t>
      </w:r>
      <w:r w:rsidRPr="0041195C">
        <w:rPr>
          <w:i/>
        </w:rPr>
        <w:t xml:space="preserve"> εμβρύων για σκοπούς βιομηχανικούς ή εμπορικούς</w:t>
      </w:r>
      <w:r>
        <w:t xml:space="preserve">». </w:t>
      </w:r>
    </w:p>
    <w:p w14:paraId="4060108F" w14:textId="77777777" w:rsidR="00A41C97" w:rsidRDefault="00A41C97" w:rsidP="00A41C97">
      <w:r>
        <w:t xml:space="preserve">Με την ίδια λογική, εφαρμογή στην παρούσα περίπτωση βρίσκουν και οι διατάξεις του άρθρου </w:t>
      </w:r>
      <w:r w:rsidRPr="00161A9D">
        <w:rPr>
          <w:b/>
        </w:rPr>
        <w:t>511-19 ΠΚ</w:t>
      </w:r>
      <w:r>
        <w:t>, δυνάμει των οποίων:</w:t>
      </w:r>
    </w:p>
    <w:p w14:paraId="4068111F" w14:textId="77777777" w:rsidR="00A41C97" w:rsidRPr="009A795E" w:rsidRDefault="00A41C97" w:rsidP="00A41C97">
      <w:pPr>
        <w:rPr>
          <w:i/>
        </w:rPr>
      </w:pPr>
      <w:r>
        <w:t>«</w:t>
      </w:r>
      <w:r w:rsidRPr="009A795E">
        <w:rPr>
          <w:i/>
        </w:rPr>
        <w:t>Ι. Η διεξαγωγή μελέτης ή έρευνας στο ανθρώπινο έμβρυο:</w:t>
      </w:r>
    </w:p>
    <w:p w14:paraId="73659D90" w14:textId="77777777" w:rsidR="00A41C97" w:rsidRPr="009A795E" w:rsidRDefault="00A41C97" w:rsidP="00A41C97">
      <w:pPr>
        <w:rPr>
          <w:i/>
        </w:rPr>
      </w:pPr>
      <w:r w:rsidRPr="009A795E">
        <w:rPr>
          <w:i/>
        </w:rPr>
        <w:t>1</w:t>
      </w:r>
      <w:r w:rsidRPr="009A795E">
        <w:rPr>
          <w:i/>
          <w:vertAlign w:val="superscript"/>
        </w:rPr>
        <w:t>ο</w:t>
      </w:r>
      <w:r w:rsidRPr="009A795E">
        <w:rPr>
          <w:i/>
        </w:rPr>
        <w:t xml:space="preserve"> χωρίς την προγενέστερη έγγραφη συναίνεση και την άδεια που ορίζεται στο άρθρο </w:t>
      </w:r>
      <w:r w:rsidRPr="009A795E">
        <w:rPr>
          <w:i/>
          <w:lang w:val="fr-FR"/>
        </w:rPr>
        <w:t>L</w:t>
      </w:r>
      <w:r w:rsidRPr="009A795E">
        <w:rPr>
          <w:i/>
        </w:rPr>
        <w:t xml:space="preserve">. 2151-5 </w:t>
      </w:r>
      <w:r>
        <w:rPr>
          <w:i/>
        </w:rPr>
        <w:t>ΚΔΥ</w:t>
      </w:r>
      <w:r w:rsidRPr="009A795E">
        <w:rPr>
          <w:i/>
        </w:rPr>
        <w:t xml:space="preserve"> ή αν η άδεια αυτή έχει ανακληθεί ή ανασταλεί ή αν η συναίνεση έχει ανακληθεί, </w:t>
      </w:r>
    </w:p>
    <w:p w14:paraId="1C5A8C35" w14:textId="77777777" w:rsidR="00A41C97" w:rsidRDefault="00A41C97" w:rsidP="00A41C97">
      <w:r w:rsidRPr="009A795E">
        <w:rPr>
          <w:i/>
        </w:rPr>
        <w:t>2</w:t>
      </w:r>
      <w:r w:rsidRPr="009A795E">
        <w:rPr>
          <w:i/>
          <w:vertAlign w:val="superscript"/>
        </w:rPr>
        <w:t>ο</w:t>
      </w:r>
      <w:r w:rsidRPr="009A795E">
        <w:rPr>
          <w:i/>
        </w:rPr>
        <w:t>. χωρίς την τήρηση των νομοθετικών και κανονιστικών διατάξεων ή των διατάξεων που προβλέπονται με την παρούσα, τιμωρείται με επτά (7) χρόνια φυλάκισης και 100</w:t>
      </w:r>
      <w:r>
        <w:rPr>
          <w:i/>
        </w:rPr>
        <w:t>.000</w:t>
      </w:r>
      <w:r w:rsidRPr="009A795E">
        <w:rPr>
          <w:i/>
        </w:rPr>
        <w:t xml:space="preserve"> ευρώ χρηματική ποινή</w:t>
      </w:r>
      <w:r>
        <w:t>».</w:t>
      </w:r>
    </w:p>
    <w:p w14:paraId="7A20703C" w14:textId="3D5F4A99" w:rsidR="002F61A0" w:rsidRPr="00C51393" w:rsidRDefault="002F61A0" w:rsidP="002F61A0">
      <w:r>
        <w:t>Τέλος, σ</w:t>
      </w:r>
      <w:r w:rsidRPr="00C51393">
        <w:t xml:space="preserve">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511-24 </w:t>
      </w:r>
      <w:r>
        <w:t>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497EBA23" w14:textId="2210D1A8" w:rsidR="002F61A0" w:rsidRDefault="002F61A0" w:rsidP="002F61A0">
      <w:r w:rsidRPr="002F61A0">
        <w:t xml:space="preserve">Η διάθεση πλεοναζόντων κρυοσυντηρημένων εμβρύων </w:t>
      </w:r>
      <w:r>
        <w:t xml:space="preserve">εμπίπτει στις δραστηριότητες </w:t>
      </w:r>
      <w:r w:rsidR="00F35BBE">
        <w:t xml:space="preserve">της </w:t>
      </w:r>
      <w:r>
        <w:t>ιατρικά υ</w:t>
      </w:r>
      <w:r w:rsidR="00F35BBE">
        <w:t>ποβοηθούμενης αναπαραγωγής. Κ</w:t>
      </w:r>
      <w:r w:rsidR="00E50D9B">
        <w:t>ατ’ επέκταση, η</w:t>
      </w:r>
      <w:r w:rsidR="00E50D9B" w:rsidRPr="002F61A0">
        <w:t xml:space="preserve"> </w:t>
      </w:r>
      <w:r w:rsidR="00E50D9B">
        <w:t xml:space="preserve">κατά παράβαση των νομοθετικά προβλεπόμενων διατάξεων </w:t>
      </w:r>
      <w:r w:rsidR="00E50D9B" w:rsidRPr="002F61A0">
        <w:t>διάθεση</w:t>
      </w:r>
      <w:r w:rsidR="00E50D9B">
        <w:t xml:space="preserve"> των</w:t>
      </w:r>
      <w:r w:rsidR="00E50D9B" w:rsidRPr="002F61A0">
        <w:t xml:space="preserve"> πλεοναζόντων εμβρύων </w:t>
      </w:r>
      <w:r>
        <w:t xml:space="preserve">τιμωρείται δυνάμει των διατάξεων του άρθρου 511-24 ΠΚ. </w:t>
      </w:r>
    </w:p>
    <w:p w14:paraId="5FBC8983" w14:textId="1DB7B2CC" w:rsidR="0088791B" w:rsidRDefault="002F61A0" w:rsidP="002F61A0">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2164-</w:t>
      </w:r>
      <w:r w:rsidRPr="001D59D2">
        <w:rPr>
          <w:b/>
        </w:rPr>
        <w:lastRenderedPageBreak/>
        <w:t xml:space="preserve">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289"/>
      </w:r>
      <w:r w:rsidRPr="0059473C">
        <w:t>.</w:t>
      </w:r>
    </w:p>
    <w:p w14:paraId="58C1A080" w14:textId="27451DF3" w:rsidR="007D3328" w:rsidRPr="00BB5835" w:rsidRDefault="004547B2" w:rsidP="007D3328">
      <w:pPr>
        <w:pStyle w:val="Heading4"/>
      </w:pPr>
      <w:bookmarkStart w:id="161" w:name="_Toc276574422"/>
      <w:r w:rsidRPr="00BB5835">
        <w:rPr>
          <w:lang w:val="en-US"/>
        </w:rPr>
        <w:t>§3</w:t>
      </w:r>
      <w:r w:rsidR="007D3328" w:rsidRPr="00BB5835">
        <w:rPr>
          <w:lang w:val="en-US"/>
        </w:rPr>
        <w:t xml:space="preserve">. </w:t>
      </w:r>
      <w:r w:rsidR="007D3328" w:rsidRPr="00BB5835">
        <w:t>Ορισμένα στατιστικά στοιχεία</w:t>
      </w:r>
      <w:bookmarkEnd w:id="161"/>
    </w:p>
    <w:p w14:paraId="173720C6" w14:textId="77777777" w:rsidR="007D3328" w:rsidRPr="00BB5835" w:rsidRDefault="007D3328" w:rsidP="007D3328">
      <w:r w:rsidRPr="00BB5835">
        <w:t xml:space="preserve">Κλείνοντας το κεφάλαιο σχετικά με το πλεονάζον γεννητικό υλικό, κρίνεται σκόπιμο να γίνει αναφορά </w:t>
      </w:r>
      <w:r w:rsidR="00F65590" w:rsidRPr="00BB5835">
        <w:t xml:space="preserve">σε </w:t>
      </w:r>
      <w:r w:rsidRPr="00BB5835">
        <w:t>κάποια ενδιαφέροντα στατιστικά στοιχεία, τα οποία φαίνεται να ανησυχούν μερίδα της θεωρίας</w:t>
      </w:r>
      <w:r w:rsidR="00A51B7D" w:rsidRPr="00BB5835">
        <w:rPr>
          <w:rStyle w:val="FootnoteReference"/>
        </w:rPr>
        <w:footnoteReference w:id="290"/>
      </w:r>
      <w:r w:rsidRPr="00BB5835">
        <w:t xml:space="preserve">. </w:t>
      </w:r>
    </w:p>
    <w:p w14:paraId="014B92C5" w14:textId="7A4A5C89" w:rsidR="00C562F7" w:rsidRDefault="007D3328" w:rsidP="00B54CA5">
      <w:r w:rsidRPr="00BB5835">
        <w:t xml:space="preserve">Η Ετήσια Έκθεση του Οργανισμού Βιοϊατρικής επιτρέπει </w:t>
      </w:r>
      <w:r w:rsidR="001B39A0" w:rsidRPr="00BB5835">
        <w:t>την παρακολούθηση της</w:t>
      </w:r>
      <w:r w:rsidRPr="00BB5835">
        <w:t xml:space="preserve"> ανάπτυξη</w:t>
      </w:r>
      <w:r w:rsidR="001B39A0" w:rsidRPr="00BB5835">
        <w:t>ς</w:t>
      </w:r>
      <w:r w:rsidRPr="00BB5835">
        <w:t xml:space="preserve"> των τεχνικών ιατρικά υποβοηθούμενης αναπαραγωγής. </w:t>
      </w:r>
      <w:r w:rsidR="000C729A" w:rsidRPr="00BB5835">
        <w:t>Ο</w:t>
      </w:r>
      <w:r w:rsidRPr="00BB5835">
        <w:t xml:space="preserve"> αριθμός </w:t>
      </w:r>
      <w:r w:rsidR="000C729A" w:rsidRPr="00BB5835">
        <w:t>που κυρίως τραβάει την προσοχή είναι εκείνος που αφορά στα κρυοσυντηρημένα έμβρυα εν αναμονή μεταφοράς, λήψης από τρίτο ζευγάρι ή απλά εγκατάλειψης, ο οποίος έφτασε από 141.460 (τέλος 2005) σε 185.230 (τέλος 2012). Πρόκειται για μια αύξηση της</w:t>
      </w:r>
      <w:r w:rsidR="001B39A0" w:rsidRPr="00BB5835">
        <w:t xml:space="preserve"> τάξης του 44% σε επτά χρόνια</w:t>
      </w:r>
      <w:r w:rsidR="008B3310">
        <w:t xml:space="preserve"> (Πίνακας </w:t>
      </w:r>
      <w:r w:rsidR="00B54CA5">
        <w:t>16</w:t>
      </w:r>
      <w:r w:rsidR="008B3310">
        <w:t>)</w:t>
      </w:r>
      <w:r w:rsidR="001B39A0" w:rsidRPr="00BB5835">
        <w:t>.</w:t>
      </w:r>
      <w:r w:rsidR="0088676F" w:rsidRPr="0088676F">
        <w:t xml:space="preserve"> </w:t>
      </w:r>
      <w:r w:rsidR="0088676F" w:rsidRPr="00BB5835">
        <w:t>Επίσης, οι μεταφορές εμβρύων οδηγούν, κατά μέσο όρο, σε 3.000 γεννήσεις το χρόνο. Η κατάσταση αυτή, αναπόφευκτα, απασχολεί ολοένα και μεγαλύτερη μερίδα της θεωρίας, καθώς πολλοί θεωρούν ότι μπορεί να οδηγήσει σε γενίκευση της προσφυγής στην εξωματική γονιμοποίηση και να αυξήσει τη διάθεση πειραματισμού των υποβοηθούμενων ζευαριών</w:t>
      </w:r>
      <w:r w:rsidR="0088676F" w:rsidRPr="00BB5835">
        <w:rPr>
          <w:rStyle w:val="FootnoteReference"/>
        </w:rPr>
        <w:footnoteReference w:id="291"/>
      </w:r>
      <w:r w:rsidR="0088676F" w:rsidRPr="00BB5835">
        <w:t>.</w:t>
      </w:r>
    </w:p>
    <w:p w14:paraId="23C6B8A4" w14:textId="4963EEA9" w:rsidR="008B3310" w:rsidRPr="00C562F7" w:rsidRDefault="008B3310" w:rsidP="0023213A">
      <w:pPr>
        <w:spacing w:before="240" w:after="240"/>
        <w:ind w:firstLine="0"/>
        <w:rPr>
          <w:b/>
        </w:rPr>
      </w:pPr>
      <w:r w:rsidRPr="00C562F7">
        <w:rPr>
          <w:b/>
        </w:rPr>
        <w:t xml:space="preserve">Πίνακας </w:t>
      </w:r>
      <w:r w:rsidR="00B54CA5">
        <w:rPr>
          <w:b/>
        </w:rPr>
        <w:t>16</w:t>
      </w:r>
      <w:r w:rsidRPr="00C562F7">
        <w:rPr>
          <w:b/>
        </w:rPr>
        <w:t xml:space="preserve">. </w:t>
      </w:r>
      <w:r w:rsidR="001B39A0" w:rsidRPr="00C562F7">
        <w:rPr>
          <w:b/>
        </w:rPr>
        <w:t xml:space="preserve"> </w:t>
      </w:r>
      <w:r w:rsidR="00C562F7" w:rsidRPr="00C562F7">
        <w:rPr>
          <w:b/>
        </w:rPr>
        <w:t xml:space="preserve">Αύξηση αριθμού κρυοσυντηρημένων εμβρύων εν αναμονή μεταφοράς </w:t>
      </w:r>
    </w:p>
    <w:p w14:paraId="1A323203" w14:textId="77777777" w:rsidR="008B3310" w:rsidRDefault="008B3310" w:rsidP="008B3310">
      <w:pPr>
        <w:pStyle w:val="FootnoteText"/>
      </w:pPr>
    </w:p>
    <w:p w14:paraId="660A0C93" w14:textId="25C9ACF1" w:rsidR="008B3310" w:rsidRDefault="008B3310" w:rsidP="008B3310">
      <w:pPr>
        <w:pStyle w:val="FootnoteText"/>
      </w:pPr>
      <w:r>
        <w:rPr>
          <w:noProof/>
        </w:rPr>
        <w:drawing>
          <wp:inline distT="0" distB="0" distL="0" distR="0" wp14:anchorId="44FC56FE" wp14:editId="1D204FF5">
            <wp:extent cx="4435475" cy="3200400"/>
            <wp:effectExtent l="0" t="0" r="3492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0CAD3A" w14:textId="77777777" w:rsidR="002B0FA3" w:rsidRPr="00EC588B" w:rsidRDefault="002B0FA3" w:rsidP="002B0FA3">
      <w:pPr>
        <w:pStyle w:val="Heading2"/>
      </w:pPr>
      <w:bookmarkStart w:id="162" w:name="_Toc394082562"/>
      <w:bookmarkStart w:id="163" w:name="_Toc275535608"/>
      <w:bookmarkStart w:id="164" w:name="_Toc276574423"/>
      <w:r w:rsidRPr="00BB5835">
        <w:lastRenderedPageBreak/>
        <w:t xml:space="preserve">Ε. </w:t>
      </w:r>
      <w:bookmarkEnd w:id="162"/>
      <w:bookmarkEnd w:id="163"/>
      <w:r w:rsidR="006D1A3C" w:rsidRPr="00BB5835">
        <w:t>Γενετικοί χειρισμοί στην</w:t>
      </w:r>
      <w:r w:rsidR="006D1A3C">
        <w:t xml:space="preserve"> Ιατρικά Υποβοηθούμενη Αναπαραγωγή</w:t>
      </w:r>
      <w:bookmarkEnd w:id="164"/>
      <w:r w:rsidR="006D1A3C">
        <w:t xml:space="preserve"> </w:t>
      </w:r>
    </w:p>
    <w:p w14:paraId="6030C67B" w14:textId="77777777" w:rsidR="006076B5" w:rsidRDefault="00EC588B" w:rsidP="00A0588D">
      <w:r w:rsidRPr="00EC588B">
        <w:t xml:space="preserve">Τα περίπλοκα ηθικά ζητήματα που </w:t>
      </w:r>
      <w:r>
        <w:t>προκύπτουν από</w:t>
      </w:r>
      <w:r w:rsidRPr="00EC588B">
        <w:t xml:space="preserve"> τις ραγδαίες εξελίξεις της γενετικής και της βιοτεχνολογίας </w:t>
      </w:r>
      <w:r>
        <w:t>αναφορικά με την εφαρμογή των μεθόδων της ιατρικά υποβοηθούμενης αναπαραγωγής καθιστούν αναγκαία την ιδιαίτερη ενασχόλησή μας</w:t>
      </w:r>
      <w:r w:rsidRPr="00EC588B">
        <w:t xml:space="preserve"> </w:t>
      </w:r>
      <w:r>
        <w:t xml:space="preserve">με συγκεκριμένα ζητήματα που ανακύπτουν και αφορούν ειδικότερα σε επιμέρους γενετικούς χειρισμούς στην υποβοηθούμενη αναπαραγωγή. </w:t>
      </w:r>
    </w:p>
    <w:p w14:paraId="685E58D1" w14:textId="7431F68F" w:rsidR="00A0588D" w:rsidRPr="00A0588D" w:rsidRDefault="009538D0" w:rsidP="00A0588D">
      <w:r>
        <w:t xml:space="preserve">Σε αυτό το πνεύμα, </w:t>
      </w:r>
      <w:r w:rsidR="00EC588B">
        <w:t>ακολουθεί σύντομη ανάπτυξη των όρων και προϋποθέσεων</w:t>
      </w:r>
      <w:r w:rsidR="002A6C3A">
        <w:t xml:space="preserve"> διενέργειας</w:t>
      </w:r>
      <w:r w:rsidR="00EC588B">
        <w:t>, καθώς επίσης και των αποτελεσμά</w:t>
      </w:r>
      <w:r w:rsidR="00F63E52">
        <w:t>των</w:t>
      </w:r>
      <w:r w:rsidR="00EC588B">
        <w:t xml:space="preserve"> </w:t>
      </w:r>
      <w:r w:rsidR="002A6C3A">
        <w:t xml:space="preserve">εφαρμογής </w:t>
      </w:r>
      <w:r w:rsidR="00EC588B">
        <w:t>τεσσάρων γενετικών χειρισμών πο</w:t>
      </w:r>
      <w:r w:rsidR="006076B5">
        <w:t>υ συνδέονται άρρηκτα με την ιατρικά υπο</w:t>
      </w:r>
      <w:r w:rsidR="00EC588B">
        <w:t>βοηθούμενη αναπαραγωή: της π</w:t>
      </w:r>
      <w:r w:rsidR="00A0588D" w:rsidRPr="00EC588B">
        <w:t>ροεμφυτευτική</w:t>
      </w:r>
      <w:r w:rsidR="00EC588B">
        <w:t>ς</w:t>
      </w:r>
      <w:r w:rsidR="00A0588D" w:rsidRPr="00EC588B">
        <w:t xml:space="preserve"> διάγνωση</w:t>
      </w:r>
      <w:r w:rsidR="00EC588B">
        <w:t xml:space="preserve"> (α), της διπλής προεμφυτευτικής διάγνωσης (ή αλλιώς</w:t>
      </w:r>
      <w:r w:rsidR="00A0588D" w:rsidRPr="00EC588B">
        <w:t xml:space="preserve"> </w:t>
      </w:r>
      <w:r w:rsidR="006076B5" w:rsidRPr="00062153">
        <w:rPr>
          <w:i/>
          <w:lang w:val="en-US"/>
        </w:rPr>
        <w:t>b</w:t>
      </w:r>
      <w:r w:rsidR="00EC588B" w:rsidRPr="00062153">
        <w:rPr>
          <w:i/>
          <w:lang w:val="fr-FR"/>
        </w:rPr>
        <w:t>é</w:t>
      </w:r>
      <w:r w:rsidR="00EC588B" w:rsidRPr="00062153">
        <w:rPr>
          <w:i/>
          <w:lang w:val="en-US"/>
        </w:rPr>
        <w:t>bé médicament</w:t>
      </w:r>
      <w:r w:rsidR="00EC588B">
        <w:t>) (β), της ε</w:t>
      </w:r>
      <w:r w:rsidR="00A0588D" w:rsidRPr="00EC588B">
        <w:t>πιλογή</w:t>
      </w:r>
      <w:r w:rsidR="00EC588B">
        <w:t>ς φύλου (γ</w:t>
      </w:r>
      <w:r w:rsidR="00A0588D" w:rsidRPr="00EC588B">
        <w:t>)</w:t>
      </w:r>
      <w:r w:rsidR="00FF6C23" w:rsidRPr="00EC588B">
        <w:t xml:space="preserve"> </w:t>
      </w:r>
      <w:r w:rsidR="00EC588B">
        <w:t>και των ε</w:t>
      </w:r>
      <w:r w:rsidR="00A0588D" w:rsidRPr="00EC588B">
        <w:t>πεμβάσ</w:t>
      </w:r>
      <w:r w:rsidR="00EC588B">
        <w:t>εων</w:t>
      </w:r>
      <w:r w:rsidR="00A0588D" w:rsidRPr="00EC588B">
        <w:t xml:space="preserve"> β</w:t>
      </w:r>
      <w:r w:rsidR="00EC588B">
        <w:t>ελτίωσης του γενετικού υλικού (δ</w:t>
      </w:r>
      <w:r w:rsidR="00A0588D" w:rsidRPr="00EC588B">
        <w:t>)</w:t>
      </w:r>
      <w:r w:rsidR="00EC588B">
        <w:t xml:space="preserve">. </w:t>
      </w:r>
    </w:p>
    <w:p w14:paraId="06824676" w14:textId="77777777" w:rsidR="002B0FA3" w:rsidRDefault="00C4415A" w:rsidP="002B0FA3">
      <w:pPr>
        <w:pStyle w:val="Heading3"/>
      </w:pPr>
      <w:bookmarkStart w:id="165" w:name="_Toc394082563"/>
      <w:bookmarkStart w:id="166" w:name="_Ref275455504"/>
      <w:bookmarkStart w:id="167" w:name="_Toc275535609"/>
      <w:bookmarkStart w:id="168" w:name="_Toc276574424"/>
      <w:r>
        <w:t>α</w:t>
      </w:r>
      <w:r w:rsidR="002B0FA3" w:rsidRPr="004933B9">
        <w:t xml:space="preserve">. </w:t>
      </w:r>
      <w:bookmarkEnd w:id="165"/>
      <w:r w:rsidR="008D32DF">
        <w:t xml:space="preserve">Προεμφυτευτική </w:t>
      </w:r>
      <w:r w:rsidR="00996688">
        <w:t xml:space="preserve">γενετική </w:t>
      </w:r>
      <w:r w:rsidR="008D32DF">
        <w:t>διάγνωση</w:t>
      </w:r>
      <w:bookmarkEnd w:id="166"/>
      <w:bookmarkEnd w:id="167"/>
      <w:bookmarkEnd w:id="168"/>
      <w:r w:rsidR="008D32DF">
        <w:t xml:space="preserve"> </w:t>
      </w:r>
    </w:p>
    <w:p w14:paraId="7E2A6D63" w14:textId="688A9B52" w:rsidR="00CA1049" w:rsidRPr="002F01A6" w:rsidRDefault="00CA1049" w:rsidP="002F01A6">
      <w:r>
        <w:t>Η μελέτη της παρούσας ενότητας υπαγορεύ</w:t>
      </w:r>
      <w:r w:rsidR="00AF0CDF">
        <w:t xml:space="preserve">ει, </w:t>
      </w:r>
      <w:r>
        <w:t>εκτός από την εξέταση των προϋποθέσεων διενέργειας προεμφυτευτικής γενετικής διάγνωσης (§1)</w:t>
      </w:r>
      <w:r w:rsidR="00AF0CDF">
        <w:t xml:space="preserve">, </w:t>
      </w:r>
      <w:r>
        <w:t xml:space="preserve">την επισήμανση των εννόμων συνεπειών </w:t>
      </w:r>
      <w:r w:rsidR="00AF0CDF">
        <w:t xml:space="preserve">που γεννώνται </w:t>
      </w:r>
      <w:r>
        <w:t>σε περίπτωση που</w:t>
      </w:r>
      <w:r w:rsidRPr="004933B9">
        <w:t xml:space="preserve"> η προεμφυτευτική διάγνωση </w:t>
      </w:r>
      <w:r>
        <w:t xml:space="preserve">διενεργηθεί χωρίς να συντρέχουν οι προβλεπόμενες από το νόμο προϋποθέσεις (§2). </w:t>
      </w:r>
    </w:p>
    <w:p w14:paraId="4ED5CBFF" w14:textId="77777777" w:rsidR="002D0B87" w:rsidRDefault="002D0B87" w:rsidP="002D0B87">
      <w:pPr>
        <w:pStyle w:val="Heading4"/>
      </w:pPr>
      <w:bookmarkStart w:id="169" w:name="_Toc276574425"/>
      <w:r>
        <w:t>§1. Προϋποθέσεις διενέργειας προεμφυτευτικής γενετικής διάγνωσης</w:t>
      </w:r>
      <w:bookmarkEnd w:id="169"/>
      <w:r>
        <w:t xml:space="preserve"> </w:t>
      </w:r>
    </w:p>
    <w:p w14:paraId="7AFFD923" w14:textId="7BAB9B98" w:rsidR="00EC5BBB" w:rsidRDefault="00EC5BBB" w:rsidP="001C1E29">
      <w:r>
        <w:t xml:space="preserve">Η προεμφυτευτική </w:t>
      </w:r>
      <w:r w:rsidR="00996688">
        <w:t xml:space="preserve">γενετική </w:t>
      </w:r>
      <w:r>
        <w:t xml:space="preserve">διάγνωση </w:t>
      </w:r>
      <w:r w:rsidR="00996688">
        <w:rPr>
          <w:lang w:val="en-US" w:eastAsia="en-US"/>
        </w:rPr>
        <w:t xml:space="preserve">είναι μια διαδικασία κατά την οποία είναι εφικτή η ανίχνευση ορισμένων χρωμοσωματικών ανωμαλιών ή η ανίχνευση γενετικού νοσήματος σε ένα κύτταρο του γονιμοποιημένου ωαρίου πριν από την εμφύτευση στη μήτρα. Η διενέργειά της επιτρέπεται, </w:t>
      </w:r>
      <w:r w:rsidR="008D38F7">
        <w:rPr>
          <w:lang w:val="en-US" w:eastAsia="en-US"/>
        </w:rPr>
        <w:t>κατ’ εξαίρεση</w:t>
      </w:r>
      <w:r w:rsidR="00996688">
        <w:rPr>
          <w:lang w:val="en-US" w:eastAsia="en-US"/>
        </w:rPr>
        <w:t>, σ</w:t>
      </w:r>
      <w:r w:rsidR="001C1E29">
        <w:rPr>
          <w:lang w:val="en-US" w:eastAsia="en-US"/>
        </w:rPr>
        <w:t>ε ζευγάρια που εμφανίζουν μεγάλο ποσοστό</w:t>
      </w:r>
      <w:r w:rsidR="00996688">
        <w:rPr>
          <w:lang w:val="en-US" w:eastAsia="en-US"/>
        </w:rPr>
        <w:t xml:space="preserve"> πιθανότητας να φέρουν στον κόσμο</w:t>
      </w:r>
      <w:r w:rsidR="00996688" w:rsidRPr="00F60C4D">
        <w:t xml:space="preserve"> ένα τέκνο που θα πάσχει από σοβαρή και ανίατη γενετική ασθένεια</w:t>
      </w:r>
      <w:r w:rsidR="00996688">
        <w:t xml:space="preserve"> και </w:t>
      </w:r>
      <w:r w:rsidR="00303ADF">
        <w:t>μοναδικός της</w:t>
      </w:r>
      <w:r w:rsidR="00303ADF" w:rsidRPr="00303ADF">
        <w:t xml:space="preserve"> σκοπό</w:t>
      </w:r>
      <w:r w:rsidR="00303ADF">
        <w:t>ς είναι η</w:t>
      </w:r>
      <w:r w:rsidR="00303ADF" w:rsidRPr="00303ADF">
        <w:t xml:space="preserve"> διερεύνηση της ασθένειας αυτής</w:t>
      </w:r>
      <w:r w:rsidR="00303ADF">
        <w:t xml:space="preserve"> και των </w:t>
      </w:r>
      <w:r w:rsidR="00303ADF" w:rsidRPr="00303ADF">
        <w:t>τρόπων πρόληψης και θεραπείας</w:t>
      </w:r>
      <w:r w:rsidR="00303ADF">
        <w:t xml:space="preserve"> της. Διαφέρει από την απλή προγεννητική διάγνωση ως προς το ότι προϋποθέτει την προσφυγή στη μέθοδο της εξωσωματικής γονιμοποίησης</w:t>
      </w:r>
      <w:r w:rsidR="00274B8E">
        <w:rPr>
          <w:rStyle w:val="FootnoteReference"/>
        </w:rPr>
        <w:footnoteReference w:id="292"/>
      </w:r>
      <w:r w:rsidR="00303ADF">
        <w:t xml:space="preserve">. </w:t>
      </w:r>
      <w:r w:rsidR="00420A0B">
        <w:t xml:space="preserve">Στην </w:t>
      </w:r>
      <w:r w:rsidR="00420A0B" w:rsidRPr="00420A0B">
        <w:rPr>
          <w:i/>
        </w:rPr>
        <w:t>Έκθεσή του μάλιστα προς προς το Κοινοβούλιο και την Κυβέρνηση σχετικά με την ανάπτυξη των γνώσεων και των τεχνικών</w:t>
      </w:r>
      <w:r w:rsidR="00420A0B">
        <w:t>, ο Οργανισμός Βιοϊατρικής επιμένει στη διαφορά αυτή μεταξύ των δύο τεχνικών</w:t>
      </w:r>
      <w:r w:rsidR="001C1E29">
        <w:t>, επισημαίνοντας μάλιστα ότι συνιστά όριο για τα ζευγάρια που επιθυμούν να προσφύγουν στην τεχνική της προεμφυτευτικής διάγνωσης, καθώς επίσης και ότι αντενδείκνυται η αντικατάστασή της από την προγεννητική διάγνωση</w:t>
      </w:r>
      <w:r w:rsidR="00420A0B">
        <w:rPr>
          <w:rStyle w:val="FootnoteReference"/>
        </w:rPr>
        <w:footnoteReference w:id="293"/>
      </w:r>
      <w:r w:rsidR="001C1E29">
        <w:t xml:space="preserve">. </w:t>
      </w:r>
    </w:p>
    <w:p w14:paraId="443A1C4F" w14:textId="3847C35F" w:rsidR="00F60C4D" w:rsidRDefault="00F60C4D" w:rsidP="00FF6C23">
      <w:pPr>
        <w:rPr>
          <w:lang w:val="en-US"/>
        </w:rPr>
      </w:pPr>
      <w:r>
        <w:lastRenderedPageBreak/>
        <w:t xml:space="preserve">Ο γάλλος νομοθέτης αφιερώνει ένα ολόκληρο κεφάλαιο του Κώδικα Δημόσιας Υγείας στον προγεννητικό έλεγχο, ο οποίος περιλαμβάνει εκτός από την προγεννητική διάγνωση και την προεμφυτευτική διάγνωση (άρθρα </w:t>
      </w:r>
      <w:r>
        <w:rPr>
          <w:lang w:val="en-US"/>
        </w:rPr>
        <w:t xml:space="preserve">L. 2131-4 </w:t>
      </w:r>
      <w:r>
        <w:t xml:space="preserve">έως </w:t>
      </w:r>
      <w:r>
        <w:rPr>
          <w:lang w:val="en-US"/>
        </w:rPr>
        <w:t>L. 2131-4-2</w:t>
      </w:r>
      <w:r w:rsidR="007A3490">
        <w:rPr>
          <w:lang w:val="en-US"/>
        </w:rPr>
        <w:t xml:space="preserve"> ΚΔΥ</w:t>
      </w:r>
      <w:r>
        <w:rPr>
          <w:lang w:val="en-US"/>
        </w:rPr>
        <w:t>)</w:t>
      </w:r>
      <w:r w:rsidR="00CE769D">
        <w:rPr>
          <w:rStyle w:val="FootnoteReference"/>
          <w:lang w:val="en-US"/>
        </w:rPr>
        <w:footnoteReference w:id="294"/>
      </w:r>
      <w:r>
        <w:rPr>
          <w:lang w:val="en-US"/>
        </w:rPr>
        <w:t xml:space="preserve">. </w:t>
      </w:r>
    </w:p>
    <w:p w14:paraId="045CE1A3" w14:textId="3A88649B" w:rsidR="00773FBF" w:rsidRPr="00F14D25" w:rsidRDefault="00773FBF" w:rsidP="00FF6C23">
      <w:r>
        <w:rPr>
          <w:lang w:val="en-US"/>
        </w:rPr>
        <w:t xml:space="preserve"> </w:t>
      </w:r>
      <w:r>
        <w:t xml:space="preserve">Η προεμφυτευτική διάγνωση επιτράπηκε για πρώτη φορά στη Γαλλία με το </w:t>
      </w:r>
      <w:r w:rsidRPr="000A2C08">
        <w:rPr>
          <w:i/>
        </w:rPr>
        <w:t xml:space="preserve">Νόμο περί </w:t>
      </w:r>
      <w:r w:rsidR="000A2C08" w:rsidRPr="000A2C08">
        <w:rPr>
          <w:i/>
        </w:rPr>
        <w:t>Β</w:t>
      </w:r>
      <w:r w:rsidRPr="000A2C08">
        <w:rPr>
          <w:i/>
        </w:rPr>
        <w:t>ιοηθικής</w:t>
      </w:r>
      <w:r>
        <w:t xml:space="preserve"> του 2004</w:t>
      </w:r>
      <w:r w:rsidR="007A3490">
        <w:t xml:space="preserve"> και ο σκοπός της είναι διττός</w:t>
      </w:r>
      <w:r w:rsidR="00F14D25">
        <w:t xml:space="preserve">: </w:t>
      </w:r>
      <w:r w:rsidR="005A13A1">
        <w:t xml:space="preserve">η αποφυγή </w:t>
      </w:r>
      <w:r w:rsidR="00F14D25">
        <w:t>γέννησης ενός παιδιού που</w:t>
      </w:r>
      <w:r w:rsidR="00F14D25" w:rsidRPr="00F14D25">
        <w:t xml:space="preserve"> </w:t>
      </w:r>
      <w:r w:rsidR="00F14D25">
        <w:t>είναι πολύ πιθανό να</w:t>
      </w:r>
      <w:r w:rsidR="00F14D25" w:rsidRPr="00F14D25">
        <w:t xml:space="preserve"> πάσχει από σοβαρή και ανίατη, κατά τη χρονική στιγμή της διάγνωσης, γενετική ασθένεια</w:t>
      </w:r>
      <w:r w:rsidR="00F14D25">
        <w:t xml:space="preserve"> ή η γέννηση ενός παιδιού του οποίου η γενετική κληρονομιά επιτρέπει τη βελτίωση της πρόγνωσης του αδερφού ή της αδερφής του που πάρχει από σοβαρή γενετική ασθένεια</w:t>
      </w:r>
      <w:r w:rsidR="00F14D25">
        <w:rPr>
          <w:rStyle w:val="FootnoteReference"/>
        </w:rPr>
        <w:footnoteReference w:id="295"/>
      </w:r>
      <w:r w:rsidR="00F14D25">
        <w:t xml:space="preserve">. </w:t>
      </w:r>
    </w:p>
    <w:p w14:paraId="7A48E302" w14:textId="77777777" w:rsidR="00FF6C23" w:rsidRDefault="00F60C4D" w:rsidP="00FF6C23">
      <w:r>
        <w:t>Ειδικότερα, σ</w:t>
      </w:r>
      <w:r w:rsidR="00FF6C23">
        <w:t xml:space="preserve">ύμφωνα με τις διατάξεις του </w:t>
      </w:r>
      <w:r w:rsidR="00FF6C23" w:rsidRPr="000E3421">
        <w:rPr>
          <w:b/>
        </w:rPr>
        <w:t xml:space="preserve">άρθρου L. 2131-4 </w:t>
      </w:r>
      <w:r w:rsidR="00FF6C23">
        <w:rPr>
          <w:b/>
        </w:rPr>
        <w:t>ΚΔΥ</w:t>
      </w:r>
      <w:r w:rsidR="00FF6C23">
        <w:t>:</w:t>
      </w:r>
    </w:p>
    <w:p w14:paraId="5939B7CA" w14:textId="77777777" w:rsidR="00641734" w:rsidRPr="00F60C4D" w:rsidRDefault="00F60C4D" w:rsidP="00F60C4D">
      <w:pPr>
        <w:rPr>
          <w:i/>
        </w:rPr>
      </w:pPr>
      <w:r>
        <w:t>«</w:t>
      </w:r>
      <w:r w:rsidRPr="00F60C4D">
        <w:rPr>
          <w:i/>
        </w:rPr>
        <w:t xml:space="preserve">Με τον όρο προεμφυτευτική διάγνωση νοείται η βιολογική διάγνωση που γίνεται στα κύτταρα που λαμβάνονται από το έμβρυο </w:t>
      </w:r>
      <w:r w:rsidRPr="00F60C4D">
        <w:rPr>
          <w:i/>
          <w:lang w:val="en-US"/>
        </w:rPr>
        <w:t xml:space="preserve">in vitro. </w:t>
      </w:r>
    </w:p>
    <w:p w14:paraId="164CA829" w14:textId="77777777" w:rsidR="00FF6C23" w:rsidRPr="00F60C4D" w:rsidRDefault="00FF6C23" w:rsidP="00FF6C23">
      <w:pPr>
        <w:rPr>
          <w:i/>
        </w:rPr>
      </w:pPr>
      <w:r w:rsidRPr="00F60C4D">
        <w:rPr>
          <w:i/>
        </w:rPr>
        <w:t xml:space="preserve">Ο ιατρός που ασκεί την επαγγελματική του δραστηριότητά του σε ένα διεπιστημονικό κέντρο προγεννητικής διάγνωσης, όπως ορίζεται στο άρθρο L. 2131-1, οφείλει να αιτιολογήσει την ανάγκη για τη διενέργεια της εν λόγω εξέτασης, αποδεικνύοντας ότι το ζευγάρι έχει </w:t>
      </w:r>
      <w:r w:rsidRPr="00F60C4D">
        <w:rPr>
          <w:b/>
          <w:i/>
        </w:rPr>
        <w:t>υψηλή πιθανότητα</w:t>
      </w:r>
      <w:r w:rsidRPr="00F60C4D">
        <w:rPr>
          <w:i/>
        </w:rPr>
        <w:t xml:space="preserve"> να γεννήσει ένα </w:t>
      </w:r>
      <w:r w:rsidRPr="00F60C4D">
        <w:rPr>
          <w:b/>
          <w:i/>
        </w:rPr>
        <w:t>τέκνο που θα πάσχει από σοβαρή και ανίατη, κατά τη χρονική στιγμή της διάγνωσης, γενετική ασθένεια</w:t>
      </w:r>
      <w:r w:rsidRPr="00F60C4D">
        <w:rPr>
          <w:i/>
        </w:rPr>
        <w:t xml:space="preserve">. </w:t>
      </w:r>
    </w:p>
    <w:p w14:paraId="15DBF654" w14:textId="16BC9836" w:rsidR="00FF6C23" w:rsidRPr="00F60C4D" w:rsidRDefault="00FF6C23" w:rsidP="00FF6C23">
      <w:pPr>
        <w:rPr>
          <w:i/>
        </w:rPr>
      </w:pPr>
      <w:r w:rsidRPr="00F60C4D">
        <w:rPr>
          <w:i/>
        </w:rPr>
        <w:t xml:space="preserve">Η διάγνωση δε μπορεί να διενεργηθεί </w:t>
      </w:r>
      <w:r w:rsidR="00D9413A">
        <w:rPr>
          <w:b/>
          <w:i/>
        </w:rPr>
        <w:t>παρά μόνο εάν εντοπισθούν</w:t>
      </w:r>
      <w:r w:rsidRPr="00F60C4D">
        <w:rPr>
          <w:i/>
        </w:rPr>
        <w:t xml:space="preserve">, προγενεστέρα και με ακρίβεια, </w:t>
      </w:r>
      <w:r w:rsidRPr="00F60C4D">
        <w:rPr>
          <w:b/>
          <w:i/>
        </w:rPr>
        <w:t>σε έναν από τους γονείς ή σε έναν από τους άμεσους προγόνους</w:t>
      </w:r>
      <w:r w:rsidRPr="00F60C4D">
        <w:rPr>
          <w:i/>
        </w:rPr>
        <w:t xml:space="preserve"> του</w:t>
      </w:r>
      <w:r w:rsidR="000554F3">
        <w:rPr>
          <w:i/>
        </w:rPr>
        <w:t>,</w:t>
      </w:r>
      <w:r w:rsidRPr="00F60C4D">
        <w:rPr>
          <w:i/>
        </w:rPr>
        <w:t xml:space="preserve"> σε περίπτωση σοβαρής ασθένειας που μπορεί να οδηγήσει σε αναπηρία</w:t>
      </w:r>
      <w:r w:rsidR="007A3490">
        <w:rPr>
          <w:i/>
        </w:rPr>
        <w:t xml:space="preserve"> που</w:t>
      </w:r>
      <w:r w:rsidRPr="00F60C4D">
        <w:rPr>
          <w:i/>
        </w:rPr>
        <w:t xml:space="preserve"> εμφανίστηκε καθυστερημένα και θέτει πρόωρα σε κίνδυνο τη ζωή του τέκνου που θα γεννηθεί, </w:t>
      </w:r>
      <w:r w:rsidRPr="00F60C4D">
        <w:rPr>
          <w:b/>
          <w:i/>
        </w:rPr>
        <w:t>η ανωμαλία ή οι ανωμαλίες που ευθύνονται για την ασθένεια αυτή</w:t>
      </w:r>
      <w:r w:rsidRPr="00F60C4D">
        <w:rPr>
          <w:i/>
        </w:rPr>
        <w:t xml:space="preserve">. </w:t>
      </w:r>
    </w:p>
    <w:p w14:paraId="3285A84B" w14:textId="367F0660" w:rsidR="00FF6C23" w:rsidRPr="00F60C4D" w:rsidRDefault="00FF6C23" w:rsidP="00FF6C23">
      <w:pPr>
        <w:rPr>
          <w:i/>
        </w:rPr>
      </w:pPr>
      <w:r w:rsidRPr="00F60C4D">
        <w:rPr>
          <w:i/>
        </w:rPr>
        <w:t xml:space="preserve">Τα δύο υποβοηθούμενα πρόσωπα εκφράζουν </w:t>
      </w:r>
      <w:r w:rsidRPr="00F60C4D">
        <w:rPr>
          <w:b/>
          <w:i/>
        </w:rPr>
        <w:t>εγγράφως τη συναίνεσή</w:t>
      </w:r>
      <w:r w:rsidR="002B4C7C">
        <w:rPr>
          <w:i/>
        </w:rPr>
        <w:t xml:space="preserve"> τους για τη</w:t>
      </w:r>
      <w:r w:rsidRPr="00F60C4D">
        <w:rPr>
          <w:i/>
        </w:rPr>
        <w:t xml:space="preserve"> διενέργεια της διάγνωσης. </w:t>
      </w:r>
    </w:p>
    <w:p w14:paraId="4C960C6D" w14:textId="77777777" w:rsidR="00FF6C23" w:rsidRPr="00F60C4D" w:rsidRDefault="00FF6C23" w:rsidP="00FF6C23">
      <w:pPr>
        <w:rPr>
          <w:i/>
        </w:rPr>
      </w:pPr>
      <w:r w:rsidRPr="00F60C4D">
        <w:rPr>
          <w:i/>
        </w:rPr>
        <w:t xml:space="preserve">Η διάγνωση δε μπορεί να έχει άλλο </w:t>
      </w:r>
      <w:r w:rsidRPr="00F60C4D">
        <w:rPr>
          <w:b/>
          <w:i/>
        </w:rPr>
        <w:t>σκοπό από τη διερεύνηση της ασθένειας αυτής</w:t>
      </w:r>
      <w:r w:rsidRPr="00F60C4D">
        <w:rPr>
          <w:i/>
        </w:rPr>
        <w:t xml:space="preserve">, καθώς επίσης και των τρόπων </w:t>
      </w:r>
      <w:r w:rsidRPr="00F60C4D">
        <w:rPr>
          <w:b/>
          <w:i/>
        </w:rPr>
        <w:t>πρόληψης και θεραπείας</w:t>
      </w:r>
      <w:r w:rsidRPr="00F60C4D">
        <w:rPr>
          <w:i/>
        </w:rPr>
        <w:t xml:space="preserve"> της.  </w:t>
      </w:r>
    </w:p>
    <w:p w14:paraId="3367A0DE" w14:textId="717BA561" w:rsidR="00FF6C23" w:rsidRPr="00F60C4D" w:rsidRDefault="00FF6C23" w:rsidP="00FF6C23">
      <w:pPr>
        <w:rPr>
          <w:i/>
        </w:rPr>
      </w:pPr>
      <w:r w:rsidRPr="00F60C4D">
        <w:rPr>
          <w:i/>
        </w:rPr>
        <w:t xml:space="preserve">Διενεργείται υπό συγκεκριμένες συνθήκες, </w:t>
      </w:r>
      <w:r w:rsidRPr="00F60C4D">
        <w:rPr>
          <w:b/>
          <w:i/>
        </w:rPr>
        <w:t>αποκλειστικά και μόνο σε διαγνωστικό κέντρο που έχει λάβει ειδική άδεια</w:t>
      </w:r>
      <w:r w:rsidRPr="00F60C4D">
        <w:rPr>
          <w:i/>
        </w:rPr>
        <w:t xml:space="preserve"> για το σκοπό αυτό από τον </w:t>
      </w:r>
      <w:r w:rsidR="00F121B4">
        <w:rPr>
          <w:i/>
        </w:rPr>
        <w:t>Οργανισμό Βιοϊατρικής, όπως αυτός</w:t>
      </w:r>
      <w:r w:rsidRPr="00F60C4D">
        <w:rPr>
          <w:i/>
        </w:rPr>
        <w:t xml:space="preserve"> λειτουργεί κατά το άρθρο L. 1418-1 ΚΔΥ. </w:t>
      </w:r>
    </w:p>
    <w:p w14:paraId="29933460" w14:textId="3490C789" w:rsidR="00FF6C23" w:rsidRDefault="00FF6C23" w:rsidP="00FF6C23">
      <w:r w:rsidRPr="00F60C4D">
        <w:rPr>
          <w:i/>
        </w:rPr>
        <w:t xml:space="preserve">Σε περίπτωση που διαγνωσθεί σε ένα έμβρυο, κατόπιν διενέργειας προεμφυτευτικής διάγνωσης, ανωμαλία ή ανωμαλίες που ευθύνονται για μία από τις παθήσεις που αναφέρονται στο δεύτερο εδάφιο του ίδιου άρθρου [σοβαρή και ανίατη γενετική ασθένεια], </w:t>
      </w:r>
      <w:r w:rsidRPr="00F60C4D">
        <w:rPr>
          <w:i/>
        </w:rPr>
        <w:lastRenderedPageBreak/>
        <w:t xml:space="preserve">τα δύο υποβοηθούμενα πρόσωπα, εάν επιβεβαιώσουν την πρόθεσή τους να μη συνεχίσουν τον «οικογενειακό τους προγραμματισμό» με το συγκεκριμένο έμβρυο, δύνανται να </w:t>
      </w:r>
      <w:r w:rsidRPr="00F60C4D">
        <w:rPr>
          <w:b/>
          <w:i/>
        </w:rPr>
        <w:t>συναινέσουν ώστε αυτ</w:t>
      </w:r>
      <w:r w:rsidR="00F121B4">
        <w:rPr>
          <w:b/>
          <w:i/>
        </w:rPr>
        <w:t xml:space="preserve">ό το τελευταίο να αποτελέσει </w:t>
      </w:r>
      <w:r w:rsidRPr="00F60C4D">
        <w:rPr>
          <w:b/>
          <w:i/>
        </w:rPr>
        <w:t>αντικείμενο έρευνας</w:t>
      </w:r>
      <w:r w:rsidRPr="00F60C4D">
        <w:rPr>
          <w:i/>
        </w:rPr>
        <w:t xml:space="preserve"> υπό τις προϋποθέσεις που ορίζονται στο άρθρο </w:t>
      </w:r>
      <w:r w:rsidRPr="00F60C4D">
        <w:rPr>
          <w:i/>
          <w:lang w:val="fr-FR"/>
        </w:rPr>
        <w:t>L</w:t>
      </w:r>
      <w:r w:rsidRPr="00F60C4D">
        <w:rPr>
          <w:i/>
        </w:rPr>
        <w:t xml:space="preserve">. 2151-5. </w:t>
      </w:r>
      <w:r w:rsidR="00335E5D">
        <w:rPr>
          <w:i/>
        </w:rPr>
        <w:t>Κατά παρέκκλιση</w:t>
      </w:r>
      <w:r w:rsidRPr="00F60C4D">
        <w:rPr>
          <w:i/>
        </w:rPr>
        <w:t xml:space="preserve"> του δ</w:t>
      </w:r>
      <w:r w:rsidR="00035AB3">
        <w:rPr>
          <w:i/>
        </w:rPr>
        <w:t>ευτέρου</w:t>
      </w:r>
      <w:r w:rsidRPr="00F60C4D">
        <w:rPr>
          <w:i/>
        </w:rPr>
        <w:t xml:space="preserve"> εδαφίου των άρθρων </w:t>
      </w:r>
      <w:r w:rsidRPr="00F60C4D">
        <w:rPr>
          <w:i/>
          <w:lang w:val="fr-FR"/>
        </w:rPr>
        <w:t>L</w:t>
      </w:r>
      <w:r w:rsidRPr="00F60C4D">
        <w:rPr>
          <w:i/>
        </w:rPr>
        <w:t xml:space="preserve">. 1111-2 και </w:t>
      </w:r>
      <w:r w:rsidRPr="00F60C4D">
        <w:rPr>
          <w:i/>
          <w:lang w:val="fr-FR"/>
        </w:rPr>
        <w:t>L</w:t>
      </w:r>
      <w:r w:rsidRPr="00F60C4D">
        <w:rPr>
          <w:i/>
        </w:rPr>
        <w:t xml:space="preserve">. 1111-7, μόνο ο ιατρός που έχει </w:t>
      </w:r>
      <w:r w:rsidR="00F121B4">
        <w:rPr>
          <w:i/>
        </w:rPr>
        <w:t>ζητήσει τη διενέργεια των βιολογικών εξετάσεων</w:t>
      </w:r>
      <w:r w:rsidRPr="00F60C4D">
        <w:rPr>
          <w:i/>
        </w:rPr>
        <w:t xml:space="preserve"> της προγεννητικής διάγνωσης μπορεί να γνωστοποιήσει στην έγκυο τα αποτελέσματά τους</w:t>
      </w:r>
      <w:r w:rsidR="00F60C4D">
        <w:t>»</w:t>
      </w:r>
      <w:r>
        <w:t xml:space="preserve">.  </w:t>
      </w:r>
    </w:p>
    <w:p w14:paraId="0F4D048B" w14:textId="77777777" w:rsidR="00726DA5" w:rsidRPr="004933B9" w:rsidRDefault="00726DA5" w:rsidP="00726DA5">
      <w:r w:rsidRPr="00BD086A">
        <w:t>Τη συνδρομή των ανωτέρω προϋποθέσεων ελέγχει ο θεράπων ιατρός που συστήνει την προεμφυτευτική διάγνωση.</w:t>
      </w:r>
      <w:r>
        <w:t xml:space="preserve"> </w:t>
      </w:r>
    </w:p>
    <w:p w14:paraId="18B40EC8" w14:textId="77777777" w:rsidR="00726DA5" w:rsidRPr="00BB7F9A" w:rsidRDefault="00726DA5" w:rsidP="00726DA5">
      <w:r>
        <w:t>Σύμφωνα</w:t>
      </w:r>
      <w:r w:rsidR="00882915">
        <w:t>, δε,</w:t>
      </w:r>
      <w:r>
        <w:t xml:space="preserve"> με τις διατάξεις του άρθρου </w:t>
      </w:r>
      <w:r w:rsidRPr="004D05E8">
        <w:rPr>
          <w:b/>
        </w:rPr>
        <w:t xml:space="preserve">L. 2131-4, παρ. 6, </w:t>
      </w:r>
      <w:r>
        <w:rPr>
          <w:b/>
        </w:rPr>
        <w:t>ΚΔΥ</w:t>
      </w:r>
      <w:r>
        <w:t>:</w:t>
      </w:r>
    </w:p>
    <w:p w14:paraId="4EA7D0AB" w14:textId="77777777" w:rsidR="00726DA5" w:rsidRDefault="00726DA5" w:rsidP="00726DA5">
      <w:r>
        <w:t xml:space="preserve">Η προεμφυτευτική διάγνωση διενεργείται υπό συγκεκριμένες συνθήκες, </w:t>
      </w:r>
      <w:r w:rsidRPr="006C0598">
        <w:rPr>
          <w:b/>
        </w:rPr>
        <w:t>αποκλειστικά και μόνο σε διαγνωστικό κέντρο που έχει λάβει ειδική άδεια</w:t>
      </w:r>
      <w:r>
        <w:t xml:space="preserve"> για το σκοπό αυτό από τον Οργανισμό Βιοϊατρικής. </w:t>
      </w:r>
    </w:p>
    <w:p w14:paraId="16FD0AF0" w14:textId="5BA915B7" w:rsidR="00726DA5" w:rsidRDefault="00726DA5" w:rsidP="00726DA5">
      <w:r>
        <w:t xml:space="preserve">Επίσης, σύμφωνα με τις διατάξεις του άρθρου </w:t>
      </w:r>
      <w:r w:rsidRPr="004D05E8">
        <w:rPr>
          <w:b/>
        </w:rPr>
        <w:t>L. 2131-4</w:t>
      </w:r>
      <w:r>
        <w:rPr>
          <w:b/>
        </w:rPr>
        <w:t>-2</w:t>
      </w:r>
      <w:r w:rsidRPr="004D05E8">
        <w:rPr>
          <w:b/>
        </w:rPr>
        <w:t xml:space="preserve"> </w:t>
      </w:r>
      <w:r>
        <w:rPr>
          <w:b/>
        </w:rPr>
        <w:t>ΚΔΥ</w:t>
      </w:r>
      <w:r w:rsidRPr="00653083">
        <w:t xml:space="preserve">, άδεια </w:t>
      </w:r>
      <w:r>
        <w:t xml:space="preserve">για τη διενέργεια βιολογικών διαγνωστικών αναλύσεων σε κύτταρα που λαμβάνονται από έμβρυα </w:t>
      </w:r>
      <w:r w:rsidRPr="00046631">
        <w:rPr>
          <w:i/>
          <w:lang w:val="fr-FR"/>
        </w:rPr>
        <w:t>in</w:t>
      </w:r>
      <w:r w:rsidRPr="00046631">
        <w:rPr>
          <w:i/>
        </w:rPr>
        <w:t xml:space="preserve"> </w:t>
      </w:r>
      <w:r w:rsidRPr="00046631">
        <w:rPr>
          <w:i/>
          <w:lang w:val="fr-FR"/>
        </w:rPr>
        <w:t>vitro</w:t>
      </w:r>
      <w:r>
        <w:t xml:space="preserve"> έχουν μόνο οι ιατροί [ή </w:t>
      </w:r>
      <w:r w:rsidRPr="00D77E70">
        <w:t>άλλο</w:t>
      </w:r>
      <w:r>
        <w:t xml:space="preserve"> ε</w:t>
      </w:r>
      <w:r w:rsidR="00721B66">
        <w:t>ξειδικευμένο προσωπικό] που έχουν</w:t>
      </w:r>
      <w:r>
        <w:t xml:space="preserve"> πιστοποιηθεί για το σκοπό αυτό από τον Οργανισμό Βιοϊατρικής, όπως ορίζεται στο άρθρο </w:t>
      </w:r>
      <w:r w:rsidRPr="00653083">
        <w:rPr>
          <w:lang w:val="fr-FR"/>
        </w:rPr>
        <w:t>L</w:t>
      </w:r>
      <w:r w:rsidRPr="00653083">
        <w:t>. 1418-1</w:t>
      </w:r>
      <w:r w:rsidR="00721B66">
        <w:t xml:space="preserve"> ΚΔΥ</w:t>
      </w:r>
      <w:r>
        <w:t xml:space="preserve">, υπό τις προϋποθέσεις που προβλέπονται κανονιστικά. </w:t>
      </w:r>
    </w:p>
    <w:p w14:paraId="0499525D" w14:textId="0F2F1D99" w:rsidR="00BC05EE" w:rsidRDefault="00726DA5" w:rsidP="00726DA5">
      <w:r>
        <w:t xml:space="preserve">Μέχρι το 2013, στη Γαλλία, </w:t>
      </w:r>
      <w:r w:rsidR="00721B66">
        <w:t>λειτουργούσαν</w:t>
      </w:r>
      <w:r>
        <w:t xml:space="preserve"> μόνο τρία (3)</w:t>
      </w:r>
      <w:r w:rsidRPr="007F442D">
        <w:t xml:space="preserve"> </w:t>
      </w:r>
      <w:r>
        <w:t xml:space="preserve">ειδικά </w:t>
      </w:r>
      <w:r w:rsidRPr="007F442D">
        <w:t xml:space="preserve">εξουσιοδοτημένα από τον Οργανισμό Βιοϊατρικής κέντρα </w:t>
      </w:r>
      <w:r>
        <w:t xml:space="preserve">για τη διενέργεια </w:t>
      </w:r>
      <w:r w:rsidRPr="007F442D">
        <w:t>προεμφυτευτική</w:t>
      </w:r>
      <w:r>
        <w:t>ς</w:t>
      </w:r>
      <w:r w:rsidRPr="007F442D">
        <w:t xml:space="preserve"> διάγνωση</w:t>
      </w:r>
      <w:r>
        <w:t xml:space="preserve">ς: στα τρία πανεπιστημιακά νοσοκομεία στο </w:t>
      </w:r>
      <w:r w:rsidRPr="00BE4BB3">
        <w:rPr>
          <w:b/>
        </w:rPr>
        <w:t>Παρίσι (</w:t>
      </w:r>
      <w:r w:rsidRPr="00BE4BB3">
        <w:rPr>
          <w:b/>
          <w:lang w:val="fr-FR"/>
        </w:rPr>
        <w:t>Clamart</w:t>
      </w:r>
      <w:r w:rsidR="00FD5AE9">
        <w:rPr>
          <w:b/>
        </w:rPr>
        <w:t xml:space="preserve">), το Στρασβούργο και </w:t>
      </w:r>
      <w:r w:rsidRPr="00BE4BB3">
        <w:rPr>
          <w:b/>
        </w:rPr>
        <w:t xml:space="preserve">το </w:t>
      </w:r>
      <w:r w:rsidRPr="00BE4BB3">
        <w:rPr>
          <w:b/>
          <w:lang w:val="fr-FR"/>
        </w:rPr>
        <w:t>Montpellier</w:t>
      </w:r>
      <w:r>
        <w:t xml:space="preserve">. </w:t>
      </w:r>
      <w:r w:rsidR="00FD5AE9">
        <w:t xml:space="preserve">Ο περιορισμένος </w:t>
      </w:r>
      <w:r w:rsidR="00FC6E38">
        <w:t xml:space="preserve">αυτός αριθμός εξουσιοδοτημένων κέντρων για τη διενέργεια προεμφυτευτικής διάγνωσης και η έλλειψη μέσων στα ήδη υφιστάμενα είχε αποτελέσει αρκετές φορές στο παρελθόν αντικείμενο κριτικής τόσο από τον Οργανισμό Βιοϊατρικής, όσο και από την Εθνική </w:t>
      </w:r>
      <w:r w:rsidR="0036686D">
        <w:t xml:space="preserve">Συμβουλευτική Επιτροπή Ηθικής, δεδομένης της αδυναμίας των κέντρων να </w:t>
      </w:r>
      <w:r w:rsidR="00E53028">
        <w:t xml:space="preserve">ανταποκριθούν </w:t>
      </w:r>
      <w:r w:rsidR="0036686D" w:rsidRPr="00084E6B">
        <w:t>σ</w:t>
      </w:r>
      <w:r w:rsidR="004A2946" w:rsidRPr="00084E6B">
        <w:t xml:space="preserve">ε αιτήματα ζευγαριών που είχαν </w:t>
      </w:r>
      <w:r w:rsidR="00FD5AE9" w:rsidRPr="00084E6B">
        <w:t xml:space="preserve">ήδη </w:t>
      </w:r>
      <w:r w:rsidR="004A2946" w:rsidRPr="00084E6B">
        <w:t>γίνει δεκτά</w:t>
      </w:r>
      <w:r w:rsidR="00E53028">
        <w:t xml:space="preserve">, </w:t>
      </w:r>
      <w:r w:rsidR="00E53028" w:rsidRPr="00084E6B">
        <w:t>εξαιτίας έλλειψης πόρων</w:t>
      </w:r>
      <w:r w:rsidR="004A2946" w:rsidRPr="00084E6B">
        <w:t>. Τα ζευγάρια συχνά αναγκάζονταν να περιμένουν για μεγάλο χρονικό διάστημα, παρά το βεβαρυμένο οικογενειακό ιατρικό ιστορικό τους. Σε</w:t>
      </w:r>
      <w:r w:rsidR="004A2946">
        <w:t xml:space="preserve"> μερικές περιπτώσεις, η αναμονή έφτανε μέχρι και το ένα ή και τα δύο έτη από τη</w:t>
      </w:r>
      <w:r w:rsidR="00E53028">
        <w:t>ν υποβολή</w:t>
      </w:r>
      <w:r w:rsidR="004A2946">
        <w:t xml:space="preserve"> του αιτήματος έως την πρώτη διενέργεια προεμφυτευτικής διάγνωσης, γεγονός που συνέβαλ</w:t>
      </w:r>
      <w:r w:rsidR="00E53028">
        <w:t>λ</w:t>
      </w:r>
      <w:r w:rsidR="004A2946">
        <w:t xml:space="preserve">ε, σε συνδυασμό με την αύξηση της ηλικίας της υποβοηθούμενης γυναίκας, στη μείωση των πιθανοτήτων επιτυχίας της ιατρικά υποβοηθούμενης αναπαραγωγής. </w:t>
      </w:r>
    </w:p>
    <w:p w14:paraId="08F95D9B" w14:textId="58FD1AD4" w:rsidR="00226BA0" w:rsidRDefault="00226BA0" w:rsidP="00726DA5">
      <w:r>
        <w:t xml:space="preserve">Σύμφωνα με την Εθνική Συμβουλευτική Επιτροπή Ηθικής, η κατάσταση αυτή οδηγούσε τα ζευγάρια στην αναζήτηση εναλλακτικών </w:t>
      </w:r>
      <w:r w:rsidR="00B56BA0">
        <w:t xml:space="preserve">– και συχνά προβληματικών – </w:t>
      </w:r>
      <w:r>
        <w:t xml:space="preserve">λύσεων: ορισμένοι διέσχιζαν τα σύνορα για να πραγματοποιήσουν μια προεμφυτευτική διάγνωση, την οποία η Γαλλία δεν είχε τα μέσα να τους παράσχει, άλλοι </w:t>
      </w:r>
      <w:r w:rsidR="004F3E19">
        <w:t xml:space="preserve">προτιμούσαν τη </w:t>
      </w:r>
      <w:r>
        <w:t xml:space="preserve">γονιμοποίηση </w:t>
      </w:r>
      <w:r w:rsidRPr="0000406A">
        <w:rPr>
          <w:i/>
          <w:lang w:val="en-US"/>
        </w:rPr>
        <w:t>in vitro</w:t>
      </w:r>
      <w:r>
        <w:rPr>
          <w:lang w:val="en-US"/>
        </w:rPr>
        <w:t xml:space="preserve"> </w:t>
      </w:r>
      <w:r w:rsidR="004F3E19">
        <w:rPr>
          <w:lang w:val="en-US"/>
        </w:rPr>
        <w:t xml:space="preserve">λόγω της </w:t>
      </w:r>
      <w:r w:rsidR="004F3E19">
        <w:t xml:space="preserve">εσφαλμένης πεποίθησης ότι είναι πιο ασφαλής από </w:t>
      </w:r>
      <w:r w:rsidR="00B56BA0">
        <w:t>μια «αυθόρμητη» εγκυμοσύνη λόγω</w:t>
      </w:r>
      <w:r w:rsidR="004F3E19">
        <w:t xml:space="preserve"> των τυποποιημένων προγεννητικών ελέγχων του εμβρύου, ενώ, τέλος, κάποιοι παραιτούνταν </w:t>
      </w:r>
      <w:r w:rsidR="00B56BA0">
        <w:lastRenderedPageBreak/>
        <w:t xml:space="preserve">τόσο </w:t>
      </w:r>
      <w:r w:rsidR="004F3E19">
        <w:t xml:space="preserve">από τη δυνατότητα της προσφυγής σε προεμφυτευτική διάγνωση, </w:t>
      </w:r>
      <w:r w:rsidR="00B56BA0">
        <w:t>όσο</w:t>
      </w:r>
      <w:r w:rsidR="004F3E19">
        <w:t xml:space="preserve"> και από τον «οικογενειακό τους προγραμματισμό»</w:t>
      </w:r>
      <w:r w:rsidR="004F3E19">
        <w:rPr>
          <w:rStyle w:val="FootnoteReference"/>
        </w:rPr>
        <w:footnoteReference w:id="296"/>
      </w:r>
      <w:r w:rsidR="004F3E19">
        <w:t xml:space="preserve">. </w:t>
      </w:r>
    </w:p>
    <w:p w14:paraId="6188B00A" w14:textId="77777777" w:rsidR="00EF23BE" w:rsidRDefault="00EF23BE" w:rsidP="00EF23BE">
      <w:r>
        <w:t>Για όλους τους ανωτέρω λόγους, η Εθνική Συμβουλευτική Επιτροπή Ηθικής, πρότεινε σε Γνωμοδότησή της, το 2009, την ενίσχυση του προσωπικού και των δομών στα ήδη εγκεκριμένα κέντρα προεμφυτευτικής διάγνωσης, προκειμένου να μπορούν να εφαρμόζουν τη νομοθεσία και να ανταποκρίνονται</w:t>
      </w:r>
      <w:r w:rsidR="00CC3C21">
        <w:t xml:space="preserve"> στα αιτήματα των υποψηφί</w:t>
      </w:r>
      <w:r w:rsidR="0000406A">
        <w:t>ων υπο</w:t>
      </w:r>
      <w:r>
        <w:t>β</w:t>
      </w:r>
      <w:r w:rsidR="0000406A">
        <w:t>ο</w:t>
      </w:r>
      <w:r>
        <w:t>ηθούμενων ζευγαριών. Στο πλαίσιο αυτό πρότεινε, μάλιστα, και την ίδρυση στη Γαλλία και τέταρτου κέντρου προεμφυτευτικής διάγνωσης</w:t>
      </w:r>
      <w:r w:rsidR="00F0754D">
        <w:rPr>
          <w:rStyle w:val="FootnoteReference"/>
        </w:rPr>
        <w:footnoteReference w:id="297"/>
      </w:r>
      <w:r>
        <w:t xml:space="preserve">. </w:t>
      </w:r>
    </w:p>
    <w:p w14:paraId="53D65A54" w14:textId="77777777" w:rsidR="00C921F7" w:rsidRDefault="009347FA" w:rsidP="0000406A">
      <w:r>
        <w:t>Με τη γνώμη της Εθνικής Συμβουλευτικής Επιτροπής Ηθικής συντάχθηκε και η Κοινοβουλευτική Αποστολή Πληροφόρησης σχετικά με</w:t>
      </w:r>
      <w:r w:rsidR="000A2C08">
        <w:t xml:space="preserve"> την αναθεώρηση των </w:t>
      </w:r>
      <w:r w:rsidR="000A2C08" w:rsidRPr="000A2C08">
        <w:rPr>
          <w:i/>
        </w:rPr>
        <w:t>Νόμων περί Β</w:t>
      </w:r>
      <w:r w:rsidRPr="000A2C08">
        <w:rPr>
          <w:i/>
        </w:rPr>
        <w:t>ιοηθικής</w:t>
      </w:r>
      <w:r>
        <w:t xml:space="preserve"> όταν, το 2010, πρότεινε να αυξηθούν τα μέσα που παρέχονται στα κέντρα προεμφυτευτικής διάγνωσης και υποστήριξε ότι ήταν αναγκαία η μελέτη του ενδεχόμενου δημιουργίας στη Γαλλία και άλλων εγκεκριμένων για τη διενέργειά της κέντρων</w:t>
      </w:r>
      <w:r>
        <w:rPr>
          <w:rStyle w:val="FootnoteReference"/>
        </w:rPr>
        <w:footnoteReference w:id="298"/>
      </w:r>
      <w:r>
        <w:t xml:space="preserve">. </w:t>
      </w:r>
    </w:p>
    <w:p w14:paraId="61543B87" w14:textId="77777777" w:rsidR="00E274BF" w:rsidRDefault="0000406A" w:rsidP="00726DA5">
      <w:r>
        <w:t xml:space="preserve">Λαμβάνοντας όλα τα ανωτέρω υπόψη, </w:t>
      </w:r>
      <w:r w:rsidR="00726DA5">
        <w:t xml:space="preserve">τον Ιούνιο του 2013 </w:t>
      </w:r>
      <w:r>
        <w:t xml:space="preserve">τα ειδικά εξουσιοδοτημένα για τη διενέργεια προεμφυτευτικής διάγνωσης κέντρα έγιναν τέσσερα: στα τρία υφιστάμενα προστέθηκε </w:t>
      </w:r>
      <w:r w:rsidR="00726DA5">
        <w:t xml:space="preserve">το πανεπιστημιακό νοσοκομείο της </w:t>
      </w:r>
      <w:r w:rsidR="00726DA5" w:rsidRPr="00BE4BB3">
        <w:rPr>
          <w:b/>
          <w:lang w:val="fr-FR"/>
        </w:rPr>
        <w:t>Nantes</w:t>
      </w:r>
      <w:r w:rsidR="00726DA5">
        <w:t>.</w:t>
      </w:r>
    </w:p>
    <w:p w14:paraId="23D483D9" w14:textId="442DFCD0" w:rsidR="00BA0480" w:rsidRDefault="00E274BF" w:rsidP="0023213A">
      <w:r>
        <w:t xml:space="preserve">Η δραστηριότητα της προεμφυτευτικής διάγνωσης εμφανίζει σημαντική αύξηση το 2010, σε σχέση με τα προηγούμενα έτη, όχι όμως και σε σχέση με το 2011, έτος κατά το οποίο η διενέργεια της εξέτασης της προεμφυτευτικής διάγνωσης παρουσιάζεται μειωμένη σε εθνικό επίπεδο (με εξαίρεση το κέντρο του </w:t>
      </w:r>
      <w:r>
        <w:rPr>
          <w:lang w:val="en-US"/>
        </w:rPr>
        <w:t>Montpellier</w:t>
      </w:r>
      <w:r>
        <w:t>)</w:t>
      </w:r>
      <w:r w:rsidR="00570F66">
        <w:t>. Το 2011 κατ</w:t>
      </w:r>
      <w:r w:rsidR="00E273EE">
        <w:t>αγράφηκαν</w:t>
      </w:r>
      <w:r w:rsidR="00570F66">
        <w:t xml:space="preserve"> 337 υποβοηθούμενα ζευγάρια, 62 τοκετο</w:t>
      </w:r>
      <w:r w:rsidR="00A51740">
        <w:t>ί κ</w:t>
      </w:r>
      <w:r w:rsidR="00754938">
        <w:t>αι 74 γεννήσεις (Πίνακας 17</w:t>
      </w:r>
      <w:r w:rsidR="005D59D5">
        <w:t>). Αύξηση παρουσιάζει και ο αριθμός των αιτημάτων διενέργειας προεμφυτευτικής διάγνωσης από το 2008</w:t>
      </w:r>
      <w:r w:rsidR="00BA0480">
        <w:t xml:space="preserve"> έως το 2012 (</w:t>
      </w:r>
      <w:r w:rsidR="00754938">
        <w:t>Πίνακας 18</w:t>
      </w:r>
      <w:r w:rsidR="00194334">
        <w:t>)</w:t>
      </w:r>
      <w:r w:rsidR="0007097E">
        <w:rPr>
          <w:rStyle w:val="FootnoteReference"/>
        </w:rPr>
        <w:footnoteReference w:id="299"/>
      </w:r>
      <w:r w:rsidR="00194334">
        <w:t xml:space="preserve">. </w:t>
      </w:r>
    </w:p>
    <w:p w14:paraId="0FF04DC2" w14:textId="77777777" w:rsidR="002F42F1" w:rsidRDefault="002F42F1" w:rsidP="0023213A"/>
    <w:p w14:paraId="10E3BFB4" w14:textId="77777777" w:rsidR="002F42F1" w:rsidRDefault="002F42F1" w:rsidP="0023213A"/>
    <w:p w14:paraId="0C3E2706" w14:textId="77777777" w:rsidR="002F42F1" w:rsidRDefault="002F42F1" w:rsidP="0023213A"/>
    <w:p w14:paraId="476BC15C" w14:textId="77777777" w:rsidR="002F42F1" w:rsidRPr="0023213A" w:rsidRDefault="002F42F1" w:rsidP="0023213A"/>
    <w:p w14:paraId="2AD2D1B5" w14:textId="7B3E9664" w:rsidR="00570F66" w:rsidRDefault="00754938" w:rsidP="0023213A">
      <w:pPr>
        <w:spacing w:before="240" w:after="240"/>
        <w:ind w:firstLine="0"/>
        <w:rPr>
          <w:b/>
          <w:lang w:val="en-US"/>
        </w:rPr>
      </w:pPr>
      <w:r>
        <w:rPr>
          <w:b/>
          <w:lang w:val="en-US"/>
        </w:rPr>
        <w:lastRenderedPageBreak/>
        <w:t>Πίνακας 17</w:t>
      </w:r>
      <w:r w:rsidR="0038677E" w:rsidRPr="0038677E">
        <w:rPr>
          <w:b/>
          <w:lang w:val="en-US"/>
        </w:rPr>
        <w:t>. Διενέργεια προεμφυτευτικής διάγνωσης στη Γαλλία κατά τα έτη 2008 έως 2011</w:t>
      </w:r>
    </w:p>
    <w:p w14:paraId="226241B3" w14:textId="7E1B98B7" w:rsidR="00BA0480" w:rsidRDefault="00E273EE" w:rsidP="0023213A">
      <w:pPr>
        <w:pStyle w:val="FootnoteText"/>
      </w:pPr>
      <w:r>
        <w:rPr>
          <w:noProof/>
        </w:rPr>
        <w:drawing>
          <wp:inline distT="0" distB="0" distL="0" distR="0" wp14:anchorId="6A194E85" wp14:editId="2DC4AD5D">
            <wp:extent cx="5965825" cy="3389630"/>
            <wp:effectExtent l="0" t="0" r="28575"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B4E0CC" w14:textId="77777777" w:rsidR="0023213A" w:rsidRDefault="0023213A" w:rsidP="0023213A">
      <w:pPr>
        <w:spacing w:before="240" w:after="240"/>
        <w:ind w:firstLine="0"/>
        <w:rPr>
          <w:b/>
          <w:lang w:val="en-US"/>
        </w:rPr>
      </w:pPr>
    </w:p>
    <w:p w14:paraId="2E7F2DFF" w14:textId="7AF22F0D" w:rsidR="003345D3" w:rsidRPr="0038677E" w:rsidRDefault="00754938" w:rsidP="0023213A">
      <w:pPr>
        <w:spacing w:before="240" w:after="240"/>
        <w:ind w:firstLine="0"/>
        <w:rPr>
          <w:b/>
          <w:lang w:val="en-US"/>
        </w:rPr>
      </w:pPr>
      <w:r>
        <w:rPr>
          <w:b/>
          <w:lang w:val="en-US"/>
        </w:rPr>
        <w:t>Πίνακας 18</w:t>
      </w:r>
      <w:r w:rsidR="003345D3" w:rsidRPr="0038677E">
        <w:rPr>
          <w:b/>
          <w:lang w:val="en-US"/>
        </w:rPr>
        <w:t xml:space="preserve">. </w:t>
      </w:r>
      <w:r w:rsidR="003345D3">
        <w:rPr>
          <w:b/>
          <w:lang w:val="en-US"/>
        </w:rPr>
        <w:t>Εξέλιξη αιτημάτων δ</w:t>
      </w:r>
      <w:r w:rsidR="003345D3" w:rsidRPr="0038677E">
        <w:rPr>
          <w:b/>
          <w:lang w:val="en-US"/>
        </w:rPr>
        <w:t>ιενέργεια</w:t>
      </w:r>
      <w:r w:rsidR="003345D3">
        <w:rPr>
          <w:b/>
          <w:lang w:val="en-US"/>
        </w:rPr>
        <w:t>ς</w:t>
      </w:r>
      <w:r w:rsidR="003345D3" w:rsidRPr="0038677E">
        <w:rPr>
          <w:b/>
          <w:lang w:val="en-US"/>
        </w:rPr>
        <w:t xml:space="preserve"> προεμφυτευτικής διάγνωσης στη </w:t>
      </w:r>
      <w:r w:rsidR="003345D3">
        <w:rPr>
          <w:b/>
          <w:lang w:val="en-US"/>
        </w:rPr>
        <w:t>Γαλλία κατά τα έτη 2008 έως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851"/>
        <w:gridCol w:w="717"/>
        <w:gridCol w:w="771"/>
        <w:gridCol w:w="804"/>
        <w:gridCol w:w="859"/>
        <w:gridCol w:w="717"/>
        <w:gridCol w:w="831"/>
        <w:gridCol w:w="830"/>
        <w:gridCol w:w="706"/>
        <w:gridCol w:w="717"/>
      </w:tblGrid>
      <w:tr w:rsidR="006928B0" w14:paraId="3B9B9C40" w14:textId="77777777" w:rsidTr="00D8775C">
        <w:tc>
          <w:tcPr>
            <w:tcW w:w="1627" w:type="dxa"/>
            <w:vMerge w:val="restart"/>
            <w:shd w:val="pct15" w:color="auto" w:fill="auto"/>
          </w:tcPr>
          <w:p w14:paraId="60144B6E" w14:textId="77777777" w:rsidR="003345D3" w:rsidRPr="00D8775C" w:rsidRDefault="003345D3" w:rsidP="00D8775C">
            <w:pPr>
              <w:spacing w:before="60" w:after="60" w:line="240" w:lineRule="auto"/>
              <w:ind w:firstLine="0"/>
              <w:rPr>
                <w:rFonts w:eastAsia="Calibri"/>
                <w:spacing w:val="-14"/>
                <w:sz w:val="22"/>
                <w:szCs w:val="22"/>
              </w:rPr>
            </w:pPr>
          </w:p>
          <w:p w14:paraId="059E92DB" w14:textId="77777777" w:rsidR="003345D3" w:rsidRPr="00D8775C" w:rsidRDefault="003345D3" w:rsidP="00D8775C">
            <w:pPr>
              <w:spacing w:before="60" w:after="60" w:line="240" w:lineRule="auto"/>
              <w:ind w:firstLine="0"/>
              <w:rPr>
                <w:rFonts w:eastAsia="Calibri"/>
                <w:b/>
                <w:spacing w:val="-14"/>
                <w:sz w:val="22"/>
                <w:szCs w:val="22"/>
              </w:rPr>
            </w:pPr>
            <w:r w:rsidRPr="00D8775C">
              <w:rPr>
                <w:rFonts w:eastAsia="Calibri"/>
                <w:b/>
                <w:spacing w:val="-14"/>
                <w:sz w:val="22"/>
                <w:szCs w:val="22"/>
              </w:rPr>
              <w:t>Παθολογίες</w:t>
            </w:r>
          </w:p>
        </w:tc>
        <w:tc>
          <w:tcPr>
            <w:tcW w:w="1568" w:type="dxa"/>
            <w:gridSpan w:val="2"/>
            <w:shd w:val="pct15" w:color="auto" w:fill="auto"/>
          </w:tcPr>
          <w:p w14:paraId="2F749182"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2008</w:t>
            </w:r>
          </w:p>
        </w:tc>
        <w:tc>
          <w:tcPr>
            <w:tcW w:w="1575" w:type="dxa"/>
            <w:gridSpan w:val="2"/>
            <w:shd w:val="pct15" w:color="auto" w:fill="auto"/>
          </w:tcPr>
          <w:p w14:paraId="25FEF9AD"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2009</w:t>
            </w:r>
          </w:p>
        </w:tc>
        <w:tc>
          <w:tcPr>
            <w:tcW w:w="1576" w:type="dxa"/>
            <w:gridSpan w:val="2"/>
            <w:shd w:val="pct15" w:color="auto" w:fill="auto"/>
          </w:tcPr>
          <w:p w14:paraId="41BD2655"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2010</w:t>
            </w:r>
          </w:p>
        </w:tc>
        <w:tc>
          <w:tcPr>
            <w:tcW w:w="1661" w:type="dxa"/>
            <w:gridSpan w:val="2"/>
            <w:shd w:val="pct15" w:color="auto" w:fill="auto"/>
          </w:tcPr>
          <w:p w14:paraId="10746578"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2011</w:t>
            </w:r>
          </w:p>
        </w:tc>
        <w:tc>
          <w:tcPr>
            <w:tcW w:w="1423" w:type="dxa"/>
            <w:gridSpan w:val="2"/>
            <w:shd w:val="pct15" w:color="auto" w:fill="auto"/>
          </w:tcPr>
          <w:p w14:paraId="5C657739"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2012</w:t>
            </w:r>
          </w:p>
        </w:tc>
      </w:tr>
      <w:tr w:rsidR="006928B0" w14:paraId="3F1E8625" w14:textId="77777777" w:rsidTr="00D8775C">
        <w:tc>
          <w:tcPr>
            <w:tcW w:w="1627" w:type="dxa"/>
            <w:vMerge/>
            <w:shd w:val="clear" w:color="auto" w:fill="auto"/>
          </w:tcPr>
          <w:p w14:paraId="5BC61538" w14:textId="77777777" w:rsidR="003345D3" w:rsidRPr="00D8775C" w:rsidRDefault="003345D3" w:rsidP="00D8775C">
            <w:pPr>
              <w:spacing w:before="60" w:after="60" w:line="240" w:lineRule="auto"/>
              <w:ind w:firstLine="0"/>
              <w:rPr>
                <w:rFonts w:eastAsia="Calibri"/>
                <w:spacing w:val="-14"/>
                <w:sz w:val="22"/>
                <w:szCs w:val="22"/>
              </w:rPr>
            </w:pPr>
          </w:p>
        </w:tc>
        <w:tc>
          <w:tcPr>
            <w:tcW w:w="851" w:type="dxa"/>
            <w:shd w:val="clear" w:color="auto" w:fill="auto"/>
          </w:tcPr>
          <w:p w14:paraId="5928FA9B"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Αρ.</w:t>
            </w:r>
          </w:p>
        </w:tc>
        <w:tc>
          <w:tcPr>
            <w:tcW w:w="717" w:type="dxa"/>
            <w:shd w:val="clear" w:color="auto" w:fill="auto"/>
          </w:tcPr>
          <w:p w14:paraId="1422F06A"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w:t>
            </w:r>
          </w:p>
        </w:tc>
        <w:tc>
          <w:tcPr>
            <w:tcW w:w="771" w:type="dxa"/>
            <w:shd w:val="clear" w:color="auto" w:fill="auto"/>
          </w:tcPr>
          <w:p w14:paraId="1B6DDFC3"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Αρ.</w:t>
            </w:r>
          </w:p>
        </w:tc>
        <w:tc>
          <w:tcPr>
            <w:tcW w:w="804" w:type="dxa"/>
            <w:shd w:val="clear" w:color="auto" w:fill="auto"/>
          </w:tcPr>
          <w:p w14:paraId="612DF9BB"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w:t>
            </w:r>
          </w:p>
        </w:tc>
        <w:tc>
          <w:tcPr>
            <w:tcW w:w="859" w:type="dxa"/>
            <w:shd w:val="clear" w:color="auto" w:fill="auto"/>
          </w:tcPr>
          <w:p w14:paraId="3BD2561F"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Αρ.</w:t>
            </w:r>
          </w:p>
        </w:tc>
        <w:tc>
          <w:tcPr>
            <w:tcW w:w="717" w:type="dxa"/>
            <w:shd w:val="clear" w:color="auto" w:fill="auto"/>
          </w:tcPr>
          <w:p w14:paraId="0F3EBF47"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w:t>
            </w:r>
          </w:p>
        </w:tc>
        <w:tc>
          <w:tcPr>
            <w:tcW w:w="831" w:type="dxa"/>
            <w:shd w:val="clear" w:color="auto" w:fill="auto"/>
          </w:tcPr>
          <w:p w14:paraId="753CBC5D"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Αρ.</w:t>
            </w:r>
          </w:p>
        </w:tc>
        <w:tc>
          <w:tcPr>
            <w:tcW w:w="830" w:type="dxa"/>
            <w:shd w:val="clear" w:color="auto" w:fill="auto"/>
          </w:tcPr>
          <w:p w14:paraId="3613371E"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w:t>
            </w:r>
          </w:p>
        </w:tc>
        <w:tc>
          <w:tcPr>
            <w:tcW w:w="706" w:type="dxa"/>
            <w:shd w:val="clear" w:color="auto" w:fill="auto"/>
          </w:tcPr>
          <w:p w14:paraId="1A365324"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Αρ.</w:t>
            </w:r>
          </w:p>
        </w:tc>
        <w:tc>
          <w:tcPr>
            <w:tcW w:w="717" w:type="dxa"/>
            <w:shd w:val="clear" w:color="auto" w:fill="auto"/>
          </w:tcPr>
          <w:p w14:paraId="31204C5E" w14:textId="77777777" w:rsidR="003345D3" w:rsidRPr="00D8775C" w:rsidRDefault="003345D3" w:rsidP="00D8775C">
            <w:pPr>
              <w:spacing w:before="60" w:after="60" w:line="240" w:lineRule="auto"/>
              <w:ind w:firstLine="0"/>
              <w:jc w:val="center"/>
              <w:rPr>
                <w:rFonts w:eastAsia="Calibri"/>
                <w:b/>
                <w:sz w:val="22"/>
                <w:szCs w:val="22"/>
              </w:rPr>
            </w:pPr>
            <w:r w:rsidRPr="00D8775C">
              <w:rPr>
                <w:rFonts w:eastAsia="Calibri"/>
                <w:b/>
                <w:sz w:val="22"/>
                <w:szCs w:val="22"/>
              </w:rPr>
              <w:t>%</w:t>
            </w:r>
          </w:p>
        </w:tc>
      </w:tr>
      <w:tr w:rsidR="006928B0" w14:paraId="062472A2" w14:textId="77777777" w:rsidTr="00D8775C">
        <w:tc>
          <w:tcPr>
            <w:tcW w:w="1627" w:type="dxa"/>
            <w:shd w:val="clear" w:color="auto" w:fill="auto"/>
          </w:tcPr>
          <w:p w14:paraId="110D04AC" w14:textId="77777777" w:rsidR="003345D3" w:rsidRPr="00D8775C" w:rsidRDefault="006928B0" w:rsidP="00D8775C">
            <w:pPr>
              <w:spacing w:before="60" w:after="60" w:line="240" w:lineRule="auto"/>
              <w:ind w:firstLine="0"/>
              <w:rPr>
                <w:rFonts w:eastAsia="Calibri"/>
                <w:spacing w:val="-14"/>
                <w:sz w:val="22"/>
                <w:szCs w:val="22"/>
              </w:rPr>
            </w:pPr>
            <w:r w:rsidRPr="00D8775C">
              <w:rPr>
                <w:rFonts w:eastAsia="Calibri"/>
                <w:spacing w:val="-14"/>
                <w:sz w:val="22"/>
                <w:szCs w:val="22"/>
              </w:rPr>
              <w:t>Αυτοσωματικό υπολειπόμενο</w:t>
            </w:r>
          </w:p>
        </w:tc>
        <w:tc>
          <w:tcPr>
            <w:tcW w:w="851" w:type="dxa"/>
            <w:shd w:val="clear" w:color="auto" w:fill="auto"/>
          </w:tcPr>
          <w:p w14:paraId="3B78FC0C" w14:textId="77777777" w:rsidR="006928B0" w:rsidRPr="00D8775C" w:rsidRDefault="006928B0" w:rsidP="00047E85">
            <w:pPr>
              <w:spacing w:after="60" w:line="240" w:lineRule="auto"/>
              <w:ind w:firstLine="0"/>
              <w:jc w:val="center"/>
              <w:rPr>
                <w:rFonts w:eastAsia="Calibri"/>
                <w:sz w:val="22"/>
                <w:szCs w:val="22"/>
              </w:rPr>
            </w:pPr>
            <w:r w:rsidRPr="00D8775C">
              <w:rPr>
                <w:rFonts w:eastAsia="Calibri"/>
                <w:sz w:val="22"/>
                <w:szCs w:val="22"/>
              </w:rPr>
              <w:t>63</w:t>
            </w:r>
          </w:p>
        </w:tc>
        <w:tc>
          <w:tcPr>
            <w:tcW w:w="717" w:type="dxa"/>
            <w:shd w:val="clear" w:color="auto" w:fill="auto"/>
          </w:tcPr>
          <w:p w14:paraId="2B6A2FBA"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15,1</w:t>
            </w:r>
          </w:p>
        </w:tc>
        <w:tc>
          <w:tcPr>
            <w:tcW w:w="771" w:type="dxa"/>
            <w:shd w:val="clear" w:color="auto" w:fill="auto"/>
          </w:tcPr>
          <w:p w14:paraId="23B5C478"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105</w:t>
            </w:r>
          </w:p>
        </w:tc>
        <w:tc>
          <w:tcPr>
            <w:tcW w:w="804" w:type="dxa"/>
            <w:shd w:val="clear" w:color="auto" w:fill="auto"/>
          </w:tcPr>
          <w:p w14:paraId="0F3EF787"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18,5</w:t>
            </w:r>
          </w:p>
        </w:tc>
        <w:tc>
          <w:tcPr>
            <w:tcW w:w="859" w:type="dxa"/>
            <w:shd w:val="clear" w:color="auto" w:fill="auto"/>
          </w:tcPr>
          <w:p w14:paraId="7DAAB7E7"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127</w:t>
            </w:r>
          </w:p>
        </w:tc>
        <w:tc>
          <w:tcPr>
            <w:tcW w:w="717" w:type="dxa"/>
            <w:shd w:val="clear" w:color="auto" w:fill="auto"/>
          </w:tcPr>
          <w:p w14:paraId="195E0C29"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20,6</w:t>
            </w:r>
          </w:p>
        </w:tc>
        <w:tc>
          <w:tcPr>
            <w:tcW w:w="831" w:type="dxa"/>
            <w:shd w:val="clear" w:color="auto" w:fill="auto"/>
          </w:tcPr>
          <w:p w14:paraId="48054275"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128</w:t>
            </w:r>
          </w:p>
        </w:tc>
        <w:tc>
          <w:tcPr>
            <w:tcW w:w="830" w:type="dxa"/>
            <w:shd w:val="clear" w:color="auto" w:fill="auto"/>
          </w:tcPr>
          <w:p w14:paraId="0CD359E0"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19,2</w:t>
            </w:r>
          </w:p>
        </w:tc>
        <w:tc>
          <w:tcPr>
            <w:tcW w:w="706" w:type="dxa"/>
            <w:shd w:val="clear" w:color="auto" w:fill="auto"/>
          </w:tcPr>
          <w:p w14:paraId="232B91E9"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132</w:t>
            </w:r>
          </w:p>
        </w:tc>
        <w:tc>
          <w:tcPr>
            <w:tcW w:w="717" w:type="dxa"/>
            <w:shd w:val="clear" w:color="auto" w:fill="auto"/>
          </w:tcPr>
          <w:p w14:paraId="59895F93"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18,1</w:t>
            </w:r>
          </w:p>
        </w:tc>
      </w:tr>
      <w:tr w:rsidR="006928B0" w14:paraId="520F5E82" w14:textId="77777777" w:rsidTr="00D8775C">
        <w:tc>
          <w:tcPr>
            <w:tcW w:w="1627" w:type="dxa"/>
            <w:shd w:val="clear" w:color="auto" w:fill="auto"/>
          </w:tcPr>
          <w:p w14:paraId="3F4E575D" w14:textId="77777777" w:rsidR="003345D3" w:rsidRPr="00D8775C" w:rsidRDefault="006928B0" w:rsidP="00D8775C">
            <w:pPr>
              <w:spacing w:before="60" w:after="60" w:line="240" w:lineRule="auto"/>
              <w:ind w:firstLine="0"/>
              <w:rPr>
                <w:rFonts w:eastAsia="Calibri"/>
                <w:spacing w:val="-14"/>
                <w:sz w:val="22"/>
                <w:szCs w:val="22"/>
              </w:rPr>
            </w:pPr>
            <w:r w:rsidRPr="00D8775C">
              <w:rPr>
                <w:rFonts w:eastAsia="Calibri"/>
                <w:spacing w:val="-14"/>
                <w:sz w:val="22"/>
                <w:szCs w:val="22"/>
              </w:rPr>
              <w:t>Αυτοσωματικό κυρίαρχο</w:t>
            </w:r>
          </w:p>
        </w:tc>
        <w:tc>
          <w:tcPr>
            <w:tcW w:w="851" w:type="dxa"/>
            <w:shd w:val="clear" w:color="auto" w:fill="auto"/>
          </w:tcPr>
          <w:p w14:paraId="3B7A7290"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124</w:t>
            </w:r>
          </w:p>
        </w:tc>
        <w:tc>
          <w:tcPr>
            <w:tcW w:w="717" w:type="dxa"/>
            <w:shd w:val="clear" w:color="auto" w:fill="auto"/>
          </w:tcPr>
          <w:p w14:paraId="6389C7BE"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29,8</w:t>
            </w:r>
          </w:p>
        </w:tc>
        <w:tc>
          <w:tcPr>
            <w:tcW w:w="771" w:type="dxa"/>
            <w:shd w:val="clear" w:color="auto" w:fill="auto"/>
          </w:tcPr>
          <w:p w14:paraId="37C09E2A"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152</w:t>
            </w:r>
          </w:p>
        </w:tc>
        <w:tc>
          <w:tcPr>
            <w:tcW w:w="804" w:type="dxa"/>
            <w:shd w:val="clear" w:color="auto" w:fill="auto"/>
          </w:tcPr>
          <w:p w14:paraId="73807870"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26,8</w:t>
            </w:r>
          </w:p>
        </w:tc>
        <w:tc>
          <w:tcPr>
            <w:tcW w:w="859" w:type="dxa"/>
            <w:shd w:val="clear" w:color="auto" w:fill="auto"/>
          </w:tcPr>
          <w:p w14:paraId="22994FF5"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163</w:t>
            </w:r>
          </w:p>
        </w:tc>
        <w:tc>
          <w:tcPr>
            <w:tcW w:w="717" w:type="dxa"/>
            <w:shd w:val="clear" w:color="auto" w:fill="auto"/>
          </w:tcPr>
          <w:p w14:paraId="6E9D39CD"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26,4</w:t>
            </w:r>
          </w:p>
        </w:tc>
        <w:tc>
          <w:tcPr>
            <w:tcW w:w="831" w:type="dxa"/>
            <w:shd w:val="clear" w:color="auto" w:fill="auto"/>
          </w:tcPr>
          <w:p w14:paraId="20BF5879"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172</w:t>
            </w:r>
          </w:p>
        </w:tc>
        <w:tc>
          <w:tcPr>
            <w:tcW w:w="830" w:type="dxa"/>
            <w:shd w:val="clear" w:color="auto" w:fill="auto"/>
          </w:tcPr>
          <w:p w14:paraId="67B1DC1E"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25,8</w:t>
            </w:r>
          </w:p>
        </w:tc>
        <w:tc>
          <w:tcPr>
            <w:tcW w:w="706" w:type="dxa"/>
            <w:shd w:val="clear" w:color="auto" w:fill="auto"/>
          </w:tcPr>
          <w:p w14:paraId="2D5653A6"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231</w:t>
            </w:r>
          </w:p>
        </w:tc>
        <w:tc>
          <w:tcPr>
            <w:tcW w:w="717" w:type="dxa"/>
            <w:shd w:val="clear" w:color="auto" w:fill="auto"/>
          </w:tcPr>
          <w:p w14:paraId="63D3DE98"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31,7</w:t>
            </w:r>
          </w:p>
        </w:tc>
      </w:tr>
      <w:tr w:rsidR="006928B0" w14:paraId="10D52084" w14:textId="77777777" w:rsidTr="00D8775C">
        <w:tc>
          <w:tcPr>
            <w:tcW w:w="1627" w:type="dxa"/>
            <w:shd w:val="clear" w:color="auto" w:fill="auto"/>
          </w:tcPr>
          <w:p w14:paraId="32A993A5" w14:textId="5D05F310" w:rsidR="003345D3" w:rsidRPr="00D8775C" w:rsidRDefault="006928B0" w:rsidP="001D3647">
            <w:pPr>
              <w:spacing w:before="60" w:after="60" w:line="240" w:lineRule="auto"/>
              <w:ind w:firstLine="0"/>
              <w:rPr>
                <w:rFonts w:eastAsia="Calibri"/>
                <w:spacing w:val="-14"/>
                <w:sz w:val="22"/>
                <w:szCs w:val="22"/>
              </w:rPr>
            </w:pPr>
            <w:r w:rsidRPr="00D8775C">
              <w:rPr>
                <w:rFonts w:eastAsia="Calibri"/>
                <w:spacing w:val="-14"/>
                <w:sz w:val="22"/>
                <w:szCs w:val="22"/>
              </w:rPr>
              <w:t>Νόσημα μεταδιδόμενο με το χρωμόσωμα</w:t>
            </w:r>
            <w:r w:rsidR="001D3647" w:rsidRPr="00D8775C">
              <w:rPr>
                <w:rFonts w:eastAsia="Calibri"/>
                <w:spacing w:val="-14"/>
                <w:sz w:val="22"/>
                <w:szCs w:val="22"/>
              </w:rPr>
              <w:t xml:space="preserve"> Χ</w:t>
            </w:r>
          </w:p>
        </w:tc>
        <w:tc>
          <w:tcPr>
            <w:tcW w:w="851" w:type="dxa"/>
            <w:shd w:val="clear" w:color="auto" w:fill="auto"/>
          </w:tcPr>
          <w:p w14:paraId="7767489B" w14:textId="77777777" w:rsidR="00047E85" w:rsidRDefault="00047E85" w:rsidP="00D8775C">
            <w:pPr>
              <w:spacing w:before="60" w:after="60" w:line="240" w:lineRule="auto"/>
              <w:ind w:firstLine="0"/>
              <w:jc w:val="center"/>
              <w:rPr>
                <w:rFonts w:eastAsia="Calibri"/>
                <w:sz w:val="22"/>
                <w:szCs w:val="22"/>
              </w:rPr>
            </w:pPr>
          </w:p>
          <w:p w14:paraId="2E91E26E"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54</w:t>
            </w:r>
          </w:p>
        </w:tc>
        <w:tc>
          <w:tcPr>
            <w:tcW w:w="717" w:type="dxa"/>
            <w:shd w:val="clear" w:color="auto" w:fill="auto"/>
          </w:tcPr>
          <w:p w14:paraId="505949EF" w14:textId="77777777" w:rsidR="00047E85" w:rsidRDefault="00047E85" w:rsidP="00D8775C">
            <w:pPr>
              <w:spacing w:before="60" w:after="60" w:line="240" w:lineRule="auto"/>
              <w:ind w:firstLine="0"/>
              <w:jc w:val="center"/>
              <w:rPr>
                <w:rFonts w:eastAsia="Calibri"/>
                <w:sz w:val="22"/>
                <w:szCs w:val="22"/>
              </w:rPr>
            </w:pPr>
          </w:p>
          <w:p w14:paraId="2DA8665C"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13,0</w:t>
            </w:r>
          </w:p>
        </w:tc>
        <w:tc>
          <w:tcPr>
            <w:tcW w:w="771" w:type="dxa"/>
            <w:shd w:val="clear" w:color="auto" w:fill="auto"/>
          </w:tcPr>
          <w:p w14:paraId="0C7637C2" w14:textId="77777777" w:rsidR="00047E85" w:rsidRDefault="00047E85" w:rsidP="00D8775C">
            <w:pPr>
              <w:spacing w:before="60" w:after="60" w:line="240" w:lineRule="auto"/>
              <w:ind w:firstLine="0"/>
              <w:jc w:val="center"/>
              <w:rPr>
                <w:rFonts w:eastAsia="Calibri"/>
                <w:sz w:val="22"/>
                <w:szCs w:val="22"/>
              </w:rPr>
            </w:pPr>
          </w:p>
          <w:p w14:paraId="306BAD71"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78</w:t>
            </w:r>
          </w:p>
        </w:tc>
        <w:tc>
          <w:tcPr>
            <w:tcW w:w="804" w:type="dxa"/>
            <w:shd w:val="clear" w:color="auto" w:fill="auto"/>
          </w:tcPr>
          <w:p w14:paraId="2E45D077" w14:textId="77777777" w:rsidR="00047E85" w:rsidRDefault="00047E85" w:rsidP="00D8775C">
            <w:pPr>
              <w:spacing w:before="60" w:after="60" w:line="240" w:lineRule="auto"/>
              <w:ind w:firstLine="0"/>
              <w:jc w:val="center"/>
              <w:rPr>
                <w:rFonts w:eastAsia="Calibri"/>
                <w:sz w:val="22"/>
                <w:szCs w:val="22"/>
              </w:rPr>
            </w:pPr>
          </w:p>
          <w:p w14:paraId="2DE98F9C"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13,7</w:t>
            </w:r>
          </w:p>
        </w:tc>
        <w:tc>
          <w:tcPr>
            <w:tcW w:w="859" w:type="dxa"/>
            <w:shd w:val="clear" w:color="auto" w:fill="auto"/>
          </w:tcPr>
          <w:p w14:paraId="475B278B" w14:textId="77777777" w:rsidR="00047E85" w:rsidRDefault="00047E85" w:rsidP="00D8775C">
            <w:pPr>
              <w:spacing w:before="60" w:after="60" w:line="240" w:lineRule="auto"/>
              <w:ind w:firstLine="0"/>
              <w:jc w:val="center"/>
              <w:rPr>
                <w:rFonts w:eastAsia="Calibri"/>
                <w:sz w:val="22"/>
                <w:szCs w:val="22"/>
              </w:rPr>
            </w:pPr>
          </w:p>
          <w:p w14:paraId="7437190D"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77</w:t>
            </w:r>
          </w:p>
        </w:tc>
        <w:tc>
          <w:tcPr>
            <w:tcW w:w="717" w:type="dxa"/>
            <w:shd w:val="clear" w:color="auto" w:fill="auto"/>
          </w:tcPr>
          <w:p w14:paraId="0F08CFD3" w14:textId="77777777" w:rsidR="00047E85" w:rsidRDefault="00047E85" w:rsidP="00D8775C">
            <w:pPr>
              <w:spacing w:before="60" w:after="60" w:line="240" w:lineRule="auto"/>
              <w:ind w:firstLine="0"/>
              <w:jc w:val="center"/>
              <w:rPr>
                <w:rFonts w:eastAsia="Calibri"/>
                <w:sz w:val="22"/>
                <w:szCs w:val="22"/>
              </w:rPr>
            </w:pPr>
          </w:p>
          <w:p w14:paraId="00C90F92" w14:textId="77777777" w:rsidR="003345D3" w:rsidRPr="00D8775C" w:rsidRDefault="000D55CF" w:rsidP="00D8775C">
            <w:pPr>
              <w:spacing w:before="60" w:after="60" w:line="240" w:lineRule="auto"/>
              <w:ind w:firstLine="0"/>
              <w:jc w:val="center"/>
              <w:rPr>
                <w:rFonts w:eastAsia="Calibri"/>
                <w:sz w:val="22"/>
                <w:szCs w:val="22"/>
              </w:rPr>
            </w:pPr>
            <w:r w:rsidRPr="00D8775C">
              <w:rPr>
                <w:rFonts w:eastAsia="Calibri"/>
                <w:sz w:val="22"/>
                <w:szCs w:val="22"/>
              </w:rPr>
              <w:t>12,5</w:t>
            </w:r>
          </w:p>
        </w:tc>
        <w:tc>
          <w:tcPr>
            <w:tcW w:w="831" w:type="dxa"/>
            <w:shd w:val="clear" w:color="auto" w:fill="auto"/>
          </w:tcPr>
          <w:p w14:paraId="60197A56" w14:textId="77777777" w:rsidR="00047E85" w:rsidRDefault="00047E85" w:rsidP="00D8775C">
            <w:pPr>
              <w:spacing w:before="60" w:after="60" w:line="240" w:lineRule="auto"/>
              <w:ind w:firstLine="0"/>
              <w:jc w:val="center"/>
              <w:rPr>
                <w:rFonts w:eastAsia="Calibri"/>
                <w:sz w:val="22"/>
                <w:szCs w:val="22"/>
              </w:rPr>
            </w:pPr>
          </w:p>
          <w:p w14:paraId="3C6713A7" w14:textId="77777777" w:rsidR="003345D3" w:rsidRPr="00D8775C" w:rsidRDefault="000D55CF" w:rsidP="00D8775C">
            <w:pPr>
              <w:spacing w:before="60" w:after="60" w:line="240" w:lineRule="auto"/>
              <w:ind w:firstLine="0"/>
              <w:jc w:val="center"/>
              <w:rPr>
                <w:rFonts w:eastAsia="Calibri"/>
                <w:sz w:val="22"/>
                <w:szCs w:val="22"/>
              </w:rPr>
            </w:pPr>
            <w:r w:rsidRPr="00D8775C">
              <w:rPr>
                <w:rFonts w:eastAsia="Calibri"/>
                <w:sz w:val="22"/>
                <w:szCs w:val="22"/>
              </w:rPr>
              <w:t>85</w:t>
            </w:r>
          </w:p>
        </w:tc>
        <w:tc>
          <w:tcPr>
            <w:tcW w:w="830" w:type="dxa"/>
            <w:shd w:val="clear" w:color="auto" w:fill="auto"/>
          </w:tcPr>
          <w:p w14:paraId="4C772748" w14:textId="77777777" w:rsidR="00047E85" w:rsidRDefault="00047E85" w:rsidP="00D8775C">
            <w:pPr>
              <w:spacing w:before="60" w:after="60" w:line="240" w:lineRule="auto"/>
              <w:ind w:firstLine="0"/>
              <w:jc w:val="center"/>
              <w:rPr>
                <w:rFonts w:eastAsia="Calibri"/>
                <w:sz w:val="22"/>
                <w:szCs w:val="22"/>
              </w:rPr>
            </w:pPr>
          </w:p>
          <w:p w14:paraId="5969CFAD" w14:textId="77777777" w:rsidR="003345D3" w:rsidRPr="00D8775C" w:rsidRDefault="000D55CF" w:rsidP="00D8775C">
            <w:pPr>
              <w:spacing w:before="60" w:after="60" w:line="240" w:lineRule="auto"/>
              <w:ind w:firstLine="0"/>
              <w:jc w:val="center"/>
              <w:rPr>
                <w:rFonts w:eastAsia="Calibri"/>
                <w:sz w:val="22"/>
                <w:szCs w:val="22"/>
              </w:rPr>
            </w:pPr>
            <w:r w:rsidRPr="00D8775C">
              <w:rPr>
                <w:rFonts w:eastAsia="Calibri"/>
                <w:sz w:val="22"/>
                <w:szCs w:val="22"/>
              </w:rPr>
              <w:t>12,8</w:t>
            </w:r>
          </w:p>
        </w:tc>
        <w:tc>
          <w:tcPr>
            <w:tcW w:w="706" w:type="dxa"/>
            <w:shd w:val="clear" w:color="auto" w:fill="auto"/>
          </w:tcPr>
          <w:p w14:paraId="122AE088" w14:textId="77777777" w:rsidR="00047E85" w:rsidRDefault="00047E85" w:rsidP="00D8775C">
            <w:pPr>
              <w:spacing w:before="60" w:after="60" w:line="240" w:lineRule="auto"/>
              <w:ind w:firstLine="0"/>
              <w:jc w:val="center"/>
              <w:rPr>
                <w:rFonts w:eastAsia="Calibri"/>
                <w:sz w:val="22"/>
                <w:szCs w:val="22"/>
              </w:rPr>
            </w:pPr>
          </w:p>
          <w:p w14:paraId="4B50F544" w14:textId="77777777" w:rsidR="003345D3" w:rsidRPr="00D8775C" w:rsidRDefault="000D55CF" w:rsidP="00D8775C">
            <w:pPr>
              <w:spacing w:before="60" w:after="60" w:line="240" w:lineRule="auto"/>
              <w:ind w:firstLine="0"/>
              <w:jc w:val="center"/>
              <w:rPr>
                <w:rFonts w:eastAsia="Calibri"/>
                <w:sz w:val="22"/>
                <w:szCs w:val="22"/>
              </w:rPr>
            </w:pPr>
            <w:r w:rsidRPr="00D8775C">
              <w:rPr>
                <w:rFonts w:eastAsia="Calibri"/>
                <w:sz w:val="22"/>
                <w:szCs w:val="22"/>
              </w:rPr>
              <w:t>81</w:t>
            </w:r>
          </w:p>
        </w:tc>
        <w:tc>
          <w:tcPr>
            <w:tcW w:w="717" w:type="dxa"/>
            <w:shd w:val="clear" w:color="auto" w:fill="auto"/>
          </w:tcPr>
          <w:p w14:paraId="11F4800D" w14:textId="77777777" w:rsidR="00047E85" w:rsidRDefault="00047E85" w:rsidP="00D8775C">
            <w:pPr>
              <w:spacing w:before="60" w:after="60" w:line="240" w:lineRule="auto"/>
              <w:ind w:firstLine="0"/>
              <w:jc w:val="center"/>
              <w:rPr>
                <w:rFonts w:eastAsia="Calibri"/>
                <w:sz w:val="22"/>
                <w:szCs w:val="22"/>
              </w:rPr>
            </w:pPr>
          </w:p>
          <w:p w14:paraId="7BDE0E3C" w14:textId="77777777" w:rsidR="003345D3" w:rsidRPr="00D8775C" w:rsidRDefault="000D55CF" w:rsidP="00D8775C">
            <w:pPr>
              <w:spacing w:before="60" w:after="60" w:line="240" w:lineRule="auto"/>
              <w:ind w:firstLine="0"/>
              <w:jc w:val="center"/>
              <w:rPr>
                <w:rFonts w:eastAsia="Calibri"/>
                <w:sz w:val="22"/>
                <w:szCs w:val="22"/>
              </w:rPr>
            </w:pPr>
            <w:r w:rsidRPr="00D8775C">
              <w:rPr>
                <w:rFonts w:eastAsia="Calibri"/>
                <w:sz w:val="22"/>
                <w:szCs w:val="22"/>
              </w:rPr>
              <w:t>11,1</w:t>
            </w:r>
          </w:p>
        </w:tc>
      </w:tr>
      <w:tr w:rsidR="006928B0" w14:paraId="31E728B6" w14:textId="77777777" w:rsidTr="00D8775C">
        <w:tc>
          <w:tcPr>
            <w:tcW w:w="1627" w:type="dxa"/>
            <w:shd w:val="clear" w:color="auto" w:fill="auto"/>
          </w:tcPr>
          <w:p w14:paraId="5B4D2039" w14:textId="77777777" w:rsidR="003345D3" w:rsidRPr="00D8775C" w:rsidRDefault="006928B0" w:rsidP="00D8775C">
            <w:pPr>
              <w:spacing w:before="60" w:after="60" w:line="240" w:lineRule="auto"/>
              <w:ind w:firstLine="0"/>
              <w:rPr>
                <w:rFonts w:eastAsia="Calibri"/>
                <w:spacing w:val="-14"/>
                <w:sz w:val="22"/>
                <w:szCs w:val="22"/>
              </w:rPr>
            </w:pPr>
            <w:r w:rsidRPr="00D8775C">
              <w:rPr>
                <w:rFonts w:eastAsia="Calibri"/>
                <w:spacing w:val="-14"/>
                <w:sz w:val="22"/>
                <w:szCs w:val="22"/>
              </w:rPr>
              <w:t>Ανωμαλία καρυοτύπου</w:t>
            </w:r>
          </w:p>
        </w:tc>
        <w:tc>
          <w:tcPr>
            <w:tcW w:w="851" w:type="dxa"/>
            <w:shd w:val="clear" w:color="auto" w:fill="auto"/>
          </w:tcPr>
          <w:p w14:paraId="38DA145B"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164</w:t>
            </w:r>
          </w:p>
        </w:tc>
        <w:tc>
          <w:tcPr>
            <w:tcW w:w="717" w:type="dxa"/>
            <w:shd w:val="clear" w:color="auto" w:fill="auto"/>
          </w:tcPr>
          <w:p w14:paraId="214BC53F"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39,4</w:t>
            </w:r>
          </w:p>
        </w:tc>
        <w:tc>
          <w:tcPr>
            <w:tcW w:w="771" w:type="dxa"/>
            <w:shd w:val="clear" w:color="auto" w:fill="auto"/>
          </w:tcPr>
          <w:p w14:paraId="72DAC1B9"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203</w:t>
            </w:r>
          </w:p>
        </w:tc>
        <w:tc>
          <w:tcPr>
            <w:tcW w:w="804" w:type="dxa"/>
            <w:shd w:val="clear" w:color="auto" w:fill="auto"/>
          </w:tcPr>
          <w:p w14:paraId="4D46CD1E"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35,7</w:t>
            </w:r>
          </w:p>
        </w:tc>
        <w:tc>
          <w:tcPr>
            <w:tcW w:w="859" w:type="dxa"/>
            <w:shd w:val="clear" w:color="auto" w:fill="auto"/>
          </w:tcPr>
          <w:p w14:paraId="3037DBEE" w14:textId="77777777" w:rsidR="003345D3" w:rsidRPr="00D8775C" w:rsidRDefault="006928B0" w:rsidP="00047E85">
            <w:pPr>
              <w:spacing w:after="60" w:line="240" w:lineRule="auto"/>
              <w:ind w:firstLine="0"/>
              <w:jc w:val="center"/>
              <w:rPr>
                <w:rFonts w:eastAsia="Calibri"/>
                <w:sz w:val="22"/>
                <w:szCs w:val="22"/>
              </w:rPr>
            </w:pPr>
            <w:r w:rsidRPr="00D8775C">
              <w:rPr>
                <w:rFonts w:eastAsia="Calibri"/>
                <w:sz w:val="22"/>
                <w:szCs w:val="22"/>
              </w:rPr>
              <w:t>224</w:t>
            </w:r>
          </w:p>
        </w:tc>
        <w:tc>
          <w:tcPr>
            <w:tcW w:w="717" w:type="dxa"/>
            <w:shd w:val="clear" w:color="auto" w:fill="auto"/>
          </w:tcPr>
          <w:p w14:paraId="69FCFFBE"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36,3</w:t>
            </w:r>
          </w:p>
        </w:tc>
        <w:tc>
          <w:tcPr>
            <w:tcW w:w="831" w:type="dxa"/>
            <w:shd w:val="clear" w:color="auto" w:fill="auto"/>
          </w:tcPr>
          <w:p w14:paraId="29EC0466"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255</w:t>
            </w:r>
          </w:p>
        </w:tc>
        <w:tc>
          <w:tcPr>
            <w:tcW w:w="830" w:type="dxa"/>
            <w:shd w:val="clear" w:color="auto" w:fill="auto"/>
          </w:tcPr>
          <w:p w14:paraId="5E7197DE"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38,3</w:t>
            </w:r>
          </w:p>
        </w:tc>
        <w:tc>
          <w:tcPr>
            <w:tcW w:w="706" w:type="dxa"/>
            <w:shd w:val="clear" w:color="auto" w:fill="auto"/>
          </w:tcPr>
          <w:p w14:paraId="46DBFF2F"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248</w:t>
            </w:r>
          </w:p>
        </w:tc>
        <w:tc>
          <w:tcPr>
            <w:tcW w:w="717" w:type="dxa"/>
            <w:shd w:val="clear" w:color="auto" w:fill="auto"/>
          </w:tcPr>
          <w:p w14:paraId="00D97842" w14:textId="77777777" w:rsidR="003345D3" w:rsidRPr="00D8775C" w:rsidRDefault="000D55CF" w:rsidP="00047E85">
            <w:pPr>
              <w:spacing w:after="60" w:line="240" w:lineRule="auto"/>
              <w:ind w:firstLine="0"/>
              <w:jc w:val="center"/>
              <w:rPr>
                <w:rFonts w:eastAsia="Calibri"/>
                <w:sz w:val="22"/>
                <w:szCs w:val="22"/>
              </w:rPr>
            </w:pPr>
            <w:r w:rsidRPr="00D8775C">
              <w:rPr>
                <w:rFonts w:eastAsia="Calibri"/>
                <w:sz w:val="22"/>
                <w:szCs w:val="22"/>
              </w:rPr>
              <w:t>34,0</w:t>
            </w:r>
          </w:p>
        </w:tc>
      </w:tr>
      <w:tr w:rsidR="006928B0" w14:paraId="23C8A37B" w14:textId="77777777" w:rsidTr="00D8775C">
        <w:tc>
          <w:tcPr>
            <w:tcW w:w="1627" w:type="dxa"/>
            <w:tcBorders>
              <w:bottom w:val="single" w:sz="4" w:space="0" w:color="auto"/>
            </w:tcBorders>
            <w:shd w:val="clear" w:color="auto" w:fill="auto"/>
          </w:tcPr>
          <w:p w14:paraId="0C119275" w14:textId="77777777" w:rsidR="003345D3" w:rsidRPr="00D8775C" w:rsidRDefault="006928B0" w:rsidP="00D8775C">
            <w:pPr>
              <w:spacing w:before="60" w:after="60" w:line="240" w:lineRule="auto"/>
              <w:ind w:firstLine="0"/>
              <w:rPr>
                <w:rFonts w:eastAsia="Calibri"/>
                <w:spacing w:val="-14"/>
                <w:sz w:val="22"/>
                <w:szCs w:val="22"/>
              </w:rPr>
            </w:pPr>
            <w:r w:rsidRPr="00D8775C">
              <w:rPr>
                <w:rFonts w:eastAsia="Calibri"/>
                <w:spacing w:val="-14"/>
                <w:sz w:val="22"/>
                <w:szCs w:val="22"/>
              </w:rPr>
              <w:t>Άλλα</w:t>
            </w:r>
          </w:p>
        </w:tc>
        <w:tc>
          <w:tcPr>
            <w:tcW w:w="851" w:type="dxa"/>
            <w:tcBorders>
              <w:bottom w:val="single" w:sz="4" w:space="0" w:color="auto"/>
            </w:tcBorders>
            <w:shd w:val="clear" w:color="auto" w:fill="auto"/>
          </w:tcPr>
          <w:p w14:paraId="192C444C"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11</w:t>
            </w:r>
          </w:p>
        </w:tc>
        <w:tc>
          <w:tcPr>
            <w:tcW w:w="717" w:type="dxa"/>
            <w:tcBorders>
              <w:bottom w:val="single" w:sz="4" w:space="0" w:color="auto"/>
            </w:tcBorders>
            <w:shd w:val="clear" w:color="auto" w:fill="auto"/>
          </w:tcPr>
          <w:p w14:paraId="5244D2C4"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2,6</w:t>
            </w:r>
          </w:p>
        </w:tc>
        <w:tc>
          <w:tcPr>
            <w:tcW w:w="771" w:type="dxa"/>
            <w:tcBorders>
              <w:bottom w:val="single" w:sz="4" w:space="0" w:color="auto"/>
            </w:tcBorders>
            <w:shd w:val="clear" w:color="auto" w:fill="auto"/>
          </w:tcPr>
          <w:p w14:paraId="35567F69"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30</w:t>
            </w:r>
          </w:p>
        </w:tc>
        <w:tc>
          <w:tcPr>
            <w:tcW w:w="804" w:type="dxa"/>
            <w:tcBorders>
              <w:bottom w:val="single" w:sz="4" w:space="0" w:color="auto"/>
            </w:tcBorders>
            <w:shd w:val="clear" w:color="auto" w:fill="auto"/>
          </w:tcPr>
          <w:p w14:paraId="5262A4FA"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5,3</w:t>
            </w:r>
          </w:p>
        </w:tc>
        <w:tc>
          <w:tcPr>
            <w:tcW w:w="859" w:type="dxa"/>
            <w:tcBorders>
              <w:bottom w:val="single" w:sz="4" w:space="0" w:color="auto"/>
            </w:tcBorders>
            <w:shd w:val="clear" w:color="auto" w:fill="auto"/>
          </w:tcPr>
          <w:p w14:paraId="2D5FEFC0"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26</w:t>
            </w:r>
          </w:p>
        </w:tc>
        <w:tc>
          <w:tcPr>
            <w:tcW w:w="717" w:type="dxa"/>
            <w:tcBorders>
              <w:bottom w:val="single" w:sz="4" w:space="0" w:color="auto"/>
            </w:tcBorders>
            <w:shd w:val="clear" w:color="auto" w:fill="auto"/>
          </w:tcPr>
          <w:p w14:paraId="547D65ED"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4,2</w:t>
            </w:r>
          </w:p>
        </w:tc>
        <w:tc>
          <w:tcPr>
            <w:tcW w:w="831" w:type="dxa"/>
            <w:tcBorders>
              <w:bottom w:val="single" w:sz="4" w:space="0" w:color="auto"/>
            </w:tcBorders>
            <w:shd w:val="clear" w:color="auto" w:fill="auto"/>
          </w:tcPr>
          <w:p w14:paraId="69BC1262"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26</w:t>
            </w:r>
          </w:p>
        </w:tc>
        <w:tc>
          <w:tcPr>
            <w:tcW w:w="830" w:type="dxa"/>
            <w:tcBorders>
              <w:bottom w:val="single" w:sz="4" w:space="0" w:color="auto"/>
            </w:tcBorders>
            <w:shd w:val="clear" w:color="auto" w:fill="auto"/>
          </w:tcPr>
          <w:p w14:paraId="6F1A18E8"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3,9</w:t>
            </w:r>
          </w:p>
        </w:tc>
        <w:tc>
          <w:tcPr>
            <w:tcW w:w="706" w:type="dxa"/>
            <w:tcBorders>
              <w:bottom w:val="single" w:sz="4" w:space="0" w:color="auto"/>
            </w:tcBorders>
            <w:shd w:val="clear" w:color="auto" w:fill="auto"/>
          </w:tcPr>
          <w:p w14:paraId="573A7E48"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37</w:t>
            </w:r>
          </w:p>
        </w:tc>
        <w:tc>
          <w:tcPr>
            <w:tcW w:w="717" w:type="dxa"/>
            <w:tcBorders>
              <w:bottom w:val="single" w:sz="4" w:space="0" w:color="auto"/>
            </w:tcBorders>
            <w:shd w:val="clear" w:color="auto" w:fill="auto"/>
          </w:tcPr>
          <w:p w14:paraId="7A0B6FB0" w14:textId="77777777" w:rsidR="003345D3"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5,1</w:t>
            </w:r>
          </w:p>
        </w:tc>
      </w:tr>
      <w:tr w:rsidR="006928B0" w14:paraId="278AB49F" w14:textId="77777777" w:rsidTr="00D8775C">
        <w:tc>
          <w:tcPr>
            <w:tcW w:w="1627" w:type="dxa"/>
            <w:shd w:val="pct15" w:color="auto" w:fill="auto"/>
          </w:tcPr>
          <w:p w14:paraId="633478ED" w14:textId="77777777" w:rsidR="006928B0" w:rsidRPr="00D8775C" w:rsidRDefault="006928B0" w:rsidP="00D8775C">
            <w:pPr>
              <w:spacing w:before="60" w:after="60" w:line="240" w:lineRule="auto"/>
              <w:ind w:firstLine="0"/>
              <w:jc w:val="left"/>
              <w:rPr>
                <w:rFonts w:eastAsia="Calibri"/>
                <w:spacing w:val="-14"/>
                <w:sz w:val="22"/>
                <w:szCs w:val="22"/>
              </w:rPr>
            </w:pPr>
            <w:r w:rsidRPr="00D8775C">
              <w:rPr>
                <w:rFonts w:eastAsia="Calibri"/>
                <w:spacing w:val="-14"/>
                <w:sz w:val="22"/>
                <w:szCs w:val="22"/>
              </w:rPr>
              <w:t>Σύνολο</w:t>
            </w:r>
          </w:p>
        </w:tc>
        <w:tc>
          <w:tcPr>
            <w:tcW w:w="851" w:type="dxa"/>
            <w:shd w:val="pct15" w:color="auto" w:fill="auto"/>
          </w:tcPr>
          <w:p w14:paraId="6F1014BB"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416</w:t>
            </w:r>
          </w:p>
        </w:tc>
        <w:tc>
          <w:tcPr>
            <w:tcW w:w="717" w:type="dxa"/>
            <w:shd w:val="pct15" w:color="auto" w:fill="auto"/>
          </w:tcPr>
          <w:p w14:paraId="56F834B5"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100,0</w:t>
            </w:r>
          </w:p>
        </w:tc>
        <w:tc>
          <w:tcPr>
            <w:tcW w:w="771" w:type="dxa"/>
            <w:shd w:val="pct15" w:color="auto" w:fill="auto"/>
          </w:tcPr>
          <w:p w14:paraId="0B0AD774"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568</w:t>
            </w:r>
          </w:p>
        </w:tc>
        <w:tc>
          <w:tcPr>
            <w:tcW w:w="804" w:type="dxa"/>
            <w:shd w:val="pct15" w:color="auto" w:fill="auto"/>
          </w:tcPr>
          <w:p w14:paraId="39F82C7F"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100,0</w:t>
            </w:r>
          </w:p>
        </w:tc>
        <w:tc>
          <w:tcPr>
            <w:tcW w:w="859" w:type="dxa"/>
            <w:shd w:val="pct15" w:color="auto" w:fill="auto"/>
          </w:tcPr>
          <w:p w14:paraId="00CFD630"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617</w:t>
            </w:r>
          </w:p>
        </w:tc>
        <w:tc>
          <w:tcPr>
            <w:tcW w:w="717" w:type="dxa"/>
            <w:shd w:val="pct15" w:color="auto" w:fill="auto"/>
          </w:tcPr>
          <w:p w14:paraId="40589EF1"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100,0</w:t>
            </w:r>
          </w:p>
        </w:tc>
        <w:tc>
          <w:tcPr>
            <w:tcW w:w="831" w:type="dxa"/>
            <w:shd w:val="pct15" w:color="auto" w:fill="auto"/>
          </w:tcPr>
          <w:p w14:paraId="22D6638A"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666</w:t>
            </w:r>
          </w:p>
        </w:tc>
        <w:tc>
          <w:tcPr>
            <w:tcW w:w="830" w:type="dxa"/>
            <w:shd w:val="pct15" w:color="auto" w:fill="auto"/>
          </w:tcPr>
          <w:p w14:paraId="15B557DD"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100,0</w:t>
            </w:r>
          </w:p>
        </w:tc>
        <w:tc>
          <w:tcPr>
            <w:tcW w:w="706" w:type="dxa"/>
            <w:shd w:val="pct15" w:color="auto" w:fill="auto"/>
          </w:tcPr>
          <w:p w14:paraId="68F86BA3"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729</w:t>
            </w:r>
          </w:p>
        </w:tc>
        <w:tc>
          <w:tcPr>
            <w:tcW w:w="717" w:type="dxa"/>
            <w:shd w:val="pct15" w:color="auto" w:fill="auto"/>
          </w:tcPr>
          <w:p w14:paraId="1D462874" w14:textId="77777777" w:rsidR="006928B0" w:rsidRPr="00D8775C" w:rsidRDefault="006928B0" w:rsidP="00D8775C">
            <w:pPr>
              <w:spacing w:before="60" w:after="60" w:line="240" w:lineRule="auto"/>
              <w:ind w:firstLine="0"/>
              <w:jc w:val="center"/>
              <w:rPr>
                <w:rFonts w:eastAsia="Calibri"/>
                <w:sz w:val="22"/>
                <w:szCs w:val="22"/>
              </w:rPr>
            </w:pPr>
            <w:r w:rsidRPr="00D8775C">
              <w:rPr>
                <w:rFonts w:eastAsia="Calibri"/>
                <w:sz w:val="22"/>
                <w:szCs w:val="22"/>
              </w:rPr>
              <w:t>100,0</w:t>
            </w:r>
          </w:p>
        </w:tc>
      </w:tr>
    </w:tbl>
    <w:p w14:paraId="255AF05D" w14:textId="05824A92" w:rsidR="00BA0480" w:rsidRPr="0023213A" w:rsidRDefault="00A02AB7" w:rsidP="0023213A">
      <w:pPr>
        <w:spacing w:before="240"/>
      </w:pPr>
      <w:r>
        <w:t xml:space="preserve">Παράλληλα, παρατηρείται ότι ενώ ο αριθμός των </w:t>
      </w:r>
      <w:r w:rsidR="001D3647">
        <w:t>αιτημάτων</w:t>
      </w:r>
      <w:r>
        <w:t xml:space="preserve"> που εξετάζονται από τα Κέντρα ιατρικά υποβοηθούμενης αναπαραγωγής</w:t>
      </w:r>
      <w:r w:rsidR="001D3647">
        <w:t xml:space="preserve"> έχει αυξηθεί κατά 75,2% (+313), από το </w:t>
      </w:r>
      <w:r w:rsidR="001D3647">
        <w:lastRenderedPageBreak/>
        <w:t xml:space="preserve">2008 έως </w:t>
      </w:r>
      <w:r>
        <w:t xml:space="preserve">το 2012, το ποσοστό των </w:t>
      </w:r>
      <w:r w:rsidR="001D3647">
        <w:t>αιτημάτων</w:t>
      </w:r>
      <w:r>
        <w:t xml:space="preserve"> που γίνονται δεκτοί φαίνεται να στ</w:t>
      </w:r>
      <w:r w:rsidR="006B17FF">
        <w:t>αθ</w:t>
      </w:r>
      <w:r>
        <w:t>εροποιεί</w:t>
      </w:r>
      <w:r w:rsidR="00754938">
        <w:t>ται κάτω από το 70% (Πίνακας 19</w:t>
      </w:r>
      <w:r>
        <w:t>)</w:t>
      </w:r>
      <w:r w:rsidR="002B6985">
        <w:rPr>
          <w:rStyle w:val="FootnoteReference"/>
        </w:rPr>
        <w:footnoteReference w:id="300"/>
      </w:r>
      <w:r>
        <w:t>.</w:t>
      </w:r>
    </w:p>
    <w:p w14:paraId="2CC3EDF0" w14:textId="0D3EC89B" w:rsidR="00A02AB7" w:rsidRDefault="00BA0480" w:rsidP="0023213A">
      <w:pPr>
        <w:spacing w:before="240" w:after="240"/>
        <w:ind w:firstLine="0"/>
        <w:rPr>
          <w:b/>
          <w:lang w:val="en-US"/>
        </w:rPr>
      </w:pPr>
      <w:r>
        <w:rPr>
          <w:b/>
          <w:lang w:val="en-US"/>
        </w:rPr>
        <w:t>Πίνακας</w:t>
      </w:r>
      <w:r w:rsidR="00754938">
        <w:rPr>
          <w:b/>
          <w:lang w:val="en-US"/>
        </w:rPr>
        <w:t xml:space="preserve"> 19</w:t>
      </w:r>
      <w:r w:rsidR="00A02AB7" w:rsidRPr="0038677E">
        <w:rPr>
          <w:b/>
          <w:lang w:val="en-US"/>
        </w:rPr>
        <w:t xml:space="preserve">. </w:t>
      </w:r>
      <w:r w:rsidR="00A02AB7">
        <w:rPr>
          <w:b/>
          <w:lang w:val="en-US"/>
        </w:rPr>
        <w:t xml:space="preserve">Εξέλιξη ποσοστού αιτημάτων που </w:t>
      </w:r>
      <w:r w:rsidR="00414896">
        <w:rPr>
          <w:b/>
          <w:lang w:val="en-US"/>
        </w:rPr>
        <w:t>έγιναν</w:t>
      </w:r>
      <w:r w:rsidR="00A02AB7">
        <w:rPr>
          <w:b/>
          <w:lang w:val="en-US"/>
        </w:rPr>
        <w:t xml:space="preserve"> δεκτά σε σχέση με </w:t>
      </w:r>
      <w:r w:rsidR="00BE2E8A">
        <w:rPr>
          <w:b/>
          <w:lang w:val="en-US"/>
        </w:rPr>
        <w:t>τα υποβληθέντα αιτήματα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276"/>
        <w:gridCol w:w="1220"/>
        <w:gridCol w:w="1473"/>
        <w:gridCol w:w="1471"/>
        <w:gridCol w:w="1364"/>
      </w:tblGrid>
      <w:tr w:rsidR="00A02AB7" w:rsidRPr="00D8775C" w14:paraId="39225EC4" w14:textId="77777777" w:rsidTr="001D3647">
        <w:tc>
          <w:tcPr>
            <w:tcW w:w="2518" w:type="dxa"/>
            <w:shd w:val="pct15" w:color="auto" w:fill="auto"/>
          </w:tcPr>
          <w:p w14:paraId="738BD4F8" w14:textId="77777777" w:rsidR="00A02AB7" w:rsidRPr="00D8775C" w:rsidRDefault="00A02AB7" w:rsidP="00D8775C">
            <w:pPr>
              <w:spacing w:before="60" w:after="60" w:line="240" w:lineRule="auto"/>
              <w:ind w:firstLine="0"/>
              <w:rPr>
                <w:rFonts w:eastAsia="Calibri"/>
                <w:b/>
                <w:sz w:val="22"/>
                <w:szCs w:val="22"/>
                <w:lang w:val="en-US"/>
              </w:rPr>
            </w:pPr>
          </w:p>
        </w:tc>
        <w:tc>
          <w:tcPr>
            <w:tcW w:w="1276" w:type="dxa"/>
            <w:shd w:val="pct15" w:color="auto" w:fill="auto"/>
          </w:tcPr>
          <w:p w14:paraId="5676248E" w14:textId="77777777" w:rsidR="00A02AB7" w:rsidRPr="00D8775C" w:rsidRDefault="00A02AB7" w:rsidP="00D8775C">
            <w:pPr>
              <w:spacing w:before="60" w:after="60" w:line="240" w:lineRule="auto"/>
              <w:ind w:firstLine="0"/>
              <w:jc w:val="center"/>
              <w:rPr>
                <w:rFonts w:eastAsia="Calibri"/>
                <w:b/>
                <w:sz w:val="22"/>
                <w:szCs w:val="22"/>
                <w:lang w:val="en-US"/>
              </w:rPr>
            </w:pPr>
            <w:r w:rsidRPr="00D8775C">
              <w:rPr>
                <w:rFonts w:eastAsia="Calibri"/>
                <w:b/>
                <w:sz w:val="22"/>
                <w:szCs w:val="22"/>
                <w:lang w:val="en-US"/>
              </w:rPr>
              <w:t>2008</w:t>
            </w:r>
          </w:p>
        </w:tc>
        <w:tc>
          <w:tcPr>
            <w:tcW w:w="1220" w:type="dxa"/>
            <w:shd w:val="pct15" w:color="auto" w:fill="auto"/>
          </w:tcPr>
          <w:p w14:paraId="0D653C2C" w14:textId="77777777" w:rsidR="00A02AB7" w:rsidRPr="00D8775C" w:rsidRDefault="00A02AB7" w:rsidP="00D8775C">
            <w:pPr>
              <w:spacing w:before="60" w:after="60" w:line="240" w:lineRule="auto"/>
              <w:ind w:firstLine="0"/>
              <w:jc w:val="center"/>
              <w:rPr>
                <w:rFonts w:eastAsia="Calibri"/>
                <w:b/>
                <w:sz w:val="22"/>
                <w:szCs w:val="22"/>
                <w:lang w:val="en-US"/>
              </w:rPr>
            </w:pPr>
            <w:r w:rsidRPr="00D8775C">
              <w:rPr>
                <w:rFonts w:eastAsia="Calibri"/>
                <w:b/>
                <w:sz w:val="22"/>
                <w:szCs w:val="22"/>
                <w:lang w:val="en-US"/>
              </w:rPr>
              <w:t>2009</w:t>
            </w:r>
          </w:p>
        </w:tc>
        <w:tc>
          <w:tcPr>
            <w:tcW w:w="1473" w:type="dxa"/>
            <w:shd w:val="pct15" w:color="auto" w:fill="auto"/>
          </w:tcPr>
          <w:p w14:paraId="7FC21CA0" w14:textId="77777777" w:rsidR="00A02AB7" w:rsidRPr="00D8775C" w:rsidRDefault="00A02AB7" w:rsidP="00D8775C">
            <w:pPr>
              <w:spacing w:before="60" w:after="60" w:line="240" w:lineRule="auto"/>
              <w:ind w:firstLine="0"/>
              <w:jc w:val="center"/>
              <w:rPr>
                <w:rFonts w:eastAsia="Calibri"/>
                <w:b/>
                <w:sz w:val="22"/>
                <w:szCs w:val="22"/>
                <w:lang w:val="en-US"/>
              </w:rPr>
            </w:pPr>
            <w:r w:rsidRPr="00D8775C">
              <w:rPr>
                <w:rFonts w:eastAsia="Calibri"/>
                <w:b/>
                <w:sz w:val="22"/>
                <w:szCs w:val="22"/>
                <w:lang w:val="en-US"/>
              </w:rPr>
              <w:t>2010</w:t>
            </w:r>
          </w:p>
        </w:tc>
        <w:tc>
          <w:tcPr>
            <w:tcW w:w="1471" w:type="dxa"/>
            <w:shd w:val="pct15" w:color="auto" w:fill="auto"/>
          </w:tcPr>
          <w:p w14:paraId="54D1329D" w14:textId="77777777" w:rsidR="00A02AB7" w:rsidRPr="00D8775C" w:rsidRDefault="00A02AB7" w:rsidP="00D8775C">
            <w:pPr>
              <w:spacing w:before="60" w:after="60" w:line="240" w:lineRule="auto"/>
              <w:ind w:firstLine="0"/>
              <w:jc w:val="center"/>
              <w:rPr>
                <w:rFonts w:eastAsia="Calibri"/>
                <w:b/>
                <w:sz w:val="22"/>
                <w:szCs w:val="22"/>
                <w:lang w:val="en-US"/>
              </w:rPr>
            </w:pPr>
            <w:r w:rsidRPr="00D8775C">
              <w:rPr>
                <w:rFonts w:eastAsia="Calibri"/>
                <w:b/>
                <w:sz w:val="22"/>
                <w:szCs w:val="22"/>
                <w:lang w:val="en-US"/>
              </w:rPr>
              <w:t>2011</w:t>
            </w:r>
          </w:p>
        </w:tc>
        <w:tc>
          <w:tcPr>
            <w:tcW w:w="1364" w:type="dxa"/>
            <w:shd w:val="pct15" w:color="auto" w:fill="auto"/>
          </w:tcPr>
          <w:p w14:paraId="788FA10D" w14:textId="77777777" w:rsidR="00A02AB7" w:rsidRPr="00D8775C" w:rsidRDefault="00A02AB7" w:rsidP="00D8775C">
            <w:pPr>
              <w:spacing w:before="60" w:after="60" w:line="240" w:lineRule="auto"/>
              <w:ind w:firstLine="0"/>
              <w:jc w:val="center"/>
              <w:rPr>
                <w:rFonts w:eastAsia="Calibri"/>
                <w:b/>
                <w:sz w:val="22"/>
                <w:szCs w:val="22"/>
                <w:lang w:val="en-US"/>
              </w:rPr>
            </w:pPr>
            <w:r w:rsidRPr="00D8775C">
              <w:rPr>
                <w:rFonts w:eastAsia="Calibri"/>
                <w:b/>
                <w:sz w:val="22"/>
                <w:szCs w:val="22"/>
                <w:lang w:val="en-US"/>
              </w:rPr>
              <w:t>2012</w:t>
            </w:r>
          </w:p>
        </w:tc>
      </w:tr>
      <w:tr w:rsidR="00A02AB7" w:rsidRPr="00D8775C" w14:paraId="7432FE80" w14:textId="77777777" w:rsidTr="001D3647">
        <w:tc>
          <w:tcPr>
            <w:tcW w:w="2518" w:type="dxa"/>
            <w:shd w:val="pct15" w:color="auto" w:fill="auto"/>
          </w:tcPr>
          <w:p w14:paraId="769A6688" w14:textId="126D9F80" w:rsidR="00A02AB7" w:rsidRPr="00D8775C" w:rsidRDefault="001D3647" w:rsidP="001D3647">
            <w:pPr>
              <w:spacing w:before="60" w:after="60" w:line="240" w:lineRule="auto"/>
              <w:ind w:firstLine="0"/>
              <w:rPr>
                <w:rFonts w:eastAsia="Calibri"/>
                <w:bCs/>
                <w:spacing w:val="-14"/>
                <w:sz w:val="22"/>
                <w:szCs w:val="22"/>
                <w:lang w:val="en-US"/>
              </w:rPr>
            </w:pPr>
            <w:r>
              <w:rPr>
                <w:rFonts w:eastAsia="Calibri"/>
                <w:bCs/>
                <w:spacing w:val="-14"/>
                <w:sz w:val="22"/>
                <w:szCs w:val="22"/>
                <w:lang w:val="en-US"/>
              </w:rPr>
              <w:t>Α</w:t>
            </w:r>
            <w:r w:rsidR="00A02AB7" w:rsidRPr="00D8775C">
              <w:rPr>
                <w:rFonts w:eastAsia="Calibri"/>
                <w:bCs/>
                <w:spacing w:val="-14"/>
                <w:sz w:val="22"/>
                <w:szCs w:val="22"/>
                <w:lang w:val="en-US"/>
              </w:rPr>
              <w:t>ιτήματα</w:t>
            </w:r>
            <w:r>
              <w:rPr>
                <w:rFonts w:eastAsia="Calibri"/>
                <w:bCs/>
                <w:spacing w:val="-14"/>
                <w:sz w:val="22"/>
                <w:szCs w:val="22"/>
                <w:lang w:val="en-US"/>
              </w:rPr>
              <w:t xml:space="preserve"> που έγιναν δεκτά</w:t>
            </w:r>
          </w:p>
        </w:tc>
        <w:tc>
          <w:tcPr>
            <w:tcW w:w="1276" w:type="dxa"/>
            <w:shd w:val="clear" w:color="auto" w:fill="auto"/>
          </w:tcPr>
          <w:p w14:paraId="1C5C6DBD"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310</w:t>
            </w:r>
          </w:p>
        </w:tc>
        <w:tc>
          <w:tcPr>
            <w:tcW w:w="1220" w:type="dxa"/>
            <w:shd w:val="clear" w:color="auto" w:fill="auto"/>
          </w:tcPr>
          <w:p w14:paraId="20EAA8BB"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426</w:t>
            </w:r>
          </w:p>
        </w:tc>
        <w:tc>
          <w:tcPr>
            <w:tcW w:w="1473" w:type="dxa"/>
            <w:shd w:val="clear" w:color="auto" w:fill="auto"/>
          </w:tcPr>
          <w:p w14:paraId="6557C2D5"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438</w:t>
            </w:r>
          </w:p>
        </w:tc>
        <w:tc>
          <w:tcPr>
            <w:tcW w:w="1471" w:type="dxa"/>
            <w:shd w:val="clear" w:color="auto" w:fill="auto"/>
          </w:tcPr>
          <w:p w14:paraId="72DA485B"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506</w:t>
            </w:r>
          </w:p>
        </w:tc>
        <w:tc>
          <w:tcPr>
            <w:tcW w:w="1364" w:type="dxa"/>
            <w:shd w:val="clear" w:color="auto" w:fill="auto"/>
          </w:tcPr>
          <w:p w14:paraId="3B16C93D"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566</w:t>
            </w:r>
          </w:p>
        </w:tc>
      </w:tr>
      <w:tr w:rsidR="00A02AB7" w:rsidRPr="00D8775C" w14:paraId="192C6AE9" w14:textId="77777777" w:rsidTr="001D3647">
        <w:tc>
          <w:tcPr>
            <w:tcW w:w="2518" w:type="dxa"/>
            <w:shd w:val="pct15" w:color="auto" w:fill="auto"/>
          </w:tcPr>
          <w:p w14:paraId="635A706E" w14:textId="77777777" w:rsidR="00A02AB7" w:rsidRPr="00D8775C" w:rsidRDefault="00A02AB7" w:rsidP="00D8775C">
            <w:pPr>
              <w:spacing w:before="60" w:after="60" w:line="240" w:lineRule="auto"/>
              <w:ind w:firstLine="0"/>
              <w:rPr>
                <w:rFonts w:eastAsia="Calibri"/>
                <w:bCs/>
                <w:spacing w:val="-14"/>
                <w:sz w:val="22"/>
                <w:szCs w:val="22"/>
                <w:lang w:val="en-US"/>
              </w:rPr>
            </w:pPr>
            <w:r w:rsidRPr="00D8775C">
              <w:rPr>
                <w:rFonts w:eastAsia="Calibri"/>
                <w:bCs/>
                <w:spacing w:val="-14"/>
                <w:sz w:val="22"/>
                <w:szCs w:val="22"/>
                <w:lang w:val="en-US"/>
              </w:rPr>
              <w:t>Υποβληθέντα αιτήματα</w:t>
            </w:r>
          </w:p>
        </w:tc>
        <w:tc>
          <w:tcPr>
            <w:tcW w:w="1276" w:type="dxa"/>
            <w:shd w:val="clear" w:color="auto" w:fill="auto"/>
          </w:tcPr>
          <w:p w14:paraId="1F981696"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416</w:t>
            </w:r>
          </w:p>
        </w:tc>
        <w:tc>
          <w:tcPr>
            <w:tcW w:w="1220" w:type="dxa"/>
            <w:shd w:val="clear" w:color="auto" w:fill="auto"/>
          </w:tcPr>
          <w:p w14:paraId="28A73E2D"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568</w:t>
            </w:r>
          </w:p>
        </w:tc>
        <w:tc>
          <w:tcPr>
            <w:tcW w:w="1473" w:type="dxa"/>
            <w:shd w:val="clear" w:color="auto" w:fill="auto"/>
          </w:tcPr>
          <w:p w14:paraId="33091B57"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617</w:t>
            </w:r>
          </w:p>
        </w:tc>
        <w:tc>
          <w:tcPr>
            <w:tcW w:w="1471" w:type="dxa"/>
            <w:shd w:val="clear" w:color="auto" w:fill="auto"/>
          </w:tcPr>
          <w:p w14:paraId="7F6AAE05"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666</w:t>
            </w:r>
          </w:p>
        </w:tc>
        <w:tc>
          <w:tcPr>
            <w:tcW w:w="1364" w:type="dxa"/>
            <w:shd w:val="clear" w:color="auto" w:fill="auto"/>
          </w:tcPr>
          <w:p w14:paraId="3AA2F8B7" w14:textId="77777777"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729</w:t>
            </w:r>
          </w:p>
        </w:tc>
      </w:tr>
      <w:tr w:rsidR="00A02AB7" w:rsidRPr="00D8775C" w14:paraId="4D9AD102" w14:textId="77777777" w:rsidTr="001D3647">
        <w:tc>
          <w:tcPr>
            <w:tcW w:w="2518" w:type="dxa"/>
            <w:shd w:val="pct15" w:color="auto" w:fill="auto"/>
          </w:tcPr>
          <w:p w14:paraId="580E2BBC" w14:textId="7E888DBC" w:rsidR="00A02AB7" w:rsidRPr="00D8775C" w:rsidRDefault="001D3647" w:rsidP="00D8775C">
            <w:pPr>
              <w:spacing w:before="60" w:after="60" w:line="240" w:lineRule="auto"/>
              <w:ind w:firstLine="0"/>
              <w:jc w:val="left"/>
              <w:rPr>
                <w:rFonts w:eastAsia="Calibri"/>
                <w:bCs/>
                <w:spacing w:val="-14"/>
                <w:sz w:val="22"/>
                <w:szCs w:val="22"/>
                <w:lang w:val="en-US"/>
              </w:rPr>
            </w:pPr>
            <w:r>
              <w:rPr>
                <w:rFonts w:eastAsia="Calibri"/>
                <w:bCs/>
                <w:spacing w:val="-14"/>
                <w:sz w:val="22"/>
                <w:szCs w:val="22"/>
                <w:lang w:val="en-US"/>
              </w:rPr>
              <w:t>Α</w:t>
            </w:r>
            <w:r w:rsidRPr="00D8775C">
              <w:rPr>
                <w:rFonts w:eastAsia="Calibri"/>
                <w:bCs/>
                <w:spacing w:val="-14"/>
                <w:sz w:val="22"/>
                <w:szCs w:val="22"/>
                <w:lang w:val="en-US"/>
              </w:rPr>
              <w:t>ιτήματα</w:t>
            </w:r>
            <w:r>
              <w:rPr>
                <w:rFonts w:eastAsia="Calibri"/>
                <w:bCs/>
                <w:spacing w:val="-14"/>
                <w:sz w:val="22"/>
                <w:szCs w:val="22"/>
                <w:lang w:val="en-US"/>
              </w:rPr>
              <w:t xml:space="preserve"> που έγιναν δεκτά</w:t>
            </w:r>
            <w:r w:rsidR="00A02AB7" w:rsidRPr="00D8775C">
              <w:rPr>
                <w:rFonts w:eastAsia="Calibri"/>
                <w:bCs/>
                <w:spacing w:val="-14"/>
                <w:sz w:val="22"/>
                <w:szCs w:val="22"/>
                <w:lang w:val="en-US"/>
              </w:rPr>
              <w:t>/Υποβληθέντα αιτήματα</w:t>
            </w:r>
          </w:p>
        </w:tc>
        <w:tc>
          <w:tcPr>
            <w:tcW w:w="1276" w:type="dxa"/>
            <w:shd w:val="clear" w:color="auto" w:fill="auto"/>
          </w:tcPr>
          <w:p w14:paraId="32B0A2E4" w14:textId="77777777" w:rsidR="00A02AB7" w:rsidRPr="00D8775C" w:rsidRDefault="00A02AB7" w:rsidP="00D8775C">
            <w:pPr>
              <w:spacing w:before="60" w:after="60" w:line="240" w:lineRule="auto"/>
              <w:ind w:firstLine="0"/>
              <w:jc w:val="center"/>
              <w:rPr>
                <w:rFonts w:eastAsia="Calibri"/>
                <w:sz w:val="22"/>
                <w:szCs w:val="22"/>
                <w:lang w:val="en-US"/>
              </w:rPr>
            </w:pPr>
          </w:p>
          <w:p w14:paraId="3D65C544" w14:textId="57B2638D"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74,5</w:t>
            </w:r>
            <w:r w:rsidR="001D3647">
              <w:rPr>
                <w:rFonts w:eastAsia="Calibri"/>
                <w:sz w:val="22"/>
                <w:szCs w:val="22"/>
                <w:lang w:val="en-US"/>
              </w:rPr>
              <w:t xml:space="preserve"> </w:t>
            </w:r>
            <w:r w:rsidRPr="00D8775C">
              <w:rPr>
                <w:rFonts w:eastAsia="Calibri"/>
                <w:sz w:val="22"/>
                <w:szCs w:val="22"/>
                <w:lang w:val="en-US"/>
              </w:rPr>
              <w:t>%</w:t>
            </w:r>
          </w:p>
        </w:tc>
        <w:tc>
          <w:tcPr>
            <w:tcW w:w="1220" w:type="dxa"/>
            <w:shd w:val="clear" w:color="auto" w:fill="auto"/>
          </w:tcPr>
          <w:p w14:paraId="044DA3A3" w14:textId="77777777" w:rsidR="00A02AB7" w:rsidRPr="00D8775C" w:rsidRDefault="00A02AB7" w:rsidP="00D8775C">
            <w:pPr>
              <w:spacing w:before="60" w:after="60" w:line="240" w:lineRule="auto"/>
              <w:ind w:firstLine="0"/>
              <w:jc w:val="center"/>
              <w:rPr>
                <w:rFonts w:eastAsia="Calibri"/>
                <w:sz w:val="22"/>
                <w:szCs w:val="22"/>
                <w:lang w:val="en-US"/>
              </w:rPr>
            </w:pPr>
          </w:p>
          <w:p w14:paraId="318B6734" w14:textId="6D31DD16" w:rsidR="000E3546" w:rsidRPr="00D8775C" w:rsidRDefault="001D3647" w:rsidP="00D8775C">
            <w:pPr>
              <w:spacing w:before="60" w:after="60" w:line="240" w:lineRule="auto"/>
              <w:ind w:firstLine="0"/>
              <w:jc w:val="center"/>
              <w:rPr>
                <w:rFonts w:eastAsia="Calibri"/>
                <w:sz w:val="22"/>
                <w:szCs w:val="22"/>
                <w:lang w:val="en-US"/>
              </w:rPr>
            </w:pPr>
            <w:r>
              <w:rPr>
                <w:rFonts w:eastAsia="Calibri"/>
                <w:sz w:val="22"/>
                <w:szCs w:val="22"/>
                <w:lang w:val="en-US"/>
              </w:rPr>
              <w:t xml:space="preserve">75 </w:t>
            </w:r>
            <w:r w:rsidR="000E3546" w:rsidRPr="00D8775C">
              <w:rPr>
                <w:rFonts w:eastAsia="Calibri"/>
                <w:sz w:val="22"/>
                <w:szCs w:val="22"/>
                <w:lang w:val="en-US"/>
              </w:rPr>
              <w:t>%</w:t>
            </w:r>
          </w:p>
        </w:tc>
        <w:tc>
          <w:tcPr>
            <w:tcW w:w="1473" w:type="dxa"/>
            <w:shd w:val="clear" w:color="auto" w:fill="auto"/>
          </w:tcPr>
          <w:p w14:paraId="4C02F834" w14:textId="77777777" w:rsidR="00A02AB7" w:rsidRPr="00D8775C" w:rsidRDefault="00A02AB7" w:rsidP="00D8775C">
            <w:pPr>
              <w:spacing w:before="60" w:after="60" w:line="240" w:lineRule="auto"/>
              <w:ind w:firstLine="0"/>
              <w:jc w:val="center"/>
              <w:rPr>
                <w:rFonts w:eastAsia="Calibri"/>
                <w:sz w:val="22"/>
                <w:szCs w:val="22"/>
                <w:lang w:val="en-US"/>
              </w:rPr>
            </w:pPr>
          </w:p>
          <w:p w14:paraId="28F8B337" w14:textId="46C61CE2" w:rsidR="000E3546" w:rsidRPr="00D8775C" w:rsidRDefault="001D3647" w:rsidP="00D8775C">
            <w:pPr>
              <w:spacing w:before="60" w:after="60" w:line="240" w:lineRule="auto"/>
              <w:ind w:firstLine="0"/>
              <w:jc w:val="center"/>
              <w:rPr>
                <w:rFonts w:eastAsia="Calibri"/>
                <w:sz w:val="22"/>
                <w:szCs w:val="22"/>
                <w:lang w:val="en-US"/>
              </w:rPr>
            </w:pPr>
            <w:r>
              <w:rPr>
                <w:rFonts w:eastAsia="Calibri"/>
                <w:sz w:val="22"/>
                <w:szCs w:val="22"/>
                <w:lang w:val="en-US"/>
              </w:rPr>
              <w:t xml:space="preserve">71 </w:t>
            </w:r>
            <w:r w:rsidR="000E3546" w:rsidRPr="00D8775C">
              <w:rPr>
                <w:rFonts w:eastAsia="Calibri"/>
                <w:sz w:val="22"/>
                <w:szCs w:val="22"/>
                <w:lang w:val="en-US"/>
              </w:rPr>
              <w:t>%</w:t>
            </w:r>
          </w:p>
        </w:tc>
        <w:tc>
          <w:tcPr>
            <w:tcW w:w="1471" w:type="dxa"/>
            <w:shd w:val="clear" w:color="auto" w:fill="auto"/>
          </w:tcPr>
          <w:p w14:paraId="68001407" w14:textId="77777777" w:rsidR="00A02AB7" w:rsidRPr="00D8775C" w:rsidRDefault="00A02AB7" w:rsidP="00D8775C">
            <w:pPr>
              <w:spacing w:before="60" w:after="60" w:line="240" w:lineRule="auto"/>
              <w:ind w:firstLine="0"/>
              <w:jc w:val="center"/>
              <w:rPr>
                <w:rFonts w:eastAsia="Calibri"/>
                <w:sz w:val="22"/>
                <w:szCs w:val="22"/>
                <w:lang w:val="en-US"/>
              </w:rPr>
            </w:pPr>
          </w:p>
          <w:p w14:paraId="660D4295" w14:textId="20C81A87" w:rsidR="000E3546" w:rsidRPr="00D8775C" w:rsidRDefault="001D3647" w:rsidP="00D8775C">
            <w:pPr>
              <w:spacing w:before="60" w:after="60" w:line="240" w:lineRule="auto"/>
              <w:ind w:firstLine="0"/>
              <w:jc w:val="center"/>
              <w:rPr>
                <w:rFonts w:eastAsia="Calibri"/>
                <w:sz w:val="22"/>
                <w:szCs w:val="22"/>
                <w:lang w:val="en-US"/>
              </w:rPr>
            </w:pPr>
            <w:r>
              <w:rPr>
                <w:rFonts w:eastAsia="Calibri"/>
                <w:sz w:val="22"/>
                <w:szCs w:val="22"/>
                <w:lang w:val="en-US"/>
              </w:rPr>
              <w:t xml:space="preserve">76 </w:t>
            </w:r>
            <w:r w:rsidR="000E3546" w:rsidRPr="00D8775C">
              <w:rPr>
                <w:rFonts w:eastAsia="Calibri"/>
                <w:sz w:val="22"/>
                <w:szCs w:val="22"/>
                <w:lang w:val="en-US"/>
              </w:rPr>
              <w:t>%</w:t>
            </w:r>
          </w:p>
        </w:tc>
        <w:tc>
          <w:tcPr>
            <w:tcW w:w="1364" w:type="dxa"/>
            <w:shd w:val="clear" w:color="auto" w:fill="auto"/>
          </w:tcPr>
          <w:p w14:paraId="25C03981" w14:textId="77777777" w:rsidR="00A02AB7" w:rsidRPr="00D8775C" w:rsidRDefault="00A02AB7" w:rsidP="00D8775C">
            <w:pPr>
              <w:spacing w:before="60" w:after="60" w:line="240" w:lineRule="auto"/>
              <w:ind w:firstLine="0"/>
              <w:jc w:val="center"/>
              <w:rPr>
                <w:rFonts w:eastAsia="Calibri"/>
                <w:sz w:val="22"/>
                <w:szCs w:val="22"/>
                <w:lang w:val="en-US"/>
              </w:rPr>
            </w:pPr>
          </w:p>
          <w:p w14:paraId="5A6AC881" w14:textId="37AE8143" w:rsidR="00A02AB7" w:rsidRPr="00D8775C" w:rsidRDefault="00A02AB7" w:rsidP="00D8775C">
            <w:pPr>
              <w:spacing w:before="60" w:after="60" w:line="240" w:lineRule="auto"/>
              <w:ind w:firstLine="0"/>
              <w:jc w:val="center"/>
              <w:rPr>
                <w:rFonts w:eastAsia="Calibri"/>
                <w:sz w:val="22"/>
                <w:szCs w:val="22"/>
                <w:lang w:val="en-US"/>
              </w:rPr>
            </w:pPr>
            <w:r w:rsidRPr="00D8775C">
              <w:rPr>
                <w:rFonts w:eastAsia="Calibri"/>
                <w:sz w:val="22"/>
                <w:szCs w:val="22"/>
                <w:lang w:val="en-US"/>
              </w:rPr>
              <w:t>77</w:t>
            </w:r>
            <w:r w:rsidR="000E3546" w:rsidRPr="00D8775C">
              <w:rPr>
                <w:rFonts w:eastAsia="Calibri"/>
                <w:sz w:val="22"/>
                <w:szCs w:val="22"/>
                <w:lang w:val="en-US"/>
              </w:rPr>
              <w:t>,6</w:t>
            </w:r>
            <w:r w:rsidR="001D3647">
              <w:rPr>
                <w:rFonts w:eastAsia="Calibri"/>
                <w:sz w:val="22"/>
                <w:szCs w:val="22"/>
                <w:lang w:val="en-US"/>
              </w:rPr>
              <w:t xml:space="preserve"> </w:t>
            </w:r>
            <w:r w:rsidR="000E3546" w:rsidRPr="00D8775C">
              <w:rPr>
                <w:rFonts w:eastAsia="Calibri"/>
                <w:sz w:val="22"/>
                <w:szCs w:val="22"/>
                <w:lang w:val="en-US"/>
              </w:rPr>
              <w:t>%</w:t>
            </w:r>
          </w:p>
        </w:tc>
      </w:tr>
    </w:tbl>
    <w:p w14:paraId="3DA43DB5" w14:textId="61BDC3EA" w:rsidR="00BA0480" w:rsidRPr="00754938" w:rsidRDefault="001E26FD" w:rsidP="0023213A">
      <w:pPr>
        <w:spacing w:before="240"/>
        <w:rPr>
          <w:lang w:val="en-US" w:eastAsia="en-US"/>
        </w:rPr>
      </w:pPr>
      <w:r>
        <w:t xml:space="preserve">Ο συχνότερος λόγος για τον οποίο δεν εγκρίνεται η διενέργεια της προεμφυτευτικής διάγνωσης είναι η αδυναμία εφαρμογής ιατρικά υποβοηθούμενης αναπαραγωγής στο συγκεκριμένο ζευγάρι (λόγω </w:t>
      </w:r>
      <w:r w:rsidR="007E7322">
        <w:t xml:space="preserve">κακής </w:t>
      </w:r>
      <w:r>
        <w:t xml:space="preserve">ποιότητας </w:t>
      </w:r>
      <w:r w:rsidR="007E7322">
        <w:t>ή/και</w:t>
      </w:r>
      <w:r>
        <w:t xml:space="preserve"> ανεπαρκούς ποσότητας ωαρίων)</w:t>
      </w:r>
      <w:r>
        <w:rPr>
          <w:lang w:val="en-US"/>
        </w:rPr>
        <w:t xml:space="preserve">, ενώ επίσης σημαντικό παράγοντα </w:t>
      </w:r>
      <w:r w:rsidR="007E7322">
        <w:rPr>
          <w:lang w:val="en-US"/>
        </w:rPr>
        <w:t>απόρριψης</w:t>
      </w:r>
      <w:r>
        <w:rPr>
          <w:lang w:val="en-US"/>
        </w:rPr>
        <w:t xml:space="preserve"> συνιστά και η τεχνική αδυναμία πραγματοποίησης της γενετικής διαγνωστικής εξέταση</w:t>
      </w:r>
      <w:r w:rsidR="00B910CC">
        <w:t>ς</w:t>
      </w:r>
      <w:r>
        <w:rPr>
          <w:lang w:val="en-US"/>
        </w:rPr>
        <w:t xml:space="preserve">. </w:t>
      </w:r>
      <w:r w:rsidR="00372041">
        <w:rPr>
          <w:lang w:val="en-US"/>
        </w:rPr>
        <w:t xml:space="preserve">Μεταξύ των επικρατέστερων λόγων </w:t>
      </w:r>
      <w:r w:rsidR="007E7322">
        <w:rPr>
          <w:lang w:val="en-US"/>
        </w:rPr>
        <w:t>απόρριψης αιτήματος</w:t>
      </w:r>
      <w:r w:rsidR="00372041">
        <w:rPr>
          <w:lang w:val="en-US"/>
        </w:rPr>
        <w:t xml:space="preserve"> διενέργειας προεμφυτευτικής διάγνωσης είναι και η </w:t>
      </w:r>
      <w:r w:rsidR="00372041">
        <w:rPr>
          <w:lang w:val="en-US" w:eastAsia="en-US"/>
        </w:rPr>
        <w:t>«έλλειψη κινήτρου του ζευγαριού», η οποία μεταφράζεται τόσο στη διστακτικότητα του ζευγαριού να υποβληθεί στους περιορισμούς που η συγκεριμένη διαγνωστική εξέταση συνεπάγεται</w:t>
      </w:r>
      <w:r w:rsidR="00B910CC">
        <w:rPr>
          <w:lang w:val="en-US" w:eastAsia="en-US"/>
        </w:rPr>
        <w:t>, όσο και στο γεγονός ότι πολλές φορές ο χρόνος αναμονής κρίνεται αποτρεπ</w:t>
      </w:r>
      <w:r w:rsidR="00754938">
        <w:rPr>
          <w:lang w:val="en-US" w:eastAsia="en-US"/>
        </w:rPr>
        <w:t>τικός από το ζευγάρι (Πίνακας 20</w:t>
      </w:r>
      <w:r w:rsidR="00B910CC">
        <w:rPr>
          <w:lang w:val="en-US" w:eastAsia="en-US"/>
        </w:rPr>
        <w:t>)</w:t>
      </w:r>
      <w:r w:rsidR="00BD754E">
        <w:rPr>
          <w:rStyle w:val="FootnoteReference"/>
          <w:lang w:val="en-US" w:eastAsia="en-US"/>
        </w:rPr>
        <w:footnoteReference w:id="301"/>
      </w:r>
      <w:r w:rsidR="00B910CC">
        <w:rPr>
          <w:lang w:val="en-US" w:eastAsia="en-US"/>
        </w:rPr>
        <w:t xml:space="preserve">. </w:t>
      </w:r>
    </w:p>
    <w:p w14:paraId="60E0139B" w14:textId="4195C65F" w:rsidR="00372041" w:rsidRPr="00601860" w:rsidRDefault="00754938" w:rsidP="0023213A">
      <w:pPr>
        <w:spacing w:before="240" w:after="240"/>
        <w:ind w:firstLine="0"/>
        <w:rPr>
          <w:b/>
          <w:lang w:val="en-US" w:eastAsia="en-US"/>
        </w:rPr>
      </w:pPr>
      <w:r>
        <w:rPr>
          <w:b/>
          <w:lang w:val="en-US" w:eastAsia="en-US"/>
        </w:rPr>
        <w:t>Πίνακας 20</w:t>
      </w:r>
      <w:r w:rsidR="00601860" w:rsidRPr="00601860">
        <w:rPr>
          <w:b/>
          <w:lang w:val="en-US" w:eastAsia="en-US"/>
        </w:rPr>
        <w:t>. Αριθμός απορριπτικών απαντήσεων και αιτιολογία απόρριψης ανά κέντρο κατά το έτος 2012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276"/>
        <w:gridCol w:w="1224"/>
        <w:gridCol w:w="1469"/>
        <w:gridCol w:w="1384"/>
      </w:tblGrid>
      <w:tr w:rsidR="004F53E9" w14:paraId="2E93CA33" w14:textId="77777777" w:rsidTr="00D8775C">
        <w:tc>
          <w:tcPr>
            <w:tcW w:w="4077" w:type="dxa"/>
            <w:shd w:val="pct15" w:color="auto" w:fill="auto"/>
          </w:tcPr>
          <w:p w14:paraId="0F5D0CC2" w14:textId="77777777" w:rsidR="004F53E9" w:rsidRPr="00D8775C" w:rsidRDefault="004F53E9" w:rsidP="00D8775C">
            <w:pPr>
              <w:spacing w:before="60" w:after="60" w:line="240" w:lineRule="auto"/>
              <w:ind w:firstLine="0"/>
              <w:rPr>
                <w:rFonts w:eastAsia="Calibri"/>
                <w:spacing w:val="-14"/>
                <w:sz w:val="22"/>
                <w:szCs w:val="22"/>
              </w:rPr>
            </w:pPr>
          </w:p>
        </w:tc>
        <w:tc>
          <w:tcPr>
            <w:tcW w:w="1276" w:type="dxa"/>
            <w:shd w:val="pct15" w:color="auto" w:fill="auto"/>
          </w:tcPr>
          <w:p w14:paraId="7FBF3415" w14:textId="77777777" w:rsidR="004F53E9" w:rsidRPr="00D8775C" w:rsidRDefault="004F53E9" w:rsidP="00D8775C">
            <w:pPr>
              <w:spacing w:before="60" w:after="60" w:line="240" w:lineRule="auto"/>
              <w:ind w:firstLine="0"/>
              <w:jc w:val="center"/>
              <w:rPr>
                <w:rFonts w:eastAsia="Calibri"/>
                <w:b/>
                <w:sz w:val="22"/>
                <w:szCs w:val="22"/>
              </w:rPr>
            </w:pPr>
            <w:r w:rsidRPr="00D8775C">
              <w:rPr>
                <w:rFonts w:eastAsia="Calibri"/>
                <w:b/>
                <w:sz w:val="22"/>
                <w:szCs w:val="22"/>
              </w:rPr>
              <w:t>Μονπελιέρ</w:t>
            </w:r>
          </w:p>
        </w:tc>
        <w:tc>
          <w:tcPr>
            <w:tcW w:w="1224" w:type="dxa"/>
            <w:shd w:val="pct15" w:color="auto" w:fill="auto"/>
          </w:tcPr>
          <w:p w14:paraId="653E0003" w14:textId="77777777" w:rsidR="004F53E9" w:rsidRPr="00D8775C" w:rsidRDefault="004F53E9" w:rsidP="00D8775C">
            <w:pPr>
              <w:spacing w:before="60" w:after="60" w:line="240" w:lineRule="auto"/>
              <w:ind w:firstLine="0"/>
              <w:jc w:val="center"/>
              <w:rPr>
                <w:rFonts w:eastAsia="Calibri"/>
                <w:b/>
                <w:sz w:val="22"/>
                <w:szCs w:val="22"/>
              </w:rPr>
            </w:pPr>
            <w:r w:rsidRPr="00D8775C">
              <w:rPr>
                <w:rFonts w:eastAsia="Calibri"/>
                <w:b/>
                <w:sz w:val="22"/>
                <w:szCs w:val="22"/>
              </w:rPr>
              <w:t>Παρίσι</w:t>
            </w:r>
          </w:p>
        </w:tc>
        <w:tc>
          <w:tcPr>
            <w:tcW w:w="1469" w:type="dxa"/>
            <w:shd w:val="pct15" w:color="auto" w:fill="auto"/>
          </w:tcPr>
          <w:p w14:paraId="169372FF" w14:textId="77777777" w:rsidR="004F53E9" w:rsidRPr="00D8775C" w:rsidRDefault="004F53E9" w:rsidP="00D8775C">
            <w:pPr>
              <w:spacing w:before="60" w:after="60" w:line="240" w:lineRule="auto"/>
              <w:ind w:firstLine="0"/>
              <w:jc w:val="center"/>
              <w:rPr>
                <w:rFonts w:eastAsia="Calibri"/>
                <w:b/>
                <w:sz w:val="22"/>
                <w:szCs w:val="22"/>
              </w:rPr>
            </w:pPr>
            <w:r w:rsidRPr="00D8775C">
              <w:rPr>
                <w:rFonts w:eastAsia="Calibri"/>
                <w:b/>
                <w:sz w:val="22"/>
                <w:szCs w:val="22"/>
              </w:rPr>
              <w:t>Στρασβούργο</w:t>
            </w:r>
          </w:p>
        </w:tc>
        <w:tc>
          <w:tcPr>
            <w:tcW w:w="1384" w:type="dxa"/>
            <w:shd w:val="pct15" w:color="auto" w:fill="auto"/>
          </w:tcPr>
          <w:p w14:paraId="31AF5670" w14:textId="77777777" w:rsidR="004F53E9" w:rsidRPr="00D8775C" w:rsidRDefault="004F53E9" w:rsidP="00D8775C">
            <w:pPr>
              <w:spacing w:before="60" w:after="60" w:line="240" w:lineRule="auto"/>
              <w:ind w:firstLine="0"/>
              <w:jc w:val="center"/>
              <w:rPr>
                <w:rFonts w:eastAsia="Calibri"/>
                <w:b/>
                <w:sz w:val="22"/>
                <w:szCs w:val="22"/>
              </w:rPr>
            </w:pPr>
            <w:r w:rsidRPr="00D8775C">
              <w:rPr>
                <w:rFonts w:eastAsia="Calibri"/>
                <w:b/>
                <w:sz w:val="22"/>
                <w:szCs w:val="22"/>
              </w:rPr>
              <w:t>Γαλλία</w:t>
            </w:r>
          </w:p>
        </w:tc>
      </w:tr>
      <w:tr w:rsidR="004F53E9" w14:paraId="55F947AD" w14:textId="77777777" w:rsidTr="00D8775C">
        <w:tc>
          <w:tcPr>
            <w:tcW w:w="4077" w:type="dxa"/>
            <w:shd w:val="clear" w:color="auto" w:fill="auto"/>
          </w:tcPr>
          <w:p w14:paraId="76C0D340" w14:textId="77777777" w:rsidR="004F53E9" w:rsidRPr="00D8775C" w:rsidRDefault="004F53E9" w:rsidP="008A1531">
            <w:pPr>
              <w:spacing w:before="60" w:after="60" w:line="240" w:lineRule="auto"/>
              <w:ind w:firstLine="0"/>
              <w:jc w:val="left"/>
              <w:rPr>
                <w:rFonts w:eastAsia="Calibri"/>
                <w:spacing w:val="-14"/>
                <w:sz w:val="22"/>
                <w:szCs w:val="22"/>
              </w:rPr>
            </w:pPr>
            <w:r w:rsidRPr="00D8775C">
              <w:rPr>
                <w:rFonts w:eastAsia="Calibri"/>
                <w:spacing w:val="-14"/>
                <w:sz w:val="22"/>
                <w:szCs w:val="22"/>
              </w:rPr>
              <w:t>Απουσία προβλεπόμενης γενετικής ασθένειας</w:t>
            </w:r>
          </w:p>
        </w:tc>
        <w:tc>
          <w:tcPr>
            <w:tcW w:w="1276" w:type="dxa"/>
            <w:shd w:val="clear" w:color="auto" w:fill="auto"/>
          </w:tcPr>
          <w:p w14:paraId="5E753E73"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9</w:t>
            </w:r>
          </w:p>
        </w:tc>
        <w:tc>
          <w:tcPr>
            <w:tcW w:w="1224" w:type="dxa"/>
            <w:shd w:val="clear" w:color="auto" w:fill="auto"/>
          </w:tcPr>
          <w:p w14:paraId="52E9B9E3"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10</w:t>
            </w:r>
          </w:p>
        </w:tc>
        <w:tc>
          <w:tcPr>
            <w:tcW w:w="1469" w:type="dxa"/>
            <w:shd w:val="clear" w:color="auto" w:fill="auto"/>
          </w:tcPr>
          <w:p w14:paraId="6B8D19D2"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w:t>
            </w:r>
          </w:p>
        </w:tc>
        <w:tc>
          <w:tcPr>
            <w:tcW w:w="1384" w:type="dxa"/>
            <w:shd w:val="clear" w:color="auto" w:fill="auto"/>
          </w:tcPr>
          <w:p w14:paraId="1F247DC2"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20</w:t>
            </w:r>
          </w:p>
        </w:tc>
      </w:tr>
      <w:tr w:rsidR="004F53E9" w14:paraId="04D2910C" w14:textId="77777777" w:rsidTr="00D8775C">
        <w:tc>
          <w:tcPr>
            <w:tcW w:w="4077" w:type="dxa"/>
            <w:shd w:val="clear" w:color="auto" w:fill="auto"/>
          </w:tcPr>
          <w:p w14:paraId="573FADA2" w14:textId="77777777" w:rsidR="004F53E9" w:rsidRPr="00D8775C" w:rsidRDefault="004F53E9" w:rsidP="008A1531">
            <w:pPr>
              <w:spacing w:before="60" w:after="60" w:line="240" w:lineRule="auto"/>
              <w:ind w:firstLine="0"/>
              <w:jc w:val="left"/>
              <w:rPr>
                <w:rFonts w:eastAsia="Calibri"/>
                <w:spacing w:val="-14"/>
                <w:sz w:val="22"/>
                <w:szCs w:val="22"/>
              </w:rPr>
            </w:pPr>
            <w:r w:rsidRPr="00D8775C">
              <w:rPr>
                <w:rFonts w:eastAsia="Calibri"/>
                <w:spacing w:val="-14"/>
                <w:sz w:val="22"/>
                <w:szCs w:val="22"/>
              </w:rPr>
              <w:t>Μη διαθέσιμες ενδείξεις εντός του Κέντρου</w:t>
            </w:r>
          </w:p>
        </w:tc>
        <w:tc>
          <w:tcPr>
            <w:tcW w:w="1276" w:type="dxa"/>
            <w:shd w:val="clear" w:color="auto" w:fill="auto"/>
          </w:tcPr>
          <w:p w14:paraId="40F50E5F"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w:t>
            </w:r>
          </w:p>
        </w:tc>
        <w:tc>
          <w:tcPr>
            <w:tcW w:w="1224" w:type="dxa"/>
            <w:shd w:val="clear" w:color="auto" w:fill="auto"/>
          </w:tcPr>
          <w:p w14:paraId="14352948"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3</w:t>
            </w:r>
          </w:p>
        </w:tc>
        <w:tc>
          <w:tcPr>
            <w:tcW w:w="1469" w:type="dxa"/>
            <w:shd w:val="clear" w:color="auto" w:fill="auto"/>
          </w:tcPr>
          <w:p w14:paraId="567D6FAB"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w:t>
            </w:r>
          </w:p>
        </w:tc>
        <w:tc>
          <w:tcPr>
            <w:tcW w:w="1384" w:type="dxa"/>
            <w:shd w:val="clear" w:color="auto" w:fill="auto"/>
          </w:tcPr>
          <w:p w14:paraId="2531DC06"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5</w:t>
            </w:r>
          </w:p>
        </w:tc>
      </w:tr>
      <w:tr w:rsidR="004F53E9" w14:paraId="1594AD48" w14:textId="77777777" w:rsidTr="00D8775C">
        <w:tc>
          <w:tcPr>
            <w:tcW w:w="4077" w:type="dxa"/>
            <w:shd w:val="clear" w:color="auto" w:fill="auto"/>
          </w:tcPr>
          <w:p w14:paraId="1D133C0C" w14:textId="77777777" w:rsidR="004F53E9" w:rsidRPr="00D8775C" w:rsidRDefault="004F53E9" w:rsidP="008A1531">
            <w:pPr>
              <w:spacing w:before="60" w:after="60" w:line="240" w:lineRule="auto"/>
              <w:ind w:firstLine="0"/>
              <w:jc w:val="left"/>
              <w:rPr>
                <w:rFonts w:eastAsia="Calibri"/>
                <w:spacing w:val="-14"/>
                <w:sz w:val="22"/>
                <w:szCs w:val="22"/>
              </w:rPr>
            </w:pPr>
            <w:r w:rsidRPr="00D8775C">
              <w:rPr>
                <w:rFonts w:eastAsia="Calibri"/>
                <w:spacing w:val="-14"/>
                <w:sz w:val="22"/>
                <w:szCs w:val="22"/>
              </w:rPr>
              <w:t>Δυσκολία ή αδυναμία εφαρμογής της ΙΥΑ</w:t>
            </w:r>
          </w:p>
        </w:tc>
        <w:tc>
          <w:tcPr>
            <w:tcW w:w="1276" w:type="dxa"/>
            <w:shd w:val="clear" w:color="auto" w:fill="auto"/>
          </w:tcPr>
          <w:p w14:paraId="05F3652A"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53</w:t>
            </w:r>
          </w:p>
        </w:tc>
        <w:tc>
          <w:tcPr>
            <w:tcW w:w="1224" w:type="dxa"/>
            <w:shd w:val="clear" w:color="auto" w:fill="auto"/>
          </w:tcPr>
          <w:p w14:paraId="657CB6B3"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28</w:t>
            </w:r>
          </w:p>
        </w:tc>
        <w:tc>
          <w:tcPr>
            <w:tcW w:w="1469" w:type="dxa"/>
            <w:shd w:val="clear" w:color="auto" w:fill="auto"/>
          </w:tcPr>
          <w:p w14:paraId="7C79E4F0"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4</w:t>
            </w:r>
          </w:p>
        </w:tc>
        <w:tc>
          <w:tcPr>
            <w:tcW w:w="1384" w:type="dxa"/>
            <w:shd w:val="clear" w:color="auto" w:fill="auto"/>
          </w:tcPr>
          <w:p w14:paraId="6B50CB50"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85</w:t>
            </w:r>
          </w:p>
        </w:tc>
      </w:tr>
      <w:tr w:rsidR="004F53E9" w14:paraId="3FD4CEFA" w14:textId="77777777" w:rsidTr="00D8775C">
        <w:tc>
          <w:tcPr>
            <w:tcW w:w="4077" w:type="dxa"/>
            <w:shd w:val="clear" w:color="auto" w:fill="auto"/>
          </w:tcPr>
          <w:p w14:paraId="03C86852" w14:textId="77777777" w:rsidR="004F53E9" w:rsidRPr="00D8775C" w:rsidRDefault="004F53E9" w:rsidP="008A1531">
            <w:pPr>
              <w:spacing w:before="60" w:after="60" w:line="240" w:lineRule="auto"/>
              <w:ind w:firstLine="0"/>
              <w:jc w:val="left"/>
              <w:rPr>
                <w:rFonts w:eastAsia="Calibri"/>
                <w:spacing w:val="-14"/>
                <w:sz w:val="22"/>
                <w:szCs w:val="22"/>
              </w:rPr>
            </w:pPr>
            <w:r w:rsidRPr="00D8775C">
              <w:rPr>
                <w:rFonts w:eastAsia="Calibri"/>
                <w:spacing w:val="-14"/>
                <w:sz w:val="22"/>
                <w:szCs w:val="22"/>
              </w:rPr>
              <w:t>Απουσία ένδειξης προεμφυτευτικής διάγνωσης</w:t>
            </w:r>
          </w:p>
        </w:tc>
        <w:tc>
          <w:tcPr>
            <w:tcW w:w="1276" w:type="dxa"/>
            <w:shd w:val="clear" w:color="auto" w:fill="auto"/>
          </w:tcPr>
          <w:p w14:paraId="3A56B801"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9</w:t>
            </w:r>
          </w:p>
        </w:tc>
        <w:tc>
          <w:tcPr>
            <w:tcW w:w="1224" w:type="dxa"/>
            <w:shd w:val="clear" w:color="auto" w:fill="auto"/>
          </w:tcPr>
          <w:p w14:paraId="2BDDCA44"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7</w:t>
            </w:r>
          </w:p>
        </w:tc>
        <w:tc>
          <w:tcPr>
            <w:tcW w:w="1469" w:type="dxa"/>
            <w:shd w:val="clear" w:color="auto" w:fill="auto"/>
          </w:tcPr>
          <w:p w14:paraId="76A56C9D"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6</w:t>
            </w:r>
          </w:p>
        </w:tc>
        <w:tc>
          <w:tcPr>
            <w:tcW w:w="1384" w:type="dxa"/>
            <w:shd w:val="clear" w:color="auto" w:fill="auto"/>
          </w:tcPr>
          <w:p w14:paraId="4344C20A"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22</w:t>
            </w:r>
          </w:p>
        </w:tc>
      </w:tr>
      <w:tr w:rsidR="004F53E9" w14:paraId="446DF5CB" w14:textId="77777777" w:rsidTr="00D8775C">
        <w:tc>
          <w:tcPr>
            <w:tcW w:w="4077" w:type="dxa"/>
            <w:shd w:val="clear" w:color="auto" w:fill="auto"/>
          </w:tcPr>
          <w:p w14:paraId="62152263" w14:textId="77777777" w:rsidR="004F53E9" w:rsidRPr="00D8775C" w:rsidRDefault="004F53E9" w:rsidP="008A1531">
            <w:pPr>
              <w:spacing w:before="60" w:after="60" w:line="240" w:lineRule="auto"/>
              <w:ind w:firstLine="0"/>
              <w:jc w:val="left"/>
              <w:rPr>
                <w:rFonts w:eastAsia="Calibri"/>
                <w:spacing w:val="-14"/>
                <w:sz w:val="22"/>
                <w:szCs w:val="22"/>
              </w:rPr>
            </w:pPr>
            <w:r w:rsidRPr="00D8775C">
              <w:rPr>
                <w:rFonts w:eastAsia="Calibri"/>
                <w:spacing w:val="-14"/>
                <w:sz w:val="22"/>
                <w:szCs w:val="22"/>
              </w:rPr>
              <w:t>Κίνητρα του ζευγαριού</w:t>
            </w:r>
          </w:p>
        </w:tc>
        <w:tc>
          <w:tcPr>
            <w:tcW w:w="1276" w:type="dxa"/>
            <w:shd w:val="clear" w:color="auto" w:fill="auto"/>
          </w:tcPr>
          <w:p w14:paraId="5FD51A70"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7</w:t>
            </w:r>
          </w:p>
        </w:tc>
        <w:tc>
          <w:tcPr>
            <w:tcW w:w="1224" w:type="dxa"/>
            <w:shd w:val="clear" w:color="auto" w:fill="auto"/>
          </w:tcPr>
          <w:p w14:paraId="0D6418CD"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8</w:t>
            </w:r>
          </w:p>
        </w:tc>
        <w:tc>
          <w:tcPr>
            <w:tcW w:w="1469" w:type="dxa"/>
            <w:shd w:val="clear" w:color="auto" w:fill="auto"/>
          </w:tcPr>
          <w:p w14:paraId="54182958"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_</w:t>
            </w:r>
          </w:p>
        </w:tc>
        <w:tc>
          <w:tcPr>
            <w:tcW w:w="1384" w:type="dxa"/>
            <w:shd w:val="clear" w:color="auto" w:fill="auto"/>
          </w:tcPr>
          <w:p w14:paraId="3DF6E9A3"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15</w:t>
            </w:r>
          </w:p>
        </w:tc>
      </w:tr>
      <w:tr w:rsidR="004F53E9" w14:paraId="762CE9A3" w14:textId="77777777" w:rsidTr="00D8775C">
        <w:tc>
          <w:tcPr>
            <w:tcW w:w="4077" w:type="dxa"/>
            <w:tcBorders>
              <w:bottom w:val="single" w:sz="4" w:space="0" w:color="auto"/>
            </w:tcBorders>
            <w:shd w:val="clear" w:color="auto" w:fill="auto"/>
          </w:tcPr>
          <w:p w14:paraId="497B55F2" w14:textId="77777777" w:rsidR="004F53E9" w:rsidRPr="00D8775C" w:rsidRDefault="004F53E9" w:rsidP="008A1531">
            <w:pPr>
              <w:spacing w:before="60" w:after="60" w:line="240" w:lineRule="auto"/>
              <w:ind w:firstLine="0"/>
              <w:jc w:val="left"/>
              <w:rPr>
                <w:rFonts w:eastAsia="Calibri"/>
                <w:spacing w:val="-14"/>
                <w:sz w:val="22"/>
                <w:szCs w:val="22"/>
              </w:rPr>
            </w:pPr>
            <w:r w:rsidRPr="00D8775C">
              <w:rPr>
                <w:rFonts w:eastAsia="Calibri"/>
                <w:spacing w:val="-14"/>
                <w:sz w:val="22"/>
                <w:szCs w:val="22"/>
              </w:rPr>
              <w:t>Άλλα</w:t>
            </w:r>
          </w:p>
        </w:tc>
        <w:tc>
          <w:tcPr>
            <w:tcW w:w="1276" w:type="dxa"/>
            <w:tcBorders>
              <w:bottom w:val="single" w:sz="4" w:space="0" w:color="auto"/>
            </w:tcBorders>
            <w:shd w:val="clear" w:color="auto" w:fill="auto"/>
          </w:tcPr>
          <w:p w14:paraId="1B9CFFA8"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5</w:t>
            </w:r>
          </w:p>
        </w:tc>
        <w:tc>
          <w:tcPr>
            <w:tcW w:w="1224" w:type="dxa"/>
            <w:tcBorders>
              <w:bottom w:val="single" w:sz="4" w:space="0" w:color="auto"/>
            </w:tcBorders>
            <w:shd w:val="clear" w:color="auto" w:fill="auto"/>
          </w:tcPr>
          <w:p w14:paraId="7108823B"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4</w:t>
            </w:r>
          </w:p>
        </w:tc>
        <w:tc>
          <w:tcPr>
            <w:tcW w:w="1469" w:type="dxa"/>
            <w:tcBorders>
              <w:bottom w:val="single" w:sz="4" w:space="0" w:color="auto"/>
            </w:tcBorders>
            <w:shd w:val="clear" w:color="auto" w:fill="auto"/>
          </w:tcPr>
          <w:p w14:paraId="6E790618"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6</w:t>
            </w:r>
          </w:p>
        </w:tc>
        <w:tc>
          <w:tcPr>
            <w:tcW w:w="1384" w:type="dxa"/>
            <w:tcBorders>
              <w:bottom w:val="single" w:sz="4" w:space="0" w:color="auto"/>
            </w:tcBorders>
            <w:shd w:val="clear" w:color="auto" w:fill="auto"/>
          </w:tcPr>
          <w:p w14:paraId="33EBBFE1"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15</w:t>
            </w:r>
          </w:p>
        </w:tc>
      </w:tr>
      <w:tr w:rsidR="004F53E9" w14:paraId="0BFD9427" w14:textId="77777777" w:rsidTr="00D8775C">
        <w:tc>
          <w:tcPr>
            <w:tcW w:w="4077" w:type="dxa"/>
            <w:shd w:val="pct15" w:color="auto" w:fill="auto"/>
          </w:tcPr>
          <w:p w14:paraId="340BF652" w14:textId="77777777" w:rsidR="004F53E9" w:rsidRPr="00D8775C" w:rsidRDefault="004F53E9" w:rsidP="00D8775C">
            <w:pPr>
              <w:spacing w:before="60" w:after="60" w:line="240" w:lineRule="auto"/>
              <w:ind w:firstLine="0"/>
              <w:rPr>
                <w:rFonts w:eastAsia="Calibri"/>
                <w:spacing w:val="-14"/>
                <w:sz w:val="22"/>
                <w:szCs w:val="22"/>
              </w:rPr>
            </w:pPr>
            <w:r w:rsidRPr="00D8775C">
              <w:rPr>
                <w:rFonts w:eastAsia="Calibri"/>
                <w:spacing w:val="-14"/>
                <w:sz w:val="22"/>
                <w:szCs w:val="22"/>
              </w:rPr>
              <w:t>Σύνολο</w:t>
            </w:r>
          </w:p>
        </w:tc>
        <w:tc>
          <w:tcPr>
            <w:tcW w:w="1276" w:type="dxa"/>
            <w:shd w:val="pct15" w:color="auto" w:fill="auto"/>
          </w:tcPr>
          <w:p w14:paraId="49F5750A"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84</w:t>
            </w:r>
          </w:p>
        </w:tc>
        <w:tc>
          <w:tcPr>
            <w:tcW w:w="1224" w:type="dxa"/>
            <w:shd w:val="pct15" w:color="auto" w:fill="auto"/>
          </w:tcPr>
          <w:p w14:paraId="6897E4E2"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60</w:t>
            </w:r>
          </w:p>
        </w:tc>
        <w:tc>
          <w:tcPr>
            <w:tcW w:w="1469" w:type="dxa"/>
            <w:shd w:val="pct15" w:color="auto" w:fill="auto"/>
          </w:tcPr>
          <w:p w14:paraId="2634B3A8"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18</w:t>
            </w:r>
          </w:p>
        </w:tc>
        <w:tc>
          <w:tcPr>
            <w:tcW w:w="1384" w:type="dxa"/>
            <w:shd w:val="pct15" w:color="auto" w:fill="auto"/>
          </w:tcPr>
          <w:p w14:paraId="4EDCE9AE" w14:textId="77777777" w:rsidR="004F53E9" w:rsidRPr="00D8775C" w:rsidRDefault="00C85A11" w:rsidP="00D8775C">
            <w:pPr>
              <w:spacing w:before="60" w:after="60" w:line="240" w:lineRule="auto"/>
              <w:ind w:firstLine="0"/>
              <w:jc w:val="center"/>
              <w:rPr>
                <w:rFonts w:eastAsia="Calibri"/>
                <w:sz w:val="22"/>
                <w:szCs w:val="22"/>
              </w:rPr>
            </w:pPr>
            <w:r w:rsidRPr="00D8775C">
              <w:rPr>
                <w:rFonts w:eastAsia="Calibri"/>
                <w:sz w:val="22"/>
                <w:szCs w:val="22"/>
              </w:rPr>
              <w:t>162</w:t>
            </w:r>
          </w:p>
        </w:tc>
      </w:tr>
    </w:tbl>
    <w:p w14:paraId="3D266705" w14:textId="476317E4" w:rsidR="00A83115" w:rsidRDefault="00B910CC" w:rsidP="0023213A">
      <w:pPr>
        <w:spacing w:before="240"/>
      </w:pPr>
      <w:r>
        <w:t xml:space="preserve">Για την αντιμετώπιση των φαινομένων αυτών μάλιστα και με σκοπό τη μείωση της αναμονής των υποβοηθούμενων ζευγαριών </w:t>
      </w:r>
      <w:r w:rsidR="008A1531">
        <w:t xml:space="preserve">μέσω της πρόσληψης νέων επαγγελματιών </w:t>
      </w:r>
      <w:r w:rsidR="008A1531">
        <w:lastRenderedPageBreak/>
        <w:t xml:space="preserve">υγείας, αξίζει να σημειωθεί, </w:t>
      </w:r>
      <w:r>
        <w:t>στο σημείο αυτό</w:t>
      </w:r>
      <w:r w:rsidR="008A1531">
        <w:t>,</w:t>
      </w:r>
      <w:r>
        <w:t xml:space="preserve"> ότι από το 2010 ένα ειδικό κεφάλαιο κονδυλίων κατανεμήθηκε στα ειδικά εγκεκριμένα για τη διενέργεια προεμφυτευτικής διάγνωσης κέντρα, στη βάση της ετήσιας σύμβασής τους με τους προκαθορισμένους στόχους, μεταξύ των οποίων είναι και ο διπλασιασμός</w:t>
      </w:r>
      <w:r w:rsidR="008A1531">
        <w:t xml:space="preserve"> της δραστηριότητάς</w:t>
      </w:r>
      <w:r>
        <w:t>. Παρατηρείται, λοιπό</w:t>
      </w:r>
      <w:r w:rsidR="009C2211">
        <w:t xml:space="preserve">ν, ότι ο αριθμός των ζευγαριών, </w:t>
      </w:r>
      <w:r>
        <w:t>των οποίων τα αιτήματα για διενέργεια προεμφυ</w:t>
      </w:r>
      <w:r w:rsidR="009C2211">
        <w:t>τε</w:t>
      </w:r>
      <w:r w:rsidR="008A1531">
        <w:t xml:space="preserve">υτικής διάγνωσης έγιναν δεκτά – αριθμός ο οποίος </w:t>
      </w:r>
      <w:r w:rsidR="009C2211">
        <w:t>είχε μειωθεί το 2010 και το 2011 εξαιτίας της διακοπής δραστηριότητας του Κέντρου του Στρασβούργου για περίοδο τεσσάρων μηνών</w:t>
      </w:r>
      <w:r w:rsidR="008A1531">
        <w:t xml:space="preserve"> –</w:t>
      </w:r>
      <w:r w:rsidR="009C2211">
        <w:t xml:space="preserve"> </w:t>
      </w:r>
      <w:r w:rsidR="008A1531">
        <w:t xml:space="preserve">αυξήθηκε αισθητά </w:t>
      </w:r>
      <w:r w:rsidR="009C2211">
        <w:t xml:space="preserve">κατά το 2012, δηλαδή κατά 67% (+186 ζευγάρια) </w:t>
      </w:r>
      <w:r w:rsidR="008A1531">
        <w:t>σε σύγκριση με</w:t>
      </w:r>
      <w:r w:rsidR="009C2211">
        <w:t xml:space="preserve"> το 2008. </w:t>
      </w:r>
    </w:p>
    <w:p w14:paraId="054B0389" w14:textId="18CAE26C" w:rsidR="00A61058" w:rsidRDefault="00A61058" w:rsidP="00EA4E7E">
      <w:r>
        <w:t xml:space="preserve">Η αυστηρή νομοθετική οριοθέτηση της προεμφυτευτικής διάγνωσης και ο περιορισμένος αριθμός των ειδικά εξουσιοδοτημένων κέντρων συνιστούν τους δύο βασικότερους λόγους που δικαιολογούν </w:t>
      </w:r>
      <w:r w:rsidR="008A1531">
        <w:t>την ταύτιση των απόψεων</w:t>
      </w:r>
      <w:r>
        <w:t xml:space="preserve"> των γάλλων ιατρών-προσώπων αναφοράς οι οποίοι συνέβαλαν στη σύνταξη της παρούσας Έκθεσης. Δεν είναι τυχαίο</w:t>
      </w:r>
      <w:r w:rsidR="008A1531">
        <w:t>, λοιπόν,</w:t>
      </w:r>
      <w:r>
        <w:t xml:space="preserve"> ότι και οι τρεις, στην ερώτηση αν έχουν δεχτεί και ικανοποιήσει αιτήματα προεμφυτευτικής διάγνωσης, απάντησαν αρνητικά. Υπάρχει αποδεδειγμένα, σύμφωνα με τις μαρτυρίες τους, «</w:t>
      </w:r>
      <w:r w:rsidRPr="008771B4">
        <w:t>η τάση να περιορίζε</w:t>
      </w:r>
      <w:r w:rsidR="008A1531">
        <w:t xml:space="preserve">ται η διενέργεια προεμφυτευτικής διάγνωσης. Πρόκειται για </w:t>
      </w:r>
      <w:r w:rsidRPr="008771B4">
        <w:t>σπάνια</w:t>
      </w:r>
      <w:r w:rsidR="008A1531">
        <w:t xml:space="preserve"> πρατική</w:t>
      </w:r>
      <w:r>
        <w:t>»</w:t>
      </w:r>
      <w:r w:rsidRPr="008771B4">
        <w:t>.</w:t>
      </w:r>
      <w:r w:rsidRPr="00A61058">
        <w:t xml:space="preserve"> </w:t>
      </w:r>
      <w:r>
        <w:t>Στις περιπτώσεις μάλιστα που οι ίδιοι έτυχε να δεχθούν τέτοια αιτήματα, παρέπεμψαν</w:t>
      </w:r>
      <w:r w:rsidRPr="006C12D2">
        <w:t xml:space="preserve"> το ενδιαφερόμενο πρ</w:t>
      </w:r>
      <w:r>
        <w:t>όσωπο σε ένα από τα</w:t>
      </w:r>
      <w:r w:rsidR="00AC2B51">
        <w:t xml:space="preserve"> εγκεκριμένα</w:t>
      </w:r>
      <w:r>
        <w:t xml:space="preserve"> κέντρα στο </w:t>
      </w:r>
      <w:r>
        <w:rPr>
          <w:lang w:val="fr-FR"/>
        </w:rPr>
        <w:t xml:space="preserve">Παρίσι, το Στρασβούργο, τη </w:t>
      </w:r>
      <w:r w:rsidRPr="006C12D2">
        <w:rPr>
          <w:lang w:val="fr-FR"/>
        </w:rPr>
        <w:t>Nantes</w:t>
      </w:r>
      <w:r>
        <w:rPr>
          <w:lang w:val="fr-FR"/>
        </w:rPr>
        <w:t xml:space="preserve"> ή το </w:t>
      </w:r>
      <w:r w:rsidRPr="006C12D2">
        <w:rPr>
          <w:lang w:val="fr-FR"/>
        </w:rPr>
        <w:t>Montpellier</w:t>
      </w:r>
      <w:r>
        <w:rPr>
          <w:rStyle w:val="FootnoteReference"/>
          <w:lang w:val="fr-FR"/>
        </w:rPr>
        <w:footnoteReference w:id="302"/>
      </w:r>
      <w:r>
        <w:rPr>
          <w:lang w:val="fr-FR"/>
        </w:rPr>
        <w:t xml:space="preserve">. </w:t>
      </w:r>
    </w:p>
    <w:p w14:paraId="29D354A5" w14:textId="1F710019" w:rsidR="00880D74" w:rsidRDefault="008C065C" w:rsidP="002B0FA3">
      <w:r>
        <w:t xml:space="preserve">Αξίζει, άλλωστε, στο σημείο αυτό, να σημειωθεί ότι η Εθνική Συμβουλευτική Επιτροπή Ηθικής, στη γνωμοδότησή της σχετικά με τα προβλήματα ηθικής φύσης που γεννά η διενέργεια του προγεννητικού ελέγχου, θεωρεί ότι η ισχύουσα γαλλική </w:t>
      </w:r>
      <w:r w:rsidRPr="00AC2B51">
        <w:rPr>
          <w:i/>
        </w:rPr>
        <w:t xml:space="preserve">νομοθεσία περί </w:t>
      </w:r>
      <w:r w:rsidR="000A2C08" w:rsidRPr="00AC2B51">
        <w:rPr>
          <w:i/>
        </w:rPr>
        <w:t>Β</w:t>
      </w:r>
      <w:r w:rsidRPr="00AC2B51">
        <w:rPr>
          <w:i/>
        </w:rPr>
        <w:t>ιοηθικής</w:t>
      </w:r>
      <w:r>
        <w:t>, σε ό,τι αφορά τόσο στ</w:t>
      </w:r>
      <w:r w:rsidR="00AC2B51">
        <w:t xml:space="preserve">ον προγεννητικό έλεγχο όσο και </w:t>
      </w:r>
      <w:r>
        <w:t>την προεμφυτευτική διάγνωση, παρέχει ένα ικανοποιητικό σε γενικές γραμμές νομοθετικό πλαίσιο, το οποίο δε χρήζει σημαντικών τροποποιήσεων. Τονίζεται, δε, ότι ο γάλλος νομοθέτης μερίμνησε για την υιοθέτηση των αναγκαίων εγγυήσεων για την αποφυγή ενδεχόμενης καταστρατήγησης της νομοθεσίας</w:t>
      </w:r>
      <w:r w:rsidR="00D03A85">
        <w:rPr>
          <w:rStyle w:val="FootnoteReference"/>
        </w:rPr>
        <w:footnoteReference w:id="303"/>
      </w:r>
      <w:r>
        <w:t>.</w:t>
      </w:r>
    </w:p>
    <w:p w14:paraId="31B9EB01" w14:textId="77777777" w:rsidR="00FB712A" w:rsidRDefault="00CB0F2E" w:rsidP="00CB0F2E">
      <w:r>
        <w:t xml:space="preserve">Τα υπόλοιπα πρόσωπα αναφοράς, νομικοί και κοινωνιολόγοι, οι οποίοι ερωτήθηκαν εάν πρέπει να διενεργείται η προεμφυτευτική διάγνωση απάντησαν θετικά, διευκρινίζοντας ότι αυτό θα πρέπει να γίνεται με σκοπό είτε τη </w:t>
      </w:r>
      <w:r w:rsidRPr="00495F6F">
        <w:t>γέννηση παιδιού που θα μπορούσε να βοηθήσει στη θεραπεία του μεγαλύτερου αδελφού του που πάσχει από σοβαρή ασθένεια</w:t>
      </w:r>
      <w:r>
        <w:t xml:space="preserve"> </w:t>
      </w:r>
      <w:r>
        <w:lastRenderedPageBreak/>
        <w:t>(</w:t>
      </w:r>
      <w:r w:rsidRPr="00CB0F2E">
        <w:rPr>
          <w:i/>
          <w:lang w:val="en-US"/>
        </w:rPr>
        <w:t>bébé médicament</w:t>
      </w:r>
      <w:r>
        <w:t xml:space="preserve">), </w:t>
      </w:r>
      <w:r w:rsidRPr="00CB0F2E">
        <w:t xml:space="preserve">είτε </w:t>
      </w:r>
      <w:r>
        <w:t>την αποφυγή</w:t>
      </w:r>
      <w:r w:rsidRPr="00CB0F2E">
        <w:t xml:space="preserve"> μετάδοση</w:t>
      </w:r>
      <w:r>
        <w:t>ς</w:t>
      </w:r>
      <w:r w:rsidRPr="00CB0F2E">
        <w:t xml:space="preserve"> στο παιδί </w:t>
      </w:r>
      <w:r>
        <w:t xml:space="preserve">που θα γεννηθεί </w:t>
      </w:r>
      <w:r w:rsidRPr="00CB0F2E">
        <w:t>σοβαρής ασθένειας των γονέων</w:t>
      </w:r>
      <w:r>
        <w:rPr>
          <w:rStyle w:val="FootnoteReference"/>
        </w:rPr>
        <w:footnoteReference w:id="304"/>
      </w:r>
      <w:r>
        <w:t xml:space="preserve">. </w:t>
      </w:r>
    </w:p>
    <w:p w14:paraId="2B63086C" w14:textId="449DA207" w:rsidR="00CB0F2E" w:rsidRPr="00AA4AA6" w:rsidRDefault="00AA4AA6" w:rsidP="00CB0F2E">
      <w:r>
        <w:t xml:space="preserve">Εξαίρεση αποτελεί η </w:t>
      </w:r>
      <w:r>
        <w:rPr>
          <w:lang w:val="en-US"/>
        </w:rPr>
        <w:t xml:space="preserve">Aude Mirkovic, </w:t>
      </w:r>
      <w:r w:rsidR="0004563F">
        <w:t>η οποία</w:t>
      </w:r>
      <w:r>
        <w:t xml:space="preserve"> είναι </w:t>
      </w:r>
      <w:r w:rsidR="0004563F">
        <w:t xml:space="preserve">αντίθετη </w:t>
      </w:r>
      <w:r w:rsidR="004A7970">
        <w:t xml:space="preserve">με </w:t>
      </w:r>
      <w:r>
        <w:t xml:space="preserve">τη διενέργεια </w:t>
      </w:r>
      <w:r w:rsidR="004A7970">
        <w:t xml:space="preserve">της </w:t>
      </w:r>
      <w:r>
        <w:t xml:space="preserve">προεμφυτευτικής διάγνωσης, με την αιτιολογία ότι προϋποθέτει </w:t>
      </w:r>
      <w:r w:rsidR="00FB712A">
        <w:t>την αποδοχή επί της αρχής της</w:t>
      </w:r>
      <w:r>
        <w:t xml:space="preserve"> υποχρεωτική</w:t>
      </w:r>
      <w:r w:rsidR="00FB712A">
        <w:t>ς</w:t>
      </w:r>
      <w:r>
        <w:t xml:space="preserve"> κατ</w:t>
      </w:r>
      <w:r w:rsidR="0004563F">
        <w:t>α</w:t>
      </w:r>
      <w:r>
        <w:t>στροφή</w:t>
      </w:r>
      <w:r w:rsidR="00FB712A">
        <w:t>ς</w:t>
      </w:r>
      <w:r>
        <w:t xml:space="preserve"> των εμβρύων. Δεδομένου, λοιπόν, ότι θεωρεί ότι κάτι </w:t>
      </w:r>
      <w:r w:rsidR="0004563F">
        <w:t>τέτοιο</w:t>
      </w:r>
      <w:r>
        <w:t xml:space="preserve"> συνιστά επιλογή </w:t>
      </w:r>
      <w:r w:rsidR="0083348B">
        <w:t>ανθρωπίνων</w:t>
      </w:r>
      <w:r>
        <w:t xml:space="preserve"> όντων, έχει την ισχυρή πεποίθηση ότι η διενέργεια προεμφυτευτικής διάγνωσης όχι μόνο δεν αποτελεί ικανοποιητική λύση, αλλά ακόμη περισσότερο θα έπρεπε να απαγορεύεται</w:t>
      </w:r>
      <w:r w:rsidR="00572FA3">
        <w:rPr>
          <w:rStyle w:val="FootnoteReference"/>
        </w:rPr>
        <w:footnoteReference w:id="305"/>
      </w:r>
      <w:r>
        <w:t xml:space="preserve">. </w:t>
      </w:r>
    </w:p>
    <w:p w14:paraId="1146DFD8" w14:textId="7F5D09A1" w:rsidR="0068687D" w:rsidRDefault="00973484" w:rsidP="008D14A8">
      <w:r>
        <w:t>Η νομολογία δεν έχει ασχοληθεί ειδικότερα με το θέμα</w:t>
      </w:r>
      <w:r w:rsidR="004A7970">
        <w:t xml:space="preserve"> της προεμφυτευτικής διάγνωσης. Το Συνταγματικό Συμβούλιο, </w:t>
      </w:r>
      <w:r w:rsidR="00CF2EF8">
        <w:t>όμως</w:t>
      </w:r>
      <w:r w:rsidR="004A7970">
        <w:t>,</w:t>
      </w:r>
      <w:r w:rsidR="00CF2EF8">
        <w:t xml:space="preserve"> </w:t>
      </w:r>
      <w:r>
        <w:t>έχει τοποθετηθεί σχετικά με τον προ</w:t>
      </w:r>
      <w:r w:rsidR="00194BF4">
        <w:t>γεννητικό έλεγχο (</w:t>
      </w:r>
      <w:r w:rsidR="00194BF4" w:rsidRPr="00194BF4">
        <w:rPr>
          <w:i/>
        </w:rPr>
        <w:t>diagnostic pr</w:t>
      </w:r>
      <w:r w:rsidRPr="00194BF4">
        <w:rPr>
          <w:i/>
        </w:rPr>
        <w:t>énatal</w:t>
      </w:r>
      <w:r>
        <w:t>)</w:t>
      </w:r>
      <w:r w:rsidR="00194BF4">
        <w:t xml:space="preserve">. </w:t>
      </w:r>
      <w:r w:rsidR="00895CB9">
        <w:t>Πιο συγκεκριμένα, ο</w:t>
      </w:r>
      <w:r w:rsidR="00CF2EF8">
        <w:t xml:space="preserve"> γάλλος συνταγματικός δικαστής</w:t>
      </w:r>
      <w:r w:rsidR="00895CB9">
        <w:t xml:space="preserve"> επιλήφθηκε</w:t>
      </w:r>
      <w:r w:rsidR="007047B4" w:rsidRPr="00390B86">
        <w:t xml:space="preserve"> του ζητήματος της συνταγμ</w:t>
      </w:r>
      <w:r w:rsidR="004A7970">
        <w:t xml:space="preserve">ατικότητας των διατάξεων του Σχεδίου </w:t>
      </w:r>
      <w:r w:rsidR="007047B4" w:rsidRPr="00390B86">
        <w:t>Ν</w:t>
      </w:r>
      <w:r w:rsidR="004A7970">
        <w:t>όμου</w:t>
      </w:r>
      <w:r w:rsidR="007047B4" w:rsidRPr="00390B86">
        <w:t xml:space="preserve"> σχετικά με το σεβασμό του </w:t>
      </w:r>
      <w:r w:rsidR="00653769">
        <w:t>ανθρωπίνου</w:t>
      </w:r>
      <w:r w:rsidR="007047B4" w:rsidRPr="00390B86">
        <w:t xml:space="preserve"> σώματος και του </w:t>
      </w:r>
      <w:r w:rsidR="004A7970">
        <w:t xml:space="preserve">Σχεδίου </w:t>
      </w:r>
      <w:r w:rsidR="004A7970" w:rsidRPr="00390B86">
        <w:t>Ν</w:t>
      </w:r>
      <w:r w:rsidR="004A7970">
        <w:t>όμου</w:t>
      </w:r>
      <w:r w:rsidR="004A7970" w:rsidRPr="00390B86">
        <w:t xml:space="preserve"> </w:t>
      </w:r>
      <w:r w:rsidR="007047B4" w:rsidRPr="00390B86">
        <w:t>σχετικά με τη δωρεά και τη χρήση των στοιχείων και προϊόντ</w:t>
      </w:r>
      <w:r w:rsidR="00CF2EF8">
        <w:t xml:space="preserve">ων του </w:t>
      </w:r>
      <w:r w:rsidR="00653769">
        <w:t>ανθρωπίνου</w:t>
      </w:r>
      <w:r w:rsidR="00CF2EF8">
        <w:t xml:space="preserve"> σώματος, την ιατρικά υποβοηθούμενη αναπαραγωγή</w:t>
      </w:r>
      <w:r w:rsidR="007047B4" w:rsidRPr="00390B86">
        <w:t xml:space="preserve"> και </w:t>
      </w:r>
      <w:r w:rsidR="007047B4">
        <w:t>την προγεννητική διάγνωση</w:t>
      </w:r>
      <w:r w:rsidR="007047B4" w:rsidRPr="00390B86">
        <w:t xml:space="preserve">, κατόπιν προσφυγής σε αυτό, στις 29 Ιουνίου 1994, </w:t>
      </w:r>
      <w:r w:rsidR="004A7970">
        <w:t>του</w:t>
      </w:r>
      <w:r w:rsidR="007047B4" w:rsidRPr="00390B86">
        <w:t xml:space="preserve"> κ. </w:t>
      </w:r>
      <w:r w:rsidR="007047B4" w:rsidRPr="00390B86">
        <w:rPr>
          <w:lang w:val="fr-FR"/>
        </w:rPr>
        <w:t>Philippe</w:t>
      </w:r>
      <w:r w:rsidR="007047B4" w:rsidRPr="00390B86">
        <w:t xml:space="preserve"> </w:t>
      </w:r>
      <w:r w:rsidR="007047B4" w:rsidRPr="00390B86">
        <w:rPr>
          <w:lang w:val="fr-FR"/>
        </w:rPr>
        <w:t>Seguin</w:t>
      </w:r>
      <w:r w:rsidR="004A7970">
        <w:t>, Προέδρου</w:t>
      </w:r>
      <w:r w:rsidR="007047B4" w:rsidRPr="00390B86">
        <w:t xml:space="preserve"> της Εθνικής Συνέλευσης, καθώς επίσης και κατόπιν προσφυγής σε αυτό την ίδια ημέρα, με διορθωτική προσφυγή στις 11 Ιουλίου 1994, </w:t>
      </w:r>
      <w:r w:rsidR="004A7970">
        <w:t>περισσοτέρων από εξήντα (60) βουλευτών</w:t>
      </w:r>
      <w:r w:rsidR="007047B4" w:rsidRPr="00390B86">
        <w:t>, κατ’ εφαρμογή των διατάξεων του άρθρου 61, εδ. 2, του Συντάγματος</w:t>
      </w:r>
      <w:r w:rsidR="008015AE">
        <w:rPr>
          <w:rStyle w:val="FootnoteReference"/>
        </w:rPr>
        <w:footnoteReference w:id="306"/>
      </w:r>
      <w:r w:rsidR="00CF2EF8">
        <w:t xml:space="preserve">. Πρόκειται για τον προληπτικό </w:t>
      </w:r>
      <w:r w:rsidR="003769E6">
        <w:t>(</w:t>
      </w:r>
      <w:r w:rsidR="003769E6" w:rsidRPr="003769E6">
        <w:rPr>
          <w:i/>
          <w:lang w:val="en-US"/>
        </w:rPr>
        <w:t>a priori</w:t>
      </w:r>
      <w:r w:rsidR="003769E6">
        <w:t>) και δυνητικό έλεγχο συνταγματ</w:t>
      </w:r>
      <w:r w:rsidR="004A7970">
        <w:t xml:space="preserve">ικότητας των νόμων, </w:t>
      </w:r>
      <w:r w:rsidR="003769E6">
        <w:t xml:space="preserve">τον οποίο στη Γαλλία μπορούν να </w:t>
      </w:r>
      <w:r w:rsidR="004A7970">
        <w:t>ζητήσουν</w:t>
      </w:r>
      <w:r w:rsidR="003769E6">
        <w:t xml:space="preserve"> εκτός από τον Πρόεδρο της </w:t>
      </w:r>
      <w:r w:rsidR="0004563F">
        <w:t>Δημοκρατίας</w:t>
      </w:r>
      <w:r w:rsidR="003769E6">
        <w:t>,</w:t>
      </w:r>
      <w:r w:rsidR="004A7970">
        <w:t xml:space="preserve"> τον</w:t>
      </w:r>
      <w:r w:rsidR="003769E6">
        <w:t xml:space="preserve"> </w:t>
      </w:r>
      <w:r w:rsidR="003769E6" w:rsidRPr="007F40C2">
        <w:t>Πρωθυπουργό</w:t>
      </w:r>
      <w:r w:rsidR="004A7970">
        <w:t xml:space="preserve"> και τους Προέδρους</w:t>
      </w:r>
      <w:r w:rsidR="003769E6" w:rsidRPr="007F40C2">
        <w:t xml:space="preserve"> των δύο Κοινοβουλευτικών σωμάτων, </w:t>
      </w:r>
      <w:r w:rsidR="004A7970">
        <w:t>τόσο</w:t>
      </w:r>
      <w:r w:rsidR="003769E6" w:rsidRPr="007F40C2">
        <w:t xml:space="preserve"> εξήντα β</w:t>
      </w:r>
      <w:r w:rsidR="004A7970">
        <w:t>ουλευτές ή εξήντα γερουσιαστές όσο και κάθε πολίτης</w:t>
      </w:r>
      <w:r w:rsidR="00677D1D">
        <w:t>, στο πλαίσιο μιας οποιασδήποτε εκκρεμούς δίκης,</w:t>
      </w:r>
      <w:r w:rsidR="004A7970">
        <w:t xml:space="preserve"> </w:t>
      </w:r>
      <w:r w:rsidR="00677D1D">
        <w:rPr>
          <w:iCs/>
        </w:rPr>
        <w:t xml:space="preserve">καταθέτοντας Ερώτηση </w:t>
      </w:r>
      <w:r w:rsidR="004A7970" w:rsidRPr="00390B86">
        <w:rPr>
          <w:iCs/>
        </w:rPr>
        <w:t>Συνταγματικής Προτεραιότητας (</w:t>
      </w:r>
      <w:r w:rsidR="004A7970" w:rsidRPr="00390B86">
        <w:rPr>
          <w:i/>
          <w:lang w:val="fr-FR"/>
        </w:rPr>
        <w:t>Q</w:t>
      </w:r>
      <w:r w:rsidR="004A7970" w:rsidRPr="00390B86">
        <w:rPr>
          <w:i/>
          <w:lang w:val="en-US"/>
        </w:rPr>
        <w:t>uestion</w:t>
      </w:r>
      <w:r w:rsidR="004A7970" w:rsidRPr="00390B86">
        <w:rPr>
          <w:i/>
        </w:rPr>
        <w:t xml:space="preserve"> </w:t>
      </w:r>
      <w:r w:rsidR="004A7970" w:rsidRPr="00390B86">
        <w:rPr>
          <w:i/>
          <w:lang w:val="fr-FR"/>
        </w:rPr>
        <w:t>Prioritaire</w:t>
      </w:r>
      <w:r w:rsidR="004A7970" w:rsidRPr="00390B86">
        <w:rPr>
          <w:i/>
        </w:rPr>
        <w:t xml:space="preserve"> </w:t>
      </w:r>
      <w:r w:rsidR="004A7970" w:rsidRPr="00390B86">
        <w:rPr>
          <w:i/>
          <w:lang w:val="fr-FR"/>
        </w:rPr>
        <w:t>de</w:t>
      </w:r>
      <w:r w:rsidR="004A7970" w:rsidRPr="00390B86">
        <w:rPr>
          <w:i/>
        </w:rPr>
        <w:t xml:space="preserve"> </w:t>
      </w:r>
      <w:r w:rsidR="004A7970" w:rsidRPr="00390B86">
        <w:rPr>
          <w:i/>
          <w:lang w:val="fr-FR"/>
        </w:rPr>
        <w:t>Constitutionnali</w:t>
      </w:r>
      <w:r w:rsidR="004A7970" w:rsidRPr="00390B86">
        <w:rPr>
          <w:i/>
        </w:rPr>
        <w:t xml:space="preserve">té, </w:t>
      </w:r>
      <w:r w:rsidR="004A7970" w:rsidRPr="00390B86">
        <w:rPr>
          <w:i/>
          <w:lang w:val="fr-FR"/>
        </w:rPr>
        <w:t>QPC</w:t>
      </w:r>
      <w:r w:rsidR="004A7970">
        <w:t xml:space="preserve">). </w:t>
      </w:r>
    </w:p>
    <w:p w14:paraId="67061551" w14:textId="644590C9" w:rsidR="00A25F60" w:rsidRDefault="002A16CB" w:rsidP="003F4547">
      <w:r>
        <w:t>Ειδικότερα, με</w:t>
      </w:r>
      <w:r w:rsidR="00CF2EF8">
        <w:t xml:space="preserve"> την από </w:t>
      </w:r>
      <w:r w:rsidR="00CF2EF8" w:rsidRPr="00390B86">
        <w:t>27 Ιουλίου 1994</w:t>
      </w:r>
      <w:r w:rsidR="00CF2EF8">
        <w:t xml:space="preserve"> απόφασή του </w:t>
      </w:r>
      <w:r>
        <w:t>το Συνταγματικό Συμβούλιο τοποθετήθηκε σ</w:t>
      </w:r>
      <w:r w:rsidR="00895CB9">
        <w:t>χετικά με την</w:t>
      </w:r>
      <w:r w:rsidR="00572FA3">
        <w:t xml:space="preserve"> </w:t>
      </w:r>
      <w:r w:rsidR="00572FA3" w:rsidRPr="00895CB9">
        <w:t>προγεννητική διάγνωση</w:t>
      </w:r>
      <w:r w:rsidR="00895CB9">
        <w:t xml:space="preserve">. </w:t>
      </w:r>
      <w:r w:rsidR="00572FA3" w:rsidRPr="00390B86">
        <w:t>Απαντώντας στους προσφεύγ</w:t>
      </w:r>
      <w:r w:rsidR="00895CB9">
        <w:t>οντες βουλευτές που ισχυρίζονταν</w:t>
      </w:r>
      <w:r w:rsidR="00572FA3" w:rsidRPr="00390B86">
        <w:t xml:space="preserve"> ότι </w:t>
      </w:r>
      <w:r w:rsidR="00572FA3">
        <w:t>η προγεννητική διάγνωση</w:t>
      </w:r>
      <w:r w:rsidR="00572FA3" w:rsidRPr="00390B86">
        <w:t xml:space="preserve"> θα διευκολύνει τη διακοπή κύησης και συνεπώς συνιστά προσβολή </w:t>
      </w:r>
      <w:r w:rsidR="00CA45DA">
        <w:t>του δικαιώματος</w:t>
      </w:r>
      <w:r w:rsidR="00572FA3" w:rsidRPr="00390B86">
        <w:t xml:space="preserve"> στη ζωή, το Συνταγματικό Συμβούλιο </w:t>
      </w:r>
      <w:r w:rsidR="00895CB9">
        <w:t>απάντησε</w:t>
      </w:r>
      <w:r w:rsidR="00572FA3" w:rsidRPr="00390B86">
        <w:t xml:space="preserve"> ότι το άρθρο </w:t>
      </w:r>
      <w:r w:rsidR="00572FA3" w:rsidRPr="00390B86">
        <w:rPr>
          <w:lang w:val="fr-FR"/>
        </w:rPr>
        <w:t>L</w:t>
      </w:r>
      <w:r w:rsidR="00572FA3" w:rsidRPr="00390B86">
        <w:t xml:space="preserve">. 162-16 </w:t>
      </w:r>
      <w:r w:rsidR="00895CB9">
        <w:t>ΚΔΥ</w:t>
      </w:r>
      <w:r w:rsidR="00CA45DA">
        <w:t xml:space="preserve"> σχετικά με </w:t>
      </w:r>
      <w:r w:rsidR="00572FA3">
        <w:t>την προγεννητική διάγνωση</w:t>
      </w:r>
      <w:r w:rsidR="00CA45DA">
        <w:t xml:space="preserve"> </w:t>
      </w:r>
      <w:r w:rsidR="00572FA3" w:rsidRPr="00390B86">
        <w:t xml:space="preserve">δεν επιτρέπει καμία νέα περίπτωση διακοπής κύησης. Το </w:t>
      </w:r>
      <w:r w:rsidR="00895CB9">
        <w:t xml:space="preserve">δε </w:t>
      </w:r>
      <w:r w:rsidR="00572FA3" w:rsidRPr="00390B86">
        <w:t xml:space="preserve">άρθρο </w:t>
      </w:r>
      <w:r w:rsidR="00572FA3" w:rsidRPr="00390B86">
        <w:rPr>
          <w:lang w:val="fr-FR"/>
        </w:rPr>
        <w:t>L</w:t>
      </w:r>
      <w:r w:rsidR="00895CB9">
        <w:t>. 162-17 ΚΔΥ</w:t>
      </w:r>
      <w:r w:rsidR="00572FA3" w:rsidRPr="00390B86">
        <w:t xml:space="preserve"> αφορά μόνο </w:t>
      </w:r>
      <w:r w:rsidR="00CA45DA">
        <w:t>σε</w:t>
      </w:r>
      <w:r w:rsidR="00572FA3" w:rsidRPr="00390B86">
        <w:t xml:space="preserve"> </w:t>
      </w:r>
      <w:r w:rsidR="00572FA3" w:rsidRPr="00390B86">
        <w:lastRenderedPageBreak/>
        <w:t xml:space="preserve">ελέγχους κυττάρων που ανακτούνται από το έμβρυο </w:t>
      </w:r>
      <w:r w:rsidR="00572FA3" w:rsidRPr="00390B86">
        <w:rPr>
          <w:i/>
          <w:lang w:val="fr-FR"/>
        </w:rPr>
        <w:t>in</w:t>
      </w:r>
      <w:r w:rsidR="00572FA3" w:rsidRPr="00390B86">
        <w:rPr>
          <w:i/>
        </w:rPr>
        <w:t xml:space="preserve"> </w:t>
      </w:r>
      <w:r w:rsidR="00572FA3" w:rsidRPr="00390B86">
        <w:rPr>
          <w:i/>
          <w:lang w:val="fr-FR"/>
        </w:rPr>
        <w:t>vitro</w:t>
      </w:r>
      <w:r w:rsidR="008D14A8">
        <w:rPr>
          <w:rStyle w:val="FootnoteReference"/>
          <w:i/>
          <w:lang w:val="fr-FR"/>
        </w:rPr>
        <w:footnoteReference w:id="307"/>
      </w:r>
      <w:r w:rsidR="00F60EB9">
        <w:t>.</w:t>
      </w:r>
      <w:r w:rsidR="005728C4">
        <w:t xml:space="preserve"> </w:t>
      </w:r>
      <w:r w:rsidR="00F60EB9" w:rsidRPr="00390B86">
        <w:t xml:space="preserve">Το σύνολο, συνεπώς, των διατάξεων του Νόμου σχετικά με το σεβασμό του </w:t>
      </w:r>
      <w:r w:rsidR="00653769">
        <w:t>ανθρωπίνου</w:t>
      </w:r>
      <w:r w:rsidR="00F60EB9" w:rsidRPr="00390B86">
        <w:t xml:space="preserve"> σώματος και του Νόμου σχετικά με τη δωρεά και τη χρήση των στοιχείων και προϊόντων του </w:t>
      </w:r>
      <w:r w:rsidR="00653769">
        <w:t>ανθρωπίνου</w:t>
      </w:r>
      <w:r w:rsidR="00F60EB9" w:rsidRPr="00390B86">
        <w:t xml:space="preserve"> σώματος, την </w:t>
      </w:r>
      <w:r w:rsidR="00F60EB9">
        <w:t xml:space="preserve">ιατρικά υποβοηθούμενη αναπαραγωγή </w:t>
      </w:r>
      <w:r w:rsidR="00F60EB9" w:rsidRPr="00390B86">
        <w:t xml:space="preserve">και </w:t>
      </w:r>
      <w:r w:rsidR="00F60EB9">
        <w:t>την προγεννητική διάγνωση</w:t>
      </w:r>
      <w:r w:rsidR="00F60EB9" w:rsidRPr="00390B86">
        <w:t xml:space="preserve"> κρίθηκαν σύμφωνες με το Σύνταγμα.</w:t>
      </w:r>
    </w:p>
    <w:p w14:paraId="6F6CB8F0" w14:textId="77777777" w:rsidR="00AD0383" w:rsidRDefault="00AD0383" w:rsidP="00AD0383">
      <w:pPr>
        <w:pStyle w:val="Heading4"/>
      </w:pPr>
      <w:bookmarkStart w:id="170" w:name="_Toc276574426"/>
      <w:r>
        <w:t>§2. Συνέπειες μη συμμόρφωσης με τις νομοθετικές προσταγές</w:t>
      </w:r>
      <w:bookmarkEnd w:id="170"/>
      <w:r>
        <w:t xml:space="preserve"> </w:t>
      </w:r>
    </w:p>
    <w:p w14:paraId="38FFBA56" w14:textId="77777777" w:rsidR="00FC00DF" w:rsidRDefault="00FC00DF" w:rsidP="002B0FA3">
      <w:r>
        <w:t>Σε περίπτωση που</w:t>
      </w:r>
      <w:r w:rsidR="002B0FA3" w:rsidRPr="004933B9">
        <w:t xml:space="preserve"> η προεμφυτευτική διάγνωση </w:t>
      </w:r>
      <w:r>
        <w:t xml:space="preserve">διενεργηθεί χωρίς να συντρέχουν οι προβλεπόμενες από το νόμο προϋποθέσεις, υπάρχουν έννομες συνέπειες οι οποίες αφορούν στον ιατρό και το διαγνωστικό κέντρο που ευθύνονται για τη λήψη απόφασης και τη </w:t>
      </w:r>
      <w:r w:rsidR="0004563F">
        <w:t>διενέργεια</w:t>
      </w:r>
      <w:r>
        <w:t xml:space="preserve"> της διαγνωστικής εξέτασης. </w:t>
      </w:r>
      <w:r w:rsidR="0004563F">
        <w:t xml:space="preserve">Το ίδιο ισχύει και στην περίπτωση που </w:t>
      </w:r>
      <w:r w:rsidR="0004563F" w:rsidRPr="00A576E5">
        <w:t>η προεμφυτευτική διάγνωση δε γίνει σωστά και εμφανιστούν προβλήματα στο παιδί</w:t>
      </w:r>
      <w:r w:rsidR="0004563F">
        <w:t xml:space="preserve">. Στην τελευταία αυτή περίπτωση οι συνέπειες θα αφορούν αποκλειστικά και μόνο στο υπεύθυνο διαγνωστικό κέντρο. </w:t>
      </w:r>
      <w:r>
        <w:t>Οι συνέπειες αυτές είναι τόσο διοικητικ</w:t>
      </w:r>
      <w:r w:rsidR="0004563F">
        <w:t>ή</w:t>
      </w:r>
      <w:r>
        <w:t xml:space="preserve">ς, όσο και ποινικής φύσης. </w:t>
      </w:r>
    </w:p>
    <w:p w14:paraId="6A534CD5" w14:textId="77777777" w:rsidR="00E50D9B" w:rsidRPr="00286AD7" w:rsidRDefault="00E50D9B" w:rsidP="00E50D9B">
      <w:pPr>
        <w:pStyle w:val="Heading6"/>
      </w:pPr>
      <w:r w:rsidRPr="00286AD7">
        <w:t>Συνέπειες διοικητικής φύσης:</w:t>
      </w:r>
    </w:p>
    <w:p w14:paraId="1722BADB" w14:textId="18B77527" w:rsidR="007446E9" w:rsidRPr="00E202E4" w:rsidRDefault="00E50D9B" w:rsidP="00E50D9B">
      <w:pPr>
        <w:rPr>
          <w:highlight w:val="lightGray"/>
        </w:rPr>
      </w:pPr>
      <w:r w:rsidRPr="00EE4056">
        <w:t>Όπως έχει ήδη σημειωθεί</w:t>
      </w:r>
      <w:r>
        <w:t xml:space="preserve"> κατ’ επανάληψη πιο πάνω</w:t>
      </w:r>
      <w:r>
        <w:rPr>
          <w:rStyle w:val="FootnoteReference"/>
        </w:rPr>
        <w:footnoteReference w:id="308"/>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lastRenderedPageBreak/>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p>
    <w:p w14:paraId="2044EE95" w14:textId="77777777" w:rsidR="007446E9" w:rsidRPr="00194FA4" w:rsidRDefault="007446E9" w:rsidP="00E50D9B">
      <w:pPr>
        <w:pStyle w:val="Heading6"/>
      </w:pPr>
      <w:r w:rsidRPr="00194FA4">
        <w:t>Συνέπειες ποινικής φύσης:</w:t>
      </w:r>
    </w:p>
    <w:p w14:paraId="0F818BC5" w14:textId="0A451CA0" w:rsidR="00DF1AE7" w:rsidRDefault="00DF1AE7" w:rsidP="007446E9">
      <w:r>
        <w:t xml:space="preserve">Δυνάμει των διατάξεων </w:t>
      </w:r>
      <w:r w:rsidRPr="00BE4BB3">
        <w:rPr>
          <w:rFonts w:eastAsia="Calibri"/>
          <w:lang w:eastAsia="en-US"/>
        </w:rPr>
        <w:t xml:space="preserve">του </w:t>
      </w:r>
      <w:r w:rsidRPr="00BE4BB3">
        <w:rPr>
          <w:rFonts w:eastAsia="Calibri"/>
          <w:b/>
          <w:lang w:eastAsia="en-US"/>
        </w:rPr>
        <w:t xml:space="preserve">άρθρου </w:t>
      </w:r>
      <w:r w:rsidRPr="00BE4BB3">
        <w:rPr>
          <w:b/>
        </w:rPr>
        <w:t xml:space="preserve">L. 2161-2 </w:t>
      </w:r>
      <w:r>
        <w:rPr>
          <w:b/>
        </w:rPr>
        <w:t>ΚΔΥ</w:t>
      </w:r>
      <w:r w:rsidRPr="00BE4BB3">
        <w:t xml:space="preserve">, οι οποίες παραπέμπουν στο άρθρο 511-21 ΠΚ και εντάσσονται στον </w:t>
      </w:r>
      <w:r w:rsidRPr="00BE4BB3">
        <w:rPr>
          <w:b/>
        </w:rPr>
        <w:t xml:space="preserve">Τίτλο </w:t>
      </w:r>
      <w:r w:rsidRPr="00BE4BB3">
        <w:rPr>
          <w:b/>
          <w:lang w:val="en-US"/>
        </w:rPr>
        <w:t>VI</w:t>
      </w:r>
      <w:r w:rsidRPr="00BE4BB3">
        <w:t xml:space="preserve"> του Κώδικα σχετικά με τις </w:t>
      </w:r>
      <w:r w:rsidRPr="00BE4BB3">
        <w:rPr>
          <w:b/>
          <w:i/>
        </w:rPr>
        <w:t>Ποινικές διατάξεις</w:t>
      </w:r>
      <w:r w:rsidR="00E50D9B">
        <w:rPr>
          <w:b/>
        </w:rPr>
        <w:t xml:space="preserve">, </w:t>
      </w:r>
      <w:r w:rsidRPr="00BE4BB3">
        <w:t xml:space="preserve">και ειδικότερα αυτές που αφορούν στην </w:t>
      </w:r>
      <w:r w:rsidRPr="00BE4BB3">
        <w:rPr>
          <w:b/>
          <w:i/>
        </w:rPr>
        <w:t>Προγεννητική διάγνωση</w:t>
      </w:r>
      <w:r w:rsidRPr="00BE4BB3">
        <w:t xml:space="preserve"> (Κεφάλαιο Ι), «</w:t>
      </w:r>
      <w:r w:rsidRPr="00BE4BB3">
        <w:rPr>
          <w:i/>
        </w:rPr>
        <w:t xml:space="preserve">η παραβίαση των διατάξεων των άρθρων </w:t>
      </w:r>
      <w:r w:rsidRPr="00BE4BB3">
        <w:rPr>
          <w:i/>
          <w:lang w:val="fr-FR"/>
        </w:rPr>
        <w:t>L</w:t>
      </w:r>
      <w:r w:rsidRPr="00BE4BB3">
        <w:rPr>
          <w:i/>
        </w:rPr>
        <w:t xml:space="preserve">. 2131-4 και </w:t>
      </w:r>
      <w:r w:rsidRPr="00BE4BB3">
        <w:rPr>
          <w:i/>
          <w:lang w:val="fr-FR"/>
        </w:rPr>
        <w:t>L</w:t>
      </w:r>
      <w:r w:rsidRPr="00BE4BB3">
        <w:rPr>
          <w:i/>
        </w:rPr>
        <w:t>. 2131-4-1 σχετικά με την προεμφυτευτική διάγνωση τιμωρείται με δύο χρόνια φυλάκισης και 30</w:t>
      </w:r>
      <w:r>
        <w:rPr>
          <w:i/>
        </w:rPr>
        <w:t>.000</w:t>
      </w:r>
      <w:r w:rsidRPr="00BE4BB3">
        <w:rPr>
          <w:i/>
        </w:rPr>
        <w:t xml:space="preserve"> ευρώ χρηματική ποινή</w:t>
      </w:r>
      <w:r w:rsidRPr="00BE4BB3">
        <w:t>»</w:t>
      </w:r>
      <w:r>
        <w:t xml:space="preserve">. </w:t>
      </w:r>
    </w:p>
    <w:p w14:paraId="5BB3AEA3" w14:textId="77777777" w:rsidR="00E50D9B" w:rsidRPr="00C51393" w:rsidRDefault="00E50D9B" w:rsidP="00E50D9B">
      <w:r>
        <w:t>Τέλος, σ</w:t>
      </w:r>
      <w:r w:rsidRPr="00C51393">
        <w:t xml:space="preserve">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511-24 </w:t>
      </w:r>
      <w:r>
        <w:t>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173F9303" w14:textId="5C16199F" w:rsidR="00E50D9B" w:rsidRDefault="0004644A" w:rsidP="00E50D9B">
      <w:r w:rsidRPr="002F61A0">
        <w:t xml:space="preserve">Η </w:t>
      </w:r>
      <w:r w:rsidR="00C50A41">
        <w:t>διενέργεια προεμφυτευτικής διάγνωσης</w:t>
      </w:r>
      <w:r w:rsidRPr="002F61A0">
        <w:t xml:space="preserve"> </w:t>
      </w:r>
      <w:r>
        <w:t>εμπίπτει στις δραστηριότητες της ιατρικά υποβοηθούμενης αναπαραγωγής. Κατ’ επέκταση, η</w:t>
      </w:r>
      <w:r w:rsidRPr="002F61A0">
        <w:t xml:space="preserve"> </w:t>
      </w:r>
      <w:r>
        <w:t xml:space="preserve">κατά παράβαση των νομοθετικά προβλεπόμενων διατάξεων </w:t>
      </w:r>
      <w:r w:rsidR="00C50A41">
        <w:t xml:space="preserve">διενέργεια της προεμφυτευτικής διαγνωστικής εξέτασης </w:t>
      </w:r>
      <w:r>
        <w:t>τιμωρείται δυνάμει των διατάξεων του άρθρου 511-24 ΠΚ.</w:t>
      </w:r>
      <w:r w:rsidR="00E50D9B">
        <w:t xml:space="preserve"> </w:t>
      </w:r>
    </w:p>
    <w:p w14:paraId="48861A81" w14:textId="7CF78DDD" w:rsidR="00E50D9B" w:rsidRPr="004933B9" w:rsidRDefault="00E50D9B" w:rsidP="00E50D9B">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309"/>
      </w:r>
      <w:r w:rsidRPr="0059473C">
        <w:t>.</w:t>
      </w:r>
    </w:p>
    <w:p w14:paraId="77DBBC89" w14:textId="10C5A6CF" w:rsidR="00062153" w:rsidRDefault="00062153" w:rsidP="00F81C4D">
      <w:pPr>
        <w:pStyle w:val="Heading3"/>
      </w:pPr>
      <w:bookmarkStart w:id="171" w:name="_Ref274847296"/>
      <w:bookmarkStart w:id="172" w:name="_Toc275535610"/>
      <w:bookmarkStart w:id="173" w:name="_Toc276574427"/>
      <w:bookmarkStart w:id="174" w:name="_Toc394082564"/>
      <w:r w:rsidRPr="00062153">
        <w:t xml:space="preserve">β. </w:t>
      </w:r>
      <w:r w:rsidR="0030559B">
        <w:t xml:space="preserve">Διπλή </w:t>
      </w:r>
      <w:r w:rsidR="006629E9">
        <w:t>Προ</w:t>
      </w:r>
      <w:r w:rsidR="00585C8B">
        <w:t>εμ</w:t>
      </w:r>
      <w:r w:rsidR="006629E9">
        <w:t xml:space="preserve">φυτευτική Διάγγνωση ή </w:t>
      </w:r>
      <w:r w:rsidR="005A13A1">
        <w:t>Προέκταση της Προ</w:t>
      </w:r>
      <w:r w:rsidR="00585C8B">
        <w:t>ε</w:t>
      </w:r>
      <w:r w:rsidR="005A13A1">
        <w:t xml:space="preserve">μφυτευτικής Διάγγνωσης </w:t>
      </w:r>
      <w:r w:rsidR="00454EB0">
        <w:t xml:space="preserve">ή, </w:t>
      </w:r>
      <w:r w:rsidR="005A13A1" w:rsidRPr="00F81C4D">
        <w:t>αλλιώς</w:t>
      </w:r>
      <w:r w:rsidR="00454EB0">
        <w:t>,</w:t>
      </w:r>
      <w:r w:rsidR="005A13A1" w:rsidRPr="00F81C4D">
        <w:t xml:space="preserve"> </w:t>
      </w:r>
      <w:r w:rsidR="00F81C4D" w:rsidRPr="00F81C4D">
        <w:t>«αδελφός‐σωτήρας» ή «σχεδιασμένο παιδι</w:t>
      </w:r>
      <w:r w:rsidR="00F81C4D">
        <w:t xml:space="preserve">́» </w:t>
      </w:r>
      <w:r>
        <w:t>(</w:t>
      </w:r>
      <w:r w:rsidRPr="00062153">
        <w:rPr>
          <w:i/>
          <w:lang w:val="en-US"/>
        </w:rPr>
        <w:t>b</w:t>
      </w:r>
      <w:r w:rsidRPr="00062153">
        <w:rPr>
          <w:i/>
          <w:lang w:val="fr-FR"/>
        </w:rPr>
        <w:t>é</w:t>
      </w:r>
      <w:r w:rsidRPr="00062153">
        <w:rPr>
          <w:i/>
          <w:lang w:val="en-US"/>
        </w:rPr>
        <w:t>bé médicament</w:t>
      </w:r>
      <w:r w:rsidR="00A427A4">
        <w:t>-</w:t>
      </w:r>
      <w:r w:rsidR="00F81C4D">
        <w:t>μ</w:t>
      </w:r>
      <w:r w:rsidR="00F81C4D" w:rsidRPr="00062153">
        <w:t>ωρό φάρμακο</w:t>
      </w:r>
      <w:r w:rsidR="00F81C4D">
        <w:t xml:space="preserve"> </w:t>
      </w:r>
      <w:r w:rsidRPr="00062153">
        <w:t xml:space="preserve">ή </w:t>
      </w:r>
      <w:r w:rsidR="00F81C4D" w:rsidRPr="00062153">
        <w:rPr>
          <w:i/>
        </w:rPr>
        <w:t>bébé du douple espoir</w:t>
      </w:r>
      <w:r w:rsidR="00A427A4">
        <w:t>-</w:t>
      </w:r>
      <w:r w:rsidRPr="00062153">
        <w:t>μωρό της διπλής ελπίδας</w:t>
      </w:r>
      <w:bookmarkEnd w:id="171"/>
      <w:r w:rsidR="00F81C4D">
        <w:t>)</w:t>
      </w:r>
      <w:r w:rsidR="007937F2">
        <w:rPr>
          <w:rStyle w:val="FootnoteReference"/>
        </w:rPr>
        <w:footnoteReference w:id="310"/>
      </w:r>
      <w:bookmarkEnd w:id="172"/>
      <w:bookmarkEnd w:id="173"/>
    </w:p>
    <w:p w14:paraId="43DCC7E9" w14:textId="6CDE24BA" w:rsidR="00D14B1A" w:rsidRDefault="001E0E7F" w:rsidP="00D14B1A">
      <w:r>
        <w:t>Εά</w:t>
      </w:r>
      <w:r w:rsidR="00D14B1A">
        <w:t xml:space="preserve">ν, </w:t>
      </w:r>
      <w:r>
        <w:t xml:space="preserve">σύμφωνα με </w:t>
      </w:r>
      <w:r w:rsidR="006629E9">
        <w:t xml:space="preserve">το άρθρο </w:t>
      </w:r>
      <w:r>
        <w:rPr>
          <w:b/>
        </w:rPr>
        <w:t xml:space="preserve">L. 2131-4 </w:t>
      </w:r>
      <w:r w:rsidR="006629E9">
        <w:rPr>
          <w:b/>
        </w:rPr>
        <w:t>ΚΔΥ</w:t>
      </w:r>
      <w:r w:rsidR="00D14B1A">
        <w:t xml:space="preserve">, </w:t>
      </w:r>
      <w:r>
        <w:t>η</w:t>
      </w:r>
      <w:r w:rsidR="006629E9">
        <w:t xml:space="preserve"> προεμφυτευτική διάγνωση</w:t>
      </w:r>
      <w:r>
        <w:t xml:space="preserve"> επιτρέπεται</w:t>
      </w:r>
      <w:r w:rsidR="006629E9">
        <w:t xml:space="preserve"> μόνο </w:t>
      </w:r>
      <w:r w:rsidR="00454EB0">
        <w:t>«</w:t>
      </w:r>
      <w:r w:rsidR="006629E9">
        <w:t>κατ’ εξαίρεση</w:t>
      </w:r>
      <w:r w:rsidR="00454EB0">
        <w:t>»</w:t>
      </w:r>
      <w:r w:rsidR="006629E9">
        <w:t xml:space="preserve"> και υπό τον όρο </w:t>
      </w:r>
      <w:r>
        <w:t>ότι</w:t>
      </w:r>
      <w:r w:rsidR="006629E9" w:rsidRPr="001E0E7F">
        <w:t xml:space="preserve"> το ζευγάρι έχει υψηλή πιθανότητα να γεννήσει ένα </w:t>
      </w:r>
      <w:r w:rsidR="006629E9" w:rsidRPr="001E0E7F">
        <w:lastRenderedPageBreak/>
        <w:t>τέκνο που θ</w:t>
      </w:r>
      <w:r>
        <w:t xml:space="preserve">α πάσχει από σοβαρή και ανίατη </w:t>
      </w:r>
      <w:r w:rsidR="006629E9" w:rsidRPr="001E0E7F">
        <w:t>γενετική ασθένεια</w:t>
      </w:r>
      <w:r w:rsidR="00D14B1A">
        <w:t>, ο νομοθέτης</w:t>
      </w:r>
      <w:r w:rsidR="006629E9">
        <w:t xml:space="preserve"> του 2004 ήρθε να ενσωματώσει </w:t>
      </w:r>
      <w:r w:rsidR="00D14B1A">
        <w:t>σ</w:t>
      </w:r>
      <w:r w:rsidR="006629E9">
        <w:t xml:space="preserve">τον Κώδικα Δημόσιας Υγείας ένα νέο άρθρο, το </w:t>
      </w:r>
      <w:r w:rsidR="00454EB0">
        <w:rPr>
          <w:b/>
        </w:rPr>
        <w:t>L. 2131-4-1</w:t>
      </w:r>
      <w:r w:rsidR="006629E9">
        <w:t xml:space="preserve">, </w:t>
      </w:r>
      <w:r w:rsidR="00454EB0">
        <w:t xml:space="preserve">το οποίο αναγνωρίζει </w:t>
      </w:r>
      <w:r w:rsidR="00D14B1A">
        <w:t>και επιτρέπει υπό αυστ</w:t>
      </w:r>
      <w:r w:rsidR="00454EB0">
        <w:t xml:space="preserve">ηρά οριοθετημένες προϋποθέσεις </w:t>
      </w:r>
      <w:r w:rsidR="00D14B1A">
        <w:t>την προσφυγή στη μέθοδο της διπλής προεμφυτευτικής διάγνωσης ή αλλιώς τη γέννη</w:t>
      </w:r>
      <w:r w:rsidR="00454EB0">
        <w:t>ση ενός «μωρού φαρμάκου» («μωρού</w:t>
      </w:r>
      <w:r w:rsidR="00D14B1A">
        <w:t xml:space="preserve"> της διπλής ελπίδας»). </w:t>
      </w:r>
    </w:p>
    <w:p w14:paraId="07EDFE1B" w14:textId="77777777" w:rsidR="0079318F" w:rsidRDefault="00D14B1A" w:rsidP="00D14B1A">
      <w:pPr>
        <w:rPr>
          <w:b/>
        </w:rPr>
      </w:pPr>
      <w:r>
        <w:t xml:space="preserve">Πιο συγκεκριμένα, </w:t>
      </w:r>
      <w:r w:rsidR="006629E9">
        <w:t>δυνάμει των διατάξεων του</w:t>
      </w:r>
      <w:r>
        <w:t xml:space="preserve"> άρθρου </w:t>
      </w:r>
      <w:r w:rsidRPr="00983CCE">
        <w:rPr>
          <w:b/>
        </w:rPr>
        <w:t xml:space="preserve">L. 2131-4-1 </w:t>
      </w:r>
      <w:r>
        <w:rPr>
          <w:b/>
        </w:rPr>
        <w:t>ΚΔΥ</w:t>
      </w:r>
      <w:r w:rsidR="006629E9">
        <w:t xml:space="preserve">: </w:t>
      </w:r>
    </w:p>
    <w:p w14:paraId="5039F7B9" w14:textId="71C0CA33" w:rsidR="0079318F" w:rsidRPr="00AC5EE7" w:rsidRDefault="0079318F" w:rsidP="0079318F">
      <w:pPr>
        <w:rPr>
          <w:i/>
        </w:rPr>
      </w:pPr>
      <w:r>
        <w:t>«</w:t>
      </w:r>
      <w:r w:rsidR="00335E5D">
        <w:rPr>
          <w:i/>
        </w:rPr>
        <w:t>Κατά παρέκκλιση</w:t>
      </w:r>
      <w:r w:rsidRPr="00AC5EE7">
        <w:rPr>
          <w:i/>
        </w:rPr>
        <w:t xml:space="preserve"> του έκτου εδαφίου του άρθρου L. 2131-4 και με την επιφύλαξη της προηγούμενης εξάντλησης κάθε πιθανότητας κατά τα άρθρα L. 1241-1 και L. 1241-7, η προεμφυτευτική διάγνωση μπορεί επίσης να εγκριθεί όταν πληρούνται οι ακόλουθες προϋποθέσεις:</w:t>
      </w:r>
    </w:p>
    <w:p w14:paraId="5AE14A99" w14:textId="77777777" w:rsidR="0079318F" w:rsidRPr="00AC5EE7" w:rsidRDefault="0079318F" w:rsidP="0079318F">
      <w:pPr>
        <w:rPr>
          <w:i/>
        </w:rPr>
      </w:pPr>
      <w:r w:rsidRPr="00AC5EE7">
        <w:rPr>
          <w:i/>
        </w:rPr>
        <w:t xml:space="preserve">- το ζευγάρι έχει γεννήσει ένα τέκνο </w:t>
      </w:r>
      <w:r w:rsidR="00B2304D">
        <w:rPr>
          <w:i/>
        </w:rPr>
        <w:t>που πάσχει</w:t>
      </w:r>
      <w:r w:rsidRPr="00AC5EE7">
        <w:rPr>
          <w:i/>
        </w:rPr>
        <w:t xml:space="preserve"> από γενετική ασθένεια που οδηγεί στο θάνατο από τα πρώτα κιόλας χρόνια της ζωής του και η οποία αναγνωρίζεται ως ανίατη κατά τη χρονική στιγμή της διάγνωσης,</w:t>
      </w:r>
    </w:p>
    <w:p w14:paraId="0FF7B9FC" w14:textId="77777777" w:rsidR="0079318F" w:rsidRPr="00AC5EE7" w:rsidRDefault="0079318F" w:rsidP="0079318F">
      <w:pPr>
        <w:rPr>
          <w:i/>
        </w:rPr>
      </w:pPr>
      <w:r w:rsidRPr="00AC5EE7">
        <w:rPr>
          <w:i/>
        </w:rPr>
        <w:t xml:space="preserve">- η πρόγνωση για τη ζωή του τέκνου που θα γεννηθεί μπορεί να βελτιωθεί αποφασιστικά, με την εφαρμογή σε αυτό μιας θεραπείας που δεν προσβάλλει τη σωματική του ακεραιότητα, κατά το άρθρο 16-3 ΑΚ, </w:t>
      </w:r>
    </w:p>
    <w:p w14:paraId="2DA6A954" w14:textId="77777777" w:rsidR="0079318F" w:rsidRPr="00AC5EE7" w:rsidRDefault="0079318F" w:rsidP="0079318F">
      <w:pPr>
        <w:rPr>
          <w:i/>
        </w:rPr>
      </w:pPr>
      <w:r w:rsidRPr="00AC5EE7">
        <w:rPr>
          <w:i/>
        </w:rPr>
        <w:t xml:space="preserve">- </w:t>
      </w:r>
      <w:r w:rsidR="00B31A9A" w:rsidRPr="00AC5EE7">
        <w:rPr>
          <w:i/>
        </w:rPr>
        <w:t>η προεμφυτευτική διάγνωση έχει ως μοναδικό της σκοπό, αφενός, τη διερ</w:t>
      </w:r>
      <w:r w:rsidR="00B31A9A">
        <w:rPr>
          <w:i/>
        </w:rPr>
        <w:t xml:space="preserve">εύνηση της γενετικής ασθένειας </w:t>
      </w:r>
      <w:r w:rsidR="00B31A9A" w:rsidRPr="00AC5EE7">
        <w:rPr>
          <w:i/>
        </w:rPr>
        <w:t>και των τρόπω</w:t>
      </w:r>
      <w:r w:rsidR="00B31A9A">
        <w:rPr>
          <w:i/>
        </w:rPr>
        <w:t>ν πρόληψης και θεραπείας της</w:t>
      </w:r>
      <w:r w:rsidR="00B31A9A" w:rsidRPr="00AC5EE7">
        <w:rPr>
          <w:i/>
        </w:rPr>
        <w:t>, αφετέρου, την εφαρμογή της θεραπείας που προβ</w:t>
      </w:r>
      <w:r w:rsidR="00B31A9A">
        <w:rPr>
          <w:i/>
        </w:rPr>
        <w:t>λέπεται στο προηγούμενο εδάφιο</w:t>
      </w:r>
      <w:r w:rsidRPr="00AC5EE7">
        <w:rPr>
          <w:i/>
        </w:rPr>
        <w:t xml:space="preserve">. </w:t>
      </w:r>
    </w:p>
    <w:p w14:paraId="6DBAB881" w14:textId="65A62DA2" w:rsidR="0079318F" w:rsidRPr="00AC5EE7" w:rsidRDefault="0079318F" w:rsidP="0079318F">
      <w:pPr>
        <w:rPr>
          <w:i/>
        </w:rPr>
      </w:pPr>
      <w:r w:rsidRPr="00AC5EE7">
        <w:rPr>
          <w:i/>
        </w:rPr>
        <w:t>Τα δύο υποβοηθούμενα πρόσωπα εκφράζ</w:t>
      </w:r>
      <w:r w:rsidR="002B4C7C">
        <w:rPr>
          <w:i/>
        </w:rPr>
        <w:t xml:space="preserve">ουν εγγράφως τη συναίνεσή τους για </w:t>
      </w:r>
      <w:r w:rsidRPr="00AC5EE7">
        <w:rPr>
          <w:i/>
        </w:rPr>
        <w:t xml:space="preserve">τη διενέργεια της προεμφυτευτικής διάγνωσης. </w:t>
      </w:r>
    </w:p>
    <w:p w14:paraId="2F452786" w14:textId="77777777" w:rsidR="00845D07" w:rsidRPr="00062153" w:rsidRDefault="0079318F" w:rsidP="007937F2">
      <w:r w:rsidRPr="00AC5EE7">
        <w:rPr>
          <w:i/>
        </w:rPr>
        <w:t xml:space="preserve">Η διενέργεια της διάγνωσης υπόκειται στην έκδοση έγκρισης από τον Οργανισμό Βιοϊατρικής, στην οποία και αναφέρεται στην ετήσια Έκθεσή του, σύμφωνα με το άρθρο </w:t>
      </w:r>
      <w:r w:rsidRPr="00AC5EE7">
        <w:rPr>
          <w:i/>
          <w:lang w:val="fr-FR"/>
        </w:rPr>
        <w:t>L</w:t>
      </w:r>
      <w:r w:rsidRPr="00AC5EE7">
        <w:rPr>
          <w:i/>
        </w:rPr>
        <w:t xml:space="preserve">. 1418-1. Η άδεια αυτή υπόκειται στην τήρηση των διατάξεων του τελευταίου εδαφίου του άρθρου </w:t>
      </w:r>
      <w:r w:rsidRPr="00AC5EE7">
        <w:rPr>
          <w:i/>
          <w:lang w:val="fr-FR"/>
        </w:rPr>
        <w:t>L</w:t>
      </w:r>
      <w:r w:rsidRPr="00AC5EE7">
        <w:rPr>
          <w:i/>
        </w:rPr>
        <w:t>. 2141-3</w:t>
      </w:r>
      <w:r>
        <w:t xml:space="preserve">». </w:t>
      </w:r>
    </w:p>
    <w:p w14:paraId="0B0A007F" w14:textId="77777777" w:rsidR="002B0FA3" w:rsidRDefault="00062153" w:rsidP="00062153">
      <w:pPr>
        <w:pStyle w:val="Heading3"/>
      </w:pPr>
      <w:bookmarkStart w:id="175" w:name="_Toc275535611"/>
      <w:bookmarkStart w:id="176" w:name="_Toc276574428"/>
      <w:r w:rsidRPr="00062153">
        <w:rPr>
          <w:lang w:val="el-GR"/>
        </w:rPr>
        <w:t>γ</w:t>
      </w:r>
      <w:r w:rsidR="002B0FA3" w:rsidRPr="00062153">
        <w:t xml:space="preserve">. </w:t>
      </w:r>
      <w:bookmarkEnd w:id="174"/>
      <w:r w:rsidRPr="00062153">
        <w:t>Επιλογή</w:t>
      </w:r>
      <w:r>
        <w:t xml:space="preserve"> φύλου</w:t>
      </w:r>
      <w:bookmarkEnd w:id="175"/>
      <w:bookmarkEnd w:id="176"/>
    </w:p>
    <w:p w14:paraId="0855C672" w14:textId="5F2E37B4" w:rsidR="00264EBE" w:rsidRPr="00264EBE" w:rsidRDefault="00D766AB" w:rsidP="00D766AB">
      <w:r>
        <w:t xml:space="preserve">Η επιλογή φύλου είναι πρακτική που απαγορεύεται ρητά από το γάλλο νομοθέτη (§1), γεγονός που οδηγεί στο εύλογο συμπέρασμα ότι η παραβίαση της νομοθετικής αυτής απαγόρευσης συνεπάγεται την επιβολή αυστηρών ποινών, και εν προκειμένω των ποινών που προβλέπονται σε περίπτωση παραβίασης των προβλέψεων σχετικά με τη διενέργεια της προεμφυτευτικής διάγνωσης (§2). </w:t>
      </w:r>
    </w:p>
    <w:p w14:paraId="19C1C030" w14:textId="77777777" w:rsidR="0014418B" w:rsidRDefault="0014418B" w:rsidP="0014418B">
      <w:pPr>
        <w:pStyle w:val="Heading4"/>
      </w:pPr>
      <w:bookmarkStart w:id="177" w:name="_Toc276574429"/>
      <w:r>
        <w:t>§1. Νομοθ</w:t>
      </w:r>
      <w:r w:rsidR="00133FC5">
        <w:t>ετική απαγόρευση επιλογής φύλου</w:t>
      </w:r>
      <w:bookmarkEnd w:id="177"/>
    </w:p>
    <w:p w14:paraId="38F69FD2" w14:textId="77777777" w:rsidR="002B0FA3" w:rsidRDefault="002B0FA3" w:rsidP="008961A7">
      <w:r>
        <w:t xml:space="preserve">Η επιλογή φύλου δεν επιτρέπεται στη Γαλλία, </w:t>
      </w:r>
      <w:r w:rsidR="00944BA2">
        <w:t>καθώς, όπως προαναφέρθηκε,</w:t>
      </w:r>
      <w:r w:rsidR="002A5721">
        <w:t xml:space="preserve"> τόσο η </w:t>
      </w:r>
      <w:r>
        <w:t xml:space="preserve">προεμφυτευτική διάγνωση, σύμφωνα με τις διατάξεις του </w:t>
      </w:r>
      <w:r w:rsidRPr="000E3421">
        <w:rPr>
          <w:b/>
        </w:rPr>
        <w:t xml:space="preserve">άρθρου L. 2131-4 </w:t>
      </w:r>
      <w:r w:rsidR="005A1087">
        <w:rPr>
          <w:b/>
        </w:rPr>
        <w:t>ΚΔΥ</w:t>
      </w:r>
      <w:r>
        <w:t xml:space="preserve">, </w:t>
      </w:r>
      <w:r w:rsidR="002A5721">
        <w:t xml:space="preserve">όσο και η διπλή προεμφυτευτική διάγωση, σύμφωνα με τις διατάξεις του </w:t>
      </w:r>
      <w:r w:rsidR="002A5721" w:rsidRPr="000E3421">
        <w:rPr>
          <w:b/>
        </w:rPr>
        <w:t>άρθρου L. 2131-4</w:t>
      </w:r>
      <w:r w:rsidR="002A5721">
        <w:rPr>
          <w:b/>
        </w:rPr>
        <w:t>-1</w:t>
      </w:r>
      <w:r w:rsidR="002A5721" w:rsidRPr="000E3421">
        <w:rPr>
          <w:b/>
        </w:rPr>
        <w:t xml:space="preserve"> </w:t>
      </w:r>
      <w:r w:rsidR="002A5721">
        <w:rPr>
          <w:b/>
        </w:rPr>
        <w:t>ΚΔΥ</w:t>
      </w:r>
      <w:r w:rsidR="002A5721">
        <w:t xml:space="preserve">, </w:t>
      </w:r>
      <w:r>
        <w:lastRenderedPageBreak/>
        <w:t xml:space="preserve">επιτρέπεται μόνο κατ’ εξαίρεση και υπό συγκεκριμένες </w:t>
      </w:r>
      <w:r w:rsidR="00944BA2">
        <w:t xml:space="preserve">ρητά προβλεφθείσες </w:t>
      </w:r>
      <w:r>
        <w:t>προϋποθέσεις, αυστηρά θεραπευτικού σκοπού.</w:t>
      </w:r>
    </w:p>
    <w:p w14:paraId="685DFF79" w14:textId="77777777" w:rsidR="008961A7" w:rsidRDefault="004D7213" w:rsidP="008961A7">
      <w:r>
        <w:t xml:space="preserve">Στην πραγματικότητα, ωστόσο, όπως παρατηρηεί ο καθηγητής </w:t>
      </w:r>
      <w:r>
        <w:rPr>
          <w:lang w:val="en-US"/>
        </w:rPr>
        <w:t>Pierre Jouannet</w:t>
      </w:r>
      <w:r w:rsidRPr="008771B4">
        <w:t xml:space="preserve">, ο γάλλος νομοθέτης δίνει </w:t>
      </w:r>
      <w:r>
        <w:t>τη δυνατότητα επιλογής φύλου αποκλ</w:t>
      </w:r>
      <w:r w:rsidR="00944BA2">
        <w:t>ειστικά και μόνο για θεραπευτικούς σκοπούς</w:t>
      </w:r>
      <w:r w:rsidR="00B76417">
        <w:t xml:space="preserve"> μέσω της δυνατότητας διενέργειας προεμφυτευτικής γενετικής διάγνωσης σε περίπτωση που υπάρχει σοβαρή πιθανότητα</w:t>
      </w:r>
      <w:r w:rsidR="00944BA2">
        <w:t xml:space="preserve"> μετάδοσης στο τέκνο γενετικού νοσήματος που συνδέεται με το φύλο</w:t>
      </w:r>
      <w:r w:rsidR="00944BA2">
        <w:rPr>
          <w:rStyle w:val="FootnoteReference"/>
        </w:rPr>
        <w:footnoteReference w:id="311"/>
      </w:r>
      <w:r w:rsidR="00944BA2">
        <w:t>. Στην τελευταία αυτή περίπτωση, η απαγόρευση επιλογής φύλου παρακά</w:t>
      </w:r>
      <w:r w:rsidR="002A5721">
        <w:t xml:space="preserve">μπτεται, ουσιαστικά, </w:t>
      </w:r>
      <w:r w:rsidR="00944BA2">
        <w:t xml:space="preserve">μέσω της δυνατότητας του </w:t>
      </w:r>
      <w:r w:rsidR="002A5721">
        <w:t xml:space="preserve">υποβοηθούμενου </w:t>
      </w:r>
      <w:r w:rsidR="00944BA2">
        <w:t xml:space="preserve">ζευγαριού να διακόψει την κύηση. </w:t>
      </w:r>
    </w:p>
    <w:p w14:paraId="56FEB1FB" w14:textId="77777777" w:rsidR="006C496E" w:rsidRDefault="00B1507F" w:rsidP="00B1507F">
      <w:r>
        <w:t xml:space="preserve">Η επιλογή φύλου, συνεπώς, απαγορεύεται </w:t>
      </w:r>
      <w:r w:rsidRPr="008771B4">
        <w:t>στη Γαλλία</w:t>
      </w:r>
      <w:r>
        <w:t xml:space="preserve"> για οποιονδήποτε άλλο, μη θεραπευτικό σκοπό, όπως επίσης απαγορεύεται και η </w:t>
      </w:r>
      <w:r w:rsidRPr="008771B4">
        <w:t xml:space="preserve">λεγόμενη «επιλογή </w:t>
      </w:r>
      <w:r>
        <w:t>διευκόλυνσης</w:t>
      </w:r>
      <w:r w:rsidRPr="008771B4">
        <w:t>» (</w:t>
      </w:r>
      <w:r w:rsidRPr="008771B4">
        <w:rPr>
          <w:i/>
          <w:lang w:val="fr-FR"/>
        </w:rPr>
        <w:t>c</w:t>
      </w:r>
      <w:r w:rsidRPr="008771B4">
        <w:rPr>
          <w:i/>
        </w:rPr>
        <w:t>hoix de convenance</w:t>
      </w:r>
      <w:r w:rsidR="006C496E">
        <w:t xml:space="preserve">). </w:t>
      </w:r>
    </w:p>
    <w:p w14:paraId="791EAA08" w14:textId="5CA240C3" w:rsidR="00B1507F" w:rsidRDefault="006C496E" w:rsidP="00B1507F">
      <w:r>
        <w:t xml:space="preserve">Με την απαγόρευση επιλογής φύλου </w:t>
      </w:r>
      <w:r w:rsidR="00B1507F">
        <w:t xml:space="preserve">συμφωνεί το σύνολο των προσώπων αναφοράς τα οποία ερωτήθηκαν σχετικά. Ενδεικτικό είναι ότι και τα </w:t>
      </w:r>
      <w:r w:rsidR="00A415C8">
        <w:t xml:space="preserve">οχτώ πρόσωπα, </w:t>
      </w:r>
      <w:r w:rsidR="00B1507F">
        <w:t>στην ερώτηση σχετικά με το αν κατά τη γνώμη τους</w:t>
      </w:r>
      <w:r w:rsidR="00B1507F" w:rsidRPr="00E51344">
        <w:t xml:space="preserve"> πρέπει να επιτρέπεται η επιλογή φύλου μέσ</w:t>
      </w:r>
      <w:r w:rsidR="00B1507F">
        <w:t>ω της εφαρμογής των μεθόδων ιατρ</w:t>
      </w:r>
      <w:r w:rsidR="00A415C8">
        <w:t xml:space="preserve">ικά υποβοηθούμενης αναπαραγωγής, </w:t>
      </w:r>
      <w:r w:rsidR="00B1507F">
        <w:t>απάντησαν αρνητικά</w:t>
      </w:r>
      <w:r w:rsidR="00B1507F">
        <w:rPr>
          <w:rStyle w:val="FootnoteReference"/>
        </w:rPr>
        <w:footnoteReference w:id="312"/>
      </w:r>
      <w:r w:rsidR="00B1507F">
        <w:t xml:space="preserve">. </w:t>
      </w:r>
    </w:p>
    <w:p w14:paraId="48BA3F76" w14:textId="77777777" w:rsidR="00F50FDE" w:rsidRDefault="002F5A30" w:rsidP="0034536F">
      <w:r>
        <w:t xml:space="preserve">Σύμφωνα, μάλιστα, με τη </w:t>
      </w:r>
      <w:r>
        <w:rPr>
          <w:lang w:val="en-US"/>
        </w:rPr>
        <w:t xml:space="preserve">Simone Bateman, </w:t>
      </w:r>
      <w:r>
        <w:t xml:space="preserve">η απαγόρευση επιλογής φύλου επιβάλλεται προκειμένου να αποφευχθεί «η δημιουργία μιας κοινωνίας βασισμένης σε μοντέλα και καλούπια». Είναι αναγκαίο, κατά τη γνώμη της να αναλογιστούμε τις συνέπειες που θα είχε μια τέτοια επιλογή μακροπρόθεσμα τόσο για την κοινωνία, όσο και για την ιατρικά υποβοηθούμενη αναπαραγωγή και το χαρακτήρα </w:t>
      </w:r>
      <w:r w:rsidR="00F50FDE">
        <w:t>της</w:t>
      </w:r>
      <w:r>
        <w:t>. «</w:t>
      </w:r>
      <w:r w:rsidRPr="00FD040C">
        <w:t>Πρέπει να σκεφτούμε τις μελλοντικές, μακροπρόθεσμες,</w:t>
      </w:r>
      <w:r>
        <w:t xml:space="preserve"> συνέπειες μιας τέτοιας τροπής, καθότι </w:t>
      </w:r>
      <w:r w:rsidRPr="00FD040C">
        <w:t xml:space="preserve">αυτό </w:t>
      </w:r>
      <w:r>
        <w:t xml:space="preserve">θα είχε </w:t>
      </w:r>
      <w:r w:rsidRPr="002F5A30">
        <w:rPr>
          <w:i/>
          <w:lang w:val="en-US"/>
        </w:rPr>
        <w:t>inter alia</w:t>
      </w:r>
      <w:r>
        <w:rPr>
          <w:lang w:val="en-US"/>
        </w:rPr>
        <w:t xml:space="preserve"> </w:t>
      </w:r>
      <w:r>
        <w:t xml:space="preserve">σημαντικές επιπτώσεις και </w:t>
      </w:r>
      <w:r w:rsidRPr="00FD040C">
        <w:t>στον τρόπο π</w:t>
      </w:r>
      <w:r>
        <w:t>ου αντιμετωπίζουμε τα κορίτσια σε σχέση με τα αγόρια»</w:t>
      </w:r>
      <w:r>
        <w:rPr>
          <w:rStyle w:val="FootnoteReference"/>
        </w:rPr>
        <w:footnoteReference w:id="313"/>
      </w:r>
      <w:r>
        <w:t xml:space="preserve">. </w:t>
      </w:r>
      <w:r w:rsidR="00424842">
        <w:t xml:space="preserve">Στο ίδιο συμπέρασμα καταλήγει και η </w:t>
      </w:r>
      <w:r w:rsidR="00424842">
        <w:rPr>
          <w:lang w:val="en-US"/>
        </w:rPr>
        <w:t xml:space="preserve">Aude Mirkovic, </w:t>
      </w:r>
      <w:r w:rsidR="00424842">
        <w:t xml:space="preserve">η οποία υποστηρίζει ότι «η επιλογή ενός </w:t>
      </w:r>
      <w:r w:rsidR="00424842" w:rsidRPr="00E51344">
        <w:t>φύλου προϋποθέ</w:t>
      </w:r>
      <w:r w:rsidR="00424842">
        <w:t>τει την απόρριψη του άλλου»</w:t>
      </w:r>
      <w:r w:rsidR="00424842">
        <w:rPr>
          <w:rStyle w:val="FootnoteReference"/>
        </w:rPr>
        <w:footnoteReference w:id="314"/>
      </w:r>
      <w:r w:rsidR="00424842" w:rsidRPr="00E51344">
        <w:t>.</w:t>
      </w:r>
      <w:r w:rsidR="006E5607">
        <w:t xml:space="preserve"> </w:t>
      </w:r>
    </w:p>
    <w:p w14:paraId="286DF662" w14:textId="2C217DEA" w:rsidR="002F5A30" w:rsidRPr="00FD040C" w:rsidRDefault="002F5A30" w:rsidP="0034536F">
      <w:r w:rsidRPr="00FD040C">
        <w:t xml:space="preserve">Στη Γαλλία, βέβαια, </w:t>
      </w:r>
      <w:r w:rsidR="003A53DE" w:rsidRPr="00FD040C">
        <w:t>όπου τα ζευγάρια δε γεννούν π</w:t>
      </w:r>
      <w:r w:rsidR="003A53DE">
        <w:t xml:space="preserve">ολλά παιδιά όπως στην Ασία για παράδειγμα, </w:t>
      </w:r>
      <w:r w:rsidR="006E5607">
        <w:t xml:space="preserve">σκόπιμο είναι να </w:t>
      </w:r>
      <w:r w:rsidR="003A53DE">
        <w:t>επισημανθεί, όπως τονίστηκε από την</w:t>
      </w:r>
      <w:r w:rsidR="003A53DE" w:rsidRPr="003A53DE">
        <w:rPr>
          <w:lang w:val="en-US"/>
        </w:rPr>
        <w:t xml:space="preserve"> </w:t>
      </w:r>
      <w:r w:rsidR="003A53DE">
        <w:rPr>
          <w:lang w:val="en-US"/>
        </w:rPr>
        <w:t>Simone Bateman, ότι</w:t>
      </w:r>
      <w:r w:rsidR="003A53DE">
        <w:t xml:space="preserve"> </w:t>
      </w:r>
      <w:r w:rsidRPr="00FD040C">
        <w:t xml:space="preserve">το θέμα δεν έχει πάρει </w:t>
      </w:r>
      <w:r w:rsidR="00753E76">
        <w:t xml:space="preserve">– προς το παρόν τουλάχιστον – </w:t>
      </w:r>
      <w:r w:rsidRPr="00FD040C">
        <w:t xml:space="preserve">διαστάσεις. </w:t>
      </w:r>
    </w:p>
    <w:p w14:paraId="1D91E2A6" w14:textId="5822E118" w:rsidR="005F1934" w:rsidRDefault="0034536F" w:rsidP="00F0419C">
      <w:bookmarkStart w:id="178" w:name="IVG_selective"/>
      <w:r>
        <w:t>Σε κάθε περίπτωση, παρόλα αυτά, αξίζει να σημειωθεί ότι η</w:t>
      </w:r>
      <w:r w:rsidR="00B1507F">
        <w:t xml:space="preserve"> απαγόρευση </w:t>
      </w:r>
      <w:r>
        <w:t xml:space="preserve">επιλογής φύλου εύκολα παρακάμπτεται </w:t>
      </w:r>
      <w:r w:rsidR="00B1507F">
        <w:t>μέσω της καταχρηστικής εφαρμογή</w:t>
      </w:r>
      <w:r w:rsidR="00F50FDE">
        <w:t>ς</w:t>
      </w:r>
      <w:r w:rsidR="00B1507F">
        <w:t xml:space="preserve"> της «επιλεκτικής διακοπής κύησης» (</w:t>
      </w:r>
      <w:r w:rsidR="005F1934" w:rsidRPr="005F1934">
        <w:rPr>
          <w:rStyle w:val="st"/>
          <w:i/>
        </w:rPr>
        <w:t>IVG s</w:t>
      </w:r>
      <w:r w:rsidR="005F1934" w:rsidRPr="005F1934">
        <w:rPr>
          <w:i/>
        </w:rPr>
        <w:t>é</w:t>
      </w:r>
      <w:r w:rsidR="005F1934" w:rsidRPr="005F1934">
        <w:rPr>
          <w:rStyle w:val="st"/>
          <w:i/>
        </w:rPr>
        <w:t>lective</w:t>
      </w:r>
      <w:r w:rsidR="00B1507F">
        <w:t>)</w:t>
      </w:r>
      <w:r w:rsidR="00B1507F" w:rsidRPr="005629AC">
        <w:t xml:space="preserve">. </w:t>
      </w:r>
      <w:r w:rsidR="00A94274">
        <w:t xml:space="preserve">Πιο συγκεκριμένα, υποστηρίζεται ότι </w:t>
      </w:r>
      <w:r w:rsidR="00F0419C">
        <w:t>η «επι</w:t>
      </w:r>
      <w:r w:rsidR="000A518C">
        <w:t xml:space="preserve">λεκτική </w:t>
      </w:r>
      <w:r w:rsidR="000A518C">
        <w:lastRenderedPageBreak/>
        <w:t xml:space="preserve">διακοπή κύησης» συνιστά, στην πραγματικότητα, </w:t>
      </w:r>
      <w:r w:rsidR="00F0419C">
        <w:t>καταστρατήγηση της νομοθετ</w:t>
      </w:r>
      <w:r w:rsidR="000A518C">
        <w:t xml:space="preserve">ικής απαγόρευσης επιλογής φύλου, </w:t>
      </w:r>
      <w:r w:rsidR="00F0419C">
        <w:t>δεδομένου ότι πλέον, με την πρόοδο της γενετικής, μία μητέρα μπορεί ήδη από την 8</w:t>
      </w:r>
      <w:r w:rsidR="00F0419C" w:rsidRPr="00F0419C">
        <w:rPr>
          <w:vertAlign w:val="superscript"/>
        </w:rPr>
        <w:t>η</w:t>
      </w:r>
      <w:r w:rsidR="00F0419C">
        <w:t xml:space="preserve"> εβδομάδα της κύησης</w:t>
      </w:r>
      <w:r w:rsidR="00F0419C" w:rsidRPr="00F0419C">
        <w:t xml:space="preserve"> </w:t>
      </w:r>
      <w:r w:rsidR="00F0419C">
        <w:t xml:space="preserve">και υπό το πρόσχημα κινδύνου μετάδοσης σοβαρού γενετικού νοσήματος στο έμβρυο, να μάθει με τη βοήθεια ειδικών αιματολογικών εξετάσεων το φύλο του τέκνου, χωρίς να χρειάζεται να περιμένει το δεύτερο υπερηχογράφημα. </w:t>
      </w:r>
    </w:p>
    <w:p w14:paraId="00B0B401" w14:textId="77777777" w:rsidR="0014418B" w:rsidRDefault="0014418B" w:rsidP="0014418B">
      <w:pPr>
        <w:pStyle w:val="Heading4"/>
      </w:pPr>
      <w:bookmarkStart w:id="179" w:name="_Toc276574430"/>
      <w:bookmarkEnd w:id="178"/>
      <w:r>
        <w:t>§2. Συνέπειες μη συμμόρφωσης με τις νομοθετικές προσταγές</w:t>
      </w:r>
      <w:bookmarkEnd w:id="179"/>
      <w:r>
        <w:t xml:space="preserve"> </w:t>
      </w:r>
    </w:p>
    <w:p w14:paraId="15F63899" w14:textId="77777777" w:rsidR="00E246B6" w:rsidRDefault="0014418B" w:rsidP="002C659C">
      <w:r>
        <w:t xml:space="preserve">Σε περίπτωση </w:t>
      </w:r>
      <w:r w:rsidR="00A77620">
        <w:t xml:space="preserve">παραβίασης </w:t>
      </w:r>
      <w:r w:rsidR="002C659C">
        <w:t xml:space="preserve">της νομοθετικής </w:t>
      </w:r>
      <w:r w:rsidR="00A77620">
        <w:t>απαγόρευσης επιλογής φύλου</w:t>
      </w:r>
      <w:r w:rsidR="002C659C">
        <w:t xml:space="preserve">, </w:t>
      </w:r>
      <w:r w:rsidR="002C704F">
        <w:t xml:space="preserve">τίθενται </w:t>
      </w:r>
      <w:r w:rsidR="002C659C">
        <w:t xml:space="preserve">σε εφαρμογή οι διατάξεις περί παραβίασης των προβλέψεων σχετικά με τη διενέργεια της προεμφυτευτικής διάγνωσης. </w:t>
      </w:r>
    </w:p>
    <w:p w14:paraId="21E5FBD5" w14:textId="77777777" w:rsidR="0017275A" w:rsidRDefault="002C659C" w:rsidP="002C659C">
      <w:r>
        <w:t xml:space="preserve">Οι </w:t>
      </w:r>
      <w:r w:rsidR="0017275A">
        <w:t xml:space="preserve">έννομες συνέπειες </w:t>
      </w:r>
      <w:r>
        <w:t>που επιβάλλονται</w:t>
      </w:r>
      <w:r w:rsidR="0017275A">
        <w:t xml:space="preserve"> αφορούν στον ιατρό και το διαγνωστικό κέντρο που ευθύνονται για τη λήψη απόφασης και τη διενέργεια</w:t>
      </w:r>
      <w:r>
        <w:t xml:space="preserve"> της διαγνωστικής εξέτασης και </w:t>
      </w:r>
      <w:r w:rsidR="0017275A">
        <w:t xml:space="preserve">είναι τόσο διοικητικής, όσο και ποινικής φύσης. </w:t>
      </w:r>
    </w:p>
    <w:p w14:paraId="2FDF8FAE" w14:textId="2E97D530" w:rsidR="008A71E7" w:rsidRDefault="0017275A" w:rsidP="008A71E7">
      <w:pPr>
        <w:pStyle w:val="Heading6"/>
      </w:pPr>
      <w:r w:rsidRPr="000A518C">
        <w:t>Συνέπειες διοικητικής φύσης:</w:t>
      </w:r>
    </w:p>
    <w:p w14:paraId="2996CA82" w14:textId="05CA021E" w:rsidR="0017275A" w:rsidRPr="000A518C" w:rsidRDefault="000A518C" w:rsidP="000A518C">
      <w:pPr>
        <w:rPr>
          <w:highlight w:val="lightGray"/>
        </w:rPr>
      </w:pPr>
      <w:r w:rsidRPr="00EE4056">
        <w:t xml:space="preserve">Όπως </w:t>
      </w:r>
      <w:r>
        <w:t>επισημαίνεται σε κάθε σχετικό με τη διοικητική ευθύνη των κέντρων ιατρικά υποβοηθούμενης αναπαραγωγής και άλλων διαγνωστικών εργαστηρίων</w:t>
      </w:r>
      <w:r>
        <w:rPr>
          <w:rStyle w:val="FootnoteReference"/>
        </w:rPr>
        <w:footnoteReference w:id="315"/>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r w:rsidR="00C20F5B">
        <w:t xml:space="preserve"> </w:t>
      </w:r>
    </w:p>
    <w:p w14:paraId="1B8ACC41" w14:textId="77777777" w:rsidR="0017275A" w:rsidRPr="00194FA4" w:rsidRDefault="0017275A" w:rsidP="008A71E7">
      <w:pPr>
        <w:pStyle w:val="Heading6"/>
      </w:pPr>
      <w:r w:rsidRPr="00194FA4">
        <w:t>Συνέπειες ποινικής φύσης:</w:t>
      </w:r>
    </w:p>
    <w:p w14:paraId="11DA5726" w14:textId="77777777" w:rsidR="008A71E7" w:rsidRDefault="008A71E7" w:rsidP="008A71E7">
      <w:r>
        <w:t xml:space="preserve">Δυνάμει των διατάξεων </w:t>
      </w:r>
      <w:r w:rsidRPr="00BE4BB3">
        <w:rPr>
          <w:rFonts w:eastAsia="Calibri"/>
          <w:lang w:eastAsia="en-US"/>
        </w:rPr>
        <w:t xml:space="preserve">του </w:t>
      </w:r>
      <w:r w:rsidRPr="00BE4BB3">
        <w:rPr>
          <w:rFonts w:eastAsia="Calibri"/>
          <w:b/>
          <w:lang w:eastAsia="en-US"/>
        </w:rPr>
        <w:t xml:space="preserve">άρθρου </w:t>
      </w:r>
      <w:r w:rsidRPr="00BE4BB3">
        <w:rPr>
          <w:b/>
        </w:rPr>
        <w:t xml:space="preserve">L. 2161-2 </w:t>
      </w:r>
      <w:r>
        <w:rPr>
          <w:b/>
        </w:rPr>
        <w:t>ΚΔΥ</w:t>
      </w:r>
      <w:r w:rsidRPr="00BE4BB3">
        <w:t xml:space="preserve">, οι οποίες παραπέμπουν στο άρθρο 511-21 ΠΚ και εντάσσονται στον </w:t>
      </w:r>
      <w:r w:rsidRPr="00BE4BB3">
        <w:rPr>
          <w:b/>
        </w:rPr>
        <w:t xml:space="preserve">Τίτλο </w:t>
      </w:r>
      <w:r w:rsidRPr="00BE4BB3">
        <w:rPr>
          <w:b/>
          <w:lang w:val="en-US"/>
        </w:rPr>
        <w:t>VI</w:t>
      </w:r>
      <w:r w:rsidRPr="00BE4BB3">
        <w:t xml:space="preserve"> του Κώδικα σχετικά με τις </w:t>
      </w:r>
      <w:r w:rsidRPr="00BE4BB3">
        <w:rPr>
          <w:b/>
          <w:i/>
        </w:rPr>
        <w:t>Ποινικές διατάξεις</w:t>
      </w:r>
      <w:r>
        <w:rPr>
          <w:b/>
        </w:rPr>
        <w:t xml:space="preserve">, </w:t>
      </w:r>
      <w:r w:rsidRPr="00BE4BB3">
        <w:t xml:space="preserve">και ειδικότερα αυτές που αφορούν στην </w:t>
      </w:r>
      <w:r w:rsidRPr="00BE4BB3">
        <w:rPr>
          <w:b/>
          <w:i/>
        </w:rPr>
        <w:t>Προγεννητική διάγνωση</w:t>
      </w:r>
      <w:r w:rsidRPr="00BE4BB3">
        <w:t xml:space="preserve"> (Κεφάλαιο Ι), «</w:t>
      </w:r>
      <w:r w:rsidRPr="00BE4BB3">
        <w:rPr>
          <w:i/>
        </w:rPr>
        <w:t xml:space="preserve">η παραβίαση των διατάξεων των άρθρων </w:t>
      </w:r>
      <w:r w:rsidRPr="00BE4BB3">
        <w:rPr>
          <w:i/>
          <w:lang w:val="fr-FR"/>
        </w:rPr>
        <w:t>L</w:t>
      </w:r>
      <w:r w:rsidRPr="00BE4BB3">
        <w:rPr>
          <w:i/>
        </w:rPr>
        <w:t xml:space="preserve">. 2131-4 και </w:t>
      </w:r>
      <w:r w:rsidRPr="00BE4BB3">
        <w:rPr>
          <w:i/>
          <w:lang w:val="fr-FR"/>
        </w:rPr>
        <w:t>L</w:t>
      </w:r>
      <w:r w:rsidRPr="00BE4BB3">
        <w:rPr>
          <w:i/>
        </w:rPr>
        <w:t>. 2131-4-1 σχετικά με την προεμφυτευτική διάγνωση τιμωρείται με δύο χρόνια φυλάκισης και 30</w:t>
      </w:r>
      <w:r>
        <w:rPr>
          <w:i/>
        </w:rPr>
        <w:t>.000</w:t>
      </w:r>
      <w:r w:rsidRPr="00BE4BB3">
        <w:rPr>
          <w:i/>
        </w:rPr>
        <w:t xml:space="preserve"> ευρώ χρηματική ποινή</w:t>
      </w:r>
      <w:r w:rsidRPr="00BE4BB3">
        <w:t>»</w:t>
      </w:r>
      <w:r>
        <w:t xml:space="preserve">. </w:t>
      </w:r>
    </w:p>
    <w:p w14:paraId="004E15F0" w14:textId="77777777" w:rsidR="008A71E7" w:rsidRPr="00C51393" w:rsidRDefault="008A71E7" w:rsidP="008A71E7">
      <w:r>
        <w:lastRenderedPageBreak/>
        <w:t>Τέλος, σ</w:t>
      </w:r>
      <w:r w:rsidRPr="00C51393">
        <w:t xml:space="preserve">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511-24 </w:t>
      </w:r>
      <w:r>
        <w:t>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4EAC5674" w14:textId="77777777" w:rsidR="008A71E7" w:rsidRDefault="008A71E7" w:rsidP="008A71E7">
      <w:r w:rsidRPr="002F61A0">
        <w:t xml:space="preserve">Η </w:t>
      </w:r>
      <w:r>
        <w:t>διενέργεια προεμφυτευτικής διάγνωσης</w:t>
      </w:r>
      <w:r w:rsidRPr="002F61A0">
        <w:t xml:space="preserve"> </w:t>
      </w:r>
      <w:r>
        <w:t>εμπίπτει στις δραστηριότητες της ιατρικά υποβοηθούμενης αναπαραγωγής. Κατ’ επέκταση, η</w:t>
      </w:r>
      <w:r w:rsidRPr="002F61A0">
        <w:t xml:space="preserve"> </w:t>
      </w:r>
      <w:r>
        <w:t xml:space="preserve">κατά παράβαση των νομοθετικά προβλεπόμενων διατάξεων διενέργεια της προεμφυτευτικής διαγνωστικής εξέτασης τιμωρείται δυνάμει των διατάξεων του άρθρου 511-24 ΠΚ. </w:t>
      </w:r>
    </w:p>
    <w:p w14:paraId="30F8DDFC" w14:textId="2CDA8A4A" w:rsidR="008A71E7" w:rsidRDefault="008A71E7" w:rsidP="008A71E7">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316"/>
      </w:r>
      <w:r>
        <w:t xml:space="preserve">. </w:t>
      </w:r>
    </w:p>
    <w:p w14:paraId="5DAAB71D" w14:textId="77777777" w:rsidR="00264EBE" w:rsidRDefault="00BA41F5" w:rsidP="002B0FA3">
      <w:pPr>
        <w:pStyle w:val="Heading3"/>
      </w:pPr>
      <w:bookmarkStart w:id="180" w:name="_Toc394082565"/>
      <w:bookmarkStart w:id="181" w:name="_Toc275535612"/>
      <w:bookmarkStart w:id="182" w:name="_Toc276574431"/>
      <w:r>
        <w:rPr>
          <w:lang w:val="el-GR"/>
        </w:rPr>
        <w:t>δ</w:t>
      </w:r>
      <w:r w:rsidR="002B0FA3" w:rsidRPr="004933B9">
        <w:t>. Ε</w:t>
      </w:r>
      <w:r w:rsidR="008D32DF">
        <w:t>πεμβάσεις</w:t>
      </w:r>
      <w:r w:rsidR="002B0FA3" w:rsidRPr="004933B9">
        <w:t xml:space="preserve"> «</w:t>
      </w:r>
      <w:r w:rsidR="008D32DF">
        <w:t>βελτίωσης</w:t>
      </w:r>
      <w:r w:rsidR="002B0FA3" w:rsidRPr="004933B9">
        <w:t xml:space="preserve">» </w:t>
      </w:r>
      <w:bookmarkEnd w:id="180"/>
      <w:r w:rsidR="008D32DF">
        <w:t>του γενετικού υλικού</w:t>
      </w:r>
      <w:bookmarkEnd w:id="181"/>
      <w:bookmarkEnd w:id="182"/>
    </w:p>
    <w:p w14:paraId="6E0DD80A" w14:textId="28DDA46B" w:rsidR="002B0FA3" w:rsidRPr="004933B9" w:rsidRDefault="00D766AB" w:rsidP="00D766AB">
      <w:r>
        <w:t xml:space="preserve">Οι επεμβάσεις «βελτίωσης του γενετικού υλικού» ή, αλλιώς, η «οργάνωση επιλογής προσώπων» συνιστά πρακτική που απαγορεύεται ρητά από το γάλλο νομοθέτη (§1), γεγονός που οδηγεί στο εύλογο συμπέρασμα ότι η παραβίαση της νομοθετικής αυτής απαγόρευσης συνεπάγεται την επιβολή αυστηρών ποινών, και εν προκειμένω των ποινών που προβλέπονται σε περίπτωση παραβίασης των προβλέψεων σχετικά με τη διενέργεια της προεμφυτευτικής διάγνωσης (§2). </w:t>
      </w:r>
    </w:p>
    <w:p w14:paraId="2425EF38" w14:textId="77777777" w:rsidR="00A7340F" w:rsidRDefault="00A7340F" w:rsidP="00A7340F">
      <w:pPr>
        <w:pStyle w:val="Heading4"/>
      </w:pPr>
      <w:bookmarkStart w:id="183" w:name="_Toc276574432"/>
      <w:r>
        <w:t xml:space="preserve">§1. Νομοθετική απαγόρευση «οργάνωσης </w:t>
      </w:r>
      <w:r w:rsidRPr="00AE2254">
        <w:t>επιλογής προσώπων</w:t>
      </w:r>
      <w:r>
        <w:t>»</w:t>
      </w:r>
      <w:bookmarkEnd w:id="183"/>
      <w:r>
        <w:t xml:space="preserve"> </w:t>
      </w:r>
    </w:p>
    <w:p w14:paraId="5E570D49" w14:textId="39436DB1" w:rsidR="009D1F00" w:rsidRDefault="009D1F00" w:rsidP="00963423">
      <w:r>
        <w:t>Τα χαρακτηριστικά του γονιδιώματος είναι μοναδικά σε κάθε άνθρωπο. Ο Νόμος της 29</w:t>
      </w:r>
      <w:r w:rsidRPr="00D20857">
        <w:rPr>
          <w:vertAlign w:val="superscript"/>
        </w:rPr>
        <w:t>ης</w:t>
      </w:r>
      <w:r>
        <w:t xml:space="preserve"> Ιουλίου 1994 σχετικά με το σεβασμό του </w:t>
      </w:r>
      <w:r w:rsidR="00653769">
        <w:t>ανθρωπίνου</w:t>
      </w:r>
      <w:r>
        <w:t xml:space="preserve"> σώματος, προκειμένου να διασφαλίσει την προστασία της γενετικής κληρονομιάς, απαγόρευσε τους γενετικούς χειρισμούς που θα μπορούσαν να οδηγήσουν σε αλλοίωση των χαρακτηριστικών του </w:t>
      </w:r>
      <w:r w:rsidR="00653769">
        <w:t>ανθρωπίνου</w:t>
      </w:r>
      <w:r>
        <w:t xml:space="preserve"> είδους. Ο ίδιος νόμος απαγόρευσε επίσης κάθε αλλοίωση των γενετικών χαρακτηριστικών</w:t>
      </w:r>
      <w:r w:rsidR="00AF512B">
        <w:t xml:space="preserve"> με σκοπό να τροποποιηθεί η </w:t>
      </w:r>
      <w:r w:rsidR="000D786C">
        <w:t>καταγωγή</w:t>
      </w:r>
      <w:r w:rsidR="00AF512B">
        <w:t xml:space="preserve"> του προσώπου. Προς ενίσχυση των διατάξεων αυτών, ο νομοθέτης του 1994 ενσωμάτωσε στο άρθρο 511-1 ΠΚ ποινική κύρωση που επέβαλε ποινή κάθειρξης ύψους είκοσι ετών σε περίπτωση εφαρμογής </w:t>
      </w:r>
      <w:r w:rsidR="00963423">
        <w:t xml:space="preserve">ευγονικής πρακτικής με σκοπό την οργάνωση επιλογής προσώπων. Σήμερα, μπορεί το άρθρο 511-1 ΠΚ </w:t>
      </w:r>
      <w:r w:rsidR="00963423">
        <w:lastRenderedPageBreak/>
        <w:t xml:space="preserve">να έχει αναθεωρηθεί, ωστόσο, οι θεμελιώδεις αρχές της απαγόρευσης επιλογής ή βελτίωσης του γενετικού υλικού έχουν αποτυπωθεί στον Αστικό Κώδικα. </w:t>
      </w:r>
    </w:p>
    <w:p w14:paraId="4CA59078" w14:textId="1E8FDC31" w:rsidR="009D1F00" w:rsidRDefault="00963423" w:rsidP="00AE2254">
      <w:r>
        <w:t xml:space="preserve">Ειδικότερα, </w:t>
      </w:r>
      <w:r w:rsidR="00AE2254">
        <w:t>το άρθρο</w:t>
      </w:r>
      <w:r>
        <w:t xml:space="preserve"> 16-4, παρ. 1, ΑΚ</w:t>
      </w:r>
      <w:r w:rsidR="00AE2254">
        <w:t xml:space="preserve"> απαγορεύει κάθε προσβολή της ακεραιότητας του </w:t>
      </w:r>
      <w:r w:rsidR="00653769">
        <w:t>ανθρωπίνου</w:t>
      </w:r>
      <w:r w:rsidR="00AE2254">
        <w:t xml:space="preserve"> είδους, εξειδικεύοντας τη διάταξη αυτή στις αμέσως επόμενες παραγράφους</w:t>
      </w:r>
      <w:r w:rsidR="000D786C">
        <w:t>,</w:t>
      </w:r>
      <w:r w:rsidR="00AE2254">
        <w:t xml:space="preserve"> όπου </w:t>
      </w:r>
      <w:r w:rsidR="000D786C">
        <w:t>ορίζεται</w:t>
      </w:r>
      <w:r w:rsidR="00AE2254">
        <w:t xml:space="preserve"> ότι «</w:t>
      </w:r>
      <w:r w:rsidR="00AE2254" w:rsidRPr="00AE2254">
        <w:rPr>
          <w:i/>
        </w:rPr>
        <w:t xml:space="preserve">απαγορεύεται κάθε </w:t>
      </w:r>
      <w:r w:rsidR="00AF512B" w:rsidRPr="00AE2254">
        <w:rPr>
          <w:i/>
        </w:rPr>
        <w:t>πρακτική ευγονικής που αποσκοπεί στην οργάνωση επιλογής προσώπων</w:t>
      </w:r>
      <w:r w:rsidR="00AF512B">
        <w:t>» (άρθρο</w:t>
      </w:r>
      <w:r w:rsidR="000D786C">
        <w:t xml:space="preserve"> 16-4, παρ. 2, ΑΚ) </w:t>
      </w:r>
      <w:r w:rsidR="00AE2254">
        <w:t>και ότι «</w:t>
      </w:r>
      <w:r w:rsidR="00AE2254" w:rsidRPr="00A7340F">
        <w:rPr>
          <w:i/>
        </w:rPr>
        <w:t>με την</w:t>
      </w:r>
      <w:r w:rsidR="00AE2254" w:rsidRPr="00A7340F">
        <w:rPr>
          <w:b/>
          <w:i/>
        </w:rPr>
        <w:t xml:space="preserve"> </w:t>
      </w:r>
      <w:r w:rsidR="00AE2254" w:rsidRPr="00A7340F">
        <w:rPr>
          <w:i/>
        </w:rPr>
        <w:t xml:space="preserve">επιφύλαξη της έρευνας με σκοπό την πρόληψη και θεραπεία γενετικών παθήσεων, καμία αλλοίωση δε μπορεί να γίνει στα γενετικά χαρακτηριστικά με σκοπό να τροποποιηθεί </w:t>
      </w:r>
      <w:r w:rsidR="00AE2254" w:rsidRPr="000D786C">
        <w:rPr>
          <w:i/>
        </w:rPr>
        <w:t xml:space="preserve">η </w:t>
      </w:r>
      <w:r w:rsidR="000D786C">
        <w:rPr>
          <w:i/>
        </w:rPr>
        <w:t>καταγωγή</w:t>
      </w:r>
      <w:r w:rsidR="00AE2254" w:rsidRPr="00A7340F">
        <w:rPr>
          <w:i/>
        </w:rPr>
        <w:t xml:space="preserve"> (</w:t>
      </w:r>
      <w:r w:rsidR="00AE2254" w:rsidRPr="00A7340F">
        <w:rPr>
          <w:i/>
          <w:lang w:val="en-US"/>
        </w:rPr>
        <w:t>descendance</w:t>
      </w:r>
      <w:r w:rsidR="00AE2254" w:rsidRPr="00A7340F">
        <w:rPr>
          <w:i/>
        </w:rPr>
        <w:t>) του προσώπου</w:t>
      </w:r>
      <w:r w:rsidR="00AE2254">
        <w:t xml:space="preserve">» (άρθρο 16-4, παρ. 4, ΑΚ). </w:t>
      </w:r>
    </w:p>
    <w:p w14:paraId="06A43B77" w14:textId="22E5CBBD" w:rsidR="002B0FA3" w:rsidRPr="008B498A" w:rsidRDefault="002B0FA3" w:rsidP="00A743AC">
      <w:pPr>
        <w:rPr>
          <w:rFonts w:eastAsia="Calibri"/>
        </w:rPr>
      </w:pPr>
      <w:r>
        <w:rPr>
          <w:rFonts w:eastAsia="Calibri"/>
        </w:rPr>
        <w:t xml:space="preserve">Σύμφωνα, δε, με το </w:t>
      </w:r>
      <w:r w:rsidRPr="001358DC">
        <w:rPr>
          <w:rFonts w:eastAsia="Calibri"/>
          <w:b/>
        </w:rPr>
        <w:t>άρθρο 16-9 ΑΚ</w:t>
      </w:r>
      <w:r>
        <w:rPr>
          <w:rFonts w:eastAsia="Calibri"/>
        </w:rPr>
        <w:t>, οι διατάξεις των άρθρων 16 έως 16-8</w:t>
      </w:r>
      <w:r w:rsidR="00530F03">
        <w:rPr>
          <w:rFonts w:eastAsia="Calibri"/>
        </w:rPr>
        <w:t xml:space="preserve"> ΑΚ</w:t>
      </w:r>
      <w:r>
        <w:rPr>
          <w:rFonts w:eastAsia="Calibri"/>
        </w:rPr>
        <w:t xml:space="preserve"> είναι αναγκαστικού δικαίου. </w:t>
      </w:r>
    </w:p>
    <w:p w14:paraId="6589FEF9" w14:textId="434440D8" w:rsidR="00CF65DF" w:rsidRDefault="002B0FA3" w:rsidP="00CE2BD5">
      <w:r>
        <w:t xml:space="preserve">Η </w:t>
      </w:r>
      <w:r w:rsidR="004E2D10">
        <w:t xml:space="preserve">απαγόρευση </w:t>
      </w:r>
      <w:r>
        <w:t>«βελτίωση</w:t>
      </w:r>
      <w:r w:rsidR="004E2D10">
        <w:t>ς</w:t>
      </w:r>
      <w:r>
        <w:t xml:space="preserve">» </w:t>
      </w:r>
      <w:r w:rsidR="004E2D10">
        <w:t xml:space="preserve">του </w:t>
      </w:r>
      <w:r w:rsidR="00530F03">
        <w:t xml:space="preserve">γενετικού υλικού στη Γαλλία, </w:t>
      </w:r>
      <w:r w:rsidR="004E2D10">
        <w:t>ακό</w:t>
      </w:r>
      <w:r w:rsidR="00530F03">
        <w:t xml:space="preserve">μη και για θεραπευτικούς λόγους, </w:t>
      </w:r>
      <w:r w:rsidR="004E2D10">
        <w:t xml:space="preserve">προκύπτει έμμεσα και από </w:t>
      </w:r>
      <w:r w:rsidR="000E71E8">
        <w:t xml:space="preserve">τις σχετικές με την </w:t>
      </w:r>
      <w:r>
        <w:t>προεμφυτευτική διάγνωση</w:t>
      </w:r>
      <w:r w:rsidR="000E71E8">
        <w:t xml:space="preserve"> διατάξεις. Όπως αναφέρθηκε εκτενέστερα πιο πάνω,</w:t>
      </w:r>
      <w:r>
        <w:t xml:space="preserve"> σύμφωνα με τις διατάξεις του </w:t>
      </w:r>
      <w:r w:rsidRPr="000E3421">
        <w:rPr>
          <w:b/>
        </w:rPr>
        <w:t xml:space="preserve">άρθρου L. 2131-4 </w:t>
      </w:r>
      <w:r w:rsidR="005A1087">
        <w:rPr>
          <w:b/>
        </w:rPr>
        <w:t>ΚΔΥ</w:t>
      </w:r>
      <w:r>
        <w:t xml:space="preserve">, </w:t>
      </w:r>
      <w:r w:rsidR="000E71E8">
        <w:t xml:space="preserve">η διενέργεια προεμφυτευτικής διάγνωσης </w:t>
      </w:r>
      <w:r>
        <w:t>επιτρέπεται μόνο κατ’ εξαίρεση και υπό συγκεκριμένες προϋποθέσει</w:t>
      </w:r>
      <w:r w:rsidR="00053EEB">
        <w:t>ς, αυστηρά θεραπευτικού σκοπού</w:t>
      </w:r>
      <w:r w:rsidR="00053EEB">
        <w:rPr>
          <w:rStyle w:val="FootnoteReference"/>
        </w:rPr>
        <w:footnoteReference w:id="317"/>
      </w:r>
      <w:r w:rsidR="00053EEB">
        <w:t xml:space="preserve">. </w:t>
      </w:r>
    </w:p>
    <w:p w14:paraId="0E83F2E1" w14:textId="77777777" w:rsidR="00530F03" w:rsidRDefault="00B84677" w:rsidP="004008A5">
      <w:r>
        <w:t>Με τη νομοθετική απαγόρευση επεμβάσεων στα γενετικά χαρακτηριστικά του προσώπου συμφωνεί το σύνολο των προσώπων αναφοράς τα οποία ερωτήθηκαν σχετικά. Ενδεικτικό είναι ότι τα επτά από τα οχτώ πρόσωπα, στην ερώτηση σχετικά με το αν κατά τη γνώμη τους</w:t>
      </w:r>
      <w:r w:rsidRPr="00E51344">
        <w:t xml:space="preserve"> πρέπει να επιτρέπεται η </w:t>
      </w:r>
      <w:r>
        <w:t>επέμβαση στο γενετικό υλικό</w:t>
      </w:r>
      <w:r w:rsidRPr="00E51344">
        <w:t xml:space="preserve"> μέσ</w:t>
      </w:r>
      <w:r>
        <w:t>ω της εφαρμογής των μεθόδων ιατρικά υποβοηθούμενης αναπαραγωγής, απάντησαν αρνητικά</w:t>
      </w:r>
      <w:r>
        <w:rPr>
          <w:rStyle w:val="FootnoteReference"/>
        </w:rPr>
        <w:footnoteReference w:id="318"/>
      </w:r>
      <w:r>
        <w:t xml:space="preserve">. </w:t>
      </w:r>
      <w:r w:rsidR="005E17AB">
        <w:t xml:space="preserve">«Οι αντιρρήσεις», όπως χαρακτηριστικά υποστηρίζει η </w:t>
      </w:r>
      <w:r w:rsidR="005E17AB">
        <w:rPr>
          <w:lang w:val="en-US"/>
        </w:rPr>
        <w:t xml:space="preserve">Simone Bateman, </w:t>
      </w:r>
      <w:r w:rsidR="005E17AB">
        <w:t>«</w:t>
      </w:r>
      <w:r w:rsidR="00325896" w:rsidRPr="005E17AB">
        <w:t xml:space="preserve">είναι </w:t>
      </w:r>
      <w:r w:rsidR="00530F03" w:rsidRPr="005E17AB">
        <w:t xml:space="preserve">ιδίως </w:t>
      </w:r>
      <w:r w:rsidR="00325896" w:rsidRPr="005E17AB">
        <w:t xml:space="preserve">κοινωνιολογικής και ηθικής φύσης. </w:t>
      </w:r>
      <w:r w:rsidR="00530F03">
        <w:t>Η επιδίωξη του ανθρώπου</w:t>
      </w:r>
      <w:r w:rsidR="00325896" w:rsidRPr="005E17AB">
        <w:t xml:space="preserve"> να ελέγχει τα πάντα</w:t>
      </w:r>
      <w:r w:rsidR="00530F03" w:rsidRPr="00530F03">
        <w:t xml:space="preserve"> </w:t>
      </w:r>
      <w:r w:rsidR="00530F03">
        <w:t>είναι μάταιη</w:t>
      </w:r>
      <w:r w:rsidR="00325896" w:rsidRPr="005E17AB">
        <w:t>. Δε μπορεί ν</w:t>
      </w:r>
      <w:r w:rsidR="005E17AB">
        <w:t xml:space="preserve">α υπάρχει ένας τύπος κοινωνίας. Είναι αδύνατο </w:t>
      </w:r>
      <w:r w:rsidR="00325896" w:rsidRPr="005E17AB">
        <w:t xml:space="preserve">να συνθέσουμε τη δική μας εκδοχή της κοινωνίας. </w:t>
      </w:r>
      <w:r w:rsidR="005E17AB" w:rsidRPr="005E17AB">
        <w:t xml:space="preserve">Δε μπορούμε </w:t>
      </w:r>
      <w:r w:rsidR="005E17AB">
        <w:t xml:space="preserve">και δεν πρέπει </w:t>
      </w:r>
      <w:r w:rsidR="005E17AB" w:rsidRPr="005E17AB">
        <w:t xml:space="preserve">να ελέγχουμε τα πάντα. </w:t>
      </w:r>
      <w:r w:rsidR="00325896" w:rsidRPr="005E17AB">
        <w:t>Η κοινωνία χρειάζεται διάφορα ταλέντα. Η εξυπνάδα πρέπει πάντα να αξιολογείται σε συνάφεια με το περιβάλλον κ</w:t>
      </w:r>
      <w:r w:rsidR="005E17AB">
        <w:t xml:space="preserve">αι τις ικανότητες του ανθρώπου. Εξάλλου, </w:t>
      </w:r>
      <w:r w:rsidR="00325896" w:rsidRPr="005E17AB">
        <w:t>αναγκαία είναι η βιοποικι</w:t>
      </w:r>
      <w:r w:rsidR="005E17AB">
        <w:t xml:space="preserve">λότητα, η διαφορετικότητα». Για τους πιο πάνω λόγους λοιπόν και η ίδια είναι αντίθετη στην </w:t>
      </w:r>
      <w:r w:rsidR="00E3416C">
        <w:t>ιδέα της γενετικής βελτίωση</w:t>
      </w:r>
      <w:r w:rsidR="00530F03">
        <w:t>ς, δεδομένου ότι «η κοινωνία</w:t>
      </w:r>
      <w:r w:rsidR="00E3416C">
        <w:t xml:space="preserve"> μας δεν είναι</w:t>
      </w:r>
      <w:r w:rsidR="00325896" w:rsidRPr="005E17AB">
        <w:t xml:space="preserve"> </w:t>
      </w:r>
      <w:r w:rsidR="00E3416C">
        <w:t>ακόμη σε θέση ούτε να γνωρίζει</w:t>
      </w:r>
      <w:r w:rsidR="00325896" w:rsidRPr="005E17AB">
        <w:t xml:space="preserve"> τις μακροπρόθεσμες συνέπειες μιας τέτοι</w:t>
      </w:r>
      <w:r w:rsidR="00E3416C">
        <w:t>ας εξέλιξης, ούτε να τις ελέγξει»</w:t>
      </w:r>
      <w:r w:rsidR="00E3416C" w:rsidRPr="005E17AB">
        <w:rPr>
          <w:rStyle w:val="FootnoteReference"/>
        </w:rPr>
        <w:footnoteReference w:id="319"/>
      </w:r>
      <w:r w:rsidR="00E3416C">
        <w:t xml:space="preserve">. </w:t>
      </w:r>
    </w:p>
    <w:p w14:paraId="7A077FE1" w14:textId="77095B35" w:rsidR="009732EB" w:rsidRPr="004008A5" w:rsidRDefault="004008A5" w:rsidP="004008A5">
      <w:pPr>
        <w:rPr>
          <w:lang w:val="en-US"/>
        </w:rPr>
      </w:pPr>
      <w:r>
        <w:t xml:space="preserve">Στο ίδιο συμπέρασμα, αλλά με διαφορετική επιχειρηματολογία καταλήγει και ο </w:t>
      </w:r>
      <w:r>
        <w:rPr>
          <w:lang w:val="en-US"/>
        </w:rPr>
        <w:t xml:space="preserve">Pierre Jouannet, </w:t>
      </w:r>
      <w:r>
        <w:t xml:space="preserve">ο οποίος θεωρεί </w:t>
      </w:r>
      <w:r w:rsidRPr="004008A5">
        <w:t>ότι «τ</w:t>
      </w:r>
      <w:r w:rsidR="00C84C25" w:rsidRPr="004008A5">
        <w:t xml:space="preserve">α πρόσωπα που καταφεύγουν στην </w:t>
      </w:r>
      <w:r w:rsidRPr="004008A5">
        <w:t>ιατρικά υποβοηθούμενη αναπαραγωγή</w:t>
      </w:r>
      <w:r w:rsidR="00C84C25" w:rsidRPr="004008A5">
        <w:t xml:space="preserve"> έχουν πολύ πιο σοβαρά προβλήματα</w:t>
      </w:r>
      <w:r w:rsidRPr="004008A5">
        <w:t>:</w:t>
      </w:r>
      <w:r w:rsidR="00C84C25" w:rsidRPr="004008A5">
        <w:t xml:space="preserve"> θέλουν πάση θυσία να αποκτήσουν </w:t>
      </w:r>
      <w:r w:rsidR="00C84C25" w:rsidRPr="004008A5">
        <w:lastRenderedPageBreak/>
        <w:t>παιδί. Δεν τους ενδιαφέρει να καθορίσουν το φύλο ή το ύψος ή άλλα χαρακτηριστικά της εμφάνισης ή της ευφυΐας του</w:t>
      </w:r>
      <w:r w:rsidRPr="004008A5">
        <w:t>»</w:t>
      </w:r>
      <w:r w:rsidR="00C84C25" w:rsidRPr="004008A5">
        <w:rPr>
          <w:rStyle w:val="FootnoteReference"/>
        </w:rPr>
        <w:footnoteReference w:id="320"/>
      </w:r>
      <w:r w:rsidR="00C84C25" w:rsidRPr="004008A5">
        <w:t>.</w:t>
      </w:r>
      <w:r w:rsidR="00C84C25">
        <w:t xml:space="preserve"> </w:t>
      </w:r>
    </w:p>
    <w:p w14:paraId="0CC1CA63" w14:textId="7483C5D7" w:rsidR="00B257F5" w:rsidRDefault="005E17AB" w:rsidP="005E17AB">
      <w:r>
        <w:t xml:space="preserve">Μοναδική εξαίρεση αποτελεί η </w:t>
      </w:r>
      <w:r>
        <w:rPr>
          <w:lang w:val="en-US"/>
        </w:rPr>
        <w:t>Aude Mirkovic</w:t>
      </w:r>
      <w:r>
        <w:t>, η οποία θεωρεί ότι θα πρέπει να επιτρέπεται η επέμβαση μόνο στους γαμέτες (σπέρ</w:t>
      </w:r>
      <w:r w:rsidR="00530F03">
        <w:t>μ</w:t>
      </w:r>
      <w:r>
        <w:t xml:space="preserve">α και ωάρια), </w:t>
      </w:r>
      <w:r w:rsidRPr="00B84677">
        <w:t>όταν η μειονεξία με την οποία αναμένεται ότι θα γεννηθεί το παιδί είναι πολύ σοβαρή</w:t>
      </w:r>
      <w:r>
        <w:t>. Τάσσεται κατηγορηματικά κατά οποιασδήποτε επέμβασης βελτίωσης σε γονιμοποιημένο ωάριο</w:t>
      </w:r>
      <w:r w:rsidRPr="00E51344">
        <w:t xml:space="preserve">, </w:t>
      </w:r>
      <w:r w:rsidR="00530F03">
        <w:t>το οποίο</w:t>
      </w:r>
      <w:r>
        <w:t xml:space="preserve"> κατά τη γνώμη της αποτελεί έμβρυο</w:t>
      </w:r>
      <w:r w:rsidRPr="00E51344">
        <w:t xml:space="preserve">, </w:t>
      </w:r>
      <w:r>
        <w:t xml:space="preserve">δηλαδή </w:t>
      </w:r>
      <w:r w:rsidRPr="00E51344">
        <w:t>μικρό ανθρώ</w:t>
      </w:r>
      <w:r>
        <w:t>πινο ον</w:t>
      </w:r>
      <w:r>
        <w:rPr>
          <w:rStyle w:val="FootnoteReference"/>
        </w:rPr>
        <w:footnoteReference w:id="321"/>
      </w:r>
      <w:r>
        <w:t>.</w:t>
      </w:r>
    </w:p>
    <w:p w14:paraId="017DDDF5" w14:textId="7E49C5B5" w:rsidR="00B257F5" w:rsidRDefault="00D40560" w:rsidP="005E17AB">
      <w:r w:rsidRPr="00A77484">
        <w:t>Σε κάθε περίπτωση, παρόλα αυτά, αξίζει να σημειωθεί ότι η απαγόρευση γενετικών αλλοιώσεων θα μπορούσε να παρακαμφθεί, όπως και στην περίπτωση της απαγόρευσης επιλογής φύλου, μέσω της καταχρηστικής εφαρμογή της «επιλεκτικής διακοπής κύησης» (</w:t>
      </w:r>
      <w:r w:rsidRPr="00A77484">
        <w:rPr>
          <w:rStyle w:val="st"/>
          <w:i/>
        </w:rPr>
        <w:t>IVG s</w:t>
      </w:r>
      <w:r w:rsidRPr="00A77484">
        <w:rPr>
          <w:i/>
        </w:rPr>
        <w:t>é</w:t>
      </w:r>
      <w:r w:rsidRPr="00A77484">
        <w:rPr>
          <w:rStyle w:val="st"/>
          <w:i/>
        </w:rPr>
        <w:t>lective</w:t>
      </w:r>
      <w:r w:rsidRPr="00A77484">
        <w:t>)</w:t>
      </w:r>
      <w:r w:rsidRPr="00A77484">
        <w:rPr>
          <w:rStyle w:val="FootnoteReference"/>
        </w:rPr>
        <w:footnoteReference w:id="322"/>
      </w:r>
      <w:r w:rsidRPr="00A77484">
        <w:t>.</w:t>
      </w:r>
    </w:p>
    <w:p w14:paraId="54B8B700" w14:textId="77777777" w:rsidR="002C704F" w:rsidRDefault="002C704F" w:rsidP="002C704F">
      <w:pPr>
        <w:pStyle w:val="Heading4"/>
      </w:pPr>
      <w:bookmarkStart w:id="184" w:name="_Toc276574433"/>
      <w:r>
        <w:t>§2. Συνέπειες μη συμμόρφωσης με τις νομοθετικές προσταγές</w:t>
      </w:r>
      <w:bookmarkEnd w:id="184"/>
      <w:r>
        <w:t xml:space="preserve"> </w:t>
      </w:r>
    </w:p>
    <w:p w14:paraId="4D516147" w14:textId="77777777" w:rsidR="00E246B6" w:rsidRDefault="002C704F" w:rsidP="002C704F">
      <w:r>
        <w:t xml:space="preserve">Σε περίπτωση παραβίασης της νομοθετικής απαγόρευσης </w:t>
      </w:r>
      <w:r w:rsidR="00E246B6">
        <w:t>επεμβάσεων «βελτίωσης» του γενετικού υλικού</w:t>
      </w:r>
      <w:r>
        <w:t xml:space="preserve">, σε εφαρμογή τίθενται οι διατάξεις περί παραβίασης των προβλέψεων σχετικά με τη διενέργεια της προεμφυτευτικής διάγνωσης. </w:t>
      </w:r>
    </w:p>
    <w:p w14:paraId="460DC3C6" w14:textId="77777777" w:rsidR="002C704F" w:rsidRDefault="002C704F" w:rsidP="002C704F">
      <w:r>
        <w:t xml:space="preserve">Οι έννομες συνέπειες που επιβάλλονται αφορούν στον ιατρό και το διαγνωστικό κέντρο που ευθύνονται για τη λήψη απόφασης και τη διενέργεια της διαγνωστικής εξέτασης και είναι τόσο διοικητικής, όσο και ποινικής φύσης. </w:t>
      </w:r>
    </w:p>
    <w:p w14:paraId="0EEDC07E" w14:textId="77777777" w:rsidR="006120EB" w:rsidRDefault="006120EB" w:rsidP="006120EB">
      <w:pPr>
        <w:pStyle w:val="Heading6"/>
      </w:pPr>
      <w:r w:rsidRPr="000A518C">
        <w:t>Συνέπειες διοικητικής φύσης:</w:t>
      </w:r>
    </w:p>
    <w:p w14:paraId="51FE5A32" w14:textId="77777777" w:rsidR="006120EB" w:rsidRPr="000A518C" w:rsidRDefault="006120EB" w:rsidP="006120EB">
      <w:pPr>
        <w:rPr>
          <w:highlight w:val="lightGray"/>
        </w:rPr>
      </w:pPr>
      <w:r w:rsidRPr="00EE4056">
        <w:t xml:space="preserve">Όπως </w:t>
      </w:r>
      <w:r>
        <w:t>επισημαίνεται σε κάθε σχετικό με τη διοικητική ευθύνη των κέντρων ιατρικά υποβοηθούμενης αναπαραγωγής και άλλων διαγνωστικών εργαστηρίων</w:t>
      </w:r>
      <w:r>
        <w:rPr>
          <w:rStyle w:val="FootnoteReference"/>
        </w:rPr>
        <w:footnoteReference w:id="323"/>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w:t>
      </w:r>
      <w:r w:rsidRPr="00E84B0B">
        <w:t>επιβάλλονται στους υπεύθυνους επαγγελματίες υγείας για τις «παραβατικές» σύμφωνα με τα ανωτέρω συμπεριφορές.</w:t>
      </w:r>
      <w:r>
        <w:t xml:space="preserve"> </w:t>
      </w:r>
    </w:p>
    <w:p w14:paraId="25D70163" w14:textId="77777777" w:rsidR="006120EB" w:rsidRPr="00194FA4" w:rsidRDefault="006120EB" w:rsidP="006120EB">
      <w:pPr>
        <w:pStyle w:val="Heading6"/>
      </w:pPr>
      <w:r w:rsidRPr="00194FA4">
        <w:lastRenderedPageBreak/>
        <w:t>Συνέπειες ποινικής φύσης:</w:t>
      </w:r>
    </w:p>
    <w:p w14:paraId="445D08E8" w14:textId="77777777" w:rsidR="006120EB" w:rsidRDefault="006120EB" w:rsidP="006120EB">
      <w:r>
        <w:t xml:space="preserve">Δυνάμει των διατάξεων </w:t>
      </w:r>
      <w:r w:rsidRPr="00BE4BB3">
        <w:rPr>
          <w:rFonts w:eastAsia="Calibri"/>
          <w:lang w:eastAsia="en-US"/>
        </w:rPr>
        <w:t xml:space="preserve">του </w:t>
      </w:r>
      <w:r w:rsidRPr="00BE4BB3">
        <w:rPr>
          <w:rFonts w:eastAsia="Calibri"/>
          <w:b/>
          <w:lang w:eastAsia="en-US"/>
        </w:rPr>
        <w:t xml:space="preserve">άρθρου </w:t>
      </w:r>
      <w:r w:rsidRPr="00BE4BB3">
        <w:rPr>
          <w:b/>
        </w:rPr>
        <w:t xml:space="preserve">L. 2161-2 </w:t>
      </w:r>
      <w:r>
        <w:rPr>
          <w:b/>
        </w:rPr>
        <w:t>ΚΔΥ</w:t>
      </w:r>
      <w:r w:rsidRPr="00BE4BB3">
        <w:t xml:space="preserve">, οι οποίες παραπέμπουν στο άρθρο 511-21 ΠΚ και εντάσσονται στον </w:t>
      </w:r>
      <w:r w:rsidRPr="00BE4BB3">
        <w:rPr>
          <w:b/>
        </w:rPr>
        <w:t xml:space="preserve">Τίτλο </w:t>
      </w:r>
      <w:r w:rsidRPr="00BE4BB3">
        <w:rPr>
          <w:b/>
          <w:lang w:val="en-US"/>
        </w:rPr>
        <w:t>VI</w:t>
      </w:r>
      <w:r w:rsidRPr="00BE4BB3">
        <w:t xml:space="preserve"> του Κώδικα σχετικά με τις </w:t>
      </w:r>
      <w:r w:rsidRPr="00BE4BB3">
        <w:rPr>
          <w:b/>
          <w:i/>
        </w:rPr>
        <w:t>Ποινικές διατάξεις</w:t>
      </w:r>
      <w:r>
        <w:rPr>
          <w:b/>
        </w:rPr>
        <w:t xml:space="preserve">, </w:t>
      </w:r>
      <w:r w:rsidRPr="00BE4BB3">
        <w:t xml:space="preserve">και ειδικότερα αυτές που αφορούν στην </w:t>
      </w:r>
      <w:r w:rsidRPr="00BE4BB3">
        <w:rPr>
          <w:b/>
          <w:i/>
        </w:rPr>
        <w:t>Προγεννητική διάγνωση</w:t>
      </w:r>
      <w:r w:rsidRPr="00BE4BB3">
        <w:t xml:space="preserve"> (Κεφάλαιο Ι), «</w:t>
      </w:r>
      <w:r w:rsidRPr="00BE4BB3">
        <w:rPr>
          <w:i/>
        </w:rPr>
        <w:t xml:space="preserve">η παραβίαση των διατάξεων των άρθρων </w:t>
      </w:r>
      <w:r w:rsidRPr="00BE4BB3">
        <w:rPr>
          <w:i/>
          <w:lang w:val="fr-FR"/>
        </w:rPr>
        <w:t>L</w:t>
      </w:r>
      <w:r w:rsidRPr="00BE4BB3">
        <w:rPr>
          <w:i/>
        </w:rPr>
        <w:t xml:space="preserve">. 2131-4 και </w:t>
      </w:r>
      <w:r w:rsidRPr="00BE4BB3">
        <w:rPr>
          <w:i/>
          <w:lang w:val="fr-FR"/>
        </w:rPr>
        <w:t>L</w:t>
      </w:r>
      <w:r w:rsidRPr="00BE4BB3">
        <w:rPr>
          <w:i/>
        </w:rPr>
        <w:t>. 2131-4-1 σχετικά με την προεμφυτευτική διάγνωση τιμωρείται με δύο χρόνια φυλάκισης και 30</w:t>
      </w:r>
      <w:r>
        <w:rPr>
          <w:i/>
        </w:rPr>
        <w:t>.000</w:t>
      </w:r>
      <w:r w:rsidRPr="00BE4BB3">
        <w:rPr>
          <w:i/>
        </w:rPr>
        <w:t xml:space="preserve"> ευρώ χρηματική ποινή</w:t>
      </w:r>
      <w:r w:rsidRPr="00BE4BB3">
        <w:t>»</w:t>
      </w:r>
      <w:r>
        <w:t xml:space="preserve">. </w:t>
      </w:r>
    </w:p>
    <w:p w14:paraId="402B933C" w14:textId="77777777" w:rsidR="006120EB" w:rsidRPr="00C51393" w:rsidRDefault="006120EB" w:rsidP="006120EB">
      <w:r>
        <w:t>Τέλος, σ</w:t>
      </w:r>
      <w:r w:rsidRPr="00C51393">
        <w:t xml:space="preserve">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511-24 </w:t>
      </w:r>
      <w:r>
        <w:t>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62BC2E4D" w14:textId="77777777" w:rsidR="006120EB" w:rsidRDefault="006120EB" w:rsidP="006120EB">
      <w:r w:rsidRPr="002F61A0">
        <w:t xml:space="preserve">Η </w:t>
      </w:r>
      <w:r>
        <w:t>διενέργεια προεμφυτευτικής διάγνωσης</w:t>
      </w:r>
      <w:r w:rsidRPr="002F61A0">
        <w:t xml:space="preserve"> </w:t>
      </w:r>
      <w:r>
        <w:t>εμπίπτει στις δραστηριότητες της ιατρικά υποβοηθούμενης αναπαραγωγής. Κατ’ επέκταση, η</w:t>
      </w:r>
      <w:r w:rsidRPr="002F61A0">
        <w:t xml:space="preserve"> </w:t>
      </w:r>
      <w:r>
        <w:t xml:space="preserve">κατά παράβαση των νομοθετικά προβλεπόμενων διατάξεων διενέργεια της προεμφυτευτικής διαγνωστικής εξέτασης τιμωρείται δυνάμει των διατάξεων του άρθρου 511-24 ΠΚ. </w:t>
      </w:r>
    </w:p>
    <w:p w14:paraId="68492114" w14:textId="77777777" w:rsidR="006120EB" w:rsidRDefault="006120EB" w:rsidP="006120EB">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w:t>
      </w:r>
      <w:r w:rsidRPr="0059473C">
        <w:t>πράξεις</w:t>
      </w:r>
      <w:r w:rsidRPr="0059473C">
        <w:rPr>
          <w:rStyle w:val="FootnoteReference"/>
        </w:rPr>
        <w:footnoteReference w:id="324"/>
      </w:r>
      <w:r>
        <w:t xml:space="preserve">. </w:t>
      </w:r>
    </w:p>
    <w:p w14:paraId="728CC831" w14:textId="77777777" w:rsidR="00A254D3" w:rsidRPr="0027160A" w:rsidRDefault="00A254D3" w:rsidP="00A254D3">
      <w:pPr>
        <w:pStyle w:val="Heading1"/>
      </w:pPr>
      <w:bookmarkStart w:id="185" w:name="_Toc394082566"/>
      <w:bookmarkStart w:id="186" w:name="_Toc275535613"/>
      <w:bookmarkStart w:id="187" w:name="_Toc276574434"/>
      <w:bookmarkStart w:id="188" w:name="_Toc394082570"/>
      <w:r w:rsidRPr="0027160A">
        <w:lastRenderedPageBreak/>
        <w:t xml:space="preserve">ΙΙΙ. ΕΙΔΙΚΕΣ ΜΟΡΦΕΣ </w:t>
      </w:r>
      <w:r w:rsidR="00766332">
        <w:t xml:space="preserve">ΤΗΣ ΙΑΤΡΙΚΑ </w:t>
      </w:r>
      <w:r w:rsidRPr="0027160A">
        <w:t>ΥΠΟΒΟΗΘΟΥΜΕΝΗΣ ΑΝΑΠΑΡΑΓΩΓΗΣ</w:t>
      </w:r>
      <w:bookmarkEnd w:id="185"/>
      <w:bookmarkEnd w:id="186"/>
      <w:bookmarkEnd w:id="187"/>
    </w:p>
    <w:p w14:paraId="09A9CD92" w14:textId="2BC263A4" w:rsidR="007C77BD" w:rsidRPr="009D722B" w:rsidRDefault="00DA293A" w:rsidP="00C27B2A">
      <w:bookmarkStart w:id="189" w:name="_Toc275535614"/>
      <w:bookmarkStart w:id="190" w:name="_Ref276020651"/>
      <w:bookmarkStart w:id="191" w:name="_Toc276148668"/>
      <w:r w:rsidRPr="009D722B">
        <w:t>Μεταθανάτια ιατρικά υποβοηθούμενη αναπαραγωγή</w:t>
      </w:r>
      <w:r w:rsidR="007C77BD" w:rsidRPr="009D722B">
        <w:t xml:space="preserve"> (Α), Παρένθετη Μητρότητα (Β) και Κλωνοποίηση (Γ)</w:t>
      </w:r>
    </w:p>
    <w:p w14:paraId="1DE8F930" w14:textId="21B266E4" w:rsidR="00A254D3" w:rsidRPr="009D722B" w:rsidRDefault="007C77BD" w:rsidP="00C34C4B">
      <w:pPr>
        <w:pStyle w:val="Heading2"/>
      </w:pPr>
      <w:bookmarkStart w:id="192" w:name="_Toc276574435"/>
      <w:r w:rsidRPr="009D722B">
        <w:rPr>
          <w:lang w:val="el-GR"/>
        </w:rPr>
        <w:t>Α</w:t>
      </w:r>
      <w:r w:rsidR="00A254D3" w:rsidRPr="009D722B">
        <w:t xml:space="preserve">. </w:t>
      </w:r>
      <w:bookmarkEnd w:id="189"/>
      <w:r w:rsidR="00D363A2" w:rsidRPr="009D722B">
        <w:t xml:space="preserve">Μεταθανάτια </w:t>
      </w:r>
      <w:bookmarkEnd w:id="190"/>
      <w:bookmarkEnd w:id="191"/>
      <w:r w:rsidR="00C25D14" w:rsidRPr="009D722B">
        <w:t xml:space="preserve">Ιατρικά Υποβοηθούμενη </w:t>
      </w:r>
      <w:r w:rsidR="00B8765A" w:rsidRPr="009D722B">
        <w:t>Αναπαραγωγή</w:t>
      </w:r>
      <w:bookmarkEnd w:id="192"/>
      <w:r w:rsidR="00D363A2" w:rsidRPr="009D722B">
        <w:t xml:space="preserve"> </w:t>
      </w:r>
    </w:p>
    <w:p w14:paraId="08897002" w14:textId="64EDF442" w:rsidR="009E2C56" w:rsidRPr="009D722B" w:rsidRDefault="00A61C1C" w:rsidP="00052633">
      <w:r w:rsidRPr="009D722B">
        <w:t xml:space="preserve">Η νομοθετική απαγόρευση (α) και η μη συμμόρφωση με τις νομοθετικές προσταγές (β). </w:t>
      </w:r>
    </w:p>
    <w:p w14:paraId="37AF1EC8" w14:textId="75D4FD12" w:rsidR="00AD3AA5" w:rsidRPr="009D722B" w:rsidRDefault="00AD3AA5" w:rsidP="00AD3AA5">
      <w:pPr>
        <w:pStyle w:val="Heading3"/>
      </w:pPr>
      <w:bookmarkStart w:id="193" w:name="_Toc276574436"/>
      <w:bookmarkStart w:id="194" w:name="_Toc394082568"/>
      <w:bookmarkStart w:id="195" w:name="_Toc275535615"/>
      <w:bookmarkStart w:id="196" w:name="_Ref275961244"/>
      <w:bookmarkStart w:id="197" w:name="_Toc276148669"/>
      <w:r w:rsidRPr="009D722B">
        <w:t xml:space="preserve">α. Η νομοθετική απαγόρευση της μεταθανάτιας </w:t>
      </w:r>
      <w:r w:rsidR="00DA293A" w:rsidRPr="009D722B">
        <w:t xml:space="preserve">ιατρικά υποβοηθούμενης </w:t>
      </w:r>
      <w:r w:rsidRPr="009D722B">
        <w:t>αναπαραγωγής: από τις νομολογιακές εξελίξεις στην αναγκαία διάκριση μεταξύ μεταθανάτιας γονιμοποίησης και μεταθανάτιας μεταφοράς εμβρύων</w:t>
      </w:r>
      <w:bookmarkEnd w:id="193"/>
      <w:r w:rsidRPr="009D722B">
        <w:t xml:space="preserve"> </w:t>
      </w:r>
    </w:p>
    <w:p w14:paraId="3FF6AE11" w14:textId="47764673" w:rsidR="00052633" w:rsidRPr="009D722B" w:rsidRDefault="003370ED" w:rsidP="00052633">
      <w:r w:rsidRPr="009D722B">
        <w:t xml:space="preserve">Η νομολογία πριν τη ρητή νομοθετική απαγόρευση της μεταθανάτιας </w:t>
      </w:r>
      <w:r w:rsidR="00DA293A" w:rsidRPr="009D722B">
        <w:t xml:space="preserve">ιατρικά υποβοηθούμενης </w:t>
      </w:r>
      <w:r w:rsidRPr="009D722B">
        <w:t xml:space="preserve">αναπαραγωγής (§1) και η ρητή νομοθετική απαγόρευση (§2). </w:t>
      </w:r>
    </w:p>
    <w:p w14:paraId="1C7E9FF1" w14:textId="7561F50A" w:rsidR="00052633" w:rsidRPr="00052633" w:rsidRDefault="00052633" w:rsidP="00052633">
      <w:pPr>
        <w:pStyle w:val="Heading4"/>
      </w:pPr>
      <w:bookmarkStart w:id="198" w:name="_Toc276574437"/>
      <w:r w:rsidRPr="009D722B">
        <w:t xml:space="preserve">§1. Η </w:t>
      </w:r>
      <w:r w:rsidR="00FE5B72" w:rsidRPr="009D722B">
        <w:t>διαμορφωθείσα νομολογία πριν τη</w:t>
      </w:r>
      <w:r w:rsidRPr="009D722B">
        <w:t xml:space="preserve"> ρη</w:t>
      </w:r>
      <w:r w:rsidR="00FE5B72" w:rsidRPr="009D722B">
        <w:t>τή νομοθετική απαγόρευση</w:t>
      </w:r>
      <w:r w:rsidR="003370ED" w:rsidRPr="009D722B">
        <w:t xml:space="preserve"> της μεταθανάτιας </w:t>
      </w:r>
      <w:r w:rsidR="007C5C0F" w:rsidRPr="009D722B">
        <w:t>ιατρικά υποβοηθούμενης</w:t>
      </w:r>
      <w:r w:rsidR="007C5C0F">
        <w:t xml:space="preserve"> </w:t>
      </w:r>
      <w:r w:rsidR="003370ED">
        <w:t>αναπαραγωγής</w:t>
      </w:r>
      <w:bookmarkEnd w:id="198"/>
      <w:r w:rsidR="003370ED">
        <w:t xml:space="preserve"> </w:t>
      </w:r>
    </w:p>
    <w:p w14:paraId="7A054430" w14:textId="796F777E" w:rsidR="00B8765A" w:rsidRDefault="00D003A9" w:rsidP="00C34C4B">
      <w:r>
        <w:t>Όπως έχει προαναφερθεί σε προηγούμενη ενότητα</w:t>
      </w:r>
      <w:r>
        <w:rPr>
          <w:rStyle w:val="FootnoteReference"/>
        </w:rPr>
        <w:footnoteReference w:id="325"/>
      </w:r>
      <w:r>
        <w:t>, το</w:t>
      </w:r>
      <w:r w:rsidR="00A03771">
        <w:t xml:space="preserve"> </w:t>
      </w:r>
      <w:r w:rsidR="00A03771" w:rsidRPr="00DA3B41">
        <w:rPr>
          <w:b/>
        </w:rPr>
        <w:t xml:space="preserve">άρθρο </w:t>
      </w:r>
      <w:r w:rsidR="00A03771" w:rsidRPr="00DA3B41">
        <w:rPr>
          <w:b/>
          <w:lang w:val="fr-FR"/>
        </w:rPr>
        <w:t>L</w:t>
      </w:r>
      <w:r w:rsidR="00A03771" w:rsidRPr="00DA3B41">
        <w:rPr>
          <w:b/>
        </w:rPr>
        <w:t xml:space="preserve">. 2141-2, παρ. </w:t>
      </w:r>
      <w:r w:rsidR="00A03771">
        <w:rPr>
          <w:b/>
        </w:rPr>
        <w:t>2</w:t>
      </w:r>
      <w:r w:rsidR="00A03771" w:rsidRPr="00DA3B41">
        <w:rPr>
          <w:b/>
        </w:rPr>
        <w:t xml:space="preserve">, </w:t>
      </w:r>
      <w:r w:rsidR="00A03771">
        <w:rPr>
          <w:b/>
        </w:rPr>
        <w:t>ΚΔΥ</w:t>
      </w:r>
      <w:r>
        <w:rPr>
          <w:b/>
        </w:rPr>
        <w:t xml:space="preserve"> </w:t>
      </w:r>
      <w:r w:rsidRPr="00D003A9">
        <w:t>ορίζει ρητά ότι</w:t>
      </w:r>
      <w:r>
        <w:rPr>
          <w:b/>
        </w:rPr>
        <w:t xml:space="preserve"> </w:t>
      </w:r>
      <w:r w:rsidR="00A03771">
        <w:t>«</w:t>
      </w:r>
      <w:r w:rsidR="00A03771" w:rsidRPr="00496E7F">
        <w:rPr>
          <w:i/>
        </w:rPr>
        <w:t>ο άνδρας και η γυναίκα που συνθέτουν το ζευγάρι πρέπει να είναι εν ζωή</w:t>
      </w:r>
      <w:r w:rsidR="00B8765A">
        <w:t xml:space="preserve">». Η προϋπόθεση μάλιστα αυτή πρέπει να συντρέχει κατά τη στιγμή της θέσης σε εφαρμογή της ιατρικά υποβοηθούμενης αναπαραγωγής. </w:t>
      </w:r>
    </w:p>
    <w:p w14:paraId="6DD64A2F" w14:textId="63DF074D" w:rsidR="00B8765A" w:rsidRDefault="00A03771" w:rsidP="00C34C4B">
      <w:r>
        <w:t xml:space="preserve">Η εν λόγω διάταξη, </w:t>
      </w:r>
      <w:r w:rsidR="00B8765A">
        <w:t>σε συνδυασμό με αυτές των</w:t>
      </w:r>
      <w:r w:rsidR="00B8765A" w:rsidRPr="00B8765A">
        <w:rPr>
          <w:b/>
        </w:rPr>
        <w:t xml:space="preserve"> άρθρων 311-20, παρ. 3, ΑΚ και L.</w:t>
      </w:r>
      <w:r w:rsidR="00892B30">
        <w:rPr>
          <w:b/>
        </w:rPr>
        <w:t xml:space="preserve"> </w:t>
      </w:r>
      <w:r w:rsidR="00B8765A" w:rsidRPr="00B8765A">
        <w:rPr>
          <w:b/>
        </w:rPr>
        <w:t>2141-2, παρ. 2, ΚΔΥ</w:t>
      </w:r>
      <w:r w:rsidR="00B8765A">
        <w:t xml:space="preserve">, </w:t>
      </w:r>
      <w:r>
        <w:t>αποκλείει εκ προοιμίου τόσο τη μεταθανάτια γονιμοποίηση, όσο και τη μεταθανάτια μεταφορά εμβρύων.</w:t>
      </w:r>
      <w:r w:rsidR="00B8765A" w:rsidRPr="00B8765A">
        <w:t xml:space="preserve"> </w:t>
      </w:r>
    </w:p>
    <w:p w14:paraId="2D90E9B9" w14:textId="74F13083" w:rsidR="00B8765A" w:rsidRPr="006D731A" w:rsidRDefault="00D003A9" w:rsidP="00B8765A">
      <w:r>
        <w:t>Πιο συγκεκριμένα</w:t>
      </w:r>
      <w:r w:rsidR="001C0065">
        <w:t xml:space="preserve">, </w:t>
      </w:r>
      <w:r w:rsidR="00B8765A">
        <w:t xml:space="preserve">σύμφωνα με </w:t>
      </w:r>
      <w:r w:rsidR="001C0065">
        <w:t xml:space="preserve">τη διάταξη του άρθρου </w:t>
      </w:r>
      <w:r w:rsidR="001C0065" w:rsidRPr="001C0065">
        <w:t>311-20, παρ. 3, ΑΚ</w:t>
      </w:r>
      <w:r w:rsidR="001C0065">
        <w:t xml:space="preserve">, </w:t>
      </w:r>
      <w:r w:rsidR="00B8765A">
        <w:t>«</w:t>
      </w:r>
      <w:r w:rsidR="00B8765A" w:rsidRPr="006D2CE9">
        <w:rPr>
          <w:i/>
        </w:rPr>
        <w:t xml:space="preserve">η συναίνεση στερείται νομικής ισχύος σε περίπτωση θανάτου [ενός εκ των δύο προσώπων του υποβοηθούμενου ζευγαριού], </w:t>
      </w:r>
      <w:r w:rsidR="00B8765A">
        <w:rPr>
          <w:i/>
        </w:rPr>
        <w:t>[...]</w:t>
      </w:r>
      <w:r w:rsidR="00B8765A" w:rsidRPr="006D2CE9">
        <w:rPr>
          <w:i/>
        </w:rPr>
        <w:t xml:space="preserve"> πριν από την πραγματοποίηση της ιατρικά υποβοηθούμενης αναπαραγωγής</w:t>
      </w:r>
      <w:r w:rsidR="00B8765A">
        <w:t>»</w:t>
      </w:r>
      <w:r w:rsidR="001C0065">
        <w:t>, ενώ, π</w:t>
      </w:r>
      <w:r w:rsidR="00B8765A">
        <w:t xml:space="preserve">αράλληλα, το άρθρο </w:t>
      </w:r>
      <w:r w:rsidR="00B8765A" w:rsidRPr="00E30A79">
        <w:t>L.</w:t>
      </w:r>
      <w:r w:rsidR="00892B30">
        <w:t xml:space="preserve"> </w:t>
      </w:r>
      <w:r w:rsidR="00B8765A" w:rsidRPr="00E30A79">
        <w:t>2141-2,</w:t>
      </w:r>
      <w:r w:rsidR="00B8765A">
        <w:t xml:space="preserve"> παρ. 2, ΚΔΥ ορίζει ότι </w:t>
      </w:r>
      <w:r w:rsidR="00B8765A" w:rsidRPr="00E30A79">
        <w:t>«</w:t>
      </w:r>
      <w:r w:rsidR="00B8765A">
        <w:rPr>
          <w:i/>
        </w:rPr>
        <w:t xml:space="preserve">τη γονιμοποίηση ή τη μεταφορά των εμβρύων αποκλείουν ο θάνατος ενός εκ των δύο προσώπων του υποβοηθούμενου ζευγαριού, </w:t>
      </w:r>
      <w:r w:rsidR="00B8765A" w:rsidRPr="006D731A">
        <w:rPr>
          <w:i/>
        </w:rPr>
        <w:t>η κατάθεση αγωγής διαζυγίου ή διάσταση</w:t>
      </w:r>
      <w:r w:rsidR="00B8765A">
        <w:rPr>
          <w:i/>
        </w:rPr>
        <w:t>ς</w:t>
      </w:r>
      <w:r w:rsidR="00B8765A" w:rsidRPr="006D731A">
        <w:rPr>
          <w:i/>
        </w:rPr>
        <w:t xml:space="preserve"> του ζευγαριού ή η διακοπή του κοινού τους βίου».</w:t>
      </w:r>
      <w:r w:rsidR="00B8765A">
        <w:rPr>
          <w:i/>
        </w:rPr>
        <w:t xml:space="preserve"> </w:t>
      </w:r>
    </w:p>
    <w:p w14:paraId="63C6BAA5" w14:textId="27209268" w:rsidR="00B8765A" w:rsidRPr="00056257" w:rsidRDefault="00D003A9" w:rsidP="00B8765A">
      <w:r>
        <w:t>Όπως άλλωστε έχουμε ήδη αναφέρει στην ενότητα σχετικά με τους λόγους ακυρότητας της συναίνεσης στην υποβοηθούμενη αναπαραγωγή</w:t>
      </w:r>
      <w:r>
        <w:rPr>
          <w:rStyle w:val="FootnoteReference"/>
        </w:rPr>
        <w:footnoteReference w:id="326"/>
      </w:r>
      <w:r>
        <w:t>, η</w:t>
      </w:r>
      <w:r w:rsidR="00B8765A" w:rsidRPr="00E706B9">
        <w:t xml:space="preserve"> εξάλειψη της</w:t>
      </w:r>
      <w:r w:rsidR="00B8765A">
        <w:t xml:space="preserve"> συναίνεσης σε περίπτωση θανάτου ακολουθεί ουσιαστικά την απαίτηση που θέτει το άρθρο </w:t>
      </w:r>
      <w:r w:rsidR="00B8765A">
        <w:rPr>
          <w:lang w:val="en-US"/>
        </w:rPr>
        <w:t xml:space="preserve">L. 2141-2 </w:t>
      </w:r>
      <w:r w:rsidR="00B8765A">
        <w:t xml:space="preserve">ΚΔΥ, </w:t>
      </w:r>
      <w:r>
        <w:t>το</w:t>
      </w:r>
      <w:r w:rsidR="00B8765A">
        <w:t xml:space="preserve"> οποίο επιτρέπει την πρόσβαση σε μεθόδους ιατρικά υποβοηθούμενης αναπαραγωγής μόνο σε ζευγάρια των οποίων και τα δύο μέλη είναι εν ζωή. Ο νομοθέτης έρχεται λοιπόν να </w:t>
      </w:r>
      <w:r w:rsidR="00B8765A">
        <w:lastRenderedPageBreak/>
        <w:t xml:space="preserve">αναπτύξει περεταίρω την αρχή αυτή, προσδιορίζοντας μάλιστα με ακρίβεια το χρονικό σημείο κατά το οποίο πρέπει η προϋπόθεση να συντρέχει. Και τα δύο υποβοηθούμενα πρόσωπα πρέπει να είναι εν ζωή όχι μόνο κατά τη διάρκεια των συνεντεύξεων του ζευγαριού με την ιατρική ομάδα ή κατά τη διάρκεια της παροχής της συναίνεσης, αλλά και αργότερα, κατά τη διενέργεια της ίδιας της αναπαραγωγής. </w:t>
      </w:r>
    </w:p>
    <w:p w14:paraId="541B1211" w14:textId="5C474C7F" w:rsidR="00B8765A" w:rsidRDefault="00D003A9" w:rsidP="00C34C4B">
      <w:r>
        <w:t xml:space="preserve">Αρμόδιος, δε, για τη διαπίστωση της συνδρομής της προϋπόθεσης αυτής είναι ο ιατρός, επικουρούμενος από την ομάδα του. </w:t>
      </w:r>
      <w:r w:rsidR="00680015">
        <w:t>Υπενθυμίζεται, δε</w:t>
      </w:r>
      <w:r>
        <w:t>,</w:t>
      </w:r>
      <w:r w:rsidR="00680015">
        <w:t xml:space="preserve"> ότι</w:t>
      </w:r>
      <w:r>
        <w:t xml:space="preserve"> στον ιατρό εναπόκειται </w:t>
      </w:r>
      <w:r w:rsidR="00680015">
        <w:t>η λήψη της</w:t>
      </w:r>
      <w:r w:rsidR="001305D7">
        <w:t xml:space="preserve"> απόφαση</w:t>
      </w:r>
      <w:r w:rsidR="00680015">
        <w:t>ς</w:t>
      </w:r>
      <w:r w:rsidR="001305D7">
        <w:t xml:space="preserve"> εφαρμογής της υπο</w:t>
      </w:r>
      <w:r>
        <w:t>βοήθησης στην αναπαραγωγή, αφού πρώτα διενεργήσει, εκτός από τις απαιτούμενες ιατρικές εξετάσεις, και μια σ</w:t>
      </w:r>
      <w:r w:rsidR="001305D7">
        <w:t xml:space="preserve">ειρά συνεντεύξεων με το ζευγάρι, </w:t>
      </w:r>
      <w:r>
        <w:t>προκειμένου να βεβαιωθεί για τα κίνητρά του (</w:t>
      </w:r>
      <w:r w:rsidRPr="001305D7">
        <w:rPr>
          <w:b/>
        </w:rPr>
        <w:t xml:space="preserve">άρθρο </w:t>
      </w:r>
      <w:r w:rsidRPr="001305D7">
        <w:rPr>
          <w:b/>
          <w:lang w:val="fr-FR"/>
        </w:rPr>
        <w:t>L</w:t>
      </w:r>
      <w:r w:rsidRPr="001305D7">
        <w:rPr>
          <w:b/>
        </w:rPr>
        <w:t>. 2141-10 ΚΔΥ</w:t>
      </w:r>
      <w:r>
        <w:t>).</w:t>
      </w:r>
    </w:p>
    <w:p w14:paraId="3AC356C2" w14:textId="459A0021" w:rsidR="00A03771" w:rsidRPr="00FF6360" w:rsidRDefault="00FF6360" w:rsidP="00C34C4B">
      <w:pPr>
        <w:rPr>
          <w:lang w:val="en-US"/>
        </w:rPr>
      </w:pPr>
      <w:r>
        <w:t xml:space="preserve">Τα πράγματα όμως δεν ήταν πάντα τόσο ξεκάθαρα στη γαλλική έννομη τάξη. Μια σύντομη ιστορική αναδρομή στο πρόσφατο παρελθόν του νομοθετικού πλαισίου που ρυθμίζει την ιατρικά υποβοηθούμενη αναπαραγωγή φαίνεται να είναι αναγκαία για την καλύτερη κατανόηση την πιο πρόσφατων εξελίξεων σχετικά με τη μεταθανάτια αναπαραγωγή και την τελική απόφαση του νομοθέτη να διατηρήσει το </w:t>
      </w:r>
      <w:r w:rsidRPr="00FF6360">
        <w:rPr>
          <w:i/>
          <w:lang w:val="en-US"/>
        </w:rPr>
        <w:t>statu</w:t>
      </w:r>
      <w:r>
        <w:rPr>
          <w:i/>
          <w:lang w:val="en-US"/>
        </w:rPr>
        <w:t>s</w:t>
      </w:r>
      <w:r w:rsidRPr="00FF6360">
        <w:rPr>
          <w:i/>
          <w:lang w:val="en-US"/>
        </w:rPr>
        <w:t xml:space="preserve"> quo</w:t>
      </w:r>
      <w:r>
        <w:rPr>
          <w:lang w:val="en-US"/>
        </w:rPr>
        <w:t xml:space="preserve">. </w:t>
      </w:r>
    </w:p>
    <w:p w14:paraId="36727611" w14:textId="21DC0EB6" w:rsidR="001305D7" w:rsidRDefault="009C3308" w:rsidP="009C3308">
      <w:r>
        <w:t xml:space="preserve"> Η ρητή απαγόρευση της </w:t>
      </w:r>
      <w:r w:rsidRPr="007C4226">
        <w:rPr>
          <w:i/>
          <w:lang w:val="en-US"/>
        </w:rPr>
        <w:t>post mortem</w:t>
      </w:r>
      <w:r>
        <w:rPr>
          <w:lang w:val="en-US"/>
        </w:rPr>
        <w:t xml:space="preserve"> </w:t>
      </w:r>
      <w:r>
        <w:t>αναπαραγωγής</w:t>
      </w:r>
      <w:r w:rsidR="00680015">
        <w:t xml:space="preserve"> καθιερώθηκε </w:t>
      </w:r>
      <w:r w:rsidR="007C4226">
        <w:t xml:space="preserve">αρκετά χρόνια αργότερα </w:t>
      </w:r>
      <w:r w:rsidR="00680015">
        <w:t>με το</w:t>
      </w:r>
      <w:r w:rsidR="007C4226">
        <w:t>υς</w:t>
      </w:r>
      <w:r w:rsidR="00680015">
        <w:t xml:space="preserve"> </w:t>
      </w:r>
      <w:r w:rsidR="00680015" w:rsidRPr="00680015">
        <w:rPr>
          <w:i/>
        </w:rPr>
        <w:t>Νόμο</w:t>
      </w:r>
      <w:r w:rsidR="007C4226">
        <w:rPr>
          <w:i/>
        </w:rPr>
        <w:t>υς</w:t>
      </w:r>
      <w:r w:rsidR="00680015" w:rsidRPr="00680015">
        <w:rPr>
          <w:i/>
        </w:rPr>
        <w:t xml:space="preserve"> περι Βιοηθικής</w:t>
      </w:r>
      <w:r w:rsidR="002E4633">
        <w:rPr>
          <w:i/>
        </w:rPr>
        <w:t xml:space="preserve"> </w:t>
      </w:r>
      <w:r w:rsidR="002E4633" w:rsidRPr="002E4633">
        <w:t>του 1994</w:t>
      </w:r>
      <w:r w:rsidR="00680015" w:rsidRPr="002E4633">
        <w:t>.</w:t>
      </w:r>
      <w:r w:rsidR="00680015">
        <w:t xml:space="preserve"> Μέχρι τότε, τα δικαστήρια απολάμβαναν ευρύ περιθώριο εκτίμησης και, χωρίς τη ρητή απαγόρευση του νόμου, είχαν τη διακριτική ευχέρεια να κάνουν δική τους ερμηνεία σχετικά με τις εναλλακτικές δυνατότητες διάθεσης του κρυοσυντηρημένου γεννητικού υλικού μετά το θάνατο του συζύγου. Η αληθεια, ωστόσο, είναι ότι, με μία και μοναδική εξαίρεση, τη γνωστή υπόθεση </w:t>
      </w:r>
      <w:r w:rsidR="00680015" w:rsidRPr="00E5684F">
        <w:rPr>
          <w:i/>
          <w:lang w:val="en-US"/>
        </w:rPr>
        <w:t>Parpalaix</w:t>
      </w:r>
      <w:r w:rsidR="00680015">
        <w:rPr>
          <w:lang w:val="en-US"/>
        </w:rPr>
        <w:t xml:space="preserve">, </w:t>
      </w:r>
      <w:r w:rsidR="00680015">
        <w:t xml:space="preserve">η θέση της νομολογίας ήταν πάγια και συνίστατο στην άρνηση της απόδοσης στη χήρα πλέον υποβοηθούμενη γυναίκα τόσο του σπέρματος του συζύγου της, όσο και των εμβρύων τους. </w:t>
      </w:r>
      <w:r w:rsidR="00FD11DF">
        <w:t>Η απάντηση της νομολογίας υπήρξε συστηματικά αρνητική, ό</w:t>
      </w:r>
      <w:r w:rsidR="00680015">
        <w:t xml:space="preserve">ποιος </w:t>
      </w:r>
      <w:r w:rsidR="00FD11DF">
        <w:t>κι αν ήταν</w:t>
      </w:r>
      <w:r w:rsidR="00680015">
        <w:t xml:space="preserve"> ο δικαιολογητικός λόγος στον οποίο θεμελιωνόταν </w:t>
      </w:r>
      <w:r w:rsidR="007C40D8">
        <w:t xml:space="preserve">το αίτημα απόδοσης του γεννητικού υλικού, </w:t>
      </w:r>
      <w:r w:rsidR="00FD11DF">
        <w:t>είτε επρόκειτο δηλαδή για την</w:t>
      </w:r>
      <w:r w:rsidR="007C40D8">
        <w:t xml:space="preserve"> επιθυμία απόκτησης τέκνων είτε </w:t>
      </w:r>
      <w:r w:rsidR="00FD11DF">
        <w:t>για τ</w:t>
      </w:r>
      <w:r w:rsidR="007C40D8">
        <w:t>η βούληση διενέργειας γενετικής πραγματογνωμοσύνης προκει</w:t>
      </w:r>
      <w:r w:rsidR="00FD11DF">
        <w:t>μένου να αποδειχθεί η συγγένεια</w:t>
      </w:r>
      <w:r w:rsidR="00FD11DF">
        <w:rPr>
          <w:rStyle w:val="FootnoteReference"/>
        </w:rPr>
        <w:footnoteReference w:id="327"/>
      </w:r>
      <w:r w:rsidR="007C40D8">
        <w:t xml:space="preserve">. </w:t>
      </w:r>
    </w:p>
    <w:p w14:paraId="613EECA0" w14:textId="77C6D1CE" w:rsidR="00184DA8" w:rsidRDefault="00184DA8" w:rsidP="009C3308">
      <w:r>
        <w:t>Ας πάρουμε όμως τ</w:t>
      </w:r>
      <w:r w:rsidR="002D6A8F">
        <w:t>α πράγματα από την αρχή. Πριν τους</w:t>
      </w:r>
      <w:r>
        <w:t xml:space="preserve"> πρώτο</w:t>
      </w:r>
      <w:r w:rsidR="002D6A8F">
        <w:t>υς</w:t>
      </w:r>
      <w:r>
        <w:t xml:space="preserve"> </w:t>
      </w:r>
      <w:r w:rsidRPr="00E5684F">
        <w:rPr>
          <w:i/>
        </w:rPr>
        <w:t>Νόμο</w:t>
      </w:r>
      <w:r w:rsidR="002D6A8F">
        <w:rPr>
          <w:i/>
        </w:rPr>
        <w:t>υς</w:t>
      </w:r>
      <w:r w:rsidRPr="00E5684F">
        <w:rPr>
          <w:i/>
        </w:rPr>
        <w:t xml:space="preserve"> περί Βιοηθικής</w:t>
      </w:r>
      <w:r>
        <w:t xml:space="preserve"> </w:t>
      </w:r>
      <w:r w:rsidR="002D6A8F">
        <w:t xml:space="preserve">του 1994 </w:t>
      </w:r>
      <w:r>
        <w:t xml:space="preserve">και παρά την απουσία ρητής απαγόρευσης της μεταθανάτιας </w:t>
      </w:r>
      <w:r w:rsidR="008B4921">
        <w:t xml:space="preserve">ιατρικά υποβοηθούμενης </w:t>
      </w:r>
      <w:r>
        <w:t xml:space="preserve">αναπαραγωγής από το νομοθέτη, </w:t>
      </w:r>
      <w:r w:rsidR="00E5684F">
        <w:t xml:space="preserve">υπήρξε μία </w:t>
      </w:r>
      <w:r w:rsidR="00863C2D">
        <w:t xml:space="preserve">δικαστική </w:t>
      </w:r>
      <w:r w:rsidR="00E5684F">
        <w:t>από</w:t>
      </w:r>
      <w:r w:rsidR="00863C2D">
        <w:t xml:space="preserve">φαση, αυτή </w:t>
      </w:r>
      <w:r w:rsidR="00E5684F">
        <w:t xml:space="preserve">του Πολυμελούς Πρωτοδικείου </w:t>
      </w:r>
      <w:r w:rsidR="00E5684F" w:rsidRPr="00390B86">
        <w:t xml:space="preserve">της </w:t>
      </w:r>
      <w:r w:rsidR="00E5684F" w:rsidRPr="00390B86">
        <w:rPr>
          <w:lang w:val="fr-FR"/>
        </w:rPr>
        <w:t>Cr</w:t>
      </w:r>
      <w:r w:rsidR="00E5684F" w:rsidRPr="00390B86">
        <w:t>é</w:t>
      </w:r>
      <w:r w:rsidR="00E5684F" w:rsidRPr="00390B86">
        <w:rPr>
          <w:lang w:val="fr-FR"/>
        </w:rPr>
        <w:t>teil</w:t>
      </w:r>
      <w:r w:rsidR="00E5684F">
        <w:rPr>
          <w:lang w:val="fr-FR"/>
        </w:rPr>
        <w:t xml:space="preserve">, </w:t>
      </w:r>
      <w:r w:rsidR="00863C2D">
        <w:rPr>
          <w:lang w:val="fr-FR"/>
        </w:rPr>
        <w:t>της</w:t>
      </w:r>
      <w:r w:rsidR="00E5684F">
        <w:rPr>
          <w:lang w:val="fr-FR"/>
        </w:rPr>
        <w:t xml:space="preserve"> 1</w:t>
      </w:r>
      <w:r w:rsidR="00E5684F" w:rsidRPr="00E5684F">
        <w:rPr>
          <w:vertAlign w:val="superscript"/>
          <w:lang w:val="fr-FR"/>
        </w:rPr>
        <w:t>η</w:t>
      </w:r>
      <w:r w:rsidR="00863C2D">
        <w:rPr>
          <w:vertAlign w:val="superscript"/>
          <w:lang w:val="fr-FR"/>
        </w:rPr>
        <w:t>ς</w:t>
      </w:r>
      <w:r w:rsidR="006432B2">
        <w:rPr>
          <w:lang w:val="fr-FR"/>
        </w:rPr>
        <w:t xml:space="preserve"> Αυγούστου</w:t>
      </w:r>
      <w:r w:rsidR="00E5684F">
        <w:rPr>
          <w:lang w:val="fr-FR"/>
        </w:rPr>
        <w:t xml:space="preserve"> 1984, η οποία αναγνώρισε στην επιζώσα σύντροφο το δικαίωμα να της επιστραφεί το σπέρμα του θανόντος συζύγου της</w:t>
      </w:r>
      <w:r w:rsidR="00E5684F">
        <w:rPr>
          <w:rStyle w:val="FootnoteReference"/>
          <w:lang w:val="fr-FR"/>
        </w:rPr>
        <w:footnoteReference w:id="328"/>
      </w:r>
      <w:r w:rsidR="00863C2D">
        <w:rPr>
          <w:lang w:val="fr-FR"/>
        </w:rPr>
        <w:t>. Πρόκειται για τη</w:t>
      </w:r>
      <w:r w:rsidR="00E5684F">
        <w:rPr>
          <w:lang w:val="fr-FR"/>
        </w:rPr>
        <w:t xml:space="preserve"> γνωστή υπόθεση </w:t>
      </w:r>
      <w:r w:rsidR="00E5684F" w:rsidRPr="00B166F8">
        <w:rPr>
          <w:i/>
          <w:lang w:val="fr-FR"/>
        </w:rPr>
        <w:t>Parpalaix</w:t>
      </w:r>
      <w:r w:rsidR="00863C2D">
        <w:rPr>
          <w:lang w:val="fr-FR"/>
        </w:rPr>
        <w:t xml:space="preserve">. </w:t>
      </w:r>
    </w:p>
    <w:p w14:paraId="186E3C8F" w14:textId="7B60657B" w:rsidR="00184DA8" w:rsidRPr="00680015" w:rsidRDefault="00184DA8" w:rsidP="000F21FF">
      <w:r>
        <w:lastRenderedPageBreak/>
        <w:t xml:space="preserve">Το 1984, μια νέα χήρα, ονόματι </w:t>
      </w:r>
      <w:r w:rsidRPr="00ED7123">
        <w:rPr>
          <w:lang w:val="fr-FR"/>
        </w:rPr>
        <w:t>Corinne</w:t>
      </w:r>
      <w:r w:rsidRPr="00EA6E0F">
        <w:t xml:space="preserve"> </w:t>
      </w:r>
      <w:r w:rsidRPr="00ED7123">
        <w:rPr>
          <w:lang w:val="fr-FR"/>
        </w:rPr>
        <w:t>Parpalaix</w:t>
      </w:r>
      <w:r>
        <w:t xml:space="preserve">, ζήτησε από το νοσοκομείο του </w:t>
      </w:r>
      <w:r w:rsidRPr="00ED7123">
        <w:rPr>
          <w:lang w:val="fr-FR"/>
        </w:rPr>
        <w:t>Kremlin</w:t>
      </w:r>
      <w:r w:rsidRPr="00EA6E0F">
        <w:t>-</w:t>
      </w:r>
      <w:r w:rsidRPr="00ED7123">
        <w:rPr>
          <w:lang w:val="fr-FR"/>
        </w:rPr>
        <w:t>Bic</w:t>
      </w:r>
      <w:r w:rsidRPr="00EA6E0F">
        <w:t>ê</w:t>
      </w:r>
      <w:r w:rsidRPr="00ED7123">
        <w:rPr>
          <w:lang w:val="fr-FR"/>
        </w:rPr>
        <w:t>tre</w:t>
      </w:r>
      <w:r>
        <w:t xml:space="preserve"> να χρησιμοποιήσει το σπέρμα που ο σύζυγός της είχε καταθέσει προς κρυοσυντήρηση τρία χρόνια πριν.</w:t>
      </w:r>
      <w:r w:rsidRPr="00390B86">
        <w:t xml:space="preserve"> </w:t>
      </w:r>
      <w:r>
        <w:t xml:space="preserve">Η Διεύθυνση του </w:t>
      </w:r>
      <w:r w:rsidRPr="00390B86">
        <w:t>Κέντρο</w:t>
      </w:r>
      <w:r>
        <w:t>υ</w:t>
      </w:r>
      <w:r w:rsidRPr="00390B86">
        <w:t xml:space="preserve"> Μελέτης και Συντήρησης Ανθρώπινων Ωαρίων και Σπέρματος (</w:t>
      </w:r>
      <w:r w:rsidRPr="00390B86">
        <w:rPr>
          <w:i/>
          <w:lang w:val="fr-FR"/>
        </w:rPr>
        <w:t>Centre</w:t>
      </w:r>
      <w:r w:rsidRPr="00390B86">
        <w:rPr>
          <w:i/>
        </w:rPr>
        <w:t xml:space="preserve"> </w:t>
      </w:r>
      <w:r w:rsidRPr="00390B86">
        <w:rPr>
          <w:i/>
          <w:lang w:val="fr-FR"/>
        </w:rPr>
        <w:t>d</w:t>
      </w:r>
      <w:r w:rsidRPr="00390B86">
        <w:rPr>
          <w:i/>
        </w:rPr>
        <w:t>’</w:t>
      </w:r>
      <w:r w:rsidRPr="00390B86">
        <w:rPr>
          <w:i/>
          <w:lang w:val="fr-FR"/>
        </w:rPr>
        <w:t>Etude</w:t>
      </w:r>
      <w:r w:rsidRPr="00390B86">
        <w:rPr>
          <w:i/>
        </w:rPr>
        <w:t xml:space="preserve"> </w:t>
      </w:r>
      <w:r w:rsidRPr="00390B86">
        <w:rPr>
          <w:i/>
          <w:lang w:val="fr-FR"/>
        </w:rPr>
        <w:t>et</w:t>
      </w:r>
      <w:r w:rsidRPr="00390B86">
        <w:rPr>
          <w:i/>
        </w:rPr>
        <w:t xml:space="preserve"> </w:t>
      </w:r>
      <w:r w:rsidRPr="00390B86">
        <w:rPr>
          <w:i/>
          <w:lang w:val="fr-FR"/>
        </w:rPr>
        <w:t>de</w:t>
      </w:r>
      <w:r w:rsidRPr="00390B86">
        <w:rPr>
          <w:i/>
        </w:rPr>
        <w:t xml:space="preserve"> </w:t>
      </w:r>
      <w:r w:rsidRPr="00390B86">
        <w:rPr>
          <w:i/>
          <w:lang w:val="fr-FR"/>
        </w:rPr>
        <w:t>Conservation</w:t>
      </w:r>
      <w:r w:rsidRPr="00390B86">
        <w:rPr>
          <w:i/>
        </w:rPr>
        <w:t xml:space="preserve"> </w:t>
      </w:r>
      <w:r w:rsidRPr="00390B86">
        <w:rPr>
          <w:i/>
          <w:lang w:val="fr-FR"/>
        </w:rPr>
        <w:t>des</w:t>
      </w:r>
      <w:r w:rsidRPr="00390B86">
        <w:rPr>
          <w:i/>
        </w:rPr>
        <w:t xml:space="preserve"> Œ</w:t>
      </w:r>
      <w:r w:rsidRPr="00390B86">
        <w:rPr>
          <w:i/>
          <w:lang w:val="fr-FR"/>
        </w:rPr>
        <w:t>ufs</w:t>
      </w:r>
      <w:r w:rsidRPr="00390B86">
        <w:rPr>
          <w:i/>
        </w:rPr>
        <w:t xml:space="preserve"> </w:t>
      </w:r>
      <w:r w:rsidRPr="00390B86">
        <w:rPr>
          <w:i/>
          <w:lang w:val="fr-FR"/>
        </w:rPr>
        <w:t>et</w:t>
      </w:r>
      <w:r w:rsidRPr="00390B86">
        <w:rPr>
          <w:i/>
        </w:rPr>
        <w:t xml:space="preserve"> </w:t>
      </w:r>
      <w:r w:rsidRPr="00390B86">
        <w:rPr>
          <w:i/>
          <w:lang w:val="fr-FR"/>
        </w:rPr>
        <w:t>du</w:t>
      </w:r>
      <w:r w:rsidRPr="00390B86">
        <w:rPr>
          <w:i/>
        </w:rPr>
        <w:t xml:space="preserve"> </w:t>
      </w:r>
      <w:r w:rsidRPr="00390B86">
        <w:rPr>
          <w:i/>
          <w:lang w:val="fr-FR"/>
        </w:rPr>
        <w:t>Sperme</w:t>
      </w:r>
      <w:r w:rsidRPr="00390B86">
        <w:rPr>
          <w:i/>
        </w:rPr>
        <w:t xml:space="preserve"> </w:t>
      </w:r>
      <w:r w:rsidRPr="00390B86">
        <w:rPr>
          <w:i/>
          <w:lang w:val="fr-FR"/>
        </w:rPr>
        <w:t>humains</w:t>
      </w:r>
      <w:r w:rsidRPr="00390B86">
        <w:rPr>
          <w:i/>
        </w:rPr>
        <w:t xml:space="preserve">, </w:t>
      </w:r>
      <w:r w:rsidRPr="00390B86">
        <w:rPr>
          <w:i/>
          <w:lang w:val="fr-FR"/>
        </w:rPr>
        <w:t>CECOS</w:t>
      </w:r>
      <w:r w:rsidRPr="00390B86">
        <w:t>)</w:t>
      </w:r>
      <w:r>
        <w:t xml:space="preserve">, ως υπεύθυνη για την κρυοσυντήρησή του, απέρριψε το αίτημά της, θεμελιώνοντας την άρνηση αυτή στον εσωτερικό κανονισμό του Κέντρου: μόνο ο ίδιος ο ενδιαφερόμενος μπορούσε να έχει στη διάθεσή του το γεννητικό του υλικό και αυτός </w:t>
      </w:r>
      <w:r w:rsidR="000F21FF">
        <w:t>είχε αποβιώσει</w:t>
      </w:r>
      <w:r>
        <w:t>. Η</w:t>
      </w:r>
      <w:r w:rsidRPr="009C23FD">
        <w:t xml:space="preserve"> </w:t>
      </w:r>
      <w:r w:rsidRPr="00ED7123">
        <w:rPr>
          <w:lang w:val="fr-FR"/>
        </w:rPr>
        <w:t>Corinne</w:t>
      </w:r>
      <w:r w:rsidRPr="009C23FD">
        <w:t xml:space="preserve"> </w:t>
      </w:r>
      <w:r w:rsidRPr="00ED7123">
        <w:rPr>
          <w:lang w:val="fr-FR"/>
        </w:rPr>
        <w:t>Parpalaix</w:t>
      </w:r>
      <w:r w:rsidRPr="009C23FD">
        <w:t xml:space="preserve"> </w:t>
      </w:r>
      <w:r w:rsidR="000F21FF">
        <w:t xml:space="preserve">απευθύνθηκε, λοιπόν, </w:t>
      </w:r>
      <w:r>
        <w:t xml:space="preserve">στο Πολυμελές Πρωτοδικείο της </w:t>
      </w:r>
      <w:r w:rsidRPr="00390B86">
        <w:rPr>
          <w:lang w:val="fr-FR"/>
        </w:rPr>
        <w:t>Cr</w:t>
      </w:r>
      <w:r w:rsidRPr="00390B86">
        <w:t>é</w:t>
      </w:r>
      <w:r w:rsidRPr="00390B86">
        <w:rPr>
          <w:lang w:val="fr-FR"/>
        </w:rPr>
        <w:t>teil</w:t>
      </w:r>
      <w:r>
        <w:t xml:space="preserve"> και κατέθεσε αγωγή κατά της Γαλλικής Ομοσπονδίας των </w:t>
      </w:r>
      <w:r w:rsidRPr="00E72665">
        <w:rPr>
          <w:lang w:val="fr-FR"/>
        </w:rPr>
        <w:t>CECOS</w:t>
      </w:r>
      <w:r w:rsidRPr="00390B86">
        <w:t xml:space="preserve"> </w:t>
      </w:r>
      <w:r>
        <w:t>(Κέντρων</w:t>
      </w:r>
      <w:r w:rsidRPr="00390B86">
        <w:t xml:space="preserve"> Μελέτης και Συντήρησης </w:t>
      </w:r>
      <w:r>
        <w:t xml:space="preserve">Ανθρώπινων Ωαρίων και Σπέρματος), ζητώντας να της επιστραφεί το γεννητικό υλικό του συζύγου της. </w:t>
      </w:r>
      <w:r w:rsidRPr="00E72665">
        <w:t xml:space="preserve"> </w:t>
      </w:r>
      <w:r w:rsidRPr="00E72665">
        <w:rPr>
          <w:lang w:val="fr-FR"/>
        </w:rPr>
        <w:t> </w:t>
      </w:r>
    </w:p>
    <w:p w14:paraId="739D0ED3" w14:textId="08CFCB99" w:rsidR="009C3308" w:rsidRDefault="00137919" w:rsidP="00137919">
      <w:r w:rsidRPr="00137919">
        <w:t>Το Πολυμελές Πρωτοδικείο</w:t>
      </w:r>
      <w:r>
        <w:rPr>
          <w:rFonts w:ascii="Times New Roman" w:hAnsi="Times New Roman"/>
        </w:rPr>
        <w:t xml:space="preserve"> </w:t>
      </w:r>
      <w:r>
        <w:t xml:space="preserve">της </w:t>
      </w:r>
      <w:r w:rsidRPr="00390B86">
        <w:rPr>
          <w:lang w:val="fr-FR"/>
        </w:rPr>
        <w:t>Cr</w:t>
      </w:r>
      <w:r w:rsidRPr="00390B86">
        <w:t>é</w:t>
      </w:r>
      <w:r w:rsidRPr="00390B86">
        <w:rPr>
          <w:lang w:val="fr-FR"/>
        </w:rPr>
        <w:t>teil</w:t>
      </w:r>
      <w:r>
        <w:t xml:space="preserve"> φρόντισε να οριοθετήσει στενά το πρόβλημα που του τέθηκε, αρνούμενο να θίξει τόσο το ζήτημα της μεταθανάτιας γονιμοποίησης (το οποίο εξακολουθούσε να είναι, σύμφωνα με τους δικαστές, αποκλειστικά και μόνο πρόβλημα της χήρας και του γυναικολόγου της), όσο και το ζήτημα των σχέσεων μεταξύ των γονέων (ενός και όχι δύο εν προκειμένω) και τέκνου, το οποίο θα προέκυπτε από τη γονιμοποίηση. Ειδικότερα, το </w:t>
      </w:r>
      <w:r w:rsidRPr="00137919">
        <w:t>Πολυμελές Πρωτοδικείο</w:t>
      </w:r>
      <w:r>
        <w:rPr>
          <w:rFonts w:ascii="Times New Roman" w:hAnsi="Times New Roman"/>
        </w:rPr>
        <w:t xml:space="preserve"> </w:t>
      </w:r>
      <w:r>
        <w:t xml:space="preserve">της </w:t>
      </w:r>
      <w:r w:rsidRPr="00390B86">
        <w:rPr>
          <w:lang w:val="fr-FR"/>
        </w:rPr>
        <w:t>Cr</w:t>
      </w:r>
      <w:r w:rsidRPr="00390B86">
        <w:t>é</w:t>
      </w:r>
      <w:r w:rsidRPr="00390B86">
        <w:rPr>
          <w:lang w:val="fr-FR"/>
        </w:rPr>
        <w:t>teil</w:t>
      </w:r>
      <w:r>
        <w:t xml:space="preserve">, προσδιορίζοντας το σπέρμα όχι ως πράγμα δυνάμενο να αποτελέσει αντικείμενο εμπορικής συναλλαγής, αλλά ως «έκκριση που εμπεριέχει τη ζωή στην αρχή της και προορίζεται για την αναπαραγωγή του ανθρώπινου όντος», έκρινε ότι η σύμβαση που είχε συνάψει ο θανών με το Κέντρο επέβαλε στο τελευταίο την υποχρέωση «της συντήρησης και επιστροφής στο δότη ή σε αυτήν για την οποία προοριζόταν το σπέρμα». Για το λόγο αυτό, υποχρέωσε το CECOS του Kremlin-Bicêtre να επιστρέψει στην </w:t>
      </w:r>
      <w:r w:rsidRPr="00ED7123">
        <w:rPr>
          <w:lang w:val="fr-FR"/>
        </w:rPr>
        <w:t>Corinne</w:t>
      </w:r>
      <w:r w:rsidRPr="00EA6E0F">
        <w:t xml:space="preserve"> </w:t>
      </w:r>
      <w:r w:rsidRPr="00ED7123">
        <w:rPr>
          <w:lang w:val="fr-FR"/>
        </w:rPr>
        <w:t>Parpalaix</w:t>
      </w:r>
      <w:r>
        <w:t xml:space="preserve"> το σπέρμα του συζύγου της, το οποίο και αξιοποιήθηκε για τη γονιμοποίησή της</w:t>
      </w:r>
      <w:r>
        <w:rPr>
          <w:rStyle w:val="FootnoteReference"/>
        </w:rPr>
        <w:footnoteReference w:id="329"/>
      </w:r>
      <w:r>
        <w:t>.</w:t>
      </w:r>
    </w:p>
    <w:p w14:paraId="1F2F623E" w14:textId="2E324E2E" w:rsidR="00137919" w:rsidRDefault="00137919" w:rsidP="00A56144">
      <w:r>
        <w:t xml:space="preserve">Οι αποφάσεις που ακολούθησαν, ωστόσο, κάθε άλλο παρά </w:t>
      </w:r>
      <w:r w:rsidR="00052633">
        <w:t>έμειναν πιστές σ</w:t>
      </w:r>
      <w:r>
        <w:t xml:space="preserve">τη νομολογία αυτή και σε αυτό βοήθησαν και τα κέντρα ιατρικά υποβοηθούμενης αναπαραγωγής, τα οποία μετά το </w:t>
      </w:r>
      <w:r w:rsidR="00240189">
        <w:t>προηγούμενο</w:t>
      </w:r>
      <w:r>
        <w:t xml:space="preserve"> της Υπόθεσης </w:t>
      </w:r>
      <w:r w:rsidRPr="00240189">
        <w:rPr>
          <w:i/>
          <w:lang w:val="en-US"/>
        </w:rPr>
        <w:t>Parpalaix</w:t>
      </w:r>
      <w:r>
        <w:t xml:space="preserve"> </w:t>
      </w:r>
      <w:r w:rsidR="00240189">
        <w:t>«</w:t>
      </w:r>
      <w:r>
        <w:t>εφοδι</w:t>
      </w:r>
      <w:r w:rsidR="00240189">
        <w:t xml:space="preserve">άστηκαν» επαρκώς απέναντι σε μελλοντικά ενδεχόμενα αιτήματα απόδοσης του γεννητικού υλικού του θανόντος συζύγου. </w:t>
      </w:r>
      <w:r w:rsidR="006432B2">
        <w:t>Λίγα χρόνια αργότερα, στις 26 Μαρτίου 1991</w:t>
      </w:r>
      <w:r w:rsidR="00A56144">
        <w:t>, και παρά το γεγονός ότι εξακολουθούσε να μην υφίσταται ρ</w:t>
      </w:r>
      <w:r w:rsidR="00A56144" w:rsidRPr="00390B86">
        <w:t>ητή</w:t>
      </w:r>
      <w:r w:rsidR="00A56144">
        <w:t xml:space="preserve"> νομοθετική</w:t>
      </w:r>
      <w:r w:rsidR="00A56144" w:rsidRPr="00390B86">
        <w:t xml:space="preserve"> απαγόρευση</w:t>
      </w:r>
      <w:r w:rsidR="00A56144">
        <w:t xml:space="preserve"> της</w:t>
      </w:r>
      <w:r w:rsidR="00A56144" w:rsidRPr="00390B86">
        <w:t xml:space="preserve"> μεταθανάτιας γονιμοποίησης</w:t>
      </w:r>
      <w:r w:rsidR="00A56144">
        <w:t xml:space="preserve">, το </w:t>
      </w:r>
      <w:r w:rsidR="006432B2" w:rsidRPr="00390B86">
        <w:t xml:space="preserve">Πολυμελές Πρωτοδικείο της </w:t>
      </w:r>
      <w:r w:rsidR="006432B2" w:rsidRPr="00390B86">
        <w:rPr>
          <w:lang w:val="fr-FR"/>
        </w:rPr>
        <w:t>Toulouse</w:t>
      </w:r>
      <w:r w:rsidR="00A56144">
        <w:rPr>
          <w:lang w:val="fr-FR"/>
        </w:rPr>
        <w:t xml:space="preserve">, όχι μόνο </w:t>
      </w:r>
      <w:r w:rsidR="00A56144">
        <w:t>απαγόρευσε τη μεταθανάτια</w:t>
      </w:r>
      <w:r w:rsidR="00A56144" w:rsidRPr="00390B86">
        <w:t xml:space="preserve"> γονιμοποίηση</w:t>
      </w:r>
      <w:r w:rsidR="00A56144">
        <w:t xml:space="preserve"> της ενάγουσας, αλλά έδωσε και εντολή καταστροφής του γεννητικού υλικού του θανόντος συζύγου της</w:t>
      </w:r>
      <w:r w:rsidR="00A56144">
        <w:rPr>
          <w:rStyle w:val="FootnoteReference"/>
        </w:rPr>
        <w:footnoteReference w:id="330"/>
      </w:r>
      <w:r w:rsidR="00A56144">
        <w:t xml:space="preserve">. Τα πραγματικά περιστατικά δε </w:t>
      </w:r>
      <w:r w:rsidR="00A56144">
        <w:lastRenderedPageBreak/>
        <w:t>διαφοροποιούνται και πολύ σε σχέση με αυτά της προηγούμενης υπόθεσης. Το καθοριστικό σημείο ωστόσο που έκανε εν προκειμένω τη διαφορά έγκειται στην προνοητικότητα του κέντρου ιατρικά υποβοηθούμενης αναπαραγωγής, που αυτή τη φορά δεν είχε αφήσει τα πράγματα στην τύχη. Πιο συγκεκριμένα, το 19</w:t>
      </w:r>
      <w:r w:rsidR="00A56144" w:rsidRPr="009F2DFA">
        <w:t>91</w:t>
      </w:r>
      <w:r w:rsidR="00A56144">
        <w:t>, μια νέα χήρα</w:t>
      </w:r>
      <w:r w:rsidR="00A56144" w:rsidRPr="009F2DFA">
        <w:t xml:space="preserve"> </w:t>
      </w:r>
      <w:r w:rsidR="00A56144">
        <w:t xml:space="preserve">ζήτησε από το κέντρο στο οποίο είχε καταθέσει για κρυοσυντήρηση το γεννητικό </w:t>
      </w:r>
      <w:r w:rsidR="008F2417">
        <w:t xml:space="preserve">του </w:t>
      </w:r>
      <w:r w:rsidR="00A56144">
        <w:t xml:space="preserve">υλικό ο σύζυγός της να της το </w:t>
      </w:r>
      <w:r w:rsidR="008F2417">
        <w:t>αποδώσει</w:t>
      </w:r>
      <w:r w:rsidR="00A56144">
        <w:t xml:space="preserve">. Ο σύζυγός της όμως, </w:t>
      </w:r>
      <w:r w:rsidR="008F2417">
        <w:t xml:space="preserve">σε αντίθεση με την προηγούμενη υπόθεση, </w:t>
      </w:r>
      <w:r w:rsidR="00A56144">
        <w:t>σύμφων</w:t>
      </w:r>
      <w:r w:rsidR="008F2417">
        <w:t>α με πάγια πρακτική του κέντρου μετά την υ</w:t>
      </w:r>
      <w:r w:rsidR="00A56144">
        <w:t>πόθεση</w:t>
      </w:r>
      <w:r w:rsidR="00A56144" w:rsidRPr="009F2DFA">
        <w:rPr>
          <w:i/>
        </w:rPr>
        <w:t xml:space="preserve"> </w:t>
      </w:r>
      <w:r w:rsidR="00A56144" w:rsidRPr="00B166F8">
        <w:rPr>
          <w:i/>
          <w:lang w:val="fr-FR"/>
        </w:rPr>
        <w:t>Parpalaix</w:t>
      </w:r>
      <w:r w:rsidR="00A56144">
        <w:rPr>
          <w:i/>
        </w:rPr>
        <w:t xml:space="preserve"> </w:t>
      </w:r>
      <w:r w:rsidR="00A56144">
        <w:t xml:space="preserve">ζητούσε από τους δότες να υπογράφουν δήλωση με ρητή τους αναγνώριση ότι το σπέρμα τους δε θα αξιοποιούνταν παρά μόνο παρουσία τους και με τη συναίνεση τους. </w:t>
      </w:r>
    </w:p>
    <w:p w14:paraId="37301489" w14:textId="18F9D9AC" w:rsidR="009A476D" w:rsidRDefault="000F27BB" w:rsidP="00316F6C">
      <w:r>
        <w:t>Το</w:t>
      </w:r>
      <w:r w:rsidRPr="003520AE">
        <w:t xml:space="preserve"> </w:t>
      </w:r>
      <w:r>
        <w:t>Πολυμελές</w:t>
      </w:r>
      <w:r w:rsidRPr="003520AE">
        <w:t xml:space="preserve"> </w:t>
      </w:r>
      <w:r>
        <w:t>Πρωτοδικείο</w:t>
      </w:r>
      <w:r w:rsidRPr="003520AE">
        <w:t xml:space="preserve"> </w:t>
      </w:r>
      <w:r>
        <w:t>της</w:t>
      </w:r>
      <w:r w:rsidRPr="003520AE">
        <w:t xml:space="preserve"> </w:t>
      </w:r>
      <w:r w:rsidRPr="00390B86">
        <w:rPr>
          <w:lang w:val="fr-FR"/>
        </w:rPr>
        <w:t>Toulouse</w:t>
      </w:r>
      <w:r w:rsidRPr="003520AE">
        <w:t xml:space="preserve"> </w:t>
      </w:r>
      <w:r>
        <w:t>όχι</w:t>
      </w:r>
      <w:r w:rsidRPr="003520AE">
        <w:t xml:space="preserve"> </w:t>
      </w:r>
      <w:r>
        <w:t>μόνο</w:t>
      </w:r>
      <w:r w:rsidRPr="003520AE">
        <w:t xml:space="preserve"> </w:t>
      </w:r>
      <w:r>
        <w:t>απέρριψε</w:t>
      </w:r>
      <w:r w:rsidRPr="003520AE">
        <w:t xml:space="preserve"> </w:t>
      </w:r>
      <w:r>
        <w:t>το</w:t>
      </w:r>
      <w:r w:rsidRPr="003520AE">
        <w:t xml:space="preserve"> </w:t>
      </w:r>
      <w:r>
        <w:t>αίτημα</w:t>
      </w:r>
      <w:r w:rsidRPr="003520AE">
        <w:t xml:space="preserve"> </w:t>
      </w:r>
      <w:r>
        <w:t>της</w:t>
      </w:r>
      <w:r w:rsidRPr="003520AE">
        <w:t xml:space="preserve"> </w:t>
      </w:r>
      <w:r>
        <w:t>χήρας</w:t>
      </w:r>
      <w:r w:rsidRPr="003520AE">
        <w:t xml:space="preserve">, </w:t>
      </w:r>
      <w:r>
        <w:t>αλλά</w:t>
      </w:r>
      <w:r w:rsidRPr="003520AE">
        <w:t xml:space="preserve"> </w:t>
      </w:r>
      <w:r>
        <w:t>διέταξε</w:t>
      </w:r>
      <w:r w:rsidRPr="003520AE">
        <w:t xml:space="preserve"> </w:t>
      </w:r>
      <w:r>
        <w:t>την</w:t>
      </w:r>
      <w:r w:rsidRPr="003520AE">
        <w:t xml:space="preserve"> </w:t>
      </w:r>
      <w:r>
        <w:t>καταστροφή</w:t>
      </w:r>
      <w:r w:rsidRPr="003520AE">
        <w:t xml:space="preserve"> </w:t>
      </w:r>
      <w:r>
        <w:t>του</w:t>
      </w:r>
      <w:r w:rsidRPr="003520AE">
        <w:t xml:space="preserve"> </w:t>
      </w:r>
      <w:r>
        <w:t>κρυοσυντηρημένου</w:t>
      </w:r>
      <w:r w:rsidRPr="003520AE">
        <w:t xml:space="preserve"> </w:t>
      </w:r>
      <w:r>
        <w:t>γεννητικού</w:t>
      </w:r>
      <w:r w:rsidRPr="003520AE">
        <w:t xml:space="preserve"> </w:t>
      </w:r>
      <w:r>
        <w:t>υλικού</w:t>
      </w:r>
      <w:r w:rsidRPr="003520AE">
        <w:t xml:space="preserve"> </w:t>
      </w:r>
      <w:r>
        <w:t>του</w:t>
      </w:r>
      <w:r w:rsidRPr="003520AE">
        <w:t xml:space="preserve"> </w:t>
      </w:r>
      <w:r>
        <w:t>θανόντος</w:t>
      </w:r>
      <w:r w:rsidRPr="003520AE">
        <w:t xml:space="preserve"> </w:t>
      </w:r>
      <w:r>
        <w:t>συζύγου</w:t>
      </w:r>
      <w:r w:rsidRPr="003520AE">
        <w:t xml:space="preserve"> </w:t>
      </w:r>
      <w:r>
        <w:t xml:space="preserve">της, το οποίο και το Δικαστήριο θεώρησε ως </w:t>
      </w:r>
      <w:r w:rsidRPr="003520AE">
        <w:t xml:space="preserve"> </w:t>
      </w:r>
      <w:r>
        <w:t xml:space="preserve">«έκκριση που εμπεριέχει τη ζωή στην αρχή της και προορίζεται για την αναπαραγωγή του ανθρώπινου όντος». Παρότι εκφράστηκαν σοβαροί προβληματισμοί σχετικά με την πατρότητα του τέκνου που θα γεννιόταν με τον τρόπο αυτό, η απόφαση του δικαστή δε θεμελιώθηκε στη γενικότερη καταδίκη της πρακτικής της μεταθανάτιας υποβοηθούμενης αναπαραγωγής, αλλά κυρίως στην ύπαρξη της ρήτρας την οποία είχε δεχθεί και υπογράψει ο δότης. </w:t>
      </w:r>
      <w:r w:rsidR="00316F6C">
        <w:t xml:space="preserve">Η δήλωση αυτή, μάλιστα, όπως άλλωστε προκύπτει από τις βασικές αρχές του ενοχικού δικαίου, </w:t>
      </w:r>
      <w:r>
        <w:t>δε θα μπορούσε να θεωρηθεί ως σιωπηρά ανακληθείσα, δεδομένου ότι το περιεχόμενο των συμβολαίων δε μπορεί να τροποποιηθεί ή να ακυρωθεί μονομερώς</w:t>
      </w:r>
      <w:r w:rsidR="00316F6C">
        <w:t xml:space="preserve">. </w:t>
      </w:r>
    </w:p>
    <w:p w14:paraId="2C9FFC2C" w14:textId="7A171D0D" w:rsidR="000B63D0" w:rsidRDefault="000B63D0" w:rsidP="00316F6C">
      <w:r>
        <w:t xml:space="preserve">Απορριπτική παρέμεινε η νομολογία και όταν το αίτημα της </w:t>
      </w:r>
      <w:r w:rsidR="00C7477C">
        <w:t>ενάγουσας χήρας διαφοροποιήθηκε</w:t>
      </w:r>
      <w:r>
        <w:t xml:space="preserve"> και αντί να ζητά την απόδοση του σπέρματος του θανόντος συζύγου της, ζητούσε την επιστροφή των κρυοσυντηρημέν</w:t>
      </w:r>
      <w:r w:rsidR="004369A8">
        <w:t>ων εμβρύων τους. Χαρακτηριστική</w:t>
      </w:r>
      <w:r>
        <w:t xml:space="preserve"> είναι </w:t>
      </w:r>
      <w:r w:rsidR="00271B6A">
        <w:t>η από 30 Ιουνίου 1993</w:t>
      </w:r>
      <w:r w:rsidR="004369A8">
        <w:t xml:space="preserve"> απόφαση </w:t>
      </w:r>
      <w:r w:rsidR="00271B6A">
        <w:t>του</w:t>
      </w:r>
      <w:r>
        <w:t xml:space="preserve"> Πολυμελούς Πρωτοδικείου της </w:t>
      </w:r>
      <w:r>
        <w:rPr>
          <w:lang w:val="en-US"/>
        </w:rPr>
        <w:t>Rennes</w:t>
      </w:r>
      <w:r w:rsidR="00271B6A">
        <w:rPr>
          <w:rStyle w:val="FootnoteReference"/>
          <w:lang w:val="en-US"/>
        </w:rPr>
        <w:footnoteReference w:id="331"/>
      </w:r>
      <w:r w:rsidR="00271B6A">
        <w:t xml:space="preserve">. </w:t>
      </w:r>
      <w:r>
        <w:t xml:space="preserve"> </w:t>
      </w:r>
    </w:p>
    <w:p w14:paraId="03ECDD51" w14:textId="354F5BE7" w:rsidR="00271B6A" w:rsidRDefault="000B63D0" w:rsidP="00271B6A">
      <w:r>
        <w:t xml:space="preserve">Πιο συγκεκριμένα, </w:t>
      </w:r>
      <w:r w:rsidR="00271B6A">
        <w:t xml:space="preserve">η παρούσα υπόθεση αναδεικνύει το ζήτημα της διάκρισης μεταξύ μεταθανάτιας τεχνητής γονιμοποίησης και μεταθανάτιας εμβρυομεταφοράς, στο βαθμό που στην πρώτη περίπτωση η σύλληψη </w:t>
      </w:r>
      <w:r w:rsidR="00271B6A" w:rsidRPr="003F5B72">
        <w:rPr>
          <w:rStyle w:val="Emphasis"/>
          <w:lang w:val="fr-FR"/>
        </w:rPr>
        <w:t>in</w:t>
      </w:r>
      <w:r w:rsidR="00271B6A" w:rsidRPr="003F5B72">
        <w:rPr>
          <w:rStyle w:val="Emphasis"/>
        </w:rPr>
        <w:t xml:space="preserve"> </w:t>
      </w:r>
      <w:r w:rsidR="00271B6A" w:rsidRPr="003F5B72">
        <w:rPr>
          <w:rStyle w:val="Emphasis"/>
          <w:lang w:val="fr-FR"/>
        </w:rPr>
        <w:t>vitro</w:t>
      </w:r>
      <w:r w:rsidR="00271B6A" w:rsidRPr="003F5B72">
        <w:t xml:space="preserve"> </w:t>
      </w:r>
      <w:r w:rsidR="00271B6A">
        <w:t xml:space="preserve">του εμβρύου είναι μεταγενέστερη της στιγμής του θανάτου του πατέρα, ενώ στη δεύτερη το ζήτημα που εγείρεται είναι κατά πόσο μπορεί η κυοφορία να γίνει μετά το θάνατο του πατέρα δεδομένου ότι αυτός ο τελευταίος δεν είχε επιβεβαιώσει τη συναίνεσή του για τη μεταφορά του εμβρύου. Εν προκειμένω, η συναίνεση του πατέρα είχε παρασχεθεί κατά τη στιγμή της </w:t>
      </w:r>
      <w:r w:rsidR="00271B6A" w:rsidRPr="003F5B72">
        <w:rPr>
          <w:rStyle w:val="Emphasis"/>
          <w:lang w:val="fr-FR"/>
        </w:rPr>
        <w:t>in</w:t>
      </w:r>
      <w:r w:rsidR="00271B6A" w:rsidRPr="003F5B72">
        <w:rPr>
          <w:rStyle w:val="Emphasis"/>
        </w:rPr>
        <w:t xml:space="preserve"> </w:t>
      </w:r>
      <w:r w:rsidR="00271B6A" w:rsidRPr="003F5B72">
        <w:rPr>
          <w:rStyle w:val="Emphasis"/>
          <w:lang w:val="fr-FR"/>
        </w:rPr>
        <w:t>vitro</w:t>
      </w:r>
      <w:r w:rsidR="00271B6A">
        <w:rPr>
          <w:rStyle w:val="Emphasis"/>
        </w:rPr>
        <w:t xml:space="preserve"> </w:t>
      </w:r>
      <w:r w:rsidR="00271B6A" w:rsidRPr="003F5B72">
        <w:rPr>
          <w:rStyle w:val="Emphasis"/>
          <w:i w:val="0"/>
        </w:rPr>
        <w:t>γονιμοποίησης του εμβρύου</w:t>
      </w:r>
      <w:r w:rsidR="00271B6A">
        <w:rPr>
          <w:rStyle w:val="Emphasis"/>
          <w:i w:val="0"/>
        </w:rPr>
        <w:t xml:space="preserve">, χωρίς ωστόσο να επιβεβαιωθεί κατά τη στιγμή της μεταφοράς, όταν πλέον ο πατέρας είχε αποβιώσει. Η χήρα συνεπώς κατέθεσε αγωγή ενώπιον του Πολυμελούς Πρωτοδικείου της </w:t>
      </w:r>
      <w:r w:rsidR="00271B6A">
        <w:rPr>
          <w:lang w:val="fr-FR"/>
        </w:rPr>
        <w:t>Rennes</w:t>
      </w:r>
      <w:r w:rsidR="00271B6A">
        <w:t xml:space="preserve"> ζητώντας να της αναγνωριστεί το δικαίωμά εμφύτευσης των εμβρύων τα οποία είχε κρυοσυντηρήσει με το σύζυγό της, πριν αυτός αποβιώσει, στο  </w:t>
      </w:r>
      <w:r w:rsidR="00271B6A" w:rsidRPr="00390B86">
        <w:t xml:space="preserve">Κέντρο Μελέτης και </w:t>
      </w:r>
      <w:r w:rsidR="00271B6A" w:rsidRPr="00390B86">
        <w:lastRenderedPageBreak/>
        <w:t>Συντήρησης Ανθρώπινων Ωαρίων και Σπέρματος (</w:t>
      </w:r>
      <w:r w:rsidR="00271B6A" w:rsidRPr="00390B86">
        <w:rPr>
          <w:i/>
          <w:lang w:val="fr-FR"/>
        </w:rPr>
        <w:t>Centre</w:t>
      </w:r>
      <w:r w:rsidR="00271B6A" w:rsidRPr="00390B86">
        <w:rPr>
          <w:i/>
        </w:rPr>
        <w:t xml:space="preserve"> </w:t>
      </w:r>
      <w:r w:rsidR="00271B6A" w:rsidRPr="00390B86">
        <w:rPr>
          <w:i/>
          <w:lang w:val="fr-FR"/>
        </w:rPr>
        <w:t>d</w:t>
      </w:r>
      <w:r w:rsidR="00271B6A" w:rsidRPr="00390B86">
        <w:rPr>
          <w:i/>
        </w:rPr>
        <w:t>’</w:t>
      </w:r>
      <w:r w:rsidR="00271B6A" w:rsidRPr="00390B86">
        <w:rPr>
          <w:i/>
          <w:lang w:val="fr-FR"/>
        </w:rPr>
        <w:t>Etude</w:t>
      </w:r>
      <w:r w:rsidR="00271B6A" w:rsidRPr="00390B86">
        <w:rPr>
          <w:i/>
        </w:rPr>
        <w:t xml:space="preserve"> </w:t>
      </w:r>
      <w:r w:rsidR="00271B6A" w:rsidRPr="00390B86">
        <w:rPr>
          <w:i/>
          <w:lang w:val="fr-FR"/>
        </w:rPr>
        <w:t>et</w:t>
      </w:r>
      <w:r w:rsidR="00271B6A" w:rsidRPr="00390B86">
        <w:rPr>
          <w:i/>
        </w:rPr>
        <w:t xml:space="preserve"> </w:t>
      </w:r>
      <w:r w:rsidR="00271B6A" w:rsidRPr="00390B86">
        <w:rPr>
          <w:i/>
          <w:lang w:val="fr-FR"/>
        </w:rPr>
        <w:t>de</w:t>
      </w:r>
      <w:r w:rsidR="00271B6A" w:rsidRPr="00390B86">
        <w:rPr>
          <w:i/>
        </w:rPr>
        <w:t xml:space="preserve"> </w:t>
      </w:r>
      <w:r w:rsidR="00271B6A" w:rsidRPr="00390B86">
        <w:rPr>
          <w:i/>
          <w:lang w:val="fr-FR"/>
        </w:rPr>
        <w:t>Conservation</w:t>
      </w:r>
      <w:r w:rsidR="00271B6A" w:rsidRPr="00390B86">
        <w:rPr>
          <w:i/>
        </w:rPr>
        <w:t xml:space="preserve"> </w:t>
      </w:r>
      <w:r w:rsidR="00271B6A" w:rsidRPr="00390B86">
        <w:rPr>
          <w:i/>
          <w:lang w:val="fr-FR"/>
        </w:rPr>
        <w:t>des</w:t>
      </w:r>
      <w:r w:rsidR="00271B6A" w:rsidRPr="00390B86">
        <w:rPr>
          <w:i/>
        </w:rPr>
        <w:t xml:space="preserve"> Œ</w:t>
      </w:r>
      <w:r w:rsidR="00271B6A" w:rsidRPr="00390B86">
        <w:rPr>
          <w:i/>
          <w:lang w:val="fr-FR"/>
        </w:rPr>
        <w:t>ufs</w:t>
      </w:r>
      <w:r w:rsidR="00271B6A" w:rsidRPr="00390B86">
        <w:rPr>
          <w:i/>
        </w:rPr>
        <w:t xml:space="preserve"> </w:t>
      </w:r>
      <w:r w:rsidR="00271B6A" w:rsidRPr="00390B86">
        <w:rPr>
          <w:i/>
          <w:lang w:val="fr-FR"/>
        </w:rPr>
        <w:t>et</w:t>
      </w:r>
      <w:r w:rsidR="00271B6A" w:rsidRPr="00390B86">
        <w:rPr>
          <w:i/>
        </w:rPr>
        <w:t xml:space="preserve"> </w:t>
      </w:r>
      <w:r w:rsidR="00271B6A" w:rsidRPr="00390B86">
        <w:rPr>
          <w:i/>
          <w:lang w:val="fr-FR"/>
        </w:rPr>
        <w:t>du</w:t>
      </w:r>
      <w:r w:rsidR="00271B6A" w:rsidRPr="00390B86">
        <w:rPr>
          <w:i/>
        </w:rPr>
        <w:t xml:space="preserve"> </w:t>
      </w:r>
      <w:r w:rsidR="00271B6A" w:rsidRPr="00390B86">
        <w:rPr>
          <w:i/>
          <w:lang w:val="fr-FR"/>
        </w:rPr>
        <w:t>Sperme</w:t>
      </w:r>
      <w:r w:rsidR="00271B6A" w:rsidRPr="00390B86">
        <w:rPr>
          <w:i/>
        </w:rPr>
        <w:t xml:space="preserve"> </w:t>
      </w:r>
      <w:r w:rsidR="00271B6A" w:rsidRPr="00390B86">
        <w:rPr>
          <w:i/>
          <w:lang w:val="fr-FR"/>
        </w:rPr>
        <w:t>humains</w:t>
      </w:r>
      <w:r w:rsidR="00271B6A" w:rsidRPr="00390B86">
        <w:rPr>
          <w:i/>
        </w:rPr>
        <w:t xml:space="preserve">, </w:t>
      </w:r>
      <w:r w:rsidR="00271B6A" w:rsidRPr="00390B86">
        <w:rPr>
          <w:i/>
          <w:lang w:val="fr-FR"/>
        </w:rPr>
        <w:t>CECOS</w:t>
      </w:r>
      <w:r w:rsidR="00271B6A" w:rsidRPr="00390B86">
        <w:t>)</w:t>
      </w:r>
      <w:r w:rsidR="00271B6A" w:rsidRPr="004F7971">
        <w:t xml:space="preserve"> </w:t>
      </w:r>
      <w:r w:rsidR="00271B6A">
        <w:t xml:space="preserve">της </w:t>
      </w:r>
      <w:r w:rsidR="00271B6A">
        <w:rPr>
          <w:lang w:val="fr-FR"/>
        </w:rPr>
        <w:t>Rennes</w:t>
      </w:r>
      <w:r w:rsidR="00271B6A">
        <w:t>. Σημειώνεται, δε, ότι το εν λόγω Κέντρο είχε απαντήσει αρνητικά στο αίτημά της αυτό.</w:t>
      </w:r>
    </w:p>
    <w:p w14:paraId="1918EF60" w14:textId="7E52A316" w:rsidR="00271B6A" w:rsidRDefault="00271B6A" w:rsidP="00271B6A">
      <w:r w:rsidRPr="00271B6A">
        <w:t>Το Πολυμελές Πρωτοδικείο της Rennes αναγνώρισε ως νόμιμη τη σύμβαση λήψης ωαρίων και γονιμοποίησής τους, σύμφωνα με</w:t>
      </w:r>
      <w:r>
        <w:t xml:space="preserve"> το άρθρο 1128 ΑΚ, στο βαθμό που η πράξη αυτή συνιστά μια θεραπευτική ενάντια της υπογονιμότητας θεραπευτική πράξη. Επίσης, επισήμανε την πράγματι πολύ σημαντική διάκριση μεταξύ </w:t>
      </w:r>
      <w:r w:rsidR="003918FE">
        <w:t xml:space="preserve">της </w:t>
      </w:r>
      <w:r w:rsidRPr="00E10D64">
        <w:rPr>
          <w:i/>
          <w:lang w:val="en-US"/>
        </w:rPr>
        <w:t>post</w:t>
      </w:r>
      <w:r w:rsidRPr="00E10D64">
        <w:rPr>
          <w:i/>
        </w:rPr>
        <w:t xml:space="preserve"> </w:t>
      </w:r>
      <w:r w:rsidRPr="00E10D64">
        <w:rPr>
          <w:i/>
          <w:lang w:val="en-US"/>
        </w:rPr>
        <w:t>mortem</w:t>
      </w:r>
      <w:r>
        <w:t xml:space="preserve"> τεχνητής γονιμοποίησης και</w:t>
      </w:r>
      <w:r w:rsidR="003918FE">
        <w:t xml:space="preserve"> της</w:t>
      </w:r>
      <w:r>
        <w:t xml:space="preserve"> </w:t>
      </w:r>
      <w:r w:rsidRPr="00E10D64">
        <w:rPr>
          <w:i/>
          <w:lang w:val="en-US"/>
        </w:rPr>
        <w:t>post</w:t>
      </w:r>
      <w:r w:rsidRPr="00E10D64">
        <w:rPr>
          <w:i/>
        </w:rPr>
        <w:t xml:space="preserve"> </w:t>
      </w:r>
      <w:r w:rsidRPr="00E10D64">
        <w:rPr>
          <w:i/>
          <w:lang w:val="en-US"/>
        </w:rPr>
        <w:t>mortem</w:t>
      </w:r>
      <w:r>
        <w:t xml:space="preserve"> εμβρυομεταφοράς. Ωστόσο, στο αίτημα της χήρας να της επιτραπεί η εμφύτευση των ήδη κρυοσυντηρημένων εμβρύων, </w:t>
      </w:r>
      <w:r w:rsidRPr="00271B6A">
        <w:t>το Πολυμελές Πρωτοδικείο της Rennes</w:t>
      </w:r>
      <w:r w:rsidRPr="00B02E66">
        <w:t xml:space="preserve"> </w:t>
      </w:r>
      <w:r>
        <w:t>απάντησε αρνητικά, θεμελιώνοντας την απόφασή του αυτή στην απουσία συναίνεσης του αποβιώσαντος συζύγου και υποψήφιου πατέρα.</w:t>
      </w:r>
    </w:p>
    <w:p w14:paraId="7F6DFCC1" w14:textId="2FD069B7" w:rsidR="00F953D2" w:rsidRDefault="00F953D2" w:rsidP="00F953D2">
      <w:bookmarkStart w:id="199" w:name="αναγνωριση_πατρότητας_νομολογία"/>
      <w:r>
        <w:t xml:space="preserve">Εκπλήσσει, βέβαια, το γεγονός ότι η απουσία ρητής συναίνεσης του θανόντος δε φαίνεται να λήφθηκε υπόψη σε μια άλλη απόφαση, επίσης προγενέστερη της νομοθεσίας του 1994, η οποία αναγνώρισε την πατρότητα τέκνου που γεννήθηκε με </w:t>
      </w:r>
      <w:r w:rsidRPr="003374B6">
        <w:rPr>
          <w:i/>
          <w:lang w:val="en-US"/>
        </w:rPr>
        <w:t>post</w:t>
      </w:r>
      <w:r>
        <w:rPr>
          <w:i/>
        </w:rPr>
        <w:t xml:space="preserve"> </w:t>
      </w:r>
      <w:r w:rsidRPr="003374B6">
        <w:rPr>
          <w:i/>
          <w:lang w:val="en-US"/>
        </w:rPr>
        <w:t>mortem</w:t>
      </w:r>
      <w:r w:rsidRPr="003374B6">
        <w:t xml:space="preserve"> </w:t>
      </w:r>
      <w:r>
        <w:t>εμβρυομεταφορά δύο χρόνια μετά το θάνατο του πατέρα του. Πιο συγκεκριμένα, το</w:t>
      </w:r>
      <w:r w:rsidRPr="00F953D2">
        <w:t xml:space="preserve"> Πολυμελές Πρωτοδικείο της Angers</w:t>
      </w:r>
      <w:r>
        <w:t xml:space="preserve"> αποφάσισε ότι «το τέκνο που συνελήφθη από τους γαμέτες των δύο συζύγων και το οποίο γεννήθηκε πάνω από ένα χρόνο μετά το θάνατο του συζύγου, καλύπτεται από το τεκμήριο της πατρότητας, παρά τη μεταγενέστερη κυοφορία. Το τέκνο, στην περίπτωση αυτή, τεκμαίρεται ως συλληφθέν κατά τη διάρκεια του γάμου, όπως μάλιστα τα δύο άλλα τέκνα του ζευγαριού που συνελήφθησαν </w:t>
      </w:r>
      <w:r w:rsidRPr="00BB41E6">
        <w:rPr>
          <w:i/>
          <w:lang w:val="fr-FR"/>
        </w:rPr>
        <w:t>in</w:t>
      </w:r>
      <w:r w:rsidRPr="00BB41E6">
        <w:rPr>
          <w:i/>
        </w:rPr>
        <w:t xml:space="preserve"> </w:t>
      </w:r>
      <w:r w:rsidRPr="00BB41E6">
        <w:rPr>
          <w:i/>
          <w:lang w:val="fr-FR"/>
        </w:rPr>
        <w:t>vitro</w:t>
      </w:r>
      <w:r>
        <w:t xml:space="preserve"> ενόσω ο πατέρας ήταν εν ζωή»</w:t>
      </w:r>
      <w:r>
        <w:rPr>
          <w:rStyle w:val="FootnoteReference"/>
        </w:rPr>
        <w:footnoteReference w:id="332"/>
      </w:r>
      <w:r>
        <w:t xml:space="preserve">. Ασφαλώς, η εν λόγω νομολογία διαφοροποιείται από τις προαναφερθείσες αποφάσεις ως προς το γεγονός ότι ο δικαστής δεν κλήθηκε να επιτρέπει τη διενέργεια της μεταθανάτιας </w:t>
      </w:r>
      <w:r w:rsidR="008B4921">
        <w:t xml:space="preserve">ιατρικά υποβοηθούμενης </w:t>
      </w:r>
      <w:r>
        <w:t xml:space="preserve">αναπαραγωγής, αλλά να αναγνωρίσει τα ήδη δημιουργηθέντα έννομα αποτελέσματα της διενεργηθείσας μεταθανάτιας αναπαραγωγής. Το γεγονός αυτό, σε συνδυασμό με το ότι δεν είχε ακόμη ρητά θεσπιστεί η νομοθετική απαγόρευση της μεταθανάτιας αναπαραγωγής, φαίνεται να διαδραμάτισε καθοριστικό ρόλο στην απόφαση του δικαστή της </w:t>
      </w:r>
      <w:r w:rsidR="00701071">
        <w:t>Angers</w:t>
      </w:r>
      <w:r>
        <w:t xml:space="preserve">. </w:t>
      </w:r>
      <w:bookmarkEnd w:id="199"/>
    </w:p>
    <w:p w14:paraId="2465718D" w14:textId="4A119D04" w:rsidR="000717FA" w:rsidRDefault="000717FA" w:rsidP="000717FA">
      <w:pPr>
        <w:pStyle w:val="Heading4"/>
      </w:pPr>
      <w:bookmarkStart w:id="200" w:name="_Toc276574438"/>
      <w:r>
        <w:t xml:space="preserve">§2. Η ρητή νομοθετική απαγόρευση της μεταθανάτιας </w:t>
      </w:r>
      <w:r w:rsidR="00A0187A">
        <w:t xml:space="preserve">ιατρικά υποβοηθούμενης </w:t>
      </w:r>
      <w:r>
        <w:t>αναπαραγωγής</w:t>
      </w:r>
      <w:bookmarkEnd w:id="200"/>
      <w:r>
        <w:t xml:space="preserve"> </w:t>
      </w:r>
    </w:p>
    <w:p w14:paraId="4E9923A6" w14:textId="195D6F8D" w:rsidR="00137919" w:rsidRDefault="00310E75" w:rsidP="00137919">
      <w:r>
        <w:t>Στα πλαίσια αυτά κινήθηκε η γαλλική νομολογία, ώσπου ήρθε ο νομοθέτης</w:t>
      </w:r>
      <w:r w:rsidR="00E77CFD">
        <w:t>, το 1994</w:t>
      </w:r>
      <w:r>
        <w:t xml:space="preserve">, να απαγορεύσει ρητά τη μεταθανάτια αναπαραγωγή, χωρίς μάλιστα να κάνει καμία διάκριση ανάλογα με το αν η αναπαραγωγή συνίστατο σε μεταθανάτια γονιμοποίηση ή σε μεταθανάτια μεταφορά ήδη συλληφθέντων και κρυοσυντηρημένων εμβρύων του ζευγαριού, όπως είχε προταθεί από την Εθνική Συμβουλευτική Επιτροπή Ηθικής. </w:t>
      </w:r>
    </w:p>
    <w:p w14:paraId="35EBB099" w14:textId="4ABE4D4B" w:rsidR="002702D8" w:rsidRDefault="00310E75" w:rsidP="00C34C4B">
      <w:r>
        <w:lastRenderedPageBreak/>
        <w:t xml:space="preserve">Στο σημείο, δε, </w:t>
      </w:r>
      <w:r w:rsidR="00BC20E7">
        <w:t>αυτό</w:t>
      </w:r>
      <w:r>
        <w:t xml:space="preserve"> και πριν ξεκινήσουμε τη μελέτη της εξέλιξης του σχετικού νομοθετικού πλαισίου, θα είχε ιδιαίτερη αξία να επαναφέρουμε τη</w:t>
      </w:r>
      <w:r w:rsidR="00BC20E7">
        <w:t xml:space="preserve"> </w:t>
      </w:r>
      <w:r w:rsidR="00BC20E7" w:rsidRPr="0027160A">
        <w:rPr>
          <w:b/>
        </w:rPr>
        <w:t>διάκριση μεταξύ μεταθανάτιας γονιμοποίησης</w:t>
      </w:r>
      <w:r w:rsidR="00435CC7">
        <w:rPr>
          <w:b/>
        </w:rPr>
        <w:t xml:space="preserve"> (i)</w:t>
      </w:r>
      <w:r w:rsidR="00BC20E7" w:rsidRPr="0027160A">
        <w:rPr>
          <w:b/>
        </w:rPr>
        <w:t xml:space="preserve"> και μεταθανάτιας μεταφοράς εμβρύων</w:t>
      </w:r>
      <w:r w:rsidR="00435CC7">
        <w:rPr>
          <w:b/>
        </w:rPr>
        <w:t xml:space="preserve"> (</w:t>
      </w:r>
      <w:r w:rsidR="00435CC7">
        <w:rPr>
          <w:b/>
          <w:lang w:val="en-US"/>
        </w:rPr>
        <w:t>ii</w:t>
      </w:r>
      <w:r w:rsidR="00435CC7">
        <w:rPr>
          <w:b/>
        </w:rPr>
        <w:t>)</w:t>
      </w:r>
      <w:r w:rsidRPr="00310E75">
        <w:t xml:space="preserve">, </w:t>
      </w:r>
      <w:r w:rsidR="00BC20E7">
        <w:t>αν λάβει κανείς υπόψη του ότι</w:t>
      </w:r>
      <w:r>
        <w:t xml:space="preserve"> η διαφοροποίηση αυτή</w:t>
      </w:r>
      <w:r w:rsidR="00BC20E7">
        <w:t xml:space="preserve"> έχει</w:t>
      </w:r>
      <w:r>
        <w:t xml:space="preserve"> μέχρι σήμερα </w:t>
      </w:r>
      <w:r w:rsidR="00B42D31">
        <w:t>προταθεί</w:t>
      </w:r>
      <w:r w:rsidR="002702D8">
        <w:t>, εκτός από την Εθνική Συμβουλευτική Επιτροπή Ηθικής,</w:t>
      </w:r>
      <w:r w:rsidR="00BC20E7">
        <w:t xml:space="preserve"> </w:t>
      </w:r>
      <w:r w:rsidR="00B42D31">
        <w:t xml:space="preserve">και </w:t>
      </w:r>
      <w:r w:rsidR="00BC20E7">
        <w:t xml:space="preserve">από διάφορους </w:t>
      </w:r>
      <w:r w:rsidR="002702D8">
        <w:t xml:space="preserve">άλλους </w:t>
      </w:r>
      <w:r w:rsidR="00BC20E7">
        <w:t xml:space="preserve">φορείς που έχουν </w:t>
      </w:r>
      <w:r w:rsidR="002702D8">
        <w:t xml:space="preserve">ασχοληθεί με το θέμα, αλλά και από </w:t>
      </w:r>
      <w:r w:rsidR="00BC20E7">
        <w:t xml:space="preserve">τη νομολογία. </w:t>
      </w:r>
    </w:p>
    <w:p w14:paraId="32EFD926" w14:textId="77777777" w:rsidR="00435CC7" w:rsidRPr="000717FA" w:rsidRDefault="00435CC7" w:rsidP="00435CC7">
      <w:pPr>
        <w:pStyle w:val="Heading5"/>
      </w:pPr>
      <w:r>
        <w:rPr>
          <w:lang w:val="en-US"/>
        </w:rPr>
        <w:t xml:space="preserve">i. </w:t>
      </w:r>
      <w:r>
        <w:t xml:space="preserve">Μεταθανάτια γονιμοποίηση </w:t>
      </w:r>
    </w:p>
    <w:p w14:paraId="0A58D9CF" w14:textId="07A0FED1" w:rsidR="00C32BB5" w:rsidRDefault="00C32BB5" w:rsidP="003A4A1C">
      <w:r>
        <w:t>Καταρχάς, σε ό,τι αφορά στη μεταθανάτια γονιμοποίηση, η οποία όπως προκύπτει από τη μέχρι στιγμής ανάλυσ</w:t>
      </w:r>
      <w:r w:rsidR="003A4A1C">
        <w:t>η</w:t>
      </w:r>
      <w:r>
        <w:t xml:space="preserve"> έγινε δυνατή τη στιγμή που επιτράπηκε η κρυοσυντήρηση των γαμετών του υποβοηθούμενου ζευγαριού, ο νομοθέτης, κατά το πρότυπο προαναφερθείσας νομολογίας, την απαγορεύει ρητά: σύμφνωα με τις διατάξεις του </w:t>
      </w:r>
      <w:r w:rsidRPr="00DA3B41">
        <w:rPr>
          <w:b/>
        </w:rPr>
        <w:t>άρθρο</w:t>
      </w:r>
      <w:r>
        <w:rPr>
          <w:b/>
        </w:rPr>
        <w:t>υ</w:t>
      </w:r>
      <w:r w:rsidRPr="00DA3B41">
        <w:rPr>
          <w:b/>
        </w:rPr>
        <w:t xml:space="preserve"> </w:t>
      </w:r>
      <w:r w:rsidRPr="00DA3B41">
        <w:rPr>
          <w:b/>
          <w:lang w:val="fr-FR"/>
        </w:rPr>
        <w:t>L</w:t>
      </w:r>
      <w:r w:rsidRPr="00DA3B41">
        <w:rPr>
          <w:b/>
        </w:rPr>
        <w:t xml:space="preserve">. 2141-2, παρ. </w:t>
      </w:r>
      <w:r>
        <w:rPr>
          <w:b/>
        </w:rPr>
        <w:t>2</w:t>
      </w:r>
      <w:r w:rsidRPr="00DA3B41">
        <w:rPr>
          <w:b/>
        </w:rPr>
        <w:t xml:space="preserve">, </w:t>
      </w:r>
      <w:r>
        <w:rPr>
          <w:b/>
        </w:rPr>
        <w:t>ΚΔΥ</w:t>
      </w:r>
      <w:r w:rsidR="006B720A">
        <w:rPr>
          <w:b/>
        </w:rPr>
        <w:t xml:space="preserve">, </w:t>
      </w:r>
      <w:r>
        <w:t>«</w:t>
      </w:r>
      <w:r w:rsidRPr="00496E7F">
        <w:rPr>
          <w:i/>
        </w:rPr>
        <w:t>ο άνδρας και η γυναίκα που συνθέτουν το ζευγάρι πρέπει να είναι εν ζωή</w:t>
      </w:r>
      <w:r>
        <w:t>».</w:t>
      </w:r>
      <w:r w:rsidR="00F4423A">
        <w:t xml:space="preserve"> Οι γαμέτες κατατίθενται και συντηρούνται για να αξιοποιηθούν ενόψει μιας ιατρικά υποβοηθούμενης αναπαραγωγής από τον ίδιο το δότη: δεν είναι δυνατό να γεννηθούν τέκνα από γονείς που έχουν ήδη αποβιώσει, «γιατί η τεκνοποιία δε στοχεύει μόνο στην παρηγοριά όσων φέρνουν στον κόσμο παιδιά. Το παιδί είναι το μέλλον, δεν αποτελεί απλά ένα </w:t>
      </w:r>
      <w:r w:rsidR="00A821FC">
        <w:t>‘μνημείο εις μνήμην’</w:t>
      </w:r>
      <w:r w:rsidR="00F4423A">
        <w:t xml:space="preserve"> ενός αποβιώσαντος προσώπου»</w:t>
      </w:r>
      <w:r w:rsidR="00F4423A">
        <w:rPr>
          <w:rStyle w:val="FootnoteReference"/>
        </w:rPr>
        <w:footnoteReference w:id="333"/>
      </w:r>
      <w:r w:rsidR="00F4423A">
        <w:t xml:space="preserve">. </w:t>
      </w:r>
    </w:p>
    <w:p w14:paraId="75A17F57" w14:textId="0E76F841" w:rsidR="00FD11DF" w:rsidRDefault="00FD11DF" w:rsidP="00FD11DF">
      <w:r>
        <w:t xml:space="preserve">Η νομολογία, συνεπώς, στο εξής, δε μπορούσε παρά να ακολουθήσει τις προσταγές του νομοθέτη, χωρίς αποκλίσεις πλεόν. Όπως αναφέρθηκε και πιο πάνω, η απάντηση των δικαστηρίων σε αιτήματα απόδοσης του σπέρματος του θανόντος δότη υπήρξε συστηματικά αρνητική, όποιος κι αν ήταν ο δικαιολογητικός λόγος στον οποίο θεμελιωνόταν το αίτημα. </w:t>
      </w:r>
      <w:r w:rsidR="00AB48D0">
        <w:t xml:space="preserve">Είτε το αίτημα βασιζόταν απλά στην επιθυμία απόκτησης τέκνων, </w:t>
      </w:r>
      <w:r>
        <w:t xml:space="preserve">είτε </w:t>
      </w:r>
      <w:r w:rsidR="00AB48D0">
        <w:t>στη</w:t>
      </w:r>
      <w:r>
        <w:t xml:space="preserve"> βούληση διενέργειας γενετικής πραγματογνωμοσύνης προκει</w:t>
      </w:r>
      <w:r w:rsidR="00AB48D0">
        <w:t>μένου να αποδειχθεί η συγγένεια</w:t>
      </w:r>
      <w:r>
        <w:t xml:space="preserve">. </w:t>
      </w:r>
    </w:p>
    <w:p w14:paraId="196257E6" w14:textId="208A46E7" w:rsidR="00B67561" w:rsidRDefault="00AB48D0" w:rsidP="00B67561">
      <w:r>
        <w:t xml:space="preserve">Σε ό,τι αφορά στην πρώτη περίπτωση, </w:t>
      </w:r>
      <w:r w:rsidR="005C6E90">
        <w:t xml:space="preserve">ενδεικτική είναι η από 22 Ιουνίου 2010 απόφαση του Εφετείου της </w:t>
      </w:r>
      <w:r w:rsidR="005C6E90">
        <w:rPr>
          <w:lang w:val="en-US"/>
        </w:rPr>
        <w:t>Rennes, η οποία επικυρώνει ουσιαστικά την από 15 Οκτωβρίου 2009 απόφαση του Πολυμελούς Πρωτοδικείου της Rennes</w:t>
      </w:r>
      <w:r w:rsidR="00925C9B">
        <w:rPr>
          <w:rStyle w:val="FootnoteReference"/>
          <w:lang w:val="en-US"/>
        </w:rPr>
        <w:footnoteReference w:id="334"/>
      </w:r>
      <w:r w:rsidR="005C6E90">
        <w:rPr>
          <w:lang w:val="en-US"/>
        </w:rPr>
        <w:t>. Σύμφωνα με τα πραγματικά περιστατικά της υπό</w:t>
      </w:r>
      <w:r w:rsidR="00B67561">
        <w:rPr>
          <w:lang w:val="en-US"/>
        </w:rPr>
        <w:t>θεσης, ο</w:t>
      </w:r>
      <w:r w:rsidR="00B67561">
        <w:t xml:space="preserve"> κ. </w:t>
      </w:r>
      <w:r w:rsidR="00B67561">
        <w:rPr>
          <w:lang w:val="en-US"/>
        </w:rPr>
        <w:t xml:space="preserve">J., ο οποίος έπασχε από μια σοβαρή ασθένεια, ζήτησε από ένα </w:t>
      </w:r>
      <w:r w:rsidR="00B67561" w:rsidRPr="00390B86">
        <w:t>Κέντρο Μελέτης και Συντήρησης Ανθρώπινων Ωαρίων και Σπέρματος (</w:t>
      </w:r>
      <w:r w:rsidR="00B67561" w:rsidRPr="00390B86">
        <w:rPr>
          <w:i/>
          <w:lang w:val="fr-FR"/>
        </w:rPr>
        <w:t>Centre</w:t>
      </w:r>
      <w:r w:rsidR="00B67561" w:rsidRPr="00390B86">
        <w:rPr>
          <w:i/>
        </w:rPr>
        <w:t xml:space="preserve"> </w:t>
      </w:r>
      <w:r w:rsidR="00B67561" w:rsidRPr="00390B86">
        <w:rPr>
          <w:i/>
          <w:lang w:val="fr-FR"/>
        </w:rPr>
        <w:t>d</w:t>
      </w:r>
      <w:r w:rsidR="00B67561" w:rsidRPr="00390B86">
        <w:rPr>
          <w:i/>
        </w:rPr>
        <w:t>’</w:t>
      </w:r>
      <w:r w:rsidR="00B67561" w:rsidRPr="00390B86">
        <w:rPr>
          <w:i/>
          <w:lang w:val="fr-FR"/>
        </w:rPr>
        <w:t>Etude</w:t>
      </w:r>
      <w:r w:rsidR="00B67561" w:rsidRPr="00390B86">
        <w:rPr>
          <w:i/>
        </w:rPr>
        <w:t xml:space="preserve"> </w:t>
      </w:r>
      <w:r w:rsidR="00B67561" w:rsidRPr="00390B86">
        <w:rPr>
          <w:i/>
          <w:lang w:val="fr-FR"/>
        </w:rPr>
        <w:t>et</w:t>
      </w:r>
      <w:r w:rsidR="00B67561" w:rsidRPr="00390B86">
        <w:rPr>
          <w:i/>
        </w:rPr>
        <w:t xml:space="preserve"> </w:t>
      </w:r>
      <w:r w:rsidR="00B67561" w:rsidRPr="00390B86">
        <w:rPr>
          <w:i/>
          <w:lang w:val="fr-FR"/>
        </w:rPr>
        <w:t>de</w:t>
      </w:r>
      <w:r w:rsidR="00B67561" w:rsidRPr="00390B86">
        <w:rPr>
          <w:i/>
        </w:rPr>
        <w:t xml:space="preserve"> </w:t>
      </w:r>
      <w:r w:rsidR="00B67561" w:rsidRPr="00390B86">
        <w:rPr>
          <w:i/>
          <w:lang w:val="fr-FR"/>
        </w:rPr>
        <w:t>Conservation</w:t>
      </w:r>
      <w:r w:rsidR="00B67561" w:rsidRPr="00390B86">
        <w:rPr>
          <w:i/>
        </w:rPr>
        <w:t xml:space="preserve"> </w:t>
      </w:r>
      <w:r w:rsidR="00B67561" w:rsidRPr="00390B86">
        <w:rPr>
          <w:i/>
          <w:lang w:val="fr-FR"/>
        </w:rPr>
        <w:t>des</w:t>
      </w:r>
      <w:r w:rsidR="00B67561" w:rsidRPr="00390B86">
        <w:rPr>
          <w:i/>
        </w:rPr>
        <w:t xml:space="preserve"> Œ</w:t>
      </w:r>
      <w:r w:rsidR="00B67561" w:rsidRPr="00390B86">
        <w:rPr>
          <w:i/>
          <w:lang w:val="fr-FR"/>
        </w:rPr>
        <w:t>ufs</w:t>
      </w:r>
      <w:r w:rsidR="00B67561" w:rsidRPr="00390B86">
        <w:rPr>
          <w:i/>
        </w:rPr>
        <w:t xml:space="preserve"> </w:t>
      </w:r>
      <w:r w:rsidR="00B67561" w:rsidRPr="00390B86">
        <w:rPr>
          <w:i/>
          <w:lang w:val="fr-FR"/>
        </w:rPr>
        <w:t>et</w:t>
      </w:r>
      <w:r w:rsidR="00B67561" w:rsidRPr="00390B86">
        <w:rPr>
          <w:i/>
        </w:rPr>
        <w:t xml:space="preserve"> </w:t>
      </w:r>
      <w:r w:rsidR="00B67561" w:rsidRPr="00390B86">
        <w:rPr>
          <w:i/>
          <w:lang w:val="fr-FR"/>
        </w:rPr>
        <w:t>du</w:t>
      </w:r>
      <w:r w:rsidR="00B67561" w:rsidRPr="00390B86">
        <w:rPr>
          <w:i/>
        </w:rPr>
        <w:t xml:space="preserve"> </w:t>
      </w:r>
      <w:r w:rsidR="00B67561" w:rsidRPr="00390B86">
        <w:rPr>
          <w:i/>
          <w:lang w:val="fr-FR"/>
        </w:rPr>
        <w:t>Sperme</w:t>
      </w:r>
      <w:r w:rsidR="00B67561" w:rsidRPr="00390B86">
        <w:rPr>
          <w:i/>
        </w:rPr>
        <w:t xml:space="preserve"> </w:t>
      </w:r>
      <w:r w:rsidR="00B67561" w:rsidRPr="00390B86">
        <w:rPr>
          <w:i/>
          <w:lang w:val="fr-FR"/>
        </w:rPr>
        <w:t>humains</w:t>
      </w:r>
      <w:r w:rsidR="00B67561" w:rsidRPr="00390B86">
        <w:rPr>
          <w:i/>
        </w:rPr>
        <w:t xml:space="preserve">, </w:t>
      </w:r>
      <w:r w:rsidR="00B67561" w:rsidRPr="00390B86">
        <w:rPr>
          <w:i/>
          <w:lang w:val="fr-FR"/>
        </w:rPr>
        <w:t>CECOS</w:t>
      </w:r>
      <w:r w:rsidR="00B67561" w:rsidRPr="00390B86">
        <w:t>)</w:t>
      </w:r>
      <w:r w:rsidR="00B67561">
        <w:t xml:space="preserve"> να κρυοσυντηρήσει το σπέρμα του για ιατρικούς λόγους. Αφού ικανοποιήθηκε το αίτημά του, ο ασθενής απεβίωσε. Μετά το θάνατό του, η σύζυγό</w:t>
      </w:r>
      <w:r w:rsidR="00B67561" w:rsidRPr="00390B86">
        <w:t xml:space="preserve">ς ζήτησε από το </w:t>
      </w:r>
      <w:r w:rsidR="00B67561">
        <w:t xml:space="preserve">εν λόγω </w:t>
      </w:r>
      <w:r w:rsidR="00B67561" w:rsidRPr="00390B86">
        <w:rPr>
          <w:i/>
          <w:lang w:val="fr-FR"/>
        </w:rPr>
        <w:t>CECOS</w:t>
      </w:r>
      <w:r w:rsidR="00B67561" w:rsidRPr="00390B86">
        <w:t xml:space="preserve"> να της επιστρέψει τους </w:t>
      </w:r>
      <w:r w:rsidR="00B67561" w:rsidRPr="00390B86">
        <w:lastRenderedPageBreak/>
        <w:t>κρυοσυντηρημένους γαμέτες, κατ’ εφαρμογή των υφιστάμενων συμβατικών ρυθμίσεων που δεσμεύει το εν λόγω Κέντρο απέναντι στην ίδια και το σύζυγό της. Το Κέντρο αρνήθηκε να το πράξει, προβάλλοντας ως επιχείρημα τη ρήτρα του νομοθέτη, σύμφωνα με την οποία το κρυοσυντηρημένο σπέρμα δε μπορεί να χρησιμοποιηθεί παρά μόνο για συναινούντα, εν ζωή σύντροφο [βλ. άρθρο L.</w:t>
      </w:r>
      <w:r w:rsidR="00FF1AA6">
        <w:t xml:space="preserve"> </w:t>
      </w:r>
      <w:r w:rsidR="00B67561" w:rsidRPr="00390B86">
        <w:t xml:space="preserve">2141-2 </w:t>
      </w:r>
      <w:r w:rsidR="00FF1AA6">
        <w:t>ΚΔΥ</w:t>
      </w:r>
      <w:r w:rsidR="00B67561" w:rsidRPr="00390B86">
        <w:t>: «</w:t>
      </w:r>
      <w:r w:rsidR="00FF1AA6">
        <w:t>ο</w:t>
      </w:r>
      <w:r w:rsidR="00B67561" w:rsidRPr="00390B86">
        <w:rPr>
          <w:i/>
        </w:rPr>
        <w:t xml:space="preserve"> άνδρας και η γυναίκα που συνθέτουν το [υποβοηθούμενο] ζευγάρι πρέπει να είναι εν ζωή, σε ηλικία ικανότητας φυσικής αναπαραγωγής και να παρέχουν τη συναίνεσή τους προγενέστερα της μεταφοράς των εμβρύων ή της γονιμοποίησης</w:t>
      </w:r>
      <w:r w:rsidR="00B67561" w:rsidRPr="00390B86">
        <w:t xml:space="preserve">»]. </w:t>
      </w:r>
    </w:p>
    <w:p w14:paraId="45BCA01A" w14:textId="629AD244" w:rsidR="00FF1AA6" w:rsidRDefault="00B67561" w:rsidP="00FF1AA6">
      <w:r w:rsidRPr="00390B86">
        <w:t xml:space="preserve">Το </w:t>
      </w:r>
      <w:r w:rsidR="00FF1AA6">
        <w:t>Πολυμελές Πρωτοδικείο</w:t>
      </w:r>
      <w:r w:rsidRPr="00390B86">
        <w:t xml:space="preserve"> </w:t>
      </w:r>
      <w:r>
        <w:t xml:space="preserve">της </w:t>
      </w:r>
      <w:r>
        <w:rPr>
          <w:lang w:val="en-US"/>
        </w:rPr>
        <w:t>Rennes</w:t>
      </w:r>
      <w:r>
        <w:t xml:space="preserve">, το οποίο έκρινε με τη διαδικασία των ασφαλιστικών μέτρων, </w:t>
      </w:r>
      <w:r w:rsidR="00FF1AA6">
        <w:t xml:space="preserve">κατέληξε ότι </w:t>
      </w:r>
      <w:r w:rsidRPr="00390B86">
        <w:t xml:space="preserve">αφενός, ο </w:t>
      </w:r>
      <w:r w:rsidR="00FF1AA6">
        <w:t xml:space="preserve">θανών, όσο βρισκόταν εν ζωή, </w:t>
      </w:r>
      <w:r w:rsidRPr="00390B86">
        <w:t xml:space="preserve">δεν είχε ποτέ διατυπώσει τις απόψεις του </w:t>
      </w:r>
      <w:r w:rsidR="0014118C">
        <w:t xml:space="preserve">σχετικά με την ελευθερία </w:t>
      </w:r>
      <w:r w:rsidRPr="00390B86">
        <w:t xml:space="preserve">και </w:t>
      </w:r>
      <w:r w:rsidR="0014118C">
        <w:t xml:space="preserve">το δικαίωμα </w:t>
      </w:r>
      <w:r w:rsidRPr="00390B86">
        <w:t>του ανθρώπου να τ</w:t>
      </w:r>
      <w:r w:rsidR="00FF1AA6">
        <w:t>εκνοποιήσει και μετά θάνατον</w:t>
      </w:r>
      <w:r w:rsidRPr="00390B86">
        <w:t xml:space="preserve">, αφετέρου, </w:t>
      </w:r>
      <w:r w:rsidR="00FF1AA6">
        <w:t>οι διατάξεις</w:t>
      </w:r>
      <w:r w:rsidR="00FF1AA6" w:rsidRPr="00390B86">
        <w:t xml:space="preserve"> που αποκλείουν κάθε σχέδιο ιατρικά υποβοηθούμενης αναπαραγωγής ενός μοναχικού προσώπου κατόπιν του θανάτου του συντρόφου του </w:t>
      </w:r>
      <w:r w:rsidR="00FF1AA6">
        <w:t>είναι ξεκάθαρες και ανεπίδεκτες</w:t>
      </w:r>
      <w:r w:rsidRPr="00390B86">
        <w:t xml:space="preserve"> κάθε αμφισβήτησης ή άλλης ερμηνείας</w:t>
      </w:r>
      <w:r w:rsidR="00FF1AA6">
        <w:t>. Για το λόγο αυτό,</w:t>
      </w:r>
      <w:r w:rsidRPr="00390B86">
        <w:t xml:space="preserve"> η άρνηση του Κέντρου Μελέτης και Συντήρησης Ανθρώπινων Ωαρίων και Σπέρματος (</w:t>
      </w:r>
      <w:r w:rsidRPr="00390B86">
        <w:rPr>
          <w:i/>
          <w:lang w:val="fr-FR"/>
        </w:rPr>
        <w:t>CECOS</w:t>
      </w:r>
      <w:r w:rsidRPr="00390B86">
        <w:t>) να επιστρέψει τους γαμέτες στην επιζ</w:t>
      </w:r>
      <w:r w:rsidR="00560840">
        <w:t>ώ</w:t>
      </w:r>
      <w:r w:rsidR="00FF1AA6">
        <w:t>σα σύζυγο ήταν δικαιολογημένη</w:t>
      </w:r>
      <w:r w:rsidRPr="00390B86">
        <w:t>.</w:t>
      </w:r>
      <w:r w:rsidR="00FF1AA6">
        <w:t xml:space="preserve"> Επομένως, η</w:t>
      </w:r>
      <w:r>
        <w:t xml:space="preserve"> κυρία </w:t>
      </w:r>
      <w:r>
        <w:rPr>
          <w:lang w:val="en-US"/>
        </w:rPr>
        <w:t xml:space="preserve">J. </w:t>
      </w:r>
      <w:r>
        <w:t xml:space="preserve">δε μπορεί να θεμελιώσει το αίτημά της έναντι του </w:t>
      </w:r>
      <w:r w:rsidRPr="0014118C">
        <w:rPr>
          <w:i/>
        </w:rPr>
        <w:t xml:space="preserve">CECOS </w:t>
      </w:r>
      <w:r>
        <w:t xml:space="preserve">δεδομένου ότι οι όροι της συμφωνίας που συνάφθηκε μεταξύ του κ. </w:t>
      </w:r>
      <w:r>
        <w:rPr>
          <w:lang w:val="en-US"/>
        </w:rPr>
        <w:t xml:space="preserve">J </w:t>
      </w:r>
      <w:r>
        <w:t>και του</w:t>
      </w:r>
      <w:r w:rsidR="0014118C">
        <w:t xml:space="preserve"> εν λόγω</w:t>
      </w:r>
      <w:r>
        <w:t xml:space="preserve"> </w:t>
      </w:r>
      <w:r w:rsidRPr="0014118C">
        <w:rPr>
          <w:i/>
          <w:lang w:val="en-US"/>
        </w:rPr>
        <w:t>CECOS</w:t>
      </w:r>
      <w:r>
        <w:rPr>
          <w:lang w:val="en-US"/>
        </w:rPr>
        <w:t xml:space="preserve"> </w:t>
      </w:r>
      <w:r>
        <w:t>είναι ξεκάθαροι: η συντήρηση του σπέρματος είναι αυστηρά προσωπική και στο συντηρημένο σπέρμα δε μπορεί να χρησιμοποιηθεί παρά μόνο παρουσία του ασθενούς και με τη συναίνεσή του.</w:t>
      </w:r>
      <w:r w:rsidR="00FF1AA6">
        <w:t xml:space="preserve"> Το Εφετείο της </w:t>
      </w:r>
      <w:r w:rsidR="00FF1AA6">
        <w:rPr>
          <w:lang w:val="en-US"/>
        </w:rPr>
        <w:t xml:space="preserve">Rennes </w:t>
      </w:r>
      <w:r w:rsidR="00FF1AA6">
        <w:t>επιβεβαίωσε την απόφαση του Πρωτοβάθμιου Δικαστηρίου</w:t>
      </w:r>
      <w:r w:rsidR="00FF1AA6">
        <w:rPr>
          <w:rStyle w:val="FootnoteReference"/>
        </w:rPr>
        <w:footnoteReference w:id="335"/>
      </w:r>
      <w:r w:rsidR="00FF1AA6">
        <w:t>.</w:t>
      </w:r>
    </w:p>
    <w:p w14:paraId="12A54C01" w14:textId="27BD2A0A" w:rsidR="00527348" w:rsidRDefault="00527348" w:rsidP="00271C21">
      <w:pPr>
        <w:rPr>
          <w:lang w:val="en-US"/>
        </w:rPr>
      </w:pPr>
      <w:bookmarkStart w:id="201" w:name="CCAass_2008"/>
      <w:r>
        <w:t>Σε ό,τι αφορά στη δεύτερη περίπτωση, αντιπροσωπευτική είναι η από 2 Απριλίου 2008 απόφαση του Πρώτου Πολιτικού Τμήματος του Ανώτατου Ακυρωτικού Δικαστηρίου της Γαλλίας</w:t>
      </w:r>
      <w:r>
        <w:rPr>
          <w:rStyle w:val="FootnoteReference"/>
        </w:rPr>
        <w:footnoteReference w:id="336"/>
      </w:r>
      <w:r>
        <w:t xml:space="preserve">. </w:t>
      </w:r>
      <w:r w:rsidR="00C62BF2">
        <w:t>Πιο συγκεκριμένα, η</w:t>
      </w:r>
      <w:r w:rsidR="00271C21">
        <w:t xml:space="preserve"> κυρία </w:t>
      </w:r>
      <w:r w:rsidR="00271C21">
        <w:rPr>
          <w:lang w:val="en-US"/>
        </w:rPr>
        <w:t>Liliane X. γέννησε, στις 30 Ιουνίου 1987, μ</w:t>
      </w:r>
      <w:r w:rsidR="00C62BF2">
        <w:rPr>
          <w:lang w:val="en-US"/>
        </w:rPr>
        <w:t xml:space="preserve">ια κόρη, την Aurore. Ισχυρίστηκε, δε, ότι η κόρη της ήταν </w:t>
      </w:r>
      <w:r w:rsidR="00271C21">
        <w:rPr>
          <w:lang w:val="en-US"/>
        </w:rPr>
        <w:t>ο καρπός των σχέσεων που διατηρούσε, από το 1982 έως και το Μάιο του 2001, με τον Marc Y</w:t>
      </w:r>
      <w:r w:rsidR="00C62BF2">
        <w:rPr>
          <w:lang w:val="en-US"/>
        </w:rPr>
        <w:t>.</w:t>
      </w:r>
      <w:r w:rsidR="00271C21">
        <w:rPr>
          <w:lang w:val="en-US"/>
        </w:rPr>
        <w:t xml:space="preserve">, ο οποίος απεβίωσε στις 19 Σεπτεμβρίου </w:t>
      </w:r>
      <w:r w:rsidR="00271C21">
        <w:rPr>
          <w:lang w:val="en-US"/>
        </w:rPr>
        <w:lastRenderedPageBreak/>
        <w:t xml:space="preserve">2001. </w:t>
      </w:r>
      <w:r w:rsidR="00C62BF2">
        <w:rPr>
          <w:lang w:val="en-US"/>
        </w:rPr>
        <w:t>Προκειμένου να αναγνωριστεί η πατρότητα της κόρης τη, η</w:t>
      </w:r>
      <w:r w:rsidR="00271C21">
        <w:t xml:space="preserve"> κυρία </w:t>
      </w:r>
      <w:r w:rsidR="00271C21">
        <w:rPr>
          <w:lang w:val="en-US"/>
        </w:rPr>
        <w:t xml:space="preserve">Liliane X. κατέθεσε, στις 20 Ιανουαρίου 2003, αγωγή κατά της κυρίας </w:t>
      </w:r>
      <w:r w:rsidR="00C62BF2">
        <w:rPr>
          <w:lang w:val="en-US"/>
        </w:rPr>
        <w:t>Andrée Y., μητέρας του θανόντος, καθώς επίσης και κατά</w:t>
      </w:r>
      <w:r w:rsidR="00271C21">
        <w:rPr>
          <w:lang w:val="en-US"/>
        </w:rPr>
        <w:t xml:space="preserve"> του κ. Olivier Z</w:t>
      </w:r>
      <w:r w:rsidR="00C62BF2">
        <w:rPr>
          <w:lang w:val="en-US"/>
        </w:rPr>
        <w:t>.</w:t>
      </w:r>
      <w:r w:rsidR="00271C21">
        <w:rPr>
          <w:lang w:val="en-US"/>
        </w:rPr>
        <w:t xml:space="preserve">, υιού του θανόντος. Ζήτησε, λοιπόν, προκειμένου να αναγνωριστεί η πατρότητα της κόρης της, τη διενέργεια γενετικής πραγματογνωμοσύνης με τη βοήθεια του κρυοσυντηρημένου σπέρματος του θανόντος, το οποίο και συντηρούνταν στο </w:t>
      </w:r>
      <w:r w:rsidR="00271C21" w:rsidRPr="00AA323A">
        <w:rPr>
          <w:i/>
          <w:lang w:val="en-US"/>
        </w:rPr>
        <w:t>CECOS</w:t>
      </w:r>
      <w:r w:rsidR="00271C21">
        <w:rPr>
          <w:lang w:val="en-US"/>
        </w:rPr>
        <w:t xml:space="preserve"> του πανεπιστημιακού νοσοκομείου της Toulouse, ή επικουρικά με αιματολογικό δείγμα των κληρονόμων του θανόντος ή ακόμη με δείγμα από το σώμα του νεκρού κατόπιν εκταφής του. Η </w:t>
      </w:r>
      <w:r w:rsidR="00C62BF2">
        <w:rPr>
          <w:lang w:val="en-US"/>
        </w:rPr>
        <w:t>πρωτοβάθμια από 15 Μαρτίου 2005</w:t>
      </w:r>
      <w:r w:rsidR="00271C21">
        <w:rPr>
          <w:lang w:val="en-US"/>
        </w:rPr>
        <w:t xml:space="preserve"> απόφαση του Πρωτοδικείου της Toulouse, αφού επέτρεψε τη διεξαγωγή εξετάσεων DNA</w:t>
      </w:r>
      <w:r w:rsidR="00271C21">
        <w:t xml:space="preserve"> σε αιματολογικό δείγμα που λήφθηκε από τη μητέρα του θανόντος, απέρριψε τα </w:t>
      </w:r>
      <w:r w:rsidR="00C62BF2">
        <w:t>υπόλοια αιτήματα της ενάγουσας. Το ίδιο έκανε και η δευτεροβάθμια από 13 Σεπτεμβρίου 2005</w:t>
      </w:r>
      <w:r w:rsidR="00271C21">
        <w:t xml:space="preserve"> απόφαση του Εφετείου της </w:t>
      </w:r>
      <w:r w:rsidR="00C62BF2">
        <w:rPr>
          <w:lang w:val="en-US"/>
        </w:rPr>
        <w:t xml:space="preserve">Toulouse, η οποία </w:t>
      </w:r>
      <w:r w:rsidR="00271C21">
        <w:rPr>
          <w:lang w:val="en-US"/>
        </w:rPr>
        <w:t>απέρριψε την αγωγή αναγνώρισης πατ</w:t>
      </w:r>
      <w:r w:rsidR="00C62BF2">
        <w:rPr>
          <w:lang w:val="en-US"/>
        </w:rPr>
        <w:t xml:space="preserve">ρότητας, </w:t>
      </w:r>
      <w:r w:rsidR="00271C21">
        <w:rPr>
          <w:lang w:val="en-US"/>
        </w:rPr>
        <w:t>που αυτή τη φορά ασκήθηκε α</w:t>
      </w:r>
      <w:r w:rsidR="00C62BF2">
        <w:rPr>
          <w:lang w:val="en-US"/>
        </w:rPr>
        <w:t>πό την ενήλικη πλέον κυρία Aurore X</w:t>
      </w:r>
      <w:r w:rsidR="00271C21">
        <w:rPr>
          <w:lang w:val="en-US"/>
        </w:rPr>
        <w:t>.</w:t>
      </w:r>
    </w:p>
    <w:p w14:paraId="7B4D2EF3" w14:textId="6525EB8A" w:rsidR="00271C21" w:rsidRDefault="00271C21" w:rsidP="00271C21">
      <w:pPr>
        <w:rPr>
          <w:lang w:val="en-US"/>
        </w:rPr>
      </w:pPr>
      <w:r>
        <w:t xml:space="preserve">Το Ανώτατο Ακυρωτικό Δικαστήριο απέρριψε την αναίρεση των </w:t>
      </w:r>
      <w:r>
        <w:rPr>
          <w:lang w:val="en-US"/>
        </w:rPr>
        <w:t xml:space="preserve">Liliane X. </w:t>
      </w:r>
      <w:r w:rsidR="00C62BF2">
        <w:rPr>
          <w:lang w:val="en-US"/>
        </w:rPr>
        <w:t>και της κόρης της, Aurore και τι</w:t>
      </w:r>
      <w:r>
        <w:rPr>
          <w:lang w:val="en-US"/>
        </w:rPr>
        <w:t>ς καταδίκασε σε καταβολή των δικαστικών εξόδων. Ειδικότερα, σύμφωνα με το άρθρο 16-11 ΑΚ, όπως αυτό προέκυψε από το Νόμο αριθ. 2004-800 της 6</w:t>
      </w:r>
      <w:r w:rsidRPr="00D22324">
        <w:rPr>
          <w:vertAlign w:val="superscript"/>
          <w:lang w:val="en-US"/>
        </w:rPr>
        <w:t>ης</w:t>
      </w:r>
      <w:r>
        <w:rPr>
          <w:lang w:val="en-US"/>
        </w:rPr>
        <w:t xml:space="preserve"> Αυγούστου 2004, εάν δεν υπάρξει ρητή συναίνεση του άμεσα ενδιαφερόμενου προσώπου όσο είναι εν ζωή, καμία ταυτοποίση του DNA </w:t>
      </w:r>
      <w:r>
        <w:t xml:space="preserve">του δε μπορεί να διενεργηθεί μετά το θάνατό του. Η ενάγουσα δεν προσκόμισε καμία απόδειξη ότι ο </w:t>
      </w:r>
      <w:r>
        <w:rPr>
          <w:lang w:val="en-US"/>
        </w:rPr>
        <w:t xml:space="preserve">Marc Y., καταθέτοντας το σπέρμα του για κρυοσυντήρηση στο CECOS </w:t>
      </w:r>
      <w:r>
        <w:t xml:space="preserve">του Πανεπιστημιακού Νοσοκομείου της </w:t>
      </w:r>
      <w:r>
        <w:rPr>
          <w:lang w:val="en-US"/>
        </w:rPr>
        <w:t>Toulouse</w:t>
      </w:r>
      <w:r>
        <w:t xml:space="preserve">, είχε άλλο σκοπό εκτός από τη συντήρηση </w:t>
      </w:r>
      <w:r w:rsidR="00047679">
        <w:t>του γεννητι</w:t>
      </w:r>
      <w:r w:rsidR="00C62BF2">
        <w:t xml:space="preserve">κού </w:t>
      </w:r>
      <w:r w:rsidR="00047679">
        <w:t>του υ</w:t>
      </w:r>
      <w:r w:rsidR="00C62BF2">
        <w:t>λικού. Από κανένα στοιχείο του φακέλου, δε, δεν προέκυψε ότι ο θανών είχε συναινέσει όσο ήταν εν ζωή σε</w:t>
      </w:r>
      <w:r>
        <w:t xml:space="preserve"> γενετική εμπειρογνωμοσύνη στο σπέρμα του. Για το λόγο αυτό το Ανώτατο Ακυρωτικό</w:t>
      </w:r>
      <w:r w:rsidR="00C62BF2">
        <w:t xml:space="preserve"> Δικαστήριο της Γαλλίας κατέληξε</w:t>
      </w:r>
      <w:r>
        <w:t xml:space="preserve"> ότι ορθά το Πρωτοδικείο της </w:t>
      </w:r>
      <w:r>
        <w:rPr>
          <w:lang w:val="en-US"/>
        </w:rPr>
        <w:t xml:space="preserve">Toulouse </w:t>
      </w:r>
      <w:r w:rsidR="00C62BF2">
        <w:t>απέρριψε</w:t>
      </w:r>
      <w:r>
        <w:t xml:space="preserve"> την αγωγή της κυρίας </w:t>
      </w:r>
      <w:r>
        <w:rPr>
          <w:lang w:val="en-US"/>
        </w:rPr>
        <w:t>Liliane X.</w:t>
      </w:r>
    </w:p>
    <w:p w14:paraId="6BCB9E1E" w14:textId="652EF26A" w:rsidR="00271C21" w:rsidRPr="00527348" w:rsidRDefault="00C62BF2" w:rsidP="00271C21">
      <w:r>
        <w:rPr>
          <w:lang w:val="en-US"/>
        </w:rPr>
        <w:t>Αναφορικά</w:t>
      </w:r>
      <w:r w:rsidR="00271C21">
        <w:rPr>
          <w:lang w:val="en-US"/>
        </w:rPr>
        <w:t xml:space="preserve">, </w:t>
      </w:r>
      <w:r>
        <w:t>τέλος</w:t>
      </w:r>
      <w:r w:rsidR="00271C21">
        <w:t>,</w:t>
      </w:r>
      <w:r w:rsidR="00271C21">
        <w:rPr>
          <w:lang w:val="en-US"/>
        </w:rPr>
        <w:t xml:space="preserve"> </w:t>
      </w:r>
      <w:r>
        <w:rPr>
          <w:lang w:val="en-US"/>
        </w:rPr>
        <w:t xml:space="preserve">με </w:t>
      </w:r>
      <w:r w:rsidR="00271C21">
        <w:rPr>
          <w:lang w:val="en-US"/>
        </w:rPr>
        <w:t xml:space="preserve">την έφεση που άσκησε η κόρη της, Aurore, το Ανώτατο Ακυρωτικό Δικαστήριο αποφάσισε ότι για ακόμη μια φορά το Εφετείο της Toulouse </w:t>
      </w:r>
      <w:r w:rsidR="00271C21">
        <w:t xml:space="preserve">έκρινε ορθά, εντός του περιθωρίου της διακριτικής του ευχέρειας, </w:t>
      </w:r>
      <w:r>
        <w:t xml:space="preserve">καθώς </w:t>
      </w:r>
      <w:r w:rsidR="00271C21">
        <w:t xml:space="preserve">η κυρία </w:t>
      </w:r>
      <w:r w:rsidR="00271C21">
        <w:rPr>
          <w:lang w:val="en-US"/>
        </w:rPr>
        <w:t>Aurore X. δεν προσκόμισε επαρκείς αποδείξεις προς επίρρωση των επιχειρημάτων της υπέρ της αναγνώρισης της πατρότητας του Marc Y</w:t>
      </w:r>
      <w:r w:rsidR="005923D5">
        <w:rPr>
          <w:rStyle w:val="FootnoteReference"/>
          <w:lang w:val="en-US"/>
        </w:rPr>
        <w:footnoteReference w:id="337"/>
      </w:r>
      <w:r w:rsidR="00271C21">
        <w:rPr>
          <w:lang w:val="en-US"/>
        </w:rPr>
        <w:t>.</w:t>
      </w:r>
      <w:bookmarkEnd w:id="201"/>
    </w:p>
    <w:p w14:paraId="066BCE22" w14:textId="40FA2AB1" w:rsidR="000717FA" w:rsidRDefault="000717FA" w:rsidP="000717FA">
      <w:pPr>
        <w:pStyle w:val="Heading5"/>
      </w:pPr>
      <w:r>
        <w:rPr>
          <w:lang w:val="en-US"/>
        </w:rPr>
        <w:lastRenderedPageBreak/>
        <w:t xml:space="preserve">ii. </w:t>
      </w:r>
      <w:r>
        <w:t xml:space="preserve">Μεταθανάτια μεταφορά εμβρύων </w:t>
      </w:r>
    </w:p>
    <w:p w14:paraId="2932708D" w14:textId="77777777" w:rsidR="004973D5" w:rsidRDefault="00860CFF" w:rsidP="00892B30">
      <w:r>
        <w:t>Ακόμη πιο προ</w:t>
      </w:r>
      <w:r w:rsidR="009F3DDD">
        <w:t xml:space="preserve">βληματική είναι η περίπτωση της </w:t>
      </w:r>
      <w:r>
        <w:t>μεταθανάτιας μεταφοράς εμβρύων.</w:t>
      </w:r>
      <w:r w:rsidR="009F3DDD">
        <w:t xml:space="preserve"> Τί γίνεται στην περίπτωση που τα έμβρυα κρυοσυντηρούνται στα πλαίσια της διενέργειας ιατρικά υποβοηθούμενης αναπαραγωγής και ο σύζυγος ή ο σύντροφος αποβιώσει πριν ολοκληρωθεί η εμφύτευσή τους</w:t>
      </w:r>
      <w:r w:rsidR="009F3DDD">
        <w:rPr>
          <w:lang w:val="en-US"/>
        </w:rPr>
        <w:t>;</w:t>
      </w:r>
      <w:r w:rsidR="009F3DDD">
        <w:t xml:space="preserve"> </w:t>
      </w:r>
    </w:p>
    <w:p w14:paraId="53AD86B4" w14:textId="593F6109" w:rsidR="004973D5" w:rsidRDefault="009F3DDD" w:rsidP="00892B30">
      <w:r>
        <w:t>Το σενάριο πράγματι διαφοροποιείται, εφόσον δεν πρόκειται πλέον για την ηθελημένη σύλληψη τέκνων που θα γεννηθούν χωρί</w:t>
      </w:r>
      <w:r w:rsidR="004973D5">
        <w:t xml:space="preserve">ς πατέρα, αλλά για την απόφαση σχετικά με </w:t>
      </w:r>
      <w:r>
        <w:t>το αν τα έμβρυ</w:t>
      </w:r>
      <w:r w:rsidR="004973D5">
        <w:t>α</w:t>
      </w:r>
      <w:r>
        <w:t xml:space="preserve"> που έχουν ήδη συλληφθεί πρέπει να γεννηθούν ή όχι. </w:t>
      </w:r>
      <w:r w:rsidR="004973D5">
        <w:t>Για κάποιους</w:t>
      </w:r>
      <w:r w:rsidR="00DE3482">
        <w:t>, μάλιστα, η περίπτωση της ύπαρξης κρυοσυντηρημένων εμβρύων κατά τη στιγμή του θανάτου του συντρόφου δε διαφέρει σε τίποτα από την περίπτωση του εμβρύου που ήδη κυοφορείται όταν ο πατέρας αποβιώνει. Για άλλους, η πολυπλοκότητα του προβλήματος δεν επιτρέπει καμία ικανοποιητική λύση: πρόκειται για ένα αδιέξοδο του οποίου η μόνη διέξοδος βρίσκεται στην κατάργηση της δυνατότητας κρυοσυντήρησης εμβρύων</w:t>
      </w:r>
      <w:r w:rsidR="00DE3482">
        <w:rPr>
          <w:rStyle w:val="FootnoteReference"/>
        </w:rPr>
        <w:footnoteReference w:id="338"/>
      </w:r>
      <w:r w:rsidR="005D7279">
        <w:t xml:space="preserve">. Όπως έχουμε ήδη αναφέρει, ο </w:t>
      </w:r>
      <w:r w:rsidR="005D7279" w:rsidRPr="005D7279">
        <w:rPr>
          <w:i/>
        </w:rPr>
        <w:t>Νόμος περί Βιοηθικής</w:t>
      </w:r>
      <w:r w:rsidR="005D7279">
        <w:t xml:space="preserve"> της 7</w:t>
      </w:r>
      <w:r w:rsidR="005D7279" w:rsidRPr="005D7279">
        <w:rPr>
          <w:vertAlign w:val="superscript"/>
        </w:rPr>
        <w:t>ης</w:t>
      </w:r>
      <w:r w:rsidR="005D7279">
        <w:t xml:space="preserve"> Ιουλίου 2011, αφού πρώτα παραλιγο να αναγνωρίσει την </w:t>
      </w:r>
      <w:r w:rsidR="005D7279" w:rsidRPr="005D7279">
        <w:rPr>
          <w:i/>
          <w:lang w:val="en-US"/>
        </w:rPr>
        <w:t>post mortem patris</w:t>
      </w:r>
      <w:r w:rsidR="005D7279">
        <w:rPr>
          <w:lang w:val="en-US"/>
        </w:rPr>
        <w:t xml:space="preserve"> </w:t>
      </w:r>
      <w:r w:rsidR="005D7279">
        <w:t>μεταφορά εμβρύων</w:t>
      </w:r>
      <w:r w:rsidR="0080681C">
        <w:rPr>
          <w:rStyle w:val="FootnoteReference"/>
        </w:rPr>
        <w:footnoteReference w:id="339"/>
      </w:r>
      <w:r w:rsidR="005D7279">
        <w:t>, έκανε ένα σημαντικό βήμα προς την κατεύθυνση αυτή</w:t>
      </w:r>
      <w:r w:rsidR="005D7279">
        <w:rPr>
          <w:rStyle w:val="FootnoteReference"/>
        </w:rPr>
        <w:footnoteReference w:id="340"/>
      </w:r>
      <w:r w:rsidR="005D7279">
        <w:t xml:space="preserve">. </w:t>
      </w:r>
    </w:p>
    <w:p w14:paraId="47B2A081" w14:textId="431597C8" w:rsidR="00892B30" w:rsidRPr="006D731A" w:rsidRDefault="009F3DDD" w:rsidP="00892B30">
      <w:r>
        <w:t xml:space="preserve">Το ζήτημα, εντούτοις, όσο διαφορετικό κι αν φαίνεται – κι ως τέτοιο αντιμετωπίζεται από ορισμένες έννομες τάξεις μάλιστα </w:t>
      </w:r>
      <w:r w:rsidR="00CF3A02">
        <w:t>–</w:t>
      </w:r>
      <w:r>
        <w:t xml:space="preserve"> </w:t>
      </w:r>
      <w:r w:rsidR="00CF3A02">
        <w:t xml:space="preserve">δεν τυγχάνει διαφορετικής προσέγγισης από το γάλλο νομοθέτη. </w:t>
      </w:r>
      <w:r w:rsidR="00892B30">
        <w:t xml:space="preserve">Το άρθρο </w:t>
      </w:r>
      <w:r w:rsidR="00892B30" w:rsidRPr="00E30A79">
        <w:t>L.</w:t>
      </w:r>
      <w:r w:rsidR="00892B30">
        <w:t xml:space="preserve"> </w:t>
      </w:r>
      <w:r w:rsidR="00892B30" w:rsidRPr="00E30A79">
        <w:t>2141-2,</w:t>
      </w:r>
      <w:r w:rsidR="00892B30">
        <w:t xml:space="preserve"> παρ. 2, ΚΔΥ </w:t>
      </w:r>
      <w:r w:rsidR="004973D5">
        <w:t>είναι ξεκάθαρο:</w:t>
      </w:r>
      <w:r w:rsidR="00892B30">
        <w:t xml:space="preserve"> </w:t>
      </w:r>
      <w:r w:rsidR="00892B30" w:rsidRPr="00E30A79">
        <w:t>«</w:t>
      </w:r>
      <w:r w:rsidR="00892B30">
        <w:rPr>
          <w:i/>
        </w:rPr>
        <w:t xml:space="preserve">τη γονιμοποίηση ή τη μεταφορά των εμβρύων αποκλείουν ο θάνατος ενός εκ των δύο προσώπων του υποβοηθούμενου ζευγαριού, </w:t>
      </w:r>
      <w:r w:rsidR="00892B30" w:rsidRPr="006D731A">
        <w:rPr>
          <w:i/>
        </w:rPr>
        <w:t>η κατάθεση αγωγής διαζυγίου ή διάσταση</w:t>
      </w:r>
      <w:r w:rsidR="00892B30">
        <w:rPr>
          <w:i/>
        </w:rPr>
        <w:t>ς</w:t>
      </w:r>
      <w:r w:rsidR="00892B30" w:rsidRPr="006D731A">
        <w:rPr>
          <w:i/>
        </w:rPr>
        <w:t xml:space="preserve"> του ζευγαριού ή η διακοπή του κοινού τους βίου».</w:t>
      </w:r>
      <w:r w:rsidR="00892B30">
        <w:rPr>
          <w:i/>
        </w:rPr>
        <w:t xml:space="preserve"> </w:t>
      </w:r>
    </w:p>
    <w:p w14:paraId="7463C4DA" w14:textId="69823B20" w:rsidR="00CB4A73" w:rsidRDefault="003E5614" w:rsidP="00534D1B">
      <w:r>
        <w:t>Τη</w:t>
      </w:r>
      <w:r w:rsidR="00860CFF">
        <w:t xml:space="preserve"> δυνατότητα της γυναίκας να ζητήσει την εμφύτευση κρυοσυντηρημένων εμβρύων μετά το θάνατο του συντρόφου ή συζύγου της είχε </w:t>
      </w:r>
      <w:r>
        <w:t xml:space="preserve">αρνηθεί και </w:t>
      </w:r>
      <w:r w:rsidR="00860CFF">
        <w:t xml:space="preserve">η νομολογία. </w:t>
      </w:r>
      <w:r w:rsidR="006456F7">
        <w:t xml:space="preserve">Χαρακτηριστική είναι η από 9 Ιανουαρίου 1996 απόφαση του Πρώτου Πολιτικού Τμήματος του Ανώτατου Ακυρωτικού Δικαστηρίου στην υπόθεση </w:t>
      </w:r>
      <w:r w:rsidR="006456F7" w:rsidRPr="006B5E9A">
        <w:rPr>
          <w:i/>
          <w:lang w:val="en-US"/>
        </w:rPr>
        <w:t>Pires</w:t>
      </w:r>
      <w:r w:rsidR="00534D1B">
        <w:rPr>
          <w:lang w:val="en-US"/>
        </w:rPr>
        <w:t>, η οποία επικύρωσε τη νομοθετική απαγόρευση της μεταθανάτιας μεταφοράς εμβρύων</w:t>
      </w:r>
      <w:r w:rsidR="006456F7">
        <w:rPr>
          <w:rStyle w:val="FootnoteReference"/>
        </w:rPr>
        <w:footnoteReference w:id="341"/>
      </w:r>
      <w:r w:rsidR="00534D1B">
        <w:rPr>
          <w:lang w:val="en-US"/>
        </w:rPr>
        <w:t xml:space="preserve">. Ειδικότερα, σύμφωνα με τα πραγματικά περιστατικά της υπόθεσης, </w:t>
      </w:r>
      <w:r w:rsidR="00534D1B">
        <w:t>ο</w:t>
      </w:r>
      <w:r w:rsidR="00534D1B" w:rsidRPr="00390B86">
        <w:t xml:space="preserve"> κ. και η κ</w:t>
      </w:r>
      <w:r w:rsidR="00534D1B">
        <w:t>υρί</w:t>
      </w:r>
      <w:r w:rsidR="00534D1B" w:rsidRPr="00390B86">
        <w:t>α Χ, οι οποίοι ήταν έγγαμοι από το 1977, χωρίς να μπορούν να αποκτήσουν τέκνα με φυσιολογικό τρόπο,</w:t>
      </w:r>
      <w:r w:rsidR="00534D1B">
        <w:t xml:space="preserve"> κατέφυγαν το 1984 σε </w:t>
      </w:r>
      <w:r w:rsidR="00534D1B">
        <w:lastRenderedPageBreak/>
        <w:t>μεθόδους ιατρικά υποβοηθούμενης αναπαραγωγής</w:t>
      </w:r>
      <w:r w:rsidR="00534D1B" w:rsidRPr="00390B86">
        <w:t xml:space="preserve"> για να το επιτύχουν. Μεταξύ του 1984 και του 1990, το ζευγάρι έκανε επτά προσπάθειες εξωσωματικής γονιμοποίησης. Σημειώνεται, δε, ότι μετά τη δεύτερη προσπάθεια, οι σύζυγοι υπέγραψαν ένα έγγραφο σύμφωνα με το οποίο δεσμεύονταν η μεταφορά των εμβρύων να πραγματοποιηθεί μόνο παρουσία και των δύο συντρόφων και αναγνώριζαν ότι, σε περίπτωση, λύσης του γάμου, τα έμβρυα θα καταστρέφονταν.</w:t>
      </w:r>
      <w:r w:rsidR="003E4BB2">
        <w:t xml:space="preserve"> </w:t>
      </w:r>
      <w:r w:rsidR="00534D1B" w:rsidRPr="00390B86">
        <w:t>Κατά την τελευταία λοιπόν απόπειρα, εμφυτεύθηκαν στην κ</w:t>
      </w:r>
      <w:r w:rsidR="003E4BB2">
        <w:t>υρί</w:t>
      </w:r>
      <w:r w:rsidR="00534D1B" w:rsidRPr="00390B86">
        <w:t>α Χ δύο εκ των τεσσάρων εναπομεινάντων εμβρύων, όταν ξαφνικά ο σύζυγός της απεβίωσε σε ατύχημα στις 10 Δεκεμβρίου 1990. Όταν κ</w:t>
      </w:r>
      <w:r w:rsidR="00E74DA6">
        <w:t>αι η τελευταία αυτή προσπάθεια ιατρικά υποβοηθούμενης αναπαραγωγής</w:t>
      </w:r>
      <w:r w:rsidR="00534D1B" w:rsidRPr="00390B86">
        <w:t xml:space="preserve"> απέτυχε, η κ</w:t>
      </w:r>
      <w:r w:rsidR="00E74DA6">
        <w:t>υρί</w:t>
      </w:r>
      <w:r w:rsidR="00534D1B" w:rsidRPr="00390B86">
        <w:t>α Χ ζήτησε από το Κέντρο να προβεί στην εμφύ</w:t>
      </w:r>
      <w:r w:rsidR="00E74DA6">
        <w:t>τευση και των άλλων δύο εμβρύων. Όταν το κέντρο αρνήθηκε να προβεί στη μεταφορά και των εναπομεινάντων εμβρύων,</w:t>
      </w:r>
      <w:r w:rsidR="00534D1B" w:rsidRPr="00390B86">
        <w:t xml:space="preserve"> η κ</w:t>
      </w:r>
      <w:r w:rsidR="00E74DA6">
        <w:t>υρί</w:t>
      </w:r>
      <w:r w:rsidR="00534D1B" w:rsidRPr="00390B86">
        <w:t>α Χ προσ</w:t>
      </w:r>
      <w:r w:rsidR="00E74DA6">
        <w:t>έφυγε στο Πολυμελές Πρωτοδικείο</w:t>
      </w:r>
      <w:r w:rsidR="00534D1B" w:rsidRPr="00390B86">
        <w:t xml:space="preserve"> ζητώντας είτ</w:t>
      </w:r>
      <w:r w:rsidR="00E74DA6">
        <w:t>ε να υποχρεωθούν οι ιατροί του κ</w:t>
      </w:r>
      <w:r w:rsidR="00534D1B" w:rsidRPr="00390B86">
        <w:t xml:space="preserve">έντρου να εμφυτεύσουν τα εναπομείναντα έμβρυα, είτε να της τα επιστρέψουν. Η από 18 Απριλίου 1994 απόφαση του Πολυμελούς Πρωτοδικείου της </w:t>
      </w:r>
      <w:r w:rsidR="00534D1B" w:rsidRPr="00390B86">
        <w:rPr>
          <w:lang w:val="fr-FR"/>
        </w:rPr>
        <w:t>Toulouse</w:t>
      </w:r>
      <w:r w:rsidR="00E74DA6">
        <w:t xml:space="preserve"> </w:t>
      </w:r>
      <w:r w:rsidR="00534D1B" w:rsidRPr="00390B86">
        <w:t>απέρριψε την</w:t>
      </w:r>
      <w:r w:rsidR="00E74DA6">
        <w:t xml:space="preserve"> αγωγή</w:t>
      </w:r>
      <w:r w:rsidR="00534D1B" w:rsidRPr="00390B86">
        <w:t xml:space="preserve"> της και διέταξε την καταστροφή των κρυοσυντηρημένων εμβρύων</w:t>
      </w:r>
      <w:r w:rsidR="00A4213A">
        <w:t xml:space="preserve">. </w:t>
      </w:r>
    </w:p>
    <w:p w14:paraId="75D5AFF1" w14:textId="2EF5A1F8" w:rsidR="00A4213A" w:rsidRPr="00390B86" w:rsidRDefault="00A4213A" w:rsidP="00A4213A">
      <w:r>
        <w:t xml:space="preserve">Όταν η υπόθεση έφτασε στο Ανώτατο Ακυρωτικό Δικαστήριο, το ανώτατο πολιτικό Δικαστήριο </w:t>
      </w:r>
      <w:r w:rsidR="00120EEE">
        <w:t xml:space="preserve">της Χώρας </w:t>
      </w:r>
      <w:r w:rsidRPr="00390B86">
        <w:t xml:space="preserve">απέρριψε την αίτηση αναίρεσης της κυρίας Υ, κρίνοντας ότι ο λόγος που οδήγησε το ζευγάρι στο αίτημα ιατρικά υποβοηθούμενης αναπαραγωγής, δηλαδή η υπογονιμότητα του ζευγαριού, δεν υπήρχε πια δεδομένου ότι και το </w:t>
      </w:r>
      <w:r>
        <w:t xml:space="preserve">ίδιο το </w:t>
      </w:r>
      <w:r w:rsidRPr="00390B86">
        <w:t xml:space="preserve">ζευγάρι </w:t>
      </w:r>
      <w:r>
        <w:t>δεν υπήρχε πια</w:t>
      </w:r>
      <w:r w:rsidRPr="00390B86">
        <w:t xml:space="preserve">. </w:t>
      </w:r>
      <w:r>
        <w:t>Επεσήμανε</w:t>
      </w:r>
      <w:r w:rsidRPr="00390B86">
        <w:t xml:space="preserve">, δε, </w:t>
      </w:r>
      <w:r>
        <w:t xml:space="preserve">ο γάλλος δικαστής </w:t>
      </w:r>
      <w:r w:rsidRPr="00390B86">
        <w:t xml:space="preserve">ότι πολύ πριν τη θέση σε ισχύ του άρθρου </w:t>
      </w:r>
      <w:r w:rsidRPr="00390B86">
        <w:rPr>
          <w:lang w:val="fr-FR"/>
        </w:rPr>
        <w:t>L</w:t>
      </w:r>
      <w:r>
        <w:rPr>
          <w:lang w:val="fr-FR"/>
        </w:rPr>
        <w:t>.</w:t>
      </w:r>
      <w:r w:rsidRPr="00390B86">
        <w:t xml:space="preserve"> 152-2 </w:t>
      </w:r>
      <w:r>
        <w:t>ΚΔΥ</w:t>
      </w:r>
      <w:r w:rsidRPr="00390B86">
        <w:t xml:space="preserve">, όπως αυτό προέκυψε από το </w:t>
      </w:r>
      <w:r w:rsidRPr="00A4213A">
        <w:rPr>
          <w:i/>
        </w:rPr>
        <w:t>Νόμο περί Βιοηθικής</w:t>
      </w:r>
      <w:r w:rsidRPr="00390B86">
        <w:t xml:space="preserve"> της 29</w:t>
      </w:r>
      <w:r w:rsidRPr="00390B86">
        <w:rPr>
          <w:vertAlign w:val="superscript"/>
        </w:rPr>
        <w:t>ης</w:t>
      </w:r>
      <w:r>
        <w:t xml:space="preserve"> Ιουλίου 1994, η ιατρικά υποβοηθούμενη αναπαραγωγή</w:t>
      </w:r>
      <w:r w:rsidRPr="00390B86">
        <w:t xml:space="preserve"> δε μπορούσε να έχει ως νόμιμο στόχο της παρά μόνο τη γέννηση ενός παιδιού στα πλαίσια μιας οι</w:t>
      </w:r>
      <w:r w:rsidR="003A56D6">
        <w:t>κογένειας, γεγονός που απέκλειε</w:t>
      </w:r>
      <w:r w:rsidRPr="00390B86">
        <w:t xml:space="preserve"> την </w:t>
      </w:r>
      <w:r>
        <w:t>ιατρικά υποβοηθούμενη αναπαραγωγή</w:t>
      </w:r>
      <w:r w:rsidR="003A56D6">
        <w:t xml:space="preserve"> με εξωσωματική γονιμοποίηση, </w:t>
      </w:r>
      <w:r w:rsidRPr="00390B86">
        <w:t xml:space="preserve">εφόσον η ένωση του ζευγαριού </w:t>
      </w:r>
      <w:r w:rsidR="003A56D6">
        <w:t>είχε</w:t>
      </w:r>
      <w:r w:rsidRPr="00390B86">
        <w:t xml:space="preserve"> λυθεί εξαιτίας του θανάτου του συζύγου πριν την ολοκλήρωση της εμφύτευσης των εμβρύων, δηλαδή του τελευταίου σταδίου της διαδικασίας της </w:t>
      </w:r>
      <w:r>
        <w:t>υποβοήθησης στην αναπαραγωγή</w:t>
      </w:r>
      <w:r w:rsidRPr="00390B86">
        <w:t xml:space="preserve">. Δεδομένου λοιπόν ότι ο θάνατος του κ. Υ μεσολάβησε μετά την αποτυχημένη προσπάθεια εμφύτευσης των δύο εμβρύων στις 12 Οκτωβρίου 1990 και πριν τη χρήση των εναπομεινάντων εμβρύων, το αίτημα της κυρίας Υ να προβεί το κέντρο </w:t>
      </w:r>
      <w:r>
        <w:t>ιατρικά υποβοηθούμενης αναπαραγωγής</w:t>
      </w:r>
      <w:r w:rsidRPr="00390B86">
        <w:t xml:space="preserve"> </w:t>
      </w:r>
      <w:r>
        <w:t xml:space="preserve">σε εμφύτευση και των δύο </w:t>
      </w:r>
      <w:r w:rsidRPr="00390B86">
        <w:t xml:space="preserve">τελευταίων εμβρύων ορθώς απορρίφθηκε από το Δικαστήριο. </w:t>
      </w:r>
    </w:p>
    <w:p w14:paraId="10E042B5" w14:textId="1A7E0EC0" w:rsidR="000717FA" w:rsidRDefault="00A4213A" w:rsidP="003A56D6">
      <w:r w:rsidRPr="00390B86">
        <w:t xml:space="preserve">Τα επίδικα έμβρυα που κρυοσυντηρούνταν κατά την ημερομηνία έκδοσης του </w:t>
      </w:r>
      <w:r w:rsidRPr="000107DA">
        <w:rPr>
          <w:i/>
        </w:rPr>
        <w:t xml:space="preserve">Νόμου </w:t>
      </w:r>
      <w:r w:rsidR="000107DA" w:rsidRPr="000107DA">
        <w:rPr>
          <w:i/>
        </w:rPr>
        <w:t>περί</w:t>
      </w:r>
      <w:r w:rsidRPr="000107DA">
        <w:rPr>
          <w:i/>
        </w:rPr>
        <w:t xml:space="preserve"> Βιοηθικής</w:t>
      </w:r>
      <w:r w:rsidRPr="00390B86">
        <w:t xml:space="preserve"> 94-654 της 29</w:t>
      </w:r>
      <w:r w:rsidRPr="00390B86">
        <w:rPr>
          <w:vertAlign w:val="superscript"/>
        </w:rPr>
        <w:t>ης</w:t>
      </w:r>
      <w:r w:rsidRPr="00390B86">
        <w:t xml:space="preserve"> Ιουλίου 1994, κατ’ εφαρμογή των κανόνων υγειονομικής ασφάλειας σε ισχύ την ημέρα της μεταφοράς τους, κρίθηκε</w:t>
      </w:r>
      <w:r w:rsidR="003A56D6">
        <w:t xml:space="preserve"> από το Δικαστήριο</w:t>
      </w:r>
      <w:r w:rsidRPr="00390B86">
        <w:t xml:space="preserve"> ότι μπο</w:t>
      </w:r>
      <w:r w:rsidR="003A56D6">
        <w:t>ρούσαν να δοθούν ως δωρεά σε ένα</w:t>
      </w:r>
      <w:r w:rsidRPr="00390B86">
        <w:t xml:space="preserve"> ζευγάρι</w:t>
      </w:r>
      <w:r w:rsidR="000107DA">
        <w:t>,</w:t>
      </w:r>
      <w:r w:rsidR="003A56D6">
        <w:t xml:space="preserve"> υπό την προϋπόθεση ότι</w:t>
      </w:r>
      <w:r w:rsidR="000107DA">
        <w:t xml:space="preserve"> πληρούσε</w:t>
      </w:r>
      <w:r w:rsidRPr="00390B86">
        <w:t xml:space="preserve"> τις προϋποθέσεις του άρθρου </w:t>
      </w:r>
      <w:r w:rsidRPr="00390B86">
        <w:rPr>
          <w:lang w:val="fr-FR"/>
        </w:rPr>
        <w:t>L</w:t>
      </w:r>
      <w:r w:rsidR="000107DA">
        <w:rPr>
          <w:lang w:val="fr-FR"/>
        </w:rPr>
        <w:t>.</w:t>
      </w:r>
      <w:r w:rsidRPr="00390B86">
        <w:t xml:space="preserve"> 152-5 </w:t>
      </w:r>
      <w:r w:rsidR="000107DA">
        <w:t>ΚΔΥ</w:t>
      </w:r>
      <w:r w:rsidRPr="00390B86">
        <w:t>. Σε περίπτωση</w:t>
      </w:r>
      <w:r w:rsidR="003A56D6">
        <w:t>, δε,</w:t>
      </w:r>
      <w:r w:rsidRPr="00390B86">
        <w:t xml:space="preserve"> που η σ</w:t>
      </w:r>
      <w:r w:rsidR="000107DA">
        <w:t xml:space="preserve">υναίνεση του δότη ήταν </w:t>
      </w:r>
      <w:r w:rsidR="003A56D6">
        <w:t>αδύνατο να παρασχεθεί κ</w:t>
      </w:r>
      <w:r w:rsidRPr="00390B86">
        <w:t>ι εάν η διάρκεια συντήρησης των εμβρύων έχει ήδη φτάσει τα</w:t>
      </w:r>
      <w:r w:rsidR="003A56D6">
        <w:t xml:space="preserve"> πέντε (</w:t>
      </w:r>
      <w:r w:rsidRPr="00390B86">
        <w:t>5</w:t>
      </w:r>
      <w:r w:rsidR="003A56D6">
        <w:t>) έτη</w:t>
      </w:r>
      <w:r w:rsidRPr="00390B86">
        <w:t xml:space="preserve">, τότε η κρυοσυντήρηση </w:t>
      </w:r>
      <w:r w:rsidR="003A56D6">
        <w:t>έπρεπε να διακοπεί</w:t>
      </w:r>
      <w:r w:rsidRPr="00390B86">
        <w:t>. Το Ανώτατο Ακυρωτικό Δικαστήριο, συνεπώς, ακ</w:t>
      </w:r>
      <w:r w:rsidR="003A56D6">
        <w:t>ύρωσε</w:t>
      </w:r>
      <w:r w:rsidRPr="00390B86">
        <w:t xml:space="preserve"> τη δευτεροβάθμια απόφαση μόνο ως προς το σημείο που </w:t>
      </w:r>
      <w:r w:rsidR="00937A03" w:rsidRPr="00390B86">
        <w:lastRenderedPageBreak/>
        <w:t>δι</w:t>
      </w:r>
      <w:r w:rsidR="00937A03">
        <w:t>έταζε</w:t>
      </w:r>
      <w:r w:rsidRPr="00390B86">
        <w:t xml:space="preserve"> την καταστροφή των κρυοσυντηρημένων εμβρύων. Κατά</w:t>
      </w:r>
      <w:r w:rsidRPr="00B82920">
        <w:t xml:space="preserve"> </w:t>
      </w:r>
      <w:r w:rsidRPr="00390B86">
        <w:t>τα</w:t>
      </w:r>
      <w:r w:rsidRPr="00B82920">
        <w:t xml:space="preserve"> </w:t>
      </w:r>
      <w:r w:rsidRPr="00390B86">
        <w:t>άλλα</w:t>
      </w:r>
      <w:r w:rsidRPr="00B82920">
        <w:t xml:space="preserve">, </w:t>
      </w:r>
      <w:r w:rsidR="003A56D6">
        <w:t>κήρυξε</w:t>
      </w:r>
      <w:r w:rsidRPr="00B82920">
        <w:t xml:space="preserve"> </w:t>
      </w:r>
      <w:r w:rsidRPr="00390B86">
        <w:t>απαράδεκτη</w:t>
      </w:r>
      <w:r w:rsidRPr="00B82920">
        <w:t xml:space="preserve"> </w:t>
      </w:r>
      <w:r w:rsidRPr="00390B86">
        <w:t>την</w:t>
      </w:r>
      <w:r w:rsidRPr="00B82920">
        <w:t xml:space="preserve"> </w:t>
      </w:r>
      <w:r w:rsidRPr="00390B86">
        <w:t>αίτηση</w:t>
      </w:r>
      <w:r w:rsidRPr="00B82920">
        <w:t xml:space="preserve"> </w:t>
      </w:r>
      <w:r w:rsidRPr="00390B86">
        <w:t>αναίρεσης</w:t>
      </w:r>
      <w:r w:rsidR="003A56D6">
        <w:t xml:space="preserve"> της κυρίας Υ και </w:t>
      </w:r>
      <w:r w:rsidRPr="00390B86">
        <w:t>απ</w:t>
      </w:r>
      <w:r w:rsidR="003A56D6">
        <w:t>οφάσισε να θέσει τέρμα στην</w:t>
      </w:r>
      <w:r w:rsidRPr="00390B86">
        <w:t xml:space="preserve"> κρυοσυντήρηση των </w:t>
      </w:r>
      <w:r w:rsidR="003A56D6">
        <w:t xml:space="preserve">επίδικων </w:t>
      </w:r>
      <w:r w:rsidRPr="00390B86">
        <w:t xml:space="preserve">εμβρύων σύμφωνα με τις προϋποθέσεις που προβλέπει ο νόμος στο άρθρο 9 του </w:t>
      </w:r>
      <w:r w:rsidRPr="003A56D6">
        <w:rPr>
          <w:i/>
        </w:rPr>
        <w:t>Νόμου της Βιοηθικής</w:t>
      </w:r>
      <w:r w:rsidRPr="00390B86">
        <w:t xml:space="preserve"> 94-654 της 29</w:t>
      </w:r>
      <w:r w:rsidRPr="00390B86">
        <w:rPr>
          <w:vertAlign w:val="superscript"/>
        </w:rPr>
        <w:t>ης</w:t>
      </w:r>
      <w:r w:rsidRPr="00390B86">
        <w:t xml:space="preserve"> Ιουλίου 1994 [δωρεά υπό προϋποθέσεις πλεοναζόντων εμβρύων]</w:t>
      </w:r>
      <w:r w:rsidR="00124D24">
        <w:rPr>
          <w:rStyle w:val="FootnoteReference"/>
        </w:rPr>
        <w:footnoteReference w:id="342"/>
      </w:r>
      <w:r w:rsidR="003A56D6">
        <w:t xml:space="preserve">. </w:t>
      </w:r>
    </w:p>
    <w:p w14:paraId="2FB429CB" w14:textId="717109F9" w:rsidR="000D68AB" w:rsidRDefault="000D68AB" w:rsidP="003A56D6">
      <w:r>
        <w:t xml:space="preserve">Παρόλα αυτά, όπως αναφέρθηκε και ανωτέρω, </w:t>
      </w:r>
      <w:r w:rsidR="007C2BC2">
        <w:t xml:space="preserve">ο νομοθέτης του 2011 λίγο έλειψε να συμπεριλάβει στις επιτρεπόμενες τεχνικές της ιατρικά υποβοηθούμενης αναπαραγωγής και την </w:t>
      </w:r>
      <w:r w:rsidR="007C2BC2" w:rsidRPr="007C2BC2">
        <w:rPr>
          <w:i/>
          <w:lang w:val="en-US"/>
        </w:rPr>
        <w:t>post mortem</w:t>
      </w:r>
      <w:r w:rsidR="007C2BC2">
        <w:rPr>
          <w:lang w:val="en-US"/>
        </w:rPr>
        <w:t xml:space="preserve"> </w:t>
      </w:r>
      <w:r w:rsidR="007C2BC2">
        <w:t>μεταφορά εμβρύ</w:t>
      </w:r>
      <w:r w:rsidR="00371969">
        <w:t xml:space="preserve">ων. Ήδη από το 1999, με την ευκαιρία της </w:t>
      </w:r>
      <w:r w:rsidR="00937A03">
        <w:t>παρέλευσης</w:t>
      </w:r>
      <w:r w:rsidR="00371969">
        <w:t xml:space="preserve"> πενταετίας από τη θέση σε εφαρμογή των πρώτων </w:t>
      </w:r>
      <w:r w:rsidR="00371969" w:rsidRPr="00371969">
        <w:rPr>
          <w:i/>
        </w:rPr>
        <w:t>Νόμων περί Βιοηθικής</w:t>
      </w:r>
      <w:r w:rsidR="00371969">
        <w:t>, το Συμβούλιο της Επικρατείας είχε ταχθεί υπέρ της αναγνώρισης της μεταθ</w:t>
      </w:r>
      <w:r w:rsidR="00E81934">
        <w:t xml:space="preserve">ανάτιας μεταφοράς εμβρύων, </w:t>
      </w:r>
      <w:r w:rsidR="00763705">
        <w:t>εκπονώντας</w:t>
      </w:r>
      <w:r w:rsidR="00371969">
        <w:t xml:space="preserve"> για το σκοπό αυτό πλήρως ε</w:t>
      </w:r>
      <w:r w:rsidR="00E81934">
        <w:t>πεξεργασμένη πρόταση νομοθεσίας</w:t>
      </w:r>
      <w:r w:rsidR="00E81934">
        <w:rPr>
          <w:rStyle w:val="FootnoteReference"/>
        </w:rPr>
        <w:footnoteReference w:id="343"/>
      </w:r>
      <w:r w:rsidR="00E81934">
        <w:t>, η οποία αφού υιοθετήθηκε από την Εθνική Συνέλευση, απορρίφθηκε τελικά από την Επιτροπή Κοινωνικών Υποθέσεων της Συγκλήτου</w:t>
      </w:r>
      <w:r w:rsidR="00E81934">
        <w:rPr>
          <w:rStyle w:val="FootnoteReference"/>
        </w:rPr>
        <w:footnoteReference w:id="344"/>
      </w:r>
      <w:r w:rsidR="00E81934">
        <w:t xml:space="preserve">. </w:t>
      </w:r>
      <w:r w:rsidR="00E15778">
        <w:t xml:space="preserve">Δέκα χρόνια αργότερα, βέβαια, το Συμβούλιο της Επικρατείας, στην Έκθεσή του σχετικά με τη δεύτερη αναθεώρηση των </w:t>
      </w:r>
      <w:r w:rsidR="00E15778" w:rsidRPr="00E15778">
        <w:rPr>
          <w:i/>
        </w:rPr>
        <w:t>Νόμων περί Βιοηθικής</w:t>
      </w:r>
      <w:r w:rsidR="00E15778">
        <w:t>, δεν κράτησε την ίδια στάση. Δήλωσε ότι η απαγόρευση της μεταθανάτιας γονιμοποίησης έπρεπε να διατηρηθεί, καθώς απολάμβανε ευρείας συναίνεσης, ενώ, αναφορικά με τη μεταθανάτια μεταφορά εμβρύων, συνέστησε τη διατήρηση της απαγόρευσής της επίσης</w:t>
      </w:r>
      <w:r w:rsidR="00E15778">
        <w:rPr>
          <w:rStyle w:val="FootnoteReference"/>
        </w:rPr>
        <w:footnoteReference w:id="345"/>
      </w:r>
      <w:r w:rsidR="00E15778">
        <w:t xml:space="preserve">. </w:t>
      </w:r>
    </w:p>
    <w:p w14:paraId="16F71E05" w14:textId="6CDB554D" w:rsidR="00EC55F0" w:rsidRDefault="00A70CCF" w:rsidP="00690CC4">
      <w:bookmarkStart w:id="202" w:name="προταθείσες_αλλαγές"/>
      <w:r>
        <w:t xml:space="preserve">Θετική στάση απέναντι στη νομοθετική αναγνώριση της μεταθανάτιας μεταφοράς εμβρύων τηρησε και το </w:t>
      </w:r>
      <w:r w:rsidRPr="00A70CCF">
        <w:t>Κοινοβουλευτικό Γραφείο Αξιολόγησης Επιστημονικών και Τεχνολογικών Επιλογών</w:t>
      </w:r>
      <w:r>
        <w:t xml:space="preserve"> (</w:t>
      </w:r>
      <w:r w:rsidRPr="00A70CCF">
        <w:rPr>
          <w:i/>
          <w:lang w:val="en-US"/>
        </w:rPr>
        <w:t>Office Parlementaire d’Evaluation des Choix Scientifiques et Technologiques</w:t>
      </w:r>
      <w:r>
        <w:t xml:space="preserve">), </w:t>
      </w:r>
      <w:r w:rsidR="00EC55F0">
        <w:t xml:space="preserve">το οποίο, στην Έκθεσή του σχετικά με την αξιολόγηση της εφαρμογής του </w:t>
      </w:r>
      <w:r w:rsidR="00EC55F0" w:rsidRPr="00EC55F0">
        <w:rPr>
          <w:i/>
        </w:rPr>
        <w:t>Νόμου περί Βιοηθικής</w:t>
      </w:r>
      <w:r w:rsidR="00EC55F0">
        <w:t xml:space="preserve">, έδωσε το πράσινο φως στην αναγώριση της μεταθανάτιας μεταφοράς εμβρύων, υπό τον όρο της συνδρομής των τριών ακόλουθων προϋποθέσεων: ο σύντροφος/σύζυγος θα έπρεπε να έχει δώσει εγγράφως και ενώπιον δικαστή τη συναίνεσή του στη μεταφορά του εμβρύου μετά το θάνατό του (α), μεταξύ του θανάτου του συντρόφου και της μεταφοράς των εμβρύων θα έπρεπε να έχει μεσολαβήσει ένα χρονικό διάστημα </w:t>
      </w:r>
      <w:r w:rsidR="00EC55F0">
        <w:lastRenderedPageBreak/>
        <w:t>τριών (3) έως έξι (6) μηνών</w:t>
      </w:r>
      <w:r w:rsidR="00EC55F0" w:rsidRPr="00EC55F0">
        <w:t xml:space="preserve"> </w:t>
      </w:r>
      <w:r w:rsidR="00EC55F0">
        <w:t>(β) και η υποψήφια υποβοηθούμενη γυναίκα θα έπρεπε να παρακολουθεί από ψυχολόγο (γ)</w:t>
      </w:r>
      <w:r w:rsidR="00955E7A">
        <w:rPr>
          <w:rStyle w:val="FootnoteReference"/>
        </w:rPr>
        <w:footnoteReference w:id="346"/>
      </w:r>
      <w:r w:rsidR="00EC55F0">
        <w:t xml:space="preserve">. </w:t>
      </w:r>
    </w:p>
    <w:p w14:paraId="4D482903" w14:textId="70F2EDF2" w:rsidR="00F77520" w:rsidRPr="00C80C72" w:rsidRDefault="002E4633" w:rsidP="00C80C72">
      <w:r>
        <w:t xml:space="preserve">Στο ίδιο πλαίσιο κινήθηκε και η </w:t>
      </w:r>
      <w:r w:rsidR="00BC20E7" w:rsidRPr="000A51FE">
        <w:t>Εθνική Συμβουλευτική</w:t>
      </w:r>
      <w:r w:rsidR="00BC20E7">
        <w:t xml:space="preserve"> </w:t>
      </w:r>
      <w:r w:rsidR="00BC20E7" w:rsidRPr="000A51FE">
        <w:t>Επιτροπή Ηθικής για τις Επιστήμες της ζωής και τη υγείας (</w:t>
      </w:r>
      <w:r w:rsidR="00BC20E7" w:rsidRPr="0027160A">
        <w:rPr>
          <w:i/>
          <w:lang w:val="en-US"/>
        </w:rPr>
        <w:t>Comit</w:t>
      </w:r>
      <w:r w:rsidR="00BC20E7" w:rsidRPr="0027160A">
        <w:rPr>
          <w:i/>
        </w:rPr>
        <w:t xml:space="preserve">é </w:t>
      </w:r>
      <w:r w:rsidR="00BC20E7" w:rsidRPr="0027160A">
        <w:rPr>
          <w:i/>
          <w:lang w:val="en-US"/>
        </w:rPr>
        <w:t>consultatif</w:t>
      </w:r>
      <w:r w:rsidR="00BC20E7" w:rsidRPr="0027160A">
        <w:rPr>
          <w:i/>
        </w:rPr>
        <w:t xml:space="preserve"> </w:t>
      </w:r>
      <w:r w:rsidR="00BC20E7" w:rsidRPr="0027160A">
        <w:rPr>
          <w:i/>
          <w:lang w:val="en-US"/>
        </w:rPr>
        <w:t>national</w:t>
      </w:r>
      <w:r w:rsidR="00BC20E7" w:rsidRPr="0027160A">
        <w:rPr>
          <w:i/>
        </w:rPr>
        <w:t xml:space="preserve"> </w:t>
      </w:r>
      <w:r w:rsidR="00BC20E7" w:rsidRPr="0027160A">
        <w:rPr>
          <w:i/>
          <w:lang w:val="en-US"/>
        </w:rPr>
        <w:t>d</w:t>
      </w:r>
      <w:r w:rsidR="00BC20E7" w:rsidRPr="0027160A">
        <w:rPr>
          <w:i/>
        </w:rPr>
        <w:t>'é</w:t>
      </w:r>
      <w:r w:rsidR="00BC20E7" w:rsidRPr="0027160A">
        <w:rPr>
          <w:i/>
          <w:lang w:val="en-US"/>
        </w:rPr>
        <w:t>thique</w:t>
      </w:r>
      <w:r w:rsidR="00BC20E7" w:rsidRPr="0027160A">
        <w:rPr>
          <w:i/>
        </w:rPr>
        <w:t xml:space="preserve"> </w:t>
      </w:r>
      <w:r w:rsidR="00BC20E7" w:rsidRPr="0027160A">
        <w:rPr>
          <w:i/>
          <w:lang w:val="en-US"/>
        </w:rPr>
        <w:t>pour</w:t>
      </w:r>
      <w:r w:rsidR="00BC20E7" w:rsidRPr="0027160A">
        <w:rPr>
          <w:i/>
        </w:rPr>
        <w:t xml:space="preserve"> </w:t>
      </w:r>
      <w:r w:rsidR="00BC20E7" w:rsidRPr="0027160A">
        <w:rPr>
          <w:i/>
          <w:lang w:val="en-US"/>
        </w:rPr>
        <w:t>les</w:t>
      </w:r>
      <w:r w:rsidR="00BC20E7" w:rsidRPr="0027160A">
        <w:rPr>
          <w:i/>
        </w:rPr>
        <w:t xml:space="preserve"> </w:t>
      </w:r>
      <w:r w:rsidR="00BC20E7" w:rsidRPr="0027160A">
        <w:rPr>
          <w:i/>
          <w:lang w:val="en-US"/>
        </w:rPr>
        <w:t>sciences</w:t>
      </w:r>
      <w:r w:rsidR="00BC20E7" w:rsidRPr="0027160A">
        <w:rPr>
          <w:i/>
        </w:rPr>
        <w:t xml:space="preserve"> </w:t>
      </w:r>
      <w:r w:rsidR="00BC20E7" w:rsidRPr="0027160A">
        <w:rPr>
          <w:i/>
          <w:lang w:val="en-US"/>
        </w:rPr>
        <w:t>de</w:t>
      </w:r>
      <w:r w:rsidR="00BC20E7" w:rsidRPr="0027160A">
        <w:rPr>
          <w:i/>
        </w:rPr>
        <w:t xml:space="preserve"> </w:t>
      </w:r>
      <w:r w:rsidR="00BC20E7" w:rsidRPr="0027160A">
        <w:rPr>
          <w:i/>
          <w:lang w:val="en-US"/>
        </w:rPr>
        <w:t>la</w:t>
      </w:r>
      <w:r w:rsidR="00BC20E7" w:rsidRPr="0027160A">
        <w:rPr>
          <w:i/>
        </w:rPr>
        <w:t xml:space="preserve"> </w:t>
      </w:r>
      <w:r w:rsidR="00BC20E7" w:rsidRPr="0027160A">
        <w:rPr>
          <w:i/>
          <w:lang w:val="en-US"/>
        </w:rPr>
        <w:t>vie</w:t>
      </w:r>
      <w:r w:rsidR="00BC20E7" w:rsidRPr="0027160A">
        <w:rPr>
          <w:i/>
        </w:rPr>
        <w:t xml:space="preserve"> </w:t>
      </w:r>
      <w:r w:rsidR="00BC20E7" w:rsidRPr="0027160A">
        <w:rPr>
          <w:i/>
          <w:lang w:val="en-US"/>
        </w:rPr>
        <w:t>et</w:t>
      </w:r>
      <w:r w:rsidR="00BC20E7" w:rsidRPr="0027160A">
        <w:rPr>
          <w:i/>
        </w:rPr>
        <w:t xml:space="preserve"> </w:t>
      </w:r>
      <w:r w:rsidR="00BC20E7" w:rsidRPr="0027160A">
        <w:rPr>
          <w:i/>
          <w:lang w:val="en-US"/>
        </w:rPr>
        <w:t>de</w:t>
      </w:r>
      <w:r w:rsidR="00BC20E7" w:rsidRPr="0027160A">
        <w:rPr>
          <w:i/>
        </w:rPr>
        <w:t xml:space="preserve"> </w:t>
      </w:r>
      <w:r w:rsidR="00BC20E7" w:rsidRPr="0027160A">
        <w:rPr>
          <w:i/>
          <w:lang w:val="en-US"/>
        </w:rPr>
        <w:t>la</w:t>
      </w:r>
      <w:r w:rsidR="00BC20E7" w:rsidRPr="0027160A">
        <w:rPr>
          <w:i/>
        </w:rPr>
        <w:t xml:space="preserve"> </w:t>
      </w:r>
      <w:r w:rsidR="00BC20E7" w:rsidRPr="0027160A">
        <w:rPr>
          <w:i/>
          <w:lang w:val="en-US"/>
        </w:rPr>
        <w:t>sant</w:t>
      </w:r>
      <w:r w:rsidR="00BC20E7" w:rsidRPr="0027160A">
        <w:rPr>
          <w:i/>
        </w:rPr>
        <w:t xml:space="preserve">é – </w:t>
      </w:r>
      <w:r w:rsidR="00BC20E7" w:rsidRPr="0027160A">
        <w:rPr>
          <w:i/>
          <w:lang w:val="en-US"/>
        </w:rPr>
        <w:t>CCNE</w:t>
      </w:r>
      <w:r w:rsidR="00BC20E7" w:rsidRPr="000A51FE">
        <w:t>)</w:t>
      </w:r>
      <w:r w:rsidR="00BC20E7">
        <w:t xml:space="preserve">, </w:t>
      </w:r>
      <w:r>
        <w:t>η οποία επιμένει σταθερά μέχρι και σήμερα υπέρ της αναγνώρισης της μεταθανάτιας μεταφοράς εμβρύων. Άλλωστε, έχει επανειλημ</w:t>
      </w:r>
      <w:r w:rsidR="00FA686B">
        <w:t>μ</w:t>
      </w:r>
      <w:r>
        <w:t>ένα ασχο</w:t>
      </w:r>
      <w:r w:rsidR="00A52EC3">
        <w:t xml:space="preserve">ληθεί με το ζήτημα στο παρελθόν, στο πλαίσιο τεσσάρων ξεχωριστών </w:t>
      </w:r>
      <w:r w:rsidR="00C80C72">
        <w:t>γνωμοδοτικών κειμένων,</w:t>
      </w:r>
      <w:r w:rsidR="00A52EC3">
        <w:t xml:space="preserve"> </w:t>
      </w:r>
      <w:r>
        <w:t xml:space="preserve">προτείνοντας </w:t>
      </w:r>
      <w:r w:rsidR="00A52EC3">
        <w:t xml:space="preserve">ταυτόχρονα </w:t>
      </w:r>
      <w:r>
        <w:t xml:space="preserve">και το πλαίσιο εντός του οποίου κάτι τέτοιο θα ήταν αποτελεσματικό. </w:t>
      </w:r>
      <w:r w:rsidR="00F77520">
        <w:t>Ας πάρουμε</w:t>
      </w:r>
      <w:r w:rsidR="00C80C72">
        <w:t xml:space="preserve"> όμως τα πράγματα από την αρχή. Ήδη</w:t>
      </w:r>
      <w:r w:rsidR="00F77520">
        <w:t xml:space="preserve"> πριν τη θέσπιση των </w:t>
      </w:r>
      <w:r w:rsidR="00F77520" w:rsidRPr="00F77520">
        <w:rPr>
          <w:i/>
        </w:rPr>
        <w:t>Νόμων περί Βιοηθικής</w:t>
      </w:r>
      <w:r w:rsidR="00F77520">
        <w:t xml:space="preserve"> του 1994, </w:t>
      </w:r>
      <w:r w:rsidR="00C80C72">
        <w:t xml:space="preserve">η </w:t>
      </w:r>
      <w:r w:rsidR="00C80C72" w:rsidRPr="000A51FE">
        <w:t>Εθνική Συμβουλευτική</w:t>
      </w:r>
      <w:r w:rsidR="00C80C72">
        <w:t xml:space="preserve"> </w:t>
      </w:r>
      <w:r w:rsidR="00C80C72" w:rsidRPr="000A51FE">
        <w:t>Επιτροπή Ηθικής</w:t>
      </w:r>
      <w:r w:rsidR="00C80C72">
        <w:t xml:space="preserve"> είχε εκδώσει την από 17 Δεκεμβρίου 1993 </w:t>
      </w:r>
      <w:r w:rsidR="00F77520" w:rsidRPr="00C80C72">
        <w:rPr>
          <w:i/>
        </w:rPr>
        <w:t>Γνωμοδότηση αριθ. 40 σχετικά με τη μεταφορά εμβρύων μετά το θάνατο του/της συντρόφου</w:t>
      </w:r>
      <w:r w:rsidR="00F77520">
        <w:rPr>
          <w:rStyle w:val="FootnoteReference"/>
        </w:rPr>
        <w:footnoteReference w:id="347"/>
      </w:r>
      <w:r w:rsidR="00C80C72">
        <w:t xml:space="preserve">, προτείνοντας ουσιαστικά τη νομοθετική της αναγνώριση. Ο νομοθέτης του 1994 δεν ακολούθησε τη </w:t>
      </w:r>
      <w:r w:rsidR="00C80C72" w:rsidRPr="00C80C72">
        <w:rPr>
          <w:i/>
        </w:rPr>
        <w:t>Γνώμη</w:t>
      </w:r>
      <w:r w:rsidR="00C80C72">
        <w:t xml:space="preserve"> της, σύμφωνα με την οποία, σε περίπτωση αιτήματος </w:t>
      </w:r>
      <w:r w:rsidR="00C80C72" w:rsidRPr="00C80C72">
        <w:rPr>
          <w:i/>
          <w:lang w:val="en-US"/>
        </w:rPr>
        <w:t>post mortem</w:t>
      </w:r>
      <w:r w:rsidR="00C80C72">
        <w:rPr>
          <w:lang w:val="en-US"/>
        </w:rPr>
        <w:t xml:space="preserve"> </w:t>
      </w:r>
      <w:r w:rsidR="00C80C72">
        <w:t xml:space="preserve">μεταφοράς εμβρύων, «δεν υπήρχε κανένα πειστικό επιχείρημα να αρνηθεί κανείς </w:t>
      </w:r>
      <w:r w:rsidR="00C80C72" w:rsidRPr="00C80C72">
        <w:rPr>
          <w:i/>
          <w:lang w:val="en-US"/>
        </w:rPr>
        <w:t>a priori</w:t>
      </w:r>
      <w:r w:rsidR="00C80C72">
        <w:rPr>
          <w:lang w:val="en-US"/>
        </w:rPr>
        <w:t xml:space="preserve"> </w:t>
      </w:r>
      <w:r w:rsidR="00C80C72">
        <w:t xml:space="preserve">την επιλογή στη γυναίκα», ενώ παράλληλα φαινόταν να είναι ξεκάθαρο ότι «η εξαφάνιση του συντρόφου της γυναίκας δεν εξαφάνιζε αυτομάτως τα δικαιώματα που είχε η γυναίκα επί των εμβρύων που προέρχονταν από κοινού από εκείνη και το θανόντα σύντροφό της». Η </w:t>
      </w:r>
      <w:r w:rsidR="00C80C72" w:rsidRPr="000A51FE">
        <w:t>Εθνική Συμβουλευτική</w:t>
      </w:r>
      <w:r w:rsidR="00C80C72">
        <w:t xml:space="preserve"> </w:t>
      </w:r>
      <w:r w:rsidR="00C80C72" w:rsidRPr="000A51FE">
        <w:t>Επιτροπή Ηθικής</w:t>
      </w:r>
      <w:r w:rsidR="00C80C72">
        <w:t>, με άλλα λόγια, ήδη από το 1993, έχει ξεκάθαρα εκφράσει την πεποίθηση ότι</w:t>
      </w:r>
      <w:r w:rsidR="00FA686B">
        <w:t>, ακόμη και μετά το θάνατο του συντρόφου της,</w:t>
      </w:r>
      <w:r w:rsidR="00C80C72">
        <w:t xml:space="preserve"> κανείς δε μπορεί να εναντιωθεί στον οικογενειακό προ</w:t>
      </w:r>
      <w:r w:rsidR="00FA686B">
        <w:t xml:space="preserve">γραμματισμό της γυναίκας, όταν αυτή έχει συνείδηση όσων μια τέτοια επιλογή συνεπάγεται  και, φυσικά, όταν στον προγραμματισμό αυτό έχει συναινέσει και ο θανών σύζυγός της. </w:t>
      </w:r>
    </w:p>
    <w:p w14:paraId="6082279E" w14:textId="3BC1BB27" w:rsidR="00F17658" w:rsidRDefault="00FA686B" w:rsidP="00FA686B">
      <w:r>
        <w:t xml:space="preserve">Εν συνεχεία, η </w:t>
      </w:r>
      <w:r w:rsidRPr="000A51FE">
        <w:t>Εθνική Συμβουλευτική</w:t>
      </w:r>
      <w:r>
        <w:t xml:space="preserve"> </w:t>
      </w:r>
      <w:r w:rsidRPr="000A51FE">
        <w:t>Επιτροπή Ηθικής</w:t>
      </w:r>
      <w:r>
        <w:t xml:space="preserve"> είχε δύο ευκαιρίες να επαναλάβει τις θέσεις της αυτές. Στην από 25 Ιουνίου 1998 </w:t>
      </w:r>
      <w:r w:rsidRPr="00FA686B">
        <w:rPr>
          <w:i/>
        </w:rPr>
        <w:t>Γνωμοδότηση αριθ. 60 σχετικά με την επανεξέταση των Νόμων περί Βιοηθικής</w:t>
      </w:r>
      <w:r>
        <w:rPr>
          <w:rStyle w:val="FootnoteReference"/>
        </w:rPr>
        <w:footnoteReference w:id="348"/>
      </w:r>
      <w:r w:rsidRPr="00FA686B">
        <w:t>, υ</w:t>
      </w:r>
      <w:r>
        <w:t>ποστήριξε ότι, μετά το θάνατο του συντρόφου, η μεταφορά ενός κρυοσυντηρημένου εμβρύου στα πλαίσια ιατρ</w:t>
      </w:r>
      <w:r w:rsidR="0087567E">
        <w:t xml:space="preserve">ικά υποβοηθούμενης αναπαραγωγής, </w:t>
      </w:r>
      <w:r>
        <w:t xml:space="preserve">την </w:t>
      </w:r>
      <w:r w:rsidR="0087567E">
        <w:t xml:space="preserve">το ζευγάρι </w:t>
      </w:r>
      <w:r>
        <w:t>οποία είχε ήδη ξεκινήσει</w:t>
      </w:r>
      <w:r w:rsidR="0087567E">
        <w:t>,</w:t>
      </w:r>
      <w:r>
        <w:t xml:space="preserve"> </w:t>
      </w:r>
      <w:r w:rsidR="0087567E">
        <w:t xml:space="preserve">μπορεί να πραγματοποιηθεί, εφόσον το επιθυμεί η υποβοηθούμενη γυναίκα, υπό συνθήκες που θα της επιτρέψουν να λάβει την απόφασή της, εξασφαλίζοντάς της την αναγκαία ανεξαρτησία απέναντι σε κάθε είδους πιέσεις, ψυχολογικής ή κοινωνικής φύσης. </w:t>
      </w:r>
      <w:r w:rsidR="00F17658">
        <w:t xml:space="preserve">Δύο χρόνια αργότερα, στις 27 Ιανουαρίου 2000, με την αμέσως επόμενη </w:t>
      </w:r>
      <w:r w:rsidR="00F17658" w:rsidRPr="00F17658">
        <w:rPr>
          <w:i/>
        </w:rPr>
        <w:t>Γνωμοδότησή της (αριθ. 67) σχετικά με το Σχέδιο Νόμου των Νόμων περί Βιοηθικής</w:t>
      </w:r>
      <w:r w:rsidR="00F17658">
        <w:rPr>
          <w:rStyle w:val="FootnoteReference"/>
        </w:rPr>
        <w:footnoteReference w:id="349"/>
      </w:r>
      <w:r w:rsidR="00F17658">
        <w:t xml:space="preserve">, η </w:t>
      </w:r>
      <w:r w:rsidR="00F17658" w:rsidRPr="000A51FE">
        <w:t>Εθνική Συμβουλευτική</w:t>
      </w:r>
      <w:r w:rsidR="00F17658">
        <w:t xml:space="preserve"> </w:t>
      </w:r>
      <w:r w:rsidR="00F17658" w:rsidRPr="000A51FE">
        <w:t>Επιτροπή Ηθικής</w:t>
      </w:r>
      <w:r w:rsidR="00F17658">
        <w:t xml:space="preserve"> </w:t>
      </w:r>
      <w:r w:rsidR="00F17658">
        <w:lastRenderedPageBreak/>
        <w:t xml:space="preserve">διευκρίνισε περεταίρω τις θέσεις της, προτείνοντας μια νέα διατύπωση του άρθρου </w:t>
      </w:r>
      <w:r w:rsidR="00F17658">
        <w:rPr>
          <w:lang w:val="en-US"/>
        </w:rPr>
        <w:t xml:space="preserve">L. 2141-2, </w:t>
      </w:r>
      <w:r w:rsidR="00F17658">
        <w:t>παρ. 3, ΚΔΥ: «</w:t>
      </w:r>
      <w:r w:rsidR="00F17658" w:rsidRPr="008E061D">
        <w:rPr>
          <w:i/>
        </w:rPr>
        <w:t xml:space="preserve">Η διάλυση του ζευγαριού συνιστά εμπόδιο στη γονιμοποίηση ή τη μεταφορά των εμβρύων. Ωστόσο, η μεταφορά κρυοσυντηρημένων εμβρύων μπορεί να πραγματοποιηθεί εφόσον η διάλυση αυτή προκύπτει από το θάνατο </w:t>
      </w:r>
      <w:r w:rsidR="008E061D" w:rsidRPr="008E061D">
        <w:rPr>
          <w:i/>
        </w:rPr>
        <w:t xml:space="preserve">του άνδρα και αυτός </w:t>
      </w:r>
      <w:r w:rsidR="008E061D">
        <w:rPr>
          <w:i/>
        </w:rPr>
        <w:t>είχε</w:t>
      </w:r>
      <w:r w:rsidR="008E061D" w:rsidRPr="008E061D">
        <w:rPr>
          <w:i/>
        </w:rPr>
        <w:t xml:space="preserve"> ρητά συναινέσει, ενόσω βρισκόταν εν ζωή, στην ολοκλήρωση της διαδικασίας ιατρικής υποβοήθησης στην αναπαραγωγή και μετά το θάνατό του. Στην περίπτωση αυτή, η μεταφορά των εμβρύων δε μπορεί να πραγματοποιηθεί παρά μόνο εντός χρονικού διαστήματος τριών (3) μηνών έως </w:t>
      </w:r>
      <w:r w:rsidR="008E061D">
        <w:rPr>
          <w:i/>
        </w:rPr>
        <w:t xml:space="preserve">και </w:t>
      </w:r>
      <w:r w:rsidR="008E061D" w:rsidRPr="008E061D">
        <w:rPr>
          <w:i/>
        </w:rPr>
        <w:t>ενός (1) έτους μετά το θάνατο. Η γυναίκα πρέπει να μπορεί να λάβει ψυχολογική υποστήριξη</w:t>
      </w:r>
      <w:r w:rsidR="008E061D">
        <w:t xml:space="preserve">». </w:t>
      </w:r>
    </w:p>
    <w:p w14:paraId="7E959446" w14:textId="73720967" w:rsidR="00EE1286" w:rsidRPr="006D731A" w:rsidRDefault="00E536BC" w:rsidP="00EE1286">
      <w:r>
        <w:t>Παρότι, λοιπόν, τόσο η Εθνική Συμβουλευτική Επιτροπή Ηθικής, όσο και άλλοι φορείς οι οποίοι τοποθετήθηκαν εκείνη την περίοδο σχετικά</w:t>
      </w:r>
      <w:r w:rsidR="007D04FE">
        <w:rPr>
          <w:rStyle w:val="FootnoteReference"/>
        </w:rPr>
        <w:footnoteReference w:id="350"/>
      </w:r>
      <w:r>
        <w:t xml:space="preserve">, τάσσονταν υπέρ της αναγνώρισης της δυνατότητας της γυναίκας να </w:t>
      </w:r>
      <w:r w:rsidR="007D04FE">
        <w:t>μπορεί να συνεχίσει τον οικογενειακό προγραμματισμό του ζευγαριού και μετά το θάνατο του συζύ</w:t>
      </w:r>
      <w:r w:rsidR="00B55B95">
        <w:t>γου της και παρότι το σχέδιο νόμου που ψηφίστηκε σε πρώτη α</w:t>
      </w:r>
      <w:r w:rsidR="00EE1286">
        <w:t>νάγνωση από την Εθνική Συνέλευση, στις 22 Ιανουαρίου 2002, υιοθετούσε τη διατύπωση που πρότεινε η Εθνική Συμβουλευτική Επιτροπή Ηθικής, ο Νόμος περί Βιοηθικής της 6</w:t>
      </w:r>
      <w:r w:rsidR="00EE1286" w:rsidRPr="00EE1286">
        <w:rPr>
          <w:vertAlign w:val="superscript"/>
        </w:rPr>
        <w:t>ης</w:t>
      </w:r>
      <w:r w:rsidR="00EE1286">
        <w:t xml:space="preserve"> Αυγούστου 2004 διατήρησε τελικά την απόλυτη απαγόρευση της μεταθανάτιας ιατρικά υποβοηθούμενης αναπαραγωγής, χωρίς να κάνει διάκριση μεταξύ γονιμοποίησης και μεταφοράς. Προκειμένου, μάλιστα, να μην υπάρχει η παραμικρή αμφιβολία, ο νόμος ενίσχυσε την απαγόρευση αυτή, προσθέτοντας στο άρθρο </w:t>
      </w:r>
      <w:r w:rsidR="00EE1286">
        <w:rPr>
          <w:lang w:val="en-US"/>
        </w:rPr>
        <w:t xml:space="preserve">L. 2141-2 </w:t>
      </w:r>
      <w:r w:rsidR="00EE1286">
        <w:t xml:space="preserve">ΚΔΥ τη δεύτερη παράγραφο, σύμφωνα με την οποία </w:t>
      </w:r>
      <w:r w:rsidR="00EE1286" w:rsidRPr="00E30A79">
        <w:t>«</w:t>
      </w:r>
      <w:r w:rsidR="00EE1286">
        <w:rPr>
          <w:i/>
        </w:rPr>
        <w:t xml:space="preserve">τη γονιμοποίηση ή τη μεταφορά των εμβρύων αποκλείουν ο θάνατος ενός εκ των δύο προσώπων του υποβοηθούμενου ζευγαριού, </w:t>
      </w:r>
      <w:r w:rsidR="00EE1286" w:rsidRPr="006D731A">
        <w:rPr>
          <w:i/>
        </w:rPr>
        <w:t>η κατάθεση αγωγής διαζυγίου ή διάσταση</w:t>
      </w:r>
      <w:r w:rsidR="00EE1286">
        <w:rPr>
          <w:i/>
        </w:rPr>
        <w:t>ς</w:t>
      </w:r>
      <w:r w:rsidR="00EE1286" w:rsidRPr="006D731A">
        <w:rPr>
          <w:i/>
        </w:rPr>
        <w:t xml:space="preserve"> του ζευγαριού ή η διακοπή του κοινού τους βίου».</w:t>
      </w:r>
      <w:r w:rsidR="00EE1286">
        <w:rPr>
          <w:i/>
        </w:rPr>
        <w:t xml:space="preserve"> </w:t>
      </w:r>
    </w:p>
    <w:p w14:paraId="0910C2AB" w14:textId="77777777" w:rsidR="00A46B47" w:rsidRDefault="00D2603E" w:rsidP="00E96B44">
      <w:r>
        <w:rPr>
          <w:lang w:val="en-US" w:eastAsia="en-US"/>
        </w:rPr>
        <w:t xml:space="preserve">Αυτή η </w:t>
      </w:r>
      <w:r w:rsidR="00A46B47">
        <w:rPr>
          <w:lang w:eastAsia="en-US"/>
        </w:rPr>
        <w:t xml:space="preserve">διατήρηση της </w:t>
      </w:r>
      <w:r>
        <w:rPr>
          <w:lang w:val="en-US" w:eastAsia="en-US"/>
        </w:rPr>
        <w:t>απαγόρευση</w:t>
      </w:r>
      <w:r w:rsidR="00A46B47">
        <w:rPr>
          <w:lang w:val="en-US" w:eastAsia="en-US"/>
        </w:rPr>
        <w:t>ς</w:t>
      </w:r>
      <w:r>
        <w:rPr>
          <w:lang w:val="en-US" w:eastAsia="en-US"/>
        </w:rPr>
        <w:t xml:space="preserve"> της </w:t>
      </w:r>
      <w:r w:rsidRPr="00D2603E">
        <w:rPr>
          <w:i/>
          <w:lang w:val="en-US" w:eastAsia="en-US"/>
        </w:rPr>
        <w:t>post mortem</w:t>
      </w:r>
      <w:r>
        <w:rPr>
          <w:lang w:val="en-US" w:eastAsia="en-US"/>
        </w:rPr>
        <w:t xml:space="preserve"> </w:t>
      </w:r>
      <w:r>
        <w:rPr>
          <w:lang w:eastAsia="en-US"/>
        </w:rPr>
        <w:t xml:space="preserve">μεταφοράς εμβρύων χαρακτηρίστηκε μάλιστα </w:t>
      </w:r>
      <w:r>
        <w:t xml:space="preserve">ως «βίαιη» </w:t>
      </w:r>
      <w:r>
        <w:rPr>
          <w:lang w:eastAsia="en-US"/>
        </w:rPr>
        <w:t xml:space="preserve">από του πολίτες των Γενικών Τάξεων της Βιοηθικής </w:t>
      </w:r>
      <w:r w:rsidRPr="00D2603E">
        <w:t>(</w:t>
      </w:r>
      <w:r w:rsidRPr="00D2603E">
        <w:rPr>
          <w:i/>
        </w:rPr>
        <w:t>États Généraux de la Bioéthique</w:t>
      </w:r>
      <w:r w:rsidRPr="00D2603E">
        <w:t>)</w:t>
      </w:r>
      <w:r>
        <w:rPr>
          <w:rStyle w:val="FootnoteReference"/>
        </w:rPr>
        <w:footnoteReference w:id="351"/>
      </w:r>
      <w:r>
        <w:t xml:space="preserve">. </w:t>
      </w:r>
      <w:r w:rsidR="004266C2">
        <w:t xml:space="preserve">Εξάλλου, η πρόταση άρσης της απαγόρευσης της μεταθανάτιας μεταφοράς εμβρύων συνοδευόταν σε κάθε περίπτωση από συγκεκριμένες προϋποθέσεις, ικανές να εξασφαλίσουν την προστασία τόσο του τέκνου που θα γεννηθεί όσο και της υποβοηθούμενης μητέρας. </w:t>
      </w:r>
    </w:p>
    <w:p w14:paraId="71DA2017" w14:textId="750EEB6D" w:rsidR="00777FA5" w:rsidRDefault="00A46B47" w:rsidP="00B65717">
      <w:r>
        <w:t xml:space="preserve">Στο πλαίσιο αυτό και ενόψει της δεύτερης αναθεώρησης των </w:t>
      </w:r>
      <w:r w:rsidRPr="00A46B47">
        <w:rPr>
          <w:i/>
        </w:rPr>
        <w:t>Νόμων περί Βιοηθικής</w:t>
      </w:r>
      <w:r>
        <w:t xml:space="preserve">, η Εθνική Συμβουλευτική Επιτροπή Ηθικής επανέλαβε για ακόμη μία φορά τις θέσεις της, εκδίδοντας, στις </w:t>
      </w:r>
      <w:r w:rsidR="00D13D23">
        <w:t xml:space="preserve">10 Φεβρουαρίου 2011, τη </w:t>
      </w:r>
      <w:r w:rsidR="00F77520" w:rsidRPr="00D13D23">
        <w:rPr>
          <w:i/>
        </w:rPr>
        <w:t xml:space="preserve">Γνωμοδότηση αριθ. 113 σχετικά με </w:t>
      </w:r>
      <w:r w:rsidR="000B6E76">
        <w:rPr>
          <w:i/>
        </w:rPr>
        <w:t>το</w:t>
      </w:r>
      <w:r w:rsidR="00F77520" w:rsidRPr="00D13D23">
        <w:rPr>
          <w:i/>
        </w:rPr>
        <w:t xml:space="preserve"> αίτημα </w:t>
      </w:r>
      <w:r w:rsidR="00F77520" w:rsidRPr="00D13D23">
        <w:rPr>
          <w:i/>
        </w:rPr>
        <w:lastRenderedPageBreak/>
        <w:t>ιατρικά υποβοηθούμενης αναπαραγωγής μετά το θάνατο του/της συζύγου</w:t>
      </w:r>
      <w:r w:rsidR="00F77520">
        <w:rPr>
          <w:rStyle w:val="FootnoteReference"/>
        </w:rPr>
        <w:footnoteReference w:id="352"/>
      </w:r>
      <w:r w:rsidR="00F77520">
        <w:t xml:space="preserve">. </w:t>
      </w:r>
      <w:r w:rsidR="00912C28">
        <w:t xml:space="preserve">Στο κείμενο αυτό, η </w:t>
      </w:r>
      <w:r w:rsidR="00912C28">
        <w:rPr>
          <w:lang w:val="fr-FR"/>
        </w:rPr>
        <w:t>CCNE</w:t>
      </w:r>
      <w:r w:rsidR="00912C28">
        <w:t xml:space="preserve"> </w:t>
      </w:r>
      <w:r w:rsidR="00B65717">
        <w:t>τάσσεται</w:t>
      </w:r>
      <w:r w:rsidR="00912C28">
        <w:t xml:space="preserve"> σταθερά </w:t>
      </w:r>
      <w:r w:rsidR="00B65717">
        <w:t>ενάντια</w:t>
      </w:r>
      <w:r w:rsidR="00912C28">
        <w:t xml:space="preserve"> στη μεταθανάτια γονιμοποίηση</w:t>
      </w:r>
      <w:r w:rsidR="00BC20E7">
        <w:t xml:space="preserve">. Αντίθετα, σε ό,τι αφορά στην </w:t>
      </w:r>
      <w:r w:rsidR="00BC20E7" w:rsidRPr="00890ADA">
        <w:rPr>
          <w:i/>
          <w:lang w:val="en-US"/>
        </w:rPr>
        <w:t>post</w:t>
      </w:r>
      <w:r w:rsidR="00912C28">
        <w:rPr>
          <w:i/>
        </w:rPr>
        <w:t xml:space="preserve"> </w:t>
      </w:r>
      <w:r w:rsidR="00BC20E7" w:rsidRPr="00890ADA">
        <w:rPr>
          <w:i/>
          <w:lang w:val="en-US"/>
        </w:rPr>
        <w:t>mortem</w:t>
      </w:r>
      <w:r w:rsidR="00BC20E7">
        <w:t xml:space="preserve"> μεταφορά εμβρύων, η πλειοψηφία των μελών της εκφράζεται υπέρ της μεταθανάτιας μεταφοράς εμβρύων, υπό </w:t>
      </w:r>
      <w:r w:rsidR="00CF2B51">
        <w:t>τον όρο ότι το επιθυμεί η επιζώ</w:t>
      </w:r>
      <w:r w:rsidR="00BC20E7">
        <w:t>σα σύζυγος ή σύντροφος</w:t>
      </w:r>
      <w:r w:rsidR="00B65717">
        <w:t>, καθώς και ότι</w:t>
      </w:r>
      <w:r w:rsidR="00BC20E7">
        <w:t xml:space="preserve"> </w:t>
      </w:r>
      <w:r w:rsidR="00B65717">
        <w:t>η προβλεπόμενη διαδικασία</w:t>
      </w:r>
      <w:r w:rsidR="00BC20E7">
        <w:t xml:space="preserve"> </w:t>
      </w:r>
      <w:r w:rsidR="00B65717">
        <w:t xml:space="preserve">είναι αυστηρά οριοθετημένη. Σύμφωνα με την ανάλυση που παραθέτει στην τελευταία αυτή </w:t>
      </w:r>
      <w:r w:rsidR="00B65717" w:rsidRPr="00B65717">
        <w:rPr>
          <w:i/>
        </w:rPr>
        <w:t>Γνωμοδότησή</w:t>
      </w:r>
      <w:r w:rsidR="00B65717">
        <w:t xml:space="preserve"> της η </w:t>
      </w:r>
      <w:r w:rsidR="00B65717">
        <w:rPr>
          <w:lang w:val="en-US"/>
        </w:rPr>
        <w:t>CCNE</w:t>
      </w:r>
      <w:r w:rsidR="00B65717">
        <w:t>, ο νομοθέτης, με την άρνησή του να αναγνωρίσει στη γυναίκα την αυτονόητη δυνατότητα να συνεχίσει τη διαδικασία που ήδη είχε ξεκινήσει με το σύντροφό της πριν αυτός αποβιώσει, τη φέρνει αντιμέτωπη με μια ακόμη πιο επώδυνη κατάσταση, εφόσον την αναγκάζει είτε να ζητήσει την καταστροφή των εμβρύων, είτε να τα παραχωρήσει για ερευνητικούς λόγους, είτε τέλος να συναινέσει στη λήψη τους από ένα</w:t>
      </w:r>
      <w:r w:rsidR="00B65717" w:rsidRPr="00B65717">
        <w:t xml:space="preserve"> </w:t>
      </w:r>
      <w:r w:rsidR="00B65717">
        <w:t>τρίτο ζευγάρι. Λύση η οποία</w:t>
      </w:r>
      <w:r w:rsidR="005D713C">
        <w:t>, κατά της γνώμη της πλειοψηφίας των μελών της Εθνικής Συμβουλευτικής Επιτροπής Ηθικής είναι ιδιαιτέρως σκληρή, πολλώ δε μάλλον όταν η μεταφορά των εν λόγω εμβρύων ήταν η τελευταία ευκαιρία της να γίνει μητέρα, ιδίως λόγ</w:t>
      </w:r>
      <w:r w:rsidR="00164B84">
        <w:t>ω</w:t>
      </w:r>
      <w:r w:rsidR="005D713C">
        <w:t xml:space="preserve"> της ηλικίας ή της υπογονιμότητά της. </w:t>
      </w:r>
      <w:r w:rsidR="00164B84">
        <w:t>Εξάλλου, η ελευθερία αναπαραγωγή εμπίπτει στην ιδιωτική σφαίρα</w:t>
      </w:r>
      <w:r w:rsidR="000F7F40">
        <w:rPr>
          <w:rStyle w:val="FootnoteReference"/>
        </w:rPr>
        <w:footnoteReference w:id="353"/>
      </w:r>
      <w:r w:rsidR="00164B84">
        <w:t xml:space="preserve">. </w:t>
      </w:r>
    </w:p>
    <w:p w14:paraId="3D51E245" w14:textId="5DCF013E" w:rsidR="000F7F40" w:rsidRPr="000F7F40" w:rsidRDefault="000F7F40" w:rsidP="000F7F40">
      <w:pPr>
        <w:rPr>
          <w:lang w:val="en-US" w:eastAsia="en-US"/>
        </w:rPr>
      </w:pPr>
      <w:r>
        <w:rPr>
          <w:lang w:val="en-US" w:eastAsia="en-US"/>
        </w:rPr>
        <w:t xml:space="preserve">Η </w:t>
      </w:r>
      <w:r>
        <w:rPr>
          <w:lang w:val="fr-FR"/>
        </w:rPr>
        <w:t xml:space="preserve">CCNE κλείνει αναφέροντας ότι η κοινωνία οφείλει να προσφέρει την αρωγή της στη γυναίκα που θα αποφασίσει να φέρει σε πέρας μια εγκυμοσύνη με τη βοήθεια της ιατρικά υποβοηθούμενης αναπαραγωγής. Αυτό, ωστόσο, δε σημαίνει ότι δεν πρέπει να τεθούν περιοριμοί ικανοί να προστατεύσουν τόσο το τέκνο που θα γεννηθεί χωρίς πατέρα, όσο και τη μητέρα. </w:t>
      </w:r>
      <w:r>
        <w:rPr>
          <w:lang w:val="en-US" w:eastAsia="en-US"/>
        </w:rPr>
        <w:t>Για τους παραπάνω λόγους, η πλειοψηφία των μελών της Εθνικής Συμβουλευτικής Επιτροπής Ηθικής θεωρεί ότι η μεταθανάτια μεταφορά εμβρύων πρέπει να επιτραπεί, όταν το αίτημα της υποψήφιας υποβοηθούμενης γυναίκας ικανοποιεί τις ακόλουθες προϋποθέσεις:</w:t>
      </w:r>
    </w:p>
    <w:p w14:paraId="0C19982B" w14:textId="77777777" w:rsidR="00BC20E7" w:rsidRDefault="00BC20E7" w:rsidP="00C34C4B">
      <w:r>
        <w:t>1</w:t>
      </w:r>
      <w:r w:rsidRPr="00890ADA">
        <w:rPr>
          <w:vertAlign w:val="superscript"/>
        </w:rPr>
        <w:t>ο</w:t>
      </w:r>
      <w:r>
        <w:t xml:space="preserve">. Ο άνδρας πρέπει να έχει εκφράσει, όσο ήταν ακόμη εν ζωή, τη ρητή του συναίνεση για τη μεταφορά του κρυοσυντηρημένου εμβρύου μετά το θάνατό του. Για τη λήψη της απόφασης αυτής οφείλει να λάβει υπόψη του ότι δε θα είναι σε θέση να αναθρέψει το τέκνο που θα γεννηθεί. </w:t>
      </w:r>
    </w:p>
    <w:p w14:paraId="4CEF5FB8" w14:textId="1286C342" w:rsidR="00BC20E7" w:rsidRDefault="00BC20E7" w:rsidP="00C34C4B">
      <w:r>
        <w:t>2</w:t>
      </w:r>
      <w:r w:rsidRPr="00890ADA">
        <w:rPr>
          <w:vertAlign w:val="superscript"/>
        </w:rPr>
        <w:t>ο</w:t>
      </w:r>
      <w:r>
        <w:t xml:space="preserve">. Πρέπει να τηρηθεί μια ορισμένη περίοδος σκέψης μετά το θάνατο του συζύγου/συντρόφου, ώστε η απόφασή της </w:t>
      </w:r>
      <w:r w:rsidR="008E387F">
        <w:t xml:space="preserve">γυναίκας </w:t>
      </w:r>
      <w:r>
        <w:t xml:space="preserve">να μην είναι προϊόν έντονης συναισθηματικής φόρτισης. Κατά τη διάρκεια της περιόδου αυτής, σκόπιμο είναι να της παρασχεθεί συμβουλευτική αρωγή, ικανή να της επιτρέψει να εξετάσει όλες τις πτυχές, ψυχολογικές, νομικές, κοινωνικές και ιατρικές της απόφασής της, τόσο σε σχέση με την ίδια, όσο και σε σχέση με το τέκνο που θα γεννηθεί. Η χρονική αυτή περίοδος πρέπει να </w:t>
      </w:r>
      <w:r w:rsidR="008E387F">
        <w:t>υπόκειται</w:t>
      </w:r>
      <w:r>
        <w:t xml:space="preserve"> </w:t>
      </w:r>
      <w:r w:rsidR="008E387F">
        <w:lastRenderedPageBreak/>
        <w:t>τόσο σε</w:t>
      </w:r>
      <w:r>
        <w:t xml:space="preserve"> κατώτατα, </w:t>
      </w:r>
      <w:r w:rsidR="008E387F">
        <w:t>όσο</w:t>
      </w:r>
      <w:r>
        <w:t xml:space="preserve"> και </w:t>
      </w:r>
      <w:r w:rsidR="008E387F">
        <w:t xml:space="preserve">σε </w:t>
      </w:r>
      <w:r>
        <w:t>ανώτατα</w:t>
      </w:r>
      <w:r w:rsidR="008E387F">
        <w:t xml:space="preserve"> χρονικά όρια, </w:t>
      </w:r>
      <w:r>
        <w:t xml:space="preserve">προκειμένου το τέκνο να μη γεννηθεί πολύ μεταγενέστερα του θανάτου του πατέρα του.  </w:t>
      </w:r>
    </w:p>
    <w:p w14:paraId="7FBF7710" w14:textId="1637F53B" w:rsidR="00BC20E7" w:rsidRDefault="00BC20E7" w:rsidP="00C34C4B">
      <w:r>
        <w:t>3</w:t>
      </w:r>
      <w:r w:rsidRPr="00047389">
        <w:rPr>
          <w:vertAlign w:val="superscript"/>
        </w:rPr>
        <w:t>ο</w:t>
      </w:r>
      <w:r>
        <w:t>. Πρέπει να επέλθουν τροποποιήσεις στο γαλλικό αστικό δίκαιο, προκειμένου να διασφαλίζεται η πατρότητα του τέκνου.</w:t>
      </w:r>
    </w:p>
    <w:p w14:paraId="7F699049" w14:textId="59F4EA00" w:rsidR="00BC20E7" w:rsidRDefault="004C135B" w:rsidP="00BC20E7">
      <w:r>
        <w:t xml:space="preserve">Παρά το γεγονός ότι η γαλλική κοινωνία φαινόταν </w:t>
      </w:r>
      <w:r w:rsidR="001B5A0F">
        <w:t xml:space="preserve">να είναι από καιρό προετοιμασμένη να </w:t>
      </w:r>
      <w:r>
        <w:t xml:space="preserve">δεχτεί αυτή την αλλαγή στη νομοθεσία περί ιατρικά υποβοηθούμενης αναπαραγωγής, το σχέδιο νόμου που κατατέθηκε τελικά έμενε πιστό στην απαγόρευση της </w:t>
      </w:r>
      <w:r w:rsidRPr="004C135B">
        <w:rPr>
          <w:i/>
          <w:lang w:val="en-US"/>
        </w:rPr>
        <w:t>post mortem</w:t>
      </w:r>
      <w:r>
        <w:rPr>
          <w:lang w:val="en-US"/>
        </w:rPr>
        <w:t xml:space="preserve"> </w:t>
      </w:r>
      <w:r>
        <w:t xml:space="preserve">μεταφοράς εμβρύων. Το γεγονός αυτό δε βρήκε σύμφωνους την πλειοψηφία των βουλευτών, οι οποίοι μάλιστα είχαν ήδη </w:t>
      </w:r>
      <w:r w:rsidR="001B5A0F">
        <w:t>τοποθετηθεί σχετικά σ</w:t>
      </w:r>
      <w:r>
        <w:t xml:space="preserve">την Έκθεση της Κοινοβουλευτικής αποστολής </w:t>
      </w:r>
      <w:r w:rsidR="00665E7B">
        <w:t>πληροφόρησης</w:t>
      </w:r>
      <w:r>
        <w:t xml:space="preserve"> που είχε εκπονηθεί με την ευκαιρία της δεύτερης αναθεώρησης των </w:t>
      </w:r>
      <w:r w:rsidRPr="004C135B">
        <w:rPr>
          <w:i/>
        </w:rPr>
        <w:t>Νόμων περί Βιοηθικής</w:t>
      </w:r>
      <w:r w:rsidRPr="004C135B">
        <w:rPr>
          <w:rStyle w:val="FootnoteReference"/>
        </w:rPr>
        <w:footnoteReference w:id="354"/>
      </w:r>
      <w:r w:rsidRPr="004C135B">
        <w:t>.</w:t>
      </w:r>
      <w:r>
        <w:t xml:space="preserve"> </w:t>
      </w:r>
      <w:r w:rsidR="001B5A0F">
        <w:t xml:space="preserve">Με την ευκαιρία λοιπόν της εξέτασης του σχεδίου νόμου στην ειδική κοινοβουλευτική επιτροπή που συστάθηκε ειδικά για το σκοπό της αναθεώρησης των </w:t>
      </w:r>
      <w:r w:rsidR="001B5A0F" w:rsidRPr="00B51143">
        <w:rPr>
          <w:i/>
        </w:rPr>
        <w:t>Νόμων περί Βιοηθικής</w:t>
      </w:r>
      <w:r w:rsidR="001B5A0F">
        <w:t>, οι βουλευτές ενσωμάτωσαν στο κείμενο του σχεδίου νόμου τη διατύπωση που είχε προτείνει από το 1999 το Συμβούλιο Επικρατείας</w:t>
      </w:r>
      <w:r w:rsidR="00B51143">
        <w:t>, αναγνωρίζοντας έτσι τη μεταθανάτια μεταφορά εμβρύων</w:t>
      </w:r>
      <w:r w:rsidR="00B51143">
        <w:rPr>
          <w:rStyle w:val="FootnoteReference"/>
        </w:rPr>
        <w:footnoteReference w:id="355"/>
      </w:r>
      <w:r w:rsidR="00B51143">
        <w:t>.</w:t>
      </w:r>
      <w:r w:rsidR="00997A77">
        <w:t xml:space="preserve"> Το κείμενο που υιοθετήθηκε από την Εθνική Συνέλευση προέβλεπε την παρέλευση ενός χρονικού διαστήματος ορισμένων μηνών μεταξύ του χαμού του συντρόφου της και της εμφύτευσης, προκειμένου να δοθεί στη γυναίκα ο χρόνος να πενθήσει το σύντροφό της. Αναγκαία προϋπόθεση αποτελούσε, ασφαλώς, η συναίνεση του συντρόφου ειδικά για την ολοκλήρωση του οικογενειακού προγραμματισμού του ζευγαριού μετά το θάνατό του, ενώ υπήρχε πρόβλεψη και για την καθυστέρηση της διευθέτησης των κληρονομικών ζητημάτων του θανόντος, προκειμένου να ληφθεί υπόψη και το τέκνο που ενδεχομένως να προέκυπτε</w:t>
      </w:r>
      <w:r w:rsidR="006B337E">
        <w:rPr>
          <w:rStyle w:val="FootnoteReference"/>
        </w:rPr>
        <w:footnoteReference w:id="356"/>
      </w:r>
      <w:r w:rsidR="00997A77">
        <w:t xml:space="preserve">. </w:t>
      </w:r>
    </w:p>
    <w:bookmarkEnd w:id="202"/>
    <w:p w14:paraId="618E4DB6" w14:textId="6B2B4E0F" w:rsidR="007677F2" w:rsidRDefault="00645C51" w:rsidP="00BE144E">
      <w:pPr>
        <w:rPr>
          <w:lang w:val="en-US"/>
        </w:rPr>
      </w:pPr>
      <w:r>
        <w:t xml:space="preserve">Όπως και το 2004, η Σύγκλητος είναι αυτή που για ακόμη μια φορά στάθηκε εμπόδιο στην αναγνώριση της </w:t>
      </w:r>
      <w:r w:rsidRPr="00645C51">
        <w:rPr>
          <w:i/>
          <w:lang w:val="en-US"/>
        </w:rPr>
        <w:t>post mortem</w:t>
      </w:r>
      <w:r>
        <w:t xml:space="preserve"> μεταφοράς εμβρύων και η επίμαχη διάταξη καταργήθηκε τελικά από το κείμενο του σχεδίου νόμου</w:t>
      </w:r>
      <w:r w:rsidR="00A27F81">
        <w:rPr>
          <w:rStyle w:val="FootnoteReference"/>
        </w:rPr>
        <w:footnoteReference w:id="357"/>
      </w:r>
      <w:r>
        <w:t>. Το βασικό επιχείρημα ήταν το συμφέρον του τέκνου, το οποίο πρέπει όταν γεννιέται να έχει και τους δυο γονείς του εν ζωή. Ο νομοθέτης οφείλει να μην αναπαράγει τις αδικίες της φύσης και η ηθελημένη γέννηση ενός παιδιού χωρίς πατέρα είναι αδικία</w:t>
      </w:r>
      <w:r w:rsidR="003D6968">
        <w:rPr>
          <w:rStyle w:val="FootnoteReference"/>
        </w:rPr>
        <w:footnoteReference w:id="358"/>
      </w:r>
      <w:r>
        <w:t xml:space="preserve">. Μερίδα της θεωρίας, μάλιστα, επικρότησε την κίνηση αυτή, </w:t>
      </w:r>
      <w:r>
        <w:lastRenderedPageBreak/>
        <w:t>υποστηρίζοντας ότι «η σοφία του νομοθέτη βρίσκεται εν προκειμένω στη σιωπή του»</w:t>
      </w:r>
      <w:r w:rsidR="00A27F81">
        <w:rPr>
          <w:rStyle w:val="FootnoteReference"/>
        </w:rPr>
        <w:footnoteReference w:id="359"/>
      </w:r>
      <w:r>
        <w:t xml:space="preserve">. </w:t>
      </w:r>
      <w:r w:rsidR="00AE569B">
        <w:t>Μια άλλη παράμετρο</w:t>
      </w:r>
      <w:r w:rsidR="00BA5944">
        <w:t>ς</w:t>
      </w:r>
      <w:r w:rsidR="00AE569B">
        <w:t xml:space="preserve"> εξίσου σημαντική, η οποία διαδραμάτισε καθοριστικό ρόλο στη διατήρηση του </w:t>
      </w:r>
      <w:r w:rsidR="00AE569B" w:rsidRPr="00AE569B">
        <w:rPr>
          <w:i/>
          <w:lang w:val="en-US"/>
        </w:rPr>
        <w:t>status quo</w:t>
      </w:r>
      <w:r w:rsidR="00BA5944">
        <w:rPr>
          <w:lang w:val="en-US"/>
        </w:rPr>
        <w:t>, ήταν η αναπόφευκτη ύπαρξη σειράς τεχνικών δυσκολιών – σε σχέση κυρίως και τη συγγένεια και τα κληρονομικά δικαιώματα – οι οποίες κρίθηκαν στην παρούσα φάση δυσεπίλυτες</w:t>
      </w:r>
      <w:r w:rsidR="00BA5944">
        <w:rPr>
          <w:rStyle w:val="FootnoteReference"/>
          <w:lang w:val="en-US"/>
        </w:rPr>
        <w:footnoteReference w:id="360"/>
      </w:r>
      <w:r w:rsidR="00BA5944">
        <w:rPr>
          <w:lang w:val="en-US"/>
        </w:rPr>
        <w:t xml:space="preserve">. </w:t>
      </w:r>
    </w:p>
    <w:p w14:paraId="1403AF9A" w14:textId="19653137" w:rsidR="0042484E" w:rsidRDefault="00A63D49" w:rsidP="009012AD">
      <w:r>
        <w:t xml:space="preserve">Με την επιλογή αυτή του νομοθέτη συμφωνούν οι τρεις από τις </w:t>
      </w:r>
      <w:r w:rsidR="00704F94">
        <w:t>τέσσερις</w:t>
      </w:r>
      <w:r>
        <w:t xml:space="preserve"> νομικούς-πρόσωπα αναφοράς που ερωτήθηκαν σχετικά. Πιο συγκεκριμένα, στην ερώτηση σχετικά με </w:t>
      </w:r>
      <w:r w:rsidR="0042484E">
        <w:t xml:space="preserve">το αν θα πρέπει να </w:t>
      </w:r>
      <w:r w:rsidR="00F9687B">
        <w:t>επιτραπεί</w:t>
      </w:r>
      <w:r w:rsidR="0042484E">
        <w:t xml:space="preserve"> η μεταθανάτια ιατρικά υποβοηθούμενη αναπαραγωγή, αρνητική ήταν η απάντηση των Stéphanie Millan, A</w:t>
      </w:r>
      <w:r w:rsidR="00B25E5F">
        <w:t>ude Mirkovic και Hélène Gaumont-</w:t>
      </w:r>
      <w:r w:rsidR="0042484E">
        <w:t>Prat</w:t>
      </w:r>
      <w:r w:rsidR="0042484E">
        <w:rPr>
          <w:rStyle w:val="FootnoteReference"/>
        </w:rPr>
        <w:footnoteReference w:id="361"/>
      </w:r>
      <w:r w:rsidR="0042484E">
        <w:t xml:space="preserve">. Αντίθετη γνώμη έχει η </w:t>
      </w:r>
      <w:r w:rsidR="0042484E">
        <w:rPr>
          <w:lang w:val="en-US"/>
        </w:rPr>
        <w:t>Kar</w:t>
      </w:r>
      <w:r w:rsidR="0042484E">
        <w:t>è</w:t>
      </w:r>
      <w:r w:rsidR="0042484E">
        <w:rPr>
          <w:lang w:val="en-US"/>
        </w:rPr>
        <w:t xml:space="preserve">ne Parizer, </w:t>
      </w:r>
      <w:r w:rsidR="0042484E">
        <w:t xml:space="preserve">η οποία τάσσεται υπέρ της άρσης της νομοθετικής απαγόρευσης, υπό της προϋπόθεση ωστόσο αυστηρής </w:t>
      </w:r>
      <w:r w:rsidR="009012AD">
        <w:t xml:space="preserve">οριοθέτησης της διαδικασίας. Ειδικότερα, υποστηρίζει ότι η </w:t>
      </w:r>
      <w:r w:rsidR="009012AD" w:rsidRPr="009012AD">
        <w:rPr>
          <w:i/>
          <w:lang w:val="en-US"/>
        </w:rPr>
        <w:t>post mortem</w:t>
      </w:r>
      <w:r w:rsidR="009012AD">
        <w:rPr>
          <w:lang w:val="en-US"/>
        </w:rPr>
        <w:t xml:space="preserve"> </w:t>
      </w:r>
      <w:r w:rsidR="009012AD">
        <w:t xml:space="preserve">ιατρικά υποβοηθούμενη αναπαραγωγή θα έπρεπε να επιτρέπεται από το νομοθέτη υπό τον όρο της παροχής ρητής συναίνεσης του θανόντος στην ολοκλήρωση της υποβοηθούμενης αναπαραγωγής μετά το θάνατό του, ενώ το χρονικό σημείο διενέργειάς της δε </w:t>
      </w:r>
      <w:r w:rsidR="00F9687B">
        <w:t>θα</w:t>
      </w:r>
      <w:r w:rsidR="009012AD">
        <w:t xml:space="preserve"> έπρεπε να ξεπερνά τα δύο χρόνια </w:t>
      </w:r>
      <w:r w:rsidR="004867A6">
        <w:t>μετά</w:t>
      </w:r>
      <w:r w:rsidR="009012AD">
        <w:t xml:space="preserve"> το θάνατο του συντρόφου</w:t>
      </w:r>
      <w:r w:rsidR="009012AD">
        <w:rPr>
          <w:rStyle w:val="FootnoteReference"/>
        </w:rPr>
        <w:footnoteReference w:id="362"/>
      </w:r>
      <w:r w:rsidR="009012AD">
        <w:t xml:space="preserve">. </w:t>
      </w:r>
    </w:p>
    <w:p w14:paraId="02638D7B" w14:textId="52D32FA3" w:rsidR="00281FED" w:rsidRDefault="003C52AF" w:rsidP="00F9687B">
      <w:r>
        <w:t xml:space="preserve">Υπέρ της άρσης της νομοθετικής απαγόρευσης τάσσεται και η κοινωνιολόγος </w:t>
      </w:r>
      <w:r>
        <w:rPr>
          <w:lang w:val="en-US"/>
        </w:rPr>
        <w:t>Simone Bateman</w:t>
      </w:r>
      <w:r>
        <w:t xml:space="preserve">, η οποία είναι γενικότερα </w:t>
      </w:r>
      <w:r w:rsidR="003719F2">
        <w:t>«</w:t>
      </w:r>
      <w:r>
        <w:t>κατά κάθε</w:t>
      </w:r>
      <w:r w:rsidRPr="00FD040C">
        <w:t xml:space="preserve"> γενική</w:t>
      </w:r>
      <w:r>
        <w:t>ς</w:t>
      </w:r>
      <w:r w:rsidRPr="00FD040C">
        <w:t xml:space="preserve"> και απόλυτη</w:t>
      </w:r>
      <w:r>
        <w:t>ς</w:t>
      </w:r>
      <w:r w:rsidRPr="00FD040C">
        <w:t xml:space="preserve"> απαγόρευση</w:t>
      </w:r>
      <w:r>
        <w:t>ς</w:t>
      </w:r>
      <w:r w:rsidRPr="00FD040C">
        <w:t xml:space="preserve"> να αποκτήσει κανείς παιδί.</w:t>
      </w:r>
      <w:r>
        <w:t xml:space="preserve"> </w:t>
      </w:r>
      <w:r w:rsidR="003719F2" w:rsidRPr="00FD040C">
        <w:t>Ιδίως, δε, εφόσον τα υποβοηθούμενα πρόσωπα έχουν εμπιστευθεί τους γαμέτες τους ή τα έμβρυά τους στους ιατρούς, οι οποίοι και παίρνουν τις αποφάσεις γι’ αυτούς πολύ συχνά, δεν υπάρχει λόγος να περιορίζεται το δικαίωμα αυτό</w:t>
      </w:r>
      <w:r w:rsidR="003719F2">
        <w:t xml:space="preserve">». </w:t>
      </w:r>
      <w:r>
        <w:t xml:space="preserve">Αυτό δε σημαίνει, ασφαλώς, ότι εάν επιτραπεί τελικά η </w:t>
      </w:r>
      <w:r w:rsidRPr="003C52AF">
        <w:rPr>
          <w:i/>
          <w:lang w:val="en-US"/>
        </w:rPr>
        <w:t>post mortem</w:t>
      </w:r>
      <w:r>
        <w:rPr>
          <w:lang w:val="en-US"/>
        </w:rPr>
        <w:t xml:space="preserve"> </w:t>
      </w:r>
      <w:r>
        <w:t>υποβοηθούμενη αναπαραγωγή, η διαδικασία αυτή δεν πρέπει να οριοθετηθεί. Αναγκαί</w:t>
      </w:r>
      <w:r w:rsidR="003719F2">
        <w:t>ες</w:t>
      </w:r>
      <w:r>
        <w:t xml:space="preserve"> προϋπ</w:t>
      </w:r>
      <w:r w:rsidR="003719F2">
        <w:t>οθέσεις</w:t>
      </w:r>
      <w:r>
        <w:t xml:space="preserve"> θεωρεί «</w:t>
      </w:r>
      <w:r w:rsidR="00704F94" w:rsidRPr="00FD040C">
        <w:t>ο θανών</w:t>
      </w:r>
      <w:r>
        <w:t xml:space="preserve"> να </w:t>
      </w:r>
      <w:r w:rsidR="00704F94" w:rsidRPr="00FD040C">
        <w:t>είχε συναινέσει, το γεννητικό του υλικό</w:t>
      </w:r>
      <w:r w:rsidR="003719F2">
        <w:t xml:space="preserve"> να</w:t>
      </w:r>
      <w:r w:rsidR="00704F94" w:rsidRPr="00FD040C">
        <w:t xml:space="preserve"> </w:t>
      </w:r>
      <w:r w:rsidR="003719F2">
        <w:t xml:space="preserve">είχε </w:t>
      </w:r>
      <w:r w:rsidR="00704F94" w:rsidRPr="00FD040C">
        <w:t>κρυοσυντηρηθεί για το σκοπό αυτ</w:t>
      </w:r>
      <w:r>
        <w:t>ό και, ασφαλώς, η επιζώ</w:t>
      </w:r>
      <w:r w:rsidR="00704F94" w:rsidRPr="00FD040C">
        <w:t xml:space="preserve">σα σύντροφος </w:t>
      </w:r>
      <w:r w:rsidR="003719F2">
        <w:t xml:space="preserve">να </w:t>
      </w:r>
      <w:r w:rsidR="00704F94" w:rsidRPr="00FD040C">
        <w:t>το επιθυμεί</w:t>
      </w:r>
      <w:r>
        <w:t xml:space="preserve"> και </w:t>
      </w:r>
      <w:r w:rsidR="003719F2">
        <w:t xml:space="preserve">να </w:t>
      </w:r>
      <w:r w:rsidR="00704F94" w:rsidRPr="00FD040C">
        <w:t>έχει στη διάθεσή της ένα ορισμένο χρονικό διάστημα</w:t>
      </w:r>
      <w:r>
        <w:t xml:space="preserve">, </w:t>
      </w:r>
      <w:r w:rsidRPr="00FD040C">
        <w:t>μια</w:t>
      </w:r>
      <w:r w:rsidRPr="00FD040C">
        <w:rPr>
          <w:lang w:val="fr-FR"/>
        </w:rPr>
        <w:t xml:space="preserve"> </w:t>
      </w:r>
      <w:r w:rsidRPr="00FD040C">
        <w:t>περίοδο</w:t>
      </w:r>
      <w:r w:rsidRPr="00FD040C">
        <w:rPr>
          <w:lang w:val="fr-FR"/>
        </w:rPr>
        <w:t xml:space="preserve"> </w:t>
      </w:r>
      <w:r w:rsidRPr="00FD040C">
        <w:t>περισυλλογής</w:t>
      </w:r>
      <w:r w:rsidR="003719F2">
        <w:rPr>
          <w:lang w:val="fr-FR"/>
        </w:rPr>
        <w:t xml:space="preserve"> εώς το πολύ δύο έτη</w:t>
      </w:r>
      <w:r>
        <w:rPr>
          <w:lang w:val="fr-FR"/>
        </w:rPr>
        <w:t>, προκειμένου να πενθήσει το σύντροφό της</w:t>
      </w:r>
      <w:r>
        <w:t>»</w:t>
      </w:r>
      <w:r w:rsidR="00704F94" w:rsidRPr="00FD040C">
        <w:t>.</w:t>
      </w:r>
      <w:r>
        <w:t xml:space="preserve"> Αντίθετα, στην περίπτωση ενός αυτοκινητιστικού ατυχήματος</w:t>
      </w:r>
      <w:r w:rsidR="00704F94" w:rsidRPr="00FD040C">
        <w:t>,</w:t>
      </w:r>
      <w:r>
        <w:t xml:space="preserve"> όπου ο θάνατος του συντρόφου θα ήταν αιφνίδιος, γεγονός που σημαίνει ότι δε θα είχε προλάβει να δώσει τη συναίνεσή του ειδικά για τη διενέργεια μεταθανάτιας υποβοηθούμενης αναπαραγωγής, η </w:t>
      </w:r>
      <w:r>
        <w:rPr>
          <w:lang w:val="en-US"/>
        </w:rPr>
        <w:t xml:space="preserve">Simone Bateman υποστηρίζει ότι αλλάζουν τα δεδομένα και, επομένως, ο όρος της συνάινεσης δεν πληρούται. </w:t>
      </w:r>
      <w:r w:rsidR="003A079D">
        <w:rPr>
          <w:lang w:val="en-US"/>
        </w:rPr>
        <w:t xml:space="preserve">Επίσης, </w:t>
      </w:r>
      <w:r w:rsidR="00F9687B">
        <w:t xml:space="preserve">τα δεδομένα </w:t>
      </w:r>
      <w:r w:rsidR="003A079D">
        <w:t xml:space="preserve">αλλάζουν και </w:t>
      </w:r>
      <w:r w:rsidR="003A079D">
        <w:lastRenderedPageBreak/>
        <w:t xml:space="preserve">όταν </w:t>
      </w:r>
      <w:r w:rsidR="003A079D" w:rsidRPr="00FD040C">
        <w:t>υπάρχει ρητή αντίθεση του συντρόφου στη μεταθανάτια αναπαραγωγή (είτε είναι γονιμοποίηση, είτε εμβρυομεταφορά)</w:t>
      </w:r>
      <w:r w:rsidR="00090A62">
        <w:rPr>
          <w:rStyle w:val="FootnoteReference"/>
        </w:rPr>
        <w:footnoteReference w:id="363"/>
      </w:r>
      <w:r w:rsidR="003A079D" w:rsidRPr="00FD040C">
        <w:t>.</w:t>
      </w:r>
    </w:p>
    <w:p w14:paraId="09311BA1" w14:textId="77777777" w:rsidR="00A21F6F" w:rsidRDefault="001E3B43" w:rsidP="00A21F6F">
      <w:r>
        <w:t>Τέλος, και οι τρεις ιατροί-πρόσωπα αναφοράς που ερωτήθηκαν σχετικά στάθηκαν στη ρητή νομοθετική απαγόρευση</w:t>
      </w:r>
      <w:r w:rsidR="003867B4">
        <w:t xml:space="preserve"> στη γαλλική έννομη τάξη, αναγνωρίζοντας ωστόσο ότι είχε τύχει παρόλα αυτά να τους ζητηθεί να προχωρήσουν σε μεταθανάτια ιατρικά υποβοηθούμενης αναπαραγωγή</w:t>
      </w:r>
      <w:r w:rsidR="003867B4">
        <w:rPr>
          <w:rStyle w:val="FootnoteReference"/>
        </w:rPr>
        <w:footnoteReference w:id="364"/>
      </w:r>
      <w:r w:rsidR="00A21F6F">
        <w:t>.</w:t>
      </w:r>
    </w:p>
    <w:p w14:paraId="2353B611" w14:textId="709B30E5" w:rsidR="00594DBA" w:rsidRPr="006C12D2" w:rsidRDefault="00A21F6F" w:rsidP="00A21F6F">
      <w:r>
        <w:t>Μάλιστα, ιδιαίτερο ενδιαφέρον παρουσιάζει η παρατήρηση του Jean-Francois Guerin, Καθηγητή της Ιατρικής Σχολής του Παν/μίου της Λυών και Πρόεδρο της Επιτροπής Ηθικής της Γαλλικής Ομοσπονδίας των Κέντρων Μελέτης και Συντήρησης Ανθρωπίνων Ωαρίων και Σπέρματος (</w:t>
      </w:r>
      <w:r>
        <w:rPr>
          <w:i/>
        </w:rPr>
        <w:t>CECOS</w:t>
      </w:r>
      <w:r>
        <w:t xml:space="preserve">), ο οποίος αναφέρει το </w:t>
      </w:r>
      <w:r w:rsidRPr="006C12D2">
        <w:t>χαρακτηριστικό παράδειγμα του καρκινοπαθούς άνδρα που κρυοσυντηρεί το σπέρμα του σε περίοδο ύφεσης της ασθένειας, ενώ γνωρίζει ότι σύντομα θα γίνει μετάσταση του καρκίνου και θα αποβιώσει</w:t>
      </w:r>
      <w:r>
        <w:t xml:space="preserve">. Η περίπτωση αυτή, κατά τη γνώμη του Καθηγητή, θέτει πολλούς και σοβαρούς προβληματισμούς </w:t>
      </w:r>
      <w:r w:rsidRPr="006C12D2">
        <w:t>ηθικής και δεοντολογίας</w:t>
      </w:r>
      <w:r>
        <w:t>, καθώς «</w:t>
      </w:r>
      <w:r w:rsidR="00005A4A">
        <w:t xml:space="preserve"> δεν πρόκειται για </w:t>
      </w:r>
      <w:r w:rsidR="00005A4A" w:rsidRPr="00A21F6F">
        <w:rPr>
          <w:i/>
        </w:rPr>
        <w:t xml:space="preserve">post </w:t>
      </w:r>
      <w:r w:rsidR="00594DBA" w:rsidRPr="00A21F6F">
        <w:rPr>
          <w:i/>
        </w:rPr>
        <w:t>mo</w:t>
      </w:r>
      <w:r w:rsidR="00005A4A" w:rsidRPr="00A21F6F">
        <w:rPr>
          <w:i/>
        </w:rPr>
        <w:t>rtem</w:t>
      </w:r>
      <w:r>
        <w:t xml:space="preserve"> (μεταθανάτια) αλλά για </w:t>
      </w:r>
      <w:r w:rsidRPr="00A21F6F">
        <w:rPr>
          <w:i/>
        </w:rPr>
        <w:t>pre</w:t>
      </w:r>
      <w:r>
        <w:rPr>
          <w:i/>
        </w:rPr>
        <w:t xml:space="preserve"> </w:t>
      </w:r>
      <w:r w:rsidR="00005A4A" w:rsidRPr="00A21F6F">
        <w:rPr>
          <w:i/>
        </w:rPr>
        <w:t>mortem</w:t>
      </w:r>
      <w:r w:rsidR="00005A4A">
        <w:t xml:space="preserve"> (προθανάτια) αναπαραγωγή και ε</w:t>
      </w:r>
      <w:r w:rsidR="00594DBA" w:rsidRPr="006C12D2">
        <w:t xml:space="preserve">ίναι πολύ δύσκολη </w:t>
      </w:r>
      <w:r w:rsidR="00005A4A">
        <w:t xml:space="preserve">η </w:t>
      </w:r>
      <w:r w:rsidR="00594DBA" w:rsidRPr="006C12D2">
        <w:t>απόφαση για τον ιατρό</w:t>
      </w:r>
      <w:r>
        <w:t>»</w:t>
      </w:r>
      <w:r w:rsidR="00FF5ABA">
        <w:rPr>
          <w:rStyle w:val="FootnoteReference"/>
        </w:rPr>
        <w:footnoteReference w:id="365"/>
      </w:r>
      <w:r w:rsidR="00594DBA" w:rsidRPr="006C12D2">
        <w:t>.</w:t>
      </w:r>
    </w:p>
    <w:p w14:paraId="19564CC9" w14:textId="786D93F8" w:rsidR="00BC20E7" w:rsidRDefault="00C7477C" w:rsidP="00C7477C">
      <w:pPr>
        <w:pStyle w:val="Heading3"/>
      </w:pPr>
      <w:bookmarkStart w:id="203" w:name="_Toc276574439"/>
      <w:r>
        <w:t>β. Μη συμμόρφωση με τις νομοθετικές προσταγές</w:t>
      </w:r>
      <w:bookmarkEnd w:id="203"/>
      <w:r>
        <w:t xml:space="preserve"> </w:t>
      </w:r>
    </w:p>
    <w:p w14:paraId="36716915" w14:textId="69275CA6" w:rsidR="00E95E2C" w:rsidRDefault="00E95E2C" w:rsidP="00E95E2C">
      <w:r>
        <w:t xml:space="preserve">Σε περίπτωση παραβίασης της νομοθετικής απαγόρευσης της διενέργειας μεταθανάτιας ιατρικά υποβοηθούμενης αναπαραγωγής, οι έννομες συνέπειες που </w:t>
      </w:r>
      <w:r w:rsidR="007B41EB">
        <w:t>δημιουργούνται</w:t>
      </w:r>
      <w:r>
        <w:t xml:space="preserve"> αφορούν τό</w:t>
      </w:r>
      <w:r w:rsidR="00500AAB">
        <w:t xml:space="preserve">σο στον ιατρό και την ομάδα του, </w:t>
      </w:r>
      <w:r>
        <w:t>που ευθύνονται για τη λήψη απόφασης και τη διενέργεια της ιατρικής υποβοηήθησης στην αναπαραγωγή, όσο και στην ίδια τη γυναίκα, η οποία έφερε σε πέρας τον οικογενειακό προγραμματισμό του ζευγαριού με</w:t>
      </w:r>
      <w:r w:rsidR="007B41EB">
        <w:t xml:space="preserve">τά το θάνατο του συντρόφου της, καθώς επίσης και το τέκνο που θα γεννηθεί. </w:t>
      </w:r>
    </w:p>
    <w:p w14:paraId="19DE9411" w14:textId="2180FA4C" w:rsidR="00E95E2C" w:rsidRDefault="00E95E2C" w:rsidP="00E95E2C">
      <w:r>
        <w:t xml:space="preserve">Οι συνέπειες αυτές είναι διοικητικής, ποινικής </w:t>
      </w:r>
      <w:r w:rsidR="00FB6484">
        <w:t xml:space="preserve"> και αστικής </w:t>
      </w:r>
      <w:r>
        <w:t xml:space="preserve">φύσης. </w:t>
      </w:r>
    </w:p>
    <w:p w14:paraId="0AE303F4" w14:textId="77777777" w:rsidR="00E95E2C" w:rsidRDefault="00E95E2C" w:rsidP="00E95E2C">
      <w:pPr>
        <w:pStyle w:val="Heading6"/>
      </w:pPr>
      <w:r w:rsidRPr="000A518C">
        <w:t>Συνέπειες διοικητικής φύσης:</w:t>
      </w:r>
    </w:p>
    <w:p w14:paraId="09D92288" w14:textId="77777777" w:rsidR="00500AAB" w:rsidRPr="008C6961" w:rsidRDefault="00500AAB" w:rsidP="00500AAB">
      <w:r w:rsidRPr="00EE4056">
        <w:t>Όπως έχει ήδη σημειωθεί</w:t>
      </w:r>
      <w:r>
        <w:t xml:space="preserve"> κατ’ επανάληψη πιο πάνω</w:t>
      </w:r>
      <w:r>
        <w:rPr>
          <w:rStyle w:val="FootnoteReference"/>
        </w:rPr>
        <w:footnoteReference w:id="366"/>
      </w:r>
      <w:r>
        <w:t>, το</w:t>
      </w:r>
      <w:r w:rsidRPr="00580B29">
        <w:t xml:space="preserve"> άρθρο </w:t>
      </w:r>
      <w:r w:rsidRPr="00580B29">
        <w:rPr>
          <w:b/>
          <w:lang w:val="en-US"/>
        </w:rPr>
        <w:t>L</w:t>
      </w:r>
      <w:r w:rsidRPr="00580B29">
        <w:rPr>
          <w:b/>
        </w:rPr>
        <w:t xml:space="preserve">. 6241-1 </w:t>
      </w:r>
      <w:r>
        <w:rPr>
          <w:b/>
        </w:rPr>
        <w:t xml:space="preserve">ΚΔΥ </w:t>
      </w:r>
      <w:r>
        <w:t>προβλέπει</w:t>
      </w:r>
      <w:r w:rsidRPr="00580B29">
        <w:t xml:space="preserve"> 23 </w:t>
      </w:r>
      <w:r>
        <w:t>διαφορετικές</w:t>
      </w:r>
      <w:r w:rsidRPr="00580B29">
        <w:t xml:space="preserve"> </w:t>
      </w:r>
      <w:r>
        <w:t>περιπτώσεις, κατά τις</w:t>
      </w:r>
      <w:r w:rsidRPr="00580B29">
        <w:t xml:space="preserve"> </w:t>
      </w:r>
      <w:r>
        <w:t>οποίες</w:t>
      </w:r>
      <w:r w:rsidRPr="00580B29">
        <w:t xml:space="preserve"> </w:t>
      </w:r>
      <w:r w:rsidRPr="00F77D85">
        <w:t xml:space="preserve">ο </w:t>
      </w:r>
      <w:r>
        <w:t>Γενικός Διευθυντής</w:t>
      </w:r>
      <w:r w:rsidRPr="00F77D85">
        <w:t xml:space="preserve"> του Περιφερειακού Οργανισμού Υγείας (</w:t>
      </w:r>
      <w:r w:rsidRPr="00F77D85">
        <w:rPr>
          <w:lang w:val="en-US"/>
        </w:rPr>
        <w:t>ARS</w:t>
      </w:r>
      <w:r w:rsidRPr="00F77D85">
        <w:t>)</w:t>
      </w:r>
      <w:r>
        <w:t xml:space="preserve"> δύναται να επιβάλει κύρωση διοικητικής</w:t>
      </w:r>
      <w:r w:rsidRPr="00580B29">
        <w:t xml:space="preserve"> </w:t>
      </w:r>
      <w:r>
        <w:t>φύσης</w:t>
      </w:r>
      <w:r w:rsidRPr="00580B29">
        <w:t xml:space="preserve"> </w:t>
      </w:r>
      <w:r>
        <w:t>στα</w:t>
      </w:r>
      <w:r w:rsidRPr="00580B29">
        <w:t xml:space="preserve"> </w:t>
      </w:r>
      <w:r>
        <w:t>κέντρα</w:t>
      </w:r>
      <w:r w:rsidRPr="00580B29">
        <w:t xml:space="preserve"> </w:t>
      </w:r>
      <w:r>
        <w:t>ιατρικά</w:t>
      </w:r>
      <w:r w:rsidRPr="00580B29">
        <w:t xml:space="preserve"> </w:t>
      </w:r>
      <w:r>
        <w:t>υποβοηθούμενης</w:t>
      </w:r>
      <w:r w:rsidRPr="00580B29">
        <w:t xml:space="preserve"> </w:t>
      </w:r>
      <w:r>
        <w:t>αναπαραγωγής</w:t>
      </w:r>
      <w:r w:rsidRPr="00580B29">
        <w:t xml:space="preserve"> </w:t>
      </w:r>
      <w:r>
        <w:t>και</w:t>
      </w:r>
      <w:r w:rsidRPr="00580B29">
        <w:t xml:space="preserve"> </w:t>
      </w:r>
      <w:r>
        <w:t>τα</w:t>
      </w:r>
      <w:r w:rsidRPr="00580B29">
        <w:t xml:space="preserve"> </w:t>
      </w:r>
      <w:r>
        <w:t>βιολογικά</w:t>
      </w:r>
      <w:r w:rsidRPr="00580B29">
        <w:t xml:space="preserve"> </w:t>
      </w:r>
      <w:r>
        <w:t>τους</w:t>
      </w:r>
      <w:r w:rsidRPr="00580B29">
        <w:t xml:space="preserve"> </w:t>
      </w:r>
      <w:r>
        <w:t>εργαστήρια</w:t>
      </w:r>
      <w:r w:rsidRPr="00580B29">
        <w:t xml:space="preserve">. </w:t>
      </w:r>
      <w:r>
        <w:t>Οι περιπτώσεις αυτές αφορούν σε διάφορους χειρισμούς των ανωτέρω κέντρων ή εργαστηρίων</w:t>
      </w:r>
      <w:r w:rsidRPr="008C725C">
        <w:t xml:space="preserve"> </w:t>
      </w:r>
      <w:r>
        <w:t xml:space="preserve">που παραβιάζουν την ισχύουσα νομοθεσία, όπως είναι, ενδεικτικά, η διενέργεια εξετάσεων </w:t>
      </w:r>
      <w:r>
        <w:lastRenderedPageBreak/>
        <w:t xml:space="preserve">(όπως π.χ. η </w:t>
      </w:r>
      <w:r w:rsidRPr="00452EB8">
        <w:t>προγεννητική διάγνωση) χωρίς την ειδικά προβλεπόμενη έγκριση ή η διενέργεια εξετάσεων χωρίς τον απαιτούμενο από το νόμο έλεγχο της ποιότητας των αποτελεσμάτων τους. Παράλλη</w:t>
      </w:r>
      <w:r>
        <w:t>λα</w:t>
      </w:r>
      <w:r w:rsidRPr="00452EB8">
        <w:t xml:space="preserve">, το αμέσως επόμενο άρθρο </w:t>
      </w:r>
      <w:r w:rsidRPr="00452EB8">
        <w:rPr>
          <w:b/>
          <w:lang w:val="en-US"/>
        </w:rPr>
        <w:t>L</w:t>
      </w:r>
      <w:r w:rsidRPr="00452EB8">
        <w:rPr>
          <w:b/>
        </w:rPr>
        <w:t>. 6241-2 ΚΔΥ</w:t>
      </w:r>
      <w:r w:rsidRPr="00452EB8">
        <w:t xml:space="preserve">, έρχεται να ρυθμίσει τις κυρώσεις που επιβάλλονται στους υπεύθυνους επαγγελματίες υγείας για τις «παραβατικές» σύμφωνα με τα </w:t>
      </w:r>
      <w:r w:rsidRPr="008C6961">
        <w:t xml:space="preserve">ανωτέρω συμπεριφορές. </w:t>
      </w:r>
    </w:p>
    <w:p w14:paraId="6D5F001A" w14:textId="77777777" w:rsidR="007467E6" w:rsidRPr="00C51393" w:rsidRDefault="007467E6" w:rsidP="00FB6484">
      <w:pPr>
        <w:pStyle w:val="Heading6"/>
      </w:pPr>
      <w:r w:rsidRPr="00C51393">
        <w:t>Συνέπειες ποινικής φύσης:</w:t>
      </w:r>
    </w:p>
    <w:p w14:paraId="7093C713" w14:textId="77777777" w:rsidR="007467E6" w:rsidRPr="00C51393" w:rsidRDefault="007467E6" w:rsidP="007467E6">
      <w:r w:rsidRPr="00C51393">
        <w:t xml:space="preserve">Σύμφωνα με τις διατάξεις του άρθρου </w:t>
      </w:r>
      <w:r w:rsidRPr="00C51393">
        <w:rPr>
          <w:b/>
          <w:lang w:val="fr-FR"/>
        </w:rPr>
        <w:t>L</w:t>
      </w:r>
      <w:r w:rsidRPr="00C51393">
        <w:rPr>
          <w:b/>
        </w:rPr>
        <w:t>. 2162-5 ΚΔΥ</w:t>
      </w:r>
      <w:r w:rsidRPr="00C51393">
        <w:t xml:space="preserve">, οι οποίες παραπέμπουν στο άρθρο </w:t>
      </w:r>
      <w:r>
        <w:t>511-24 ΠΚ</w:t>
      </w:r>
      <w:r w:rsidRPr="00C51393">
        <w:t>, «</w:t>
      </w:r>
      <w:r w:rsidRPr="00C51393">
        <w:rPr>
          <w:i/>
        </w:rPr>
        <w:t xml:space="preserve">η διενέργεια δραστηριοτήτων ιατρικά υποβοηθούμενης αναπαραγωγής για σκοπούς άλλους από εκείνους που προβλέπονται στο άρθρο </w:t>
      </w:r>
      <w:r w:rsidRPr="00C51393">
        <w:rPr>
          <w:i/>
          <w:lang w:val="fr-FR"/>
        </w:rPr>
        <w:t>L</w:t>
      </w:r>
      <w:r w:rsidRPr="00C51393">
        <w:rPr>
          <w:i/>
        </w:rPr>
        <w:t>. 2141-2 ΚΔΥ τιμωρείται με ποινή φυλάκισης πέντε (5) ετών και με χρηματική ποινή 75.000 ευρώ</w:t>
      </w:r>
      <w:r w:rsidRPr="00C51393">
        <w:t xml:space="preserve">». </w:t>
      </w:r>
    </w:p>
    <w:p w14:paraId="155A80EB" w14:textId="77777777" w:rsidR="007467E6" w:rsidRPr="00FC106A" w:rsidRDefault="007467E6" w:rsidP="007467E6">
      <w:pPr>
        <w:rPr>
          <w:rFonts w:eastAsia="Calibri"/>
          <w:lang w:eastAsia="en-US"/>
        </w:rPr>
      </w:pPr>
      <w:r>
        <w:rPr>
          <w:rFonts w:eastAsia="Calibri"/>
          <w:lang w:eastAsia="en-US"/>
        </w:rPr>
        <w:t>Το ότι και τα δύο υποβοηθούμενα πρόσωπα πρέπει να είναι εν ζωή</w:t>
      </w:r>
      <w:r w:rsidRPr="00795636">
        <w:rPr>
          <w:rFonts w:eastAsia="Calibri"/>
          <w:lang w:eastAsia="en-US"/>
        </w:rPr>
        <w:t xml:space="preserve"> είναι μία από τις γενικές προϋποθέσεις εφαρμογής που θέτει το άρθρο </w:t>
      </w:r>
      <w:r w:rsidRPr="00795636">
        <w:rPr>
          <w:rFonts w:eastAsia="Calibri"/>
          <w:lang w:val="fr-FR" w:eastAsia="en-US"/>
        </w:rPr>
        <w:t>L</w:t>
      </w:r>
      <w:r w:rsidRPr="00795636">
        <w:rPr>
          <w:rFonts w:eastAsia="Calibri"/>
          <w:lang w:eastAsia="en-US"/>
        </w:rPr>
        <w:t xml:space="preserve">. 2141-2 </w:t>
      </w:r>
      <w:r>
        <w:rPr>
          <w:rFonts w:eastAsia="Calibri"/>
          <w:lang w:eastAsia="en-US"/>
        </w:rPr>
        <w:t>ΚΔΥ</w:t>
      </w:r>
      <w:r w:rsidRPr="00795636">
        <w:rPr>
          <w:rFonts w:eastAsia="Calibri"/>
          <w:lang w:eastAsia="en-US"/>
        </w:rPr>
        <w:t xml:space="preserve">, άρα κάθε </w:t>
      </w:r>
      <w:r>
        <w:rPr>
          <w:rFonts w:eastAsia="Calibri"/>
          <w:lang w:eastAsia="en-US"/>
        </w:rPr>
        <w:t xml:space="preserve">σχετική </w:t>
      </w:r>
      <w:r w:rsidRPr="00795636">
        <w:rPr>
          <w:rFonts w:eastAsia="Calibri"/>
          <w:lang w:eastAsia="en-US"/>
        </w:rPr>
        <w:t xml:space="preserve">παραβίαση εμπίπτει στην απαγόρευση του άρθρου 511-24 ΠΚ. </w:t>
      </w:r>
    </w:p>
    <w:p w14:paraId="218AB004" w14:textId="3444682E" w:rsidR="00BC20E7" w:rsidRDefault="007467E6" w:rsidP="00847E4A">
      <w:r w:rsidRPr="001D59D2">
        <w:t xml:space="preserve">Επίσης, </w:t>
      </w:r>
      <w:r>
        <w:t>υπενθυμίζεται</w:t>
      </w:r>
      <w:r w:rsidRPr="001D59D2">
        <w:t xml:space="preserve"> ότι στις περιπτώσεις των ποινικών κυρώσεων που προβλέπονται στον </w:t>
      </w:r>
      <w:r w:rsidRPr="001D59D2">
        <w:rPr>
          <w:b/>
        </w:rPr>
        <w:t xml:space="preserve">Τίτλο </w:t>
      </w:r>
      <w:r w:rsidRPr="001D59D2">
        <w:rPr>
          <w:b/>
          <w:lang w:val="fr-FR"/>
        </w:rPr>
        <w:t>VI</w:t>
      </w:r>
      <w:r w:rsidRPr="001D59D2">
        <w:rPr>
          <w:b/>
        </w:rPr>
        <w:t xml:space="preserve"> (Ποινικές Διατάξεις)</w:t>
      </w:r>
      <w:r w:rsidRPr="001D59D2">
        <w:t xml:space="preserve"> του Βιβλίου Ι του Δευτέρου Μέρους του Κώδικα Δημόσιας Υγείας (άρθρα </w:t>
      </w:r>
      <w:r w:rsidRPr="001D59D2">
        <w:rPr>
          <w:lang w:val="fr-FR"/>
        </w:rPr>
        <w:t>L</w:t>
      </w:r>
      <w:r w:rsidRPr="001D59D2">
        <w:t xml:space="preserve">. 2161-1 έως </w:t>
      </w:r>
      <w:r w:rsidRPr="001D59D2">
        <w:rPr>
          <w:lang w:val="fr-FR"/>
        </w:rPr>
        <w:t>L</w:t>
      </w:r>
      <w:r w:rsidRPr="001D59D2">
        <w:t xml:space="preserve">. 2164-2), μεταξύ των οποίων συγκαταλέγεται και η περίπτωση του άρθρου </w:t>
      </w:r>
      <w:r w:rsidRPr="001D59D2">
        <w:rPr>
          <w:lang w:val="fr-FR"/>
        </w:rPr>
        <w:t>L</w:t>
      </w:r>
      <w:r w:rsidRPr="001D59D2">
        <w:t xml:space="preserve">. 2162-5 [διενέργεια δραστηριοτήτων ιατρικά υποβοηθούμενης αναπαραγωγής για σκοπούς άλλους από εκείνους που ορίζει ο νομοθέτης], εφαρμόζονται τα άρθρα </w:t>
      </w:r>
      <w:r w:rsidRPr="001D59D2">
        <w:rPr>
          <w:b/>
          <w:lang w:val="fr-FR"/>
        </w:rPr>
        <w:t>L</w:t>
      </w:r>
      <w:r w:rsidRPr="001D59D2">
        <w:rPr>
          <w:b/>
        </w:rPr>
        <w:t xml:space="preserve">. 2164-1 και </w:t>
      </w:r>
      <w:r w:rsidRPr="001D59D2">
        <w:rPr>
          <w:b/>
          <w:lang w:val="fr-FR"/>
        </w:rPr>
        <w:t>L</w:t>
      </w:r>
      <w:r w:rsidRPr="001D59D2">
        <w:rPr>
          <w:b/>
        </w:rPr>
        <w:t>. 2164-2,</w:t>
      </w:r>
      <w:r w:rsidRPr="001D59D2">
        <w:t xml:space="preserve"> τα οποία προβλέπουν συμπληρωματικές ποινές ειδικά για τα φυσικά ή νομικά πρόσωπα που τέλεσαν τις ανωτέρω αξιόποινες πράξεις</w:t>
      </w:r>
      <w:r>
        <w:rPr>
          <w:rStyle w:val="FootnoteReference"/>
        </w:rPr>
        <w:footnoteReference w:id="367"/>
      </w:r>
      <w:r>
        <w:t>.</w:t>
      </w:r>
    </w:p>
    <w:p w14:paraId="6CBF98AF" w14:textId="77777777" w:rsidR="0063219F" w:rsidRPr="007C119A" w:rsidRDefault="0063219F" w:rsidP="0063219F">
      <w:pPr>
        <w:pStyle w:val="Heading6"/>
      </w:pPr>
      <w:r w:rsidRPr="007C119A">
        <w:t>Συνέπειες αστικής φύσης:</w:t>
      </w:r>
    </w:p>
    <w:p w14:paraId="02234814" w14:textId="77777777" w:rsidR="0022597F" w:rsidRDefault="0063219F" w:rsidP="0022597F">
      <w:pPr>
        <w:rPr>
          <w:rFonts w:eastAsia="Calibri"/>
          <w:lang w:eastAsia="en-US"/>
        </w:rPr>
      </w:pPr>
      <w:r w:rsidRPr="007C119A">
        <w:rPr>
          <w:rFonts w:eastAsia="Calibri"/>
          <w:lang w:eastAsia="en-US"/>
        </w:rPr>
        <w:t>Η εφαρμογή μεθόδων ιατρικά υποβ</w:t>
      </w:r>
      <w:r w:rsidR="00154A64">
        <w:rPr>
          <w:rFonts w:eastAsia="Calibri"/>
          <w:lang w:eastAsia="en-US"/>
        </w:rPr>
        <w:t xml:space="preserve">οηθούμενης αναπαραγωγής εγείρει, όπως έχει επισημανθεί πιο πάνω, </w:t>
      </w:r>
      <w:r>
        <w:rPr>
          <w:rFonts w:eastAsia="Calibri"/>
          <w:lang w:eastAsia="en-US"/>
        </w:rPr>
        <w:t xml:space="preserve">προβληματισμούς σχετικούς με ευαίσθητα ζητήματα που αφορούν στη θέση του τέκνου που θα γεννηθεί και τους συγγενικούς δεσμούς που το ενώνουν με τους γεννήτορές του. </w:t>
      </w:r>
      <w:r w:rsidR="00154A64">
        <w:rPr>
          <w:rFonts w:eastAsia="Calibri"/>
          <w:lang w:eastAsia="en-US"/>
        </w:rPr>
        <w:t xml:space="preserve">Εν προκειμένω, εάν η μητέρα προβεί σε μεταθανάτια ιατρικά υποβοηθούμενη αναπαραγωγή παρά τη ρητή νομοθετική απαγόρευση, η πατρότητα του τέκνου βρίσκεται μετέωρη. </w:t>
      </w:r>
    </w:p>
    <w:p w14:paraId="425B7666" w14:textId="2362CDF5" w:rsidR="00701071" w:rsidRDefault="0022597F" w:rsidP="00F11C04">
      <w:pPr>
        <w:rPr>
          <w:rStyle w:val="hps"/>
        </w:rPr>
      </w:pPr>
      <w:r>
        <w:rPr>
          <w:rFonts w:eastAsia="Calibri"/>
          <w:lang w:eastAsia="en-US"/>
        </w:rPr>
        <w:t xml:space="preserve">Ουσιαστικά, η περίπτωση αυτή εξισώνεται με την </w:t>
      </w:r>
      <w:r w:rsidR="00DC4089">
        <w:rPr>
          <w:rFonts w:eastAsia="Calibri"/>
          <w:lang w:eastAsia="en-US"/>
        </w:rPr>
        <w:t>περίπτωση ακυρότητας</w:t>
      </w:r>
      <w:r w:rsidR="0063219F">
        <w:rPr>
          <w:rFonts w:eastAsia="Calibri"/>
          <w:lang w:eastAsia="en-US"/>
        </w:rPr>
        <w:t xml:space="preserve"> της συναίνεσης</w:t>
      </w:r>
      <w:r>
        <w:rPr>
          <w:rFonts w:eastAsia="Calibri"/>
          <w:lang w:eastAsia="en-US"/>
        </w:rPr>
        <w:t>, καθώς ο θάνατος ενός εκ των δύο υποβοηθούμενων προσώπων αποτελεί λόγο ακυρότητας της συναίνεσης</w:t>
      </w:r>
      <w:r w:rsidR="00DC4089">
        <w:rPr>
          <w:rStyle w:val="FootnoteReference"/>
          <w:rFonts w:eastAsia="Calibri"/>
          <w:lang w:eastAsia="en-US"/>
        </w:rPr>
        <w:footnoteReference w:id="368"/>
      </w:r>
      <w:r>
        <w:rPr>
          <w:rFonts w:eastAsia="Calibri"/>
          <w:lang w:eastAsia="en-US"/>
        </w:rPr>
        <w:t xml:space="preserve">. Υπενθυμίζεται, άλλωστε, ότι σύμφωνα με το </w:t>
      </w:r>
      <w:r>
        <w:t xml:space="preserve">άρθρο </w:t>
      </w:r>
      <w:r w:rsidRPr="00E30A79">
        <w:t>L.2141-2,</w:t>
      </w:r>
      <w:r>
        <w:t xml:space="preserve"> παρ. 2, ΚΔΥ </w:t>
      </w:r>
      <w:r w:rsidRPr="00E30A79">
        <w:t>«</w:t>
      </w:r>
      <w:r>
        <w:rPr>
          <w:i/>
        </w:rPr>
        <w:t xml:space="preserve">τη γονιμοποίηση ή τη μεταφορά των εμβρύων αποκλείουν ο θάνατος ενός εκ των δύο προσώπων του υποβοηθούμενου ζευγαριού, </w:t>
      </w:r>
      <w:r w:rsidRPr="006D731A">
        <w:rPr>
          <w:i/>
        </w:rPr>
        <w:t>η κατάθεση αγωγής διαζυγίου ή διάσταση</w:t>
      </w:r>
      <w:r>
        <w:rPr>
          <w:i/>
        </w:rPr>
        <w:t>ς</w:t>
      </w:r>
      <w:r w:rsidRPr="006D731A">
        <w:rPr>
          <w:i/>
        </w:rPr>
        <w:t xml:space="preserve"> του ζευγαριού ή η διακοπή του κοινού τους βίου».</w:t>
      </w:r>
      <w:r>
        <w:rPr>
          <w:rFonts w:eastAsia="Calibri"/>
          <w:lang w:eastAsia="en-US"/>
        </w:rPr>
        <w:t xml:space="preserve"> </w:t>
      </w:r>
      <w:r w:rsidR="0063219F">
        <w:rPr>
          <w:rStyle w:val="hps"/>
        </w:rPr>
        <w:t xml:space="preserve">Η λύση αυτή ερείδεται στη βούληση του νομοθέτη να μην επιβάλει την πατρότητα σε πρόσωπα τα οποία, ανακαλώντας </w:t>
      </w:r>
      <w:r w:rsidR="0063219F">
        <w:rPr>
          <w:rStyle w:val="hps"/>
        </w:rPr>
        <w:lastRenderedPageBreak/>
        <w:t xml:space="preserve">τη συναίνεσή τους, εξέφρασαν ρητά την αντίθεσή τους στην εν λόγω αναπαραγωγή ή σε πρόσωπα που βρίσκονται σε διάσταση ή εν μέσω διαδικασίας διαζυγίου. </w:t>
      </w:r>
      <w:r w:rsidR="00DC50EC">
        <w:t xml:space="preserve">Η απόφαση του Πολυμελούς Πρωτοδικείου της </w:t>
      </w:r>
      <w:r w:rsidR="00DC50EC">
        <w:rPr>
          <w:lang w:val="en-US"/>
        </w:rPr>
        <w:t>Angers</w:t>
      </w:r>
      <w:r w:rsidR="00DC50EC">
        <w:rPr>
          <w:rStyle w:val="FootnoteReference"/>
        </w:rPr>
        <w:footnoteReference w:id="369"/>
      </w:r>
      <w:r w:rsidR="00DC50EC">
        <w:rPr>
          <w:lang w:val="en-US"/>
        </w:rPr>
        <w:t xml:space="preserve">, </w:t>
      </w:r>
      <w:r w:rsidR="00DC50EC">
        <w:t xml:space="preserve">με την οποία αναγνωρίστηκε </w:t>
      </w:r>
      <w:r w:rsidR="003A12A5">
        <w:t xml:space="preserve">τελικά </w:t>
      </w:r>
      <w:r w:rsidR="00DC50EC">
        <w:t>η</w:t>
      </w:r>
      <w:r w:rsidR="00701071">
        <w:t xml:space="preserve"> πατρότητα τέκνου που γεννήθηκε με </w:t>
      </w:r>
      <w:r w:rsidR="00701071" w:rsidRPr="003374B6">
        <w:rPr>
          <w:i/>
          <w:lang w:val="en-US"/>
        </w:rPr>
        <w:t>post</w:t>
      </w:r>
      <w:r w:rsidR="00701071">
        <w:rPr>
          <w:i/>
        </w:rPr>
        <w:t xml:space="preserve"> </w:t>
      </w:r>
      <w:r w:rsidR="00701071" w:rsidRPr="003374B6">
        <w:rPr>
          <w:i/>
          <w:lang w:val="en-US"/>
        </w:rPr>
        <w:t>mortem</w:t>
      </w:r>
      <w:r w:rsidR="00701071" w:rsidRPr="003374B6">
        <w:t xml:space="preserve"> </w:t>
      </w:r>
      <w:r w:rsidR="00701071">
        <w:t>εμβρυομεταφορά δύο χρόνια μετά το θάνατο του πατέρα του</w:t>
      </w:r>
      <w:r w:rsidR="00DC50EC">
        <w:t>, χωρίς να ληφθεί υπόψη η απουσία της ρητής συναίνεσης του θανόντος, δε μπορεί να συμβάλει στη</w:t>
      </w:r>
      <w:r w:rsidR="003A12A5">
        <w:t xml:space="preserve"> συναγωγή ασφαλών συμπερασμάτων, </w:t>
      </w:r>
      <w:r w:rsidR="00DC50EC">
        <w:t>διότι υπενθυμίζεται ότι η νομολογία αυτή είναι προγενέστερη της νομοθεσίας του 1994 και, άρα, της ρητής νομοθετικής απαγόρευσης</w:t>
      </w:r>
      <w:r w:rsidR="004F5A60">
        <w:rPr>
          <w:rStyle w:val="FootnoteReference"/>
        </w:rPr>
        <w:footnoteReference w:id="370"/>
      </w:r>
      <w:r w:rsidR="00701071">
        <w:t xml:space="preserve">. </w:t>
      </w:r>
    </w:p>
    <w:p w14:paraId="7B862E03" w14:textId="05EBED5D" w:rsidR="0063219F" w:rsidRPr="00F11C04" w:rsidRDefault="00F11C04" w:rsidP="00F11C04">
      <w:r>
        <w:rPr>
          <w:rStyle w:val="hps"/>
        </w:rPr>
        <w:t>Ακόμη, ωστόσο, κι αν η γυναίκα προσκομίσει αποδείξεις για τη ρητά εκπεφρασμένη συναίνεση του συντρόφου της στην ολοκλήρωση του οικογενειακού τους προγραμματισμου μετά το θάνατό του, όπως άλλωστε έχει κατά καιρούς προταθεί να διαμορφωθεί η σχετική νομοθετική ρύθμιση</w:t>
      </w:r>
      <w:r w:rsidR="00EE1204">
        <w:rPr>
          <w:rStyle w:val="FootnoteReference"/>
        </w:rPr>
        <w:footnoteReference w:id="371"/>
      </w:r>
      <w:r>
        <w:rPr>
          <w:rStyle w:val="hps"/>
        </w:rPr>
        <w:t xml:space="preserve">, η ρητή νομοθετική απαγόρευση εξακολουθεί να αποτελεί το βασικότερο εμπόδιο στο οποίο προσκρούει η αναγνώριση της πατρότητας του τέκνου που θα προκύψει από τη μεταθανάτια ιατρικά υποβοηθούμενη αναπαραγωγή. </w:t>
      </w:r>
    </w:p>
    <w:p w14:paraId="297DA69C" w14:textId="2F6A3B6C" w:rsidR="00A254D3" w:rsidRPr="004933B9" w:rsidRDefault="007C77BD" w:rsidP="00A254D3">
      <w:pPr>
        <w:pStyle w:val="Heading2"/>
      </w:pPr>
      <w:bookmarkStart w:id="204" w:name="_Toc276574440"/>
      <w:r>
        <w:t>Β</w:t>
      </w:r>
      <w:r w:rsidR="00A254D3" w:rsidRPr="004933B9">
        <w:t xml:space="preserve">. </w:t>
      </w:r>
      <w:bookmarkEnd w:id="194"/>
      <w:bookmarkEnd w:id="195"/>
      <w:r w:rsidR="00D363A2">
        <w:t>Παρένθετη Μητρότητα</w:t>
      </w:r>
      <w:bookmarkEnd w:id="196"/>
      <w:bookmarkEnd w:id="197"/>
      <w:bookmarkEnd w:id="204"/>
    </w:p>
    <w:p w14:paraId="546D812B" w14:textId="77777777" w:rsidR="00A254D3" w:rsidRDefault="00A254D3" w:rsidP="00D30094"/>
    <w:p w14:paraId="3BA7AFF3" w14:textId="77777777" w:rsidR="008E5313" w:rsidRPr="00F26D44" w:rsidRDefault="008E5313" w:rsidP="008E5313">
      <w:r w:rsidRPr="00F26D44">
        <w:t>Άρθρο 16-7 ΑΚ:</w:t>
      </w:r>
    </w:p>
    <w:p w14:paraId="2B15BEB1" w14:textId="77777777" w:rsidR="008E5313" w:rsidRDefault="008E5313" w:rsidP="008E5313">
      <w:r w:rsidRPr="00F26D44">
        <w:rPr>
          <w:rStyle w:val="Emphasis"/>
          <w:i w:val="0"/>
          <w:iCs w:val="0"/>
        </w:rPr>
        <w:t>«</w:t>
      </w:r>
      <w:r w:rsidRPr="006608AD">
        <w:rPr>
          <w:rStyle w:val="Emphasis"/>
          <w:iCs w:val="0"/>
        </w:rPr>
        <w:t>Κάθε σύμβαση</w:t>
      </w:r>
      <w:r w:rsidRPr="006608AD">
        <w:rPr>
          <w:rStyle w:val="st"/>
        </w:rPr>
        <w:t xml:space="preserve"> αναφορικά με την </w:t>
      </w:r>
      <w:r w:rsidRPr="006608AD">
        <w:rPr>
          <w:rStyle w:val="Emphasis"/>
          <w:iCs w:val="0"/>
        </w:rPr>
        <w:t>αναπαραγωγή</w:t>
      </w:r>
      <w:r w:rsidRPr="006608AD">
        <w:rPr>
          <w:rStyle w:val="st"/>
        </w:rPr>
        <w:t xml:space="preserve"> ή την </w:t>
      </w:r>
      <w:r w:rsidRPr="006608AD">
        <w:rPr>
          <w:rStyle w:val="Emphasis"/>
          <w:iCs w:val="0"/>
        </w:rPr>
        <w:t>κυοφορία</w:t>
      </w:r>
      <w:r w:rsidRPr="006608AD">
        <w:rPr>
          <w:rStyle w:val="st"/>
        </w:rPr>
        <w:t xml:space="preserve"> για </w:t>
      </w:r>
      <w:r w:rsidRPr="006608AD">
        <w:rPr>
          <w:rStyle w:val="Emphasis"/>
          <w:iCs w:val="0"/>
        </w:rPr>
        <w:t>λογαριασμό τρίτου</w:t>
      </w:r>
      <w:r w:rsidRPr="006608AD">
        <w:rPr>
          <w:rStyle w:val="st"/>
        </w:rPr>
        <w:t xml:space="preserve"> είναι </w:t>
      </w:r>
      <w:r w:rsidRPr="006608AD">
        <w:rPr>
          <w:rStyle w:val="Emphasis"/>
          <w:iCs w:val="0"/>
        </w:rPr>
        <w:t>άκυρη</w:t>
      </w:r>
      <w:r w:rsidRPr="00F26D44">
        <w:rPr>
          <w:rStyle w:val="Emphasis"/>
          <w:i w:val="0"/>
          <w:iCs w:val="0"/>
        </w:rPr>
        <w:t>»</w:t>
      </w:r>
      <w:r w:rsidRPr="00F26D44">
        <w:t xml:space="preserve">. </w:t>
      </w:r>
    </w:p>
    <w:p w14:paraId="7C4155BA" w14:textId="77777777" w:rsidR="008E5313" w:rsidRPr="008B498A" w:rsidRDefault="008E5313" w:rsidP="008E5313">
      <w:pPr>
        <w:rPr>
          <w:rFonts w:eastAsia="Calibri"/>
        </w:rPr>
      </w:pPr>
      <w:r>
        <w:rPr>
          <w:rFonts w:eastAsia="Calibri"/>
        </w:rPr>
        <w:t xml:space="preserve">Σύμφωνα, δε, με το </w:t>
      </w:r>
      <w:r w:rsidRPr="001358DC">
        <w:rPr>
          <w:rFonts w:eastAsia="Calibri"/>
          <w:b/>
        </w:rPr>
        <w:t>άρθρο 16-9 ΑΚ</w:t>
      </w:r>
      <w:r>
        <w:rPr>
          <w:rFonts w:eastAsia="Calibri"/>
        </w:rPr>
        <w:t xml:space="preserve">, οι διατάξεις των άρθρων 16 έως 16-8 είναι αναγκαστικού δικαίου. </w:t>
      </w:r>
    </w:p>
    <w:p w14:paraId="7182C112" w14:textId="77777777" w:rsidR="008E5313" w:rsidRPr="00F26D44" w:rsidRDefault="008E5313" w:rsidP="008E5313">
      <w:pPr>
        <w:rPr>
          <w:b/>
        </w:rPr>
      </w:pPr>
      <w:r w:rsidRPr="00F26D44">
        <w:rPr>
          <w:b/>
        </w:rPr>
        <w:t>Άρθρο 227-12, παρ. 3, ΠΚ:</w:t>
      </w:r>
    </w:p>
    <w:p w14:paraId="4035BD29" w14:textId="77777777" w:rsidR="008E5313" w:rsidRDefault="008E5313" w:rsidP="008E5313">
      <w:r>
        <w:t>«</w:t>
      </w:r>
      <w:r w:rsidRPr="006608AD">
        <w:t>Τιμωρείται με τις ποινές που προβλέπονται στο δεύτερο εδ</w:t>
      </w:r>
      <w:r>
        <w:t>άφιο [ένα έτος φυλάκισης και 15.</w:t>
      </w:r>
      <w:r w:rsidRPr="006608AD">
        <w:t>000 ευρώ χρηματική ποινή] η μεσολάβηση μεταξύ ενός προσώπου ή ενός ζευγαριού που επιθυμεί να αποκτήσει ένα τέκνο και μια γυναίκα που δέχεται να το κυοφορήσει προκειμένου να τους το παραδώσει. Όταν οι πράξεις αυτές τελούνται συστηματικά ή προς κέρδος, οι ποινές διπλασιάζονται</w:t>
      </w:r>
      <w:r>
        <w:t>»</w:t>
      </w:r>
      <w:r w:rsidRPr="00F26D44">
        <w:t xml:space="preserve">. </w:t>
      </w:r>
    </w:p>
    <w:p w14:paraId="116A7FBF" w14:textId="4A5DF516" w:rsidR="00006242" w:rsidRDefault="008E5313" w:rsidP="008E5313">
      <w:r>
        <w:t>Αξίζει ωστόσο να επισημανθεί, στο σημείο αυτό, ότι μετά την από 26.6.2014 καταδίκη της Γαλλίας από το ΕΕΔΑ για το ζήτημα της άρνησης αναγνώρισης από τις γαλλικές Αρχές των τέκνων που γεννιούνται στο εξωτερικό από παρένθετη μητέρα, πληθαίνουν οι φωνές που ζητούν τη μεταρρύθμιση της σχετικής νομοθεσίας</w:t>
      </w:r>
      <w:r w:rsidR="00132870">
        <w:t xml:space="preserve">. </w:t>
      </w:r>
    </w:p>
    <w:p w14:paraId="3A1DB5F3" w14:textId="6E78227D" w:rsidR="00C95831" w:rsidRPr="00C95831" w:rsidRDefault="00C95831" w:rsidP="00C95831">
      <w:pPr>
        <w:spacing w:line="240" w:lineRule="auto"/>
        <w:ind w:firstLine="0"/>
      </w:pPr>
      <w:r>
        <w:rPr>
          <w:b/>
          <w:i/>
          <w:lang w:val="en-US"/>
        </w:rPr>
        <w:lastRenderedPageBreak/>
        <w:t xml:space="preserve">H. Oberdorff, </w:t>
      </w:r>
      <w:r>
        <w:rPr>
          <w:i/>
          <w:lang w:val="en-US"/>
        </w:rPr>
        <w:t>Droits de l’homme et libert</w:t>
      </w:r>
      <w:r w:rsidRPr="00E254F5">
        <w:rPr>
          <w:i/>
        </w:rPr>
        <w:t>é</w:t>
      </w:r>
      <w:r>
        <w:rPr>
          <w:i/>
          <w:lang w:val="en-US"/>
        </w:rPr>
        <w:t xml:space="preserve">s fondamentales, </w:t>
      </w:r>
      <w:r>
        <w:t xml:space="preserve">Éd. Lextenso, LGDJ, 2013, σελ. 431-432.  </w:t>
      </w:r>
    </w:p>
    <w:p w14:paraId="0BE0CE7B" w14:textId="77777777" w:rsidR="00132870" w:rsidRDefault="00132870" w:rsidP="008E5313"/>
    <w:p w14:paraId="119033DF" w14:textId="77777777" w:rsidR="00132870" w:rsidRDefault="00132870" w:rsidP="008E5313"/>
    <w:p w14:paraId="080127F0" w14:textId="6D6E2AAA" w:rsidR="001A67D3" w:rsidRPr="004933B9" w:rsidRDefault="007C77BD" w:rsidP="001A67D3">
      <w:pPr>
        <w:pStyle w:val="Heading2"/>
      </w:pPr>
      <w:bookmarkStart w:id="205" w:name="_Toc394082569"/>
      <w:bookmarkStart w:id="206" w:name="_Ref273518454"/>
      <w:bookmarkStart w:id="207" w:name="_Toc275535616"/>
      <w:bookmarkStart w:id="208" w:name="_Toc276148670"/>
      <w:bookmarkStart w:id="209" w:name="_Toc276574441"/>
      <w:r>
        <w:t>Γ</w:t>
      </w:r>
      <w:r w:rsidR="001A67D3" w:rsidRPr="004933B9">
        <w:t xml:space="preserve">. </w:t>
      </w:r>
      <w:bookmarkEnd w:id="205"/>
      <w:bookmarkEnd w:id="206"/>
      <w:bookmarkEnd w:id="207"/>
      <w:r w:rsidR="001D1193">
        <w:t>Κλωνοποίηση</w:t>
      </w:r>
      <w:bookmarkEnd w:id="208"/>
      <w:bookmarkEnd w:id="209"/>
      <w:r w:rsidR="001D1193">
        <w:t xml:space="preserve"> </w:t>
      </w:r>
    </w:p>
    <w:p w14:paraId="2F65E972" w14:textId="77777777" w:rsidR="001A67D3" w:rsidRPr="004933B9" w:rsidRDefault="001A67D3" w:rsidP="001A67D3">
      <w:r w:rsidRPr="004933B9">
        <w:t>3.1.</w:t>
      </w:r>
      <w:r>
        <w:t xml:space="preserve"> </w:t>
      </w:r>
      <w:r w:rsidRPr="004933B9">
        <w:t xml:space="preserve">Επιτρέπεται η θεραπευτική κλωνοποίηση;    </w:t>
      </w:r>
    </w:p>
    <w:p w14:paraId="73B98A49" w14:textId="77777777" w:rsidR="001A67D3" w:rsidRDefault="001A67D3" w:rsidP="001A67D3">
      <w:pPr>
        <w:rPr>
          <w:u w:val="single"/>
          <w:lang w:val="en-US"/>
        </w:rPr>
      </w:pPr>
      <w:r w:rsidRPr="004933B9">
        <w:t xml:space="preserve">ΝΑΙ                    </w:t>
      </w:r>
      <w:r w:rsidRPr="00D701E5">
        <w:rPr>
          <w:u w:val="single"/>
        </w:rPr>
        <w:t>ΟΧΙ</w:t>
      </w:r>
    </w:p>
    <w:p w14:paraId="07D01748" w14:textId="77777777" w:rsidR="00132870" w:rsidRPr="00010996" w:rsidRDefault="00132870" w:rsidP="00132870">
      <w:r w:rsidRPr="00010996">
        <w:t>16-4 ΑΚ</w:t>
      </w:r>
      <w:r>
        <w:t>:</w:t>
      </w:r>
    </w:p>
    <w:p w14:paraId="5519DD34" w14:textId="77777777" w:rsidR="00132870" w:rsidRDefault="00132870" w:rsidP="00132870">
      <w:r>
        <w:t>«</w:t>
      </w:r>
      <w:r w:rsidRPr="00086DC1">
        <w:t>Απαγορεύεται κάθε παρέμβαση που στόχο της έχει τη γέννηση τέκνου γενετικά πανομοιότυπου με άλλο πρόσωπο, εν ζωή ή αποβιώσαντα</w:t>
      </w:r>
      <w:r>
        <w:t xml:space="preserve">». </w:t>
      </w:r>
    </w:p>
    <w:p w14:paraId="5C47E8A2" w14:textId="77777777" w:rsidR="00132870" w:rsidRPr="008B498A" w:rsidRDefault="00132870" w:rsidP="00132870">
      <w:pPr>
        <w:rPr>
          <w:rFonts w:eastAsia="Calibri"/>
        </w:rPr>
      </w:pPr>
      <w:r>
        <w:rPr>
          <w:rFonts w:eastAsia="Calibri"/>
        </w:rPr>
        <w:t xml:space="preserve">Σύμφωνα, δε, με το </w:t>
      </w:r>
      <w:r w:rsidRPr="001358DC">
        <w:rPr>
          <w:rFonts w:eastAsia="Calibri"/>
          <w:b/>
        </w:rPr>
        <w:t>άρθρο 16-9 ΑΚ</w:t>
      </w:r>
      <w:r>
        <w:rPr>
          <w:rFonts w:eastAsia="Calibri"/>
        </w:rPr>
        <w:t xml:space="preserve">, οι διατάξεις των άρθρων 16 έως 16-8 είναι αναγκαστικού δικαίου. </w:t>
      </w:r>
    </w:p>
    <w:p w14:paraId="4DB47966" w14:textId="77777777" w:rsidR="00132870" w:rsidRPr="00F72607" w:rsidRDefault="00132870" w:rsidP="00132870">
      <w:pPr>
        <w:rPr>
          <w:b/>
        </w:rPr>
      </w:pPr>
      <w:r w:rsidRPr="00010996">
        <w:rPr>
          <w:b/>
          <w:lang w:val="en-US"/>
        </w:rPr>
        <w:t>L</w:t>
      </w:r>
      <w:r w:rsidRPr="00010996">
        <w:rPr>
          <w:b/>
        </w:rPr>
        <w:t>. 2151-1</w:t>
      </w:r>
      <w:r>
        <w:rPr>
          <w:b/>
        </w:rPr>
        <w:t xml:space="preserve"> Κώδικα Δημόσιας Υγείας:</w:t>
      </w:r>
    </w:p>
    <w:p w14:paraId="1FA22323" w14:textId="77777777" w:rsidR="00132870" w:rsidRPr="00D701E5" w:rsidRDefault="00132870" w:rsidP="00132870">
      <w:r>
        <w:t>«</w:t>
      </w:r>
      <w:r w:rsidRPr="00086DC1">
        <w:t>Σύμφωνα με τις διατάξεις του τρίτου εδαφίου του άρθρου 16-4 ΑΚ, απαγορεύεται κάθε παρέμβαση που στόχο της έχει τη γέννηση τέκνου γενετικά πανομοιότυπου με άλλο πρόσωπο, εν ζωή ή αποβιώσαντα</w:t>
      </w:r>
      <w:r>
        <w:t xml:space="preserve">». </w:t>
      </w:r>
    </w:p>
    <w:p w14:paraId="2A2AAA77" w14:textId="77777777" w:rsidR="00132870" w:rsidRPr="00010996" w:rsidRDefault="00132870" w:rsidP="00132870">
      <w:pPr>
        <w:rPr>
          <w:b/>
        </w:rPr>
      </w:pPr>
      <w:r w:rsidRPr="00010996">
        <w:rPr>
          <w:b/>
          <w:lang w:val="en-US"/>
        </w:rPr>
        <w:t>L</w:t>
      </w:r>
      <w:r w:rsidRPr="00010996">
        <w:rPr>
          <w:b/>
        </w:rPr>
        <w:t>. 2151-2</w:t>
      </w:r>
      <w:r w:rsidRPr="00086DC1">
        <w:t xml:space="preserve"> </w:t>
      </w:r>
      <w:r w:rsidRPr="00086DC1">
        <w:rPr>
          <w:b/>
        </w:rPr>
        <w:t>Κώδικα Δημόσιας Υγείας:</w:t>
      </w:r>
    </w:p>
    <w:p w14:paraId="41DA6C46" w14:textId="77777777" w:rsidR="00132870" w:rsidRPr="00010996" w:rsidRDefault="00132870" w:rsidP="00132870">
      <w:r>
        <w:t>«</w:t>
      </w:r>
      <w:r w:rsidRPr="00086DC1">
        <w:t xml:space="preserve">Η σύλληψη </w:t>
      </w:r>
      <w:r w:rsidRPr="00086DC1">
        <w:rPr>
          <w:lang w:val="en-US"/>
        </w:rPr>
        <w:t>in</w:t>
      </w:r>
      <w:r w:rsidRPr="00086DC1">
        <w:t xml:space="preserve"> </w:t>
      </w:r>
      <w:r w:rsidRPr="00086DC1">
        <w:rPr>
          <w:lang w:val="en-US"/>
        </w:rPr>
        <w:t>vitro</w:t>
      </w:r>
      <w:r w:rsidRPr="00086DC1">
        <w:t xml:space="preserve"> εμβρύου ή η δημιουργία ανθρώπινου εμβρύου με κλωνοποίηση για ερευνητικούς σκοπούς απαγορεύεται</w:t>
      </w:r>
      <w:r>
        <w:t xml:space="preserve">». </w:t>
      </w:r>
    </w:p>
    <w:p w14:paraId="7378997C" w14:textId="77777777" w:rsidR="00132870" w:rsidRPr="00981AC5" w:rsidRDefault="00132870" w:rsidP="00132870">
      <w:pPr>
        <w:rPr>
          <w:b/>
        </w:rPr>
      </w:pPr>
      <w:r w:rsidRPr="00010996">
        <w:rPr>
          <w:b/>
          <w:lang w:val="en-US"/>
        </w:rPr>
        <w:t>L</w:t>
      </w:r>
      <w:r w:rsidRPr="00010996">
        <w:rPr>
          <w:b/>
        </w:rPr>
        <w:t>. 2151-3</w:t>
      </w:r>
      <w:r w:rsidRPr="00086DC1">
        <w:t xml:space="preserve"> </w:t>
      </w:r>
      <w:r w:rsidRPr="00086DC1">
        <w:rPr>
          <w:b/>
        </w:rPr>
        <w:t>Κώδικα Δημόσιας Υγείας:</w:t>
      </w:r>
    </w:p>
    <w:p w14:paraId="74A52500" w14:textId="77777777" w:rsidR="00132870" w:rsidRPr="00010996" w:rsidRDefault="00132870" w:rsidP="00132870">
      <w:r>
        <w:t>«</w:t>
      </w:r>
      <w:r w:rsidRPr="00086DC1">
        <w:t>Ένα ανθρώπινο έμβρυο δε μπορεί ούτε να συλληφθεί, ούτε να δημιουργηθεί με κλωνοποίηση¸ ούτε να χρησιμοποιηθεί για εμπορικούς ή βιομηχανικούς σκοπούς</w:t>
      </w:r>
      <w:r>
        <w:t xml:space="preserve">». </w:t>
      </w:r>
    </w:p>
    <w:p w14:paraId="7E89740C" w14:textId="77777777" w:rsidR="00132870" w:rsidRPr="00981AC5" w:rsidRDefault="00132870" w:rsidP="00132870">
      <w:pPr>
        <w:rPr>
          <w:b/>
        </w:rPr>
      </w:pPr>
      <w:r w:rsidRPr="00010996">
        <w:rPr>
          <w:b/>
          <w:lang w:val="en-US"/>
        </w:rPr>
        <w:t>L</w:t>
      </w:r>
      <w:r w:rsidRPr="00010996">
        <w:rPr>
          <w:b/>
        </w:rPr>
        <w:t xml:space="preserve">. </w:t>
      </w:r>
      <w:r w:rsidRPr="00981AC5">
        <w:rPr>
          <w:b/>
        </w:rPr>
        <w:t>2151-4</w:t>
      </w:r>
      <w:r w:rsidRPr="00086DC1">
        <w:t xml:space="preserve"> </w:t>
      </w:r>
      <w:r w:rsidRPr="00086DC1">
        <w:rPr>
          <w:b/>
        </w:rPr>
        <w:t>Κώδικα Δημόσιας Υγείας:</w:t>
      </w:r>
    </w:p>
    <w:p w14:paraId="2FFB047D" w14:textId="7A35E4B8" w:rsidR="001A67D3" w:rsidRDefault="00132870" w:rsidP="000A4E74">
      <w:r>
        <w:t>«</w:t>
      </w:r>
      <w:r w:rsidRPr="00086DC1">
        <w:t>Επίσης απαγορεύεται κάθε δημιουργία με κλωνοποίηση ανθρώπινου εμβρύου για θεραπευτικούς σκοπούς</w:t>
      </w:r>
      <w:r>
        <w:t>».</w:t>
      </w:r>
    </w:p>
    <w:p w14:paraId="619A8EA0" w14:textId="77777777" w:rsidR="000311EF" w:rsidRDefault="000311EF" w:rsidP="000A4E74"/>
    <w:p w14:paraId="02F4E77F" w14:textId="26BFF583" w:rsidR="00291F96" w:rsidRPr="00C95831" w:rsidRDefault="00291F96" w:rsidP="00291F96">
      <w:pPr>
        <w:spacing w:line="240" w:lineRule="auto"/>
        <w:ind w:firstLine="0"/>
      </w:pPr>
      <w:r>
        <w:rPr>
          <w:b/>
          <w:i/>
          <w:lang w:val="en-US"/>
        </w:rPr>
        <w:t xml:space="preserve">H. Oberdorff, </w:t>
      </w:r>
      <w:r>
        <w:rPr>
          <w:i/>
          <w:lang w:val="en-US"/>
        </w:rPr>
        <w:t>Droits de l’homme et libert</w:t>
      </w:r>
      <w:r w:rsidRPr="00E254F5">
        <w:rPr>
          <w:i/>
        </w:rPr>
        <w:t>é</w:t>
      </w:r>
      <w:r>
        <w:rPr>
          <w:i/>
          <w:lang w:val="en-US"/>
        </w:rPr>
        <w:t xml:space="preserve">s fondamentales, </w:t>
      </w:r>
      <w:r>
        <w:t xml:space="preserve">Éd. Lextenso, LGDJ, 2013, σελ. 438-439.  </w:t>
      </w:r>
    </w:p>
    <w:p w14:paraId="274AFDBC" w14:textId="77777777" w:rsidR="00291F96" w:rsidRDefault="00291F96" w:rsidP="000A4E74"/>
    <w:p w14:paraId="2E1DBA34" w14:textId="77777777" w:rsidR="000311EF" w:rsidRPr="004933B9" w:rsidRDefault="000311EF" w:rsidP="000311EF">
      <w:r w:rsidRPr="004933B9">
        <w:t>3.3.</w:t>
      </w:r>
      <w:r>
        <w:t xml:space="preserve"> </w:t>
      </w:r>
      <w:r w:rsidRPr="004933B9">
        <w:t>Αν η απάντηση στο 3.1. είναι ΟΧΙ, υπάρχουν συνέπειες σε περίπτωση παραβίασης των διατάξεων του νόμου;</w:t>
      </w:r>
    </w:p>
    <w:p w14:paraId="457D2964" w14:textId="77777777" w:rsidR="000311EF" w:rsidRPr="004933B9" w:rsidRDefault="000311EF" w:rsidP="000311EF">
      <w:r w:rsidRPr="00D701E5">
        <w:rPr>
          <w:u w:val="single"/>
        </w:rPr>
        <w:t>ΝΑΙ</w:t>
      </w:r>
      <w:r w:rsidRPr="004933B9">
        <w:t xml:space="preserve">                    ΟΧΙ</w:t>
      </w:r>
    </w:p>
    <w:p w14:paraId="6DA9CC9F" w14:textId="77777777" w:rsidR="000311EF" w:rsidRPr="004933B9" w:rsidRDefault="000311EF" w:rsidP="000311EF">
      <w:r w:rsidRPr="004933B9">
        <w:t>3.4. Αν η απάντηση στο 3.3. είναι ΝΑΙ, ποιον αφορούν;</w:t>
      </w:r>
    </w:p>
    <w:p w14:paraId="261BF429" w14:textId="77777777" w:rsidR="000311EF" w:rsidRPr="004933B9" w:rsidRDefault="000311EF" w:rsidP="000311EF">
      <w:pPr>
        <w:spacing w:before="60" w:after="60"/>
        <w:ind w:left="425"/>
      </w:pPr>
      <w:r w:rsidRPr="004933B9">
        <w:lastRenderedPageBreak/>
        <w:t xml:space="preserve">(α) </w:t>
      </w:r>
      <w:r w:rsidRPr="00010996">
        <w:rPr>
          <w:u w:val="single"/>
        </w:rPr>
        <w:t>Τον ιατρό</w:t>
      </w:r>
    </w:p>
    <w:p w14:paraId="1972A13D" w14:textId="77777777" w:rsidR="000311EF" w:rsidRPr="004933B9" w:rsidRDefault="000311EF" w:rsidP="000311EF">
      <w:pPr>
        <w:spacing w:before="60" w:after="60"/>
        <w:ind w:left="425"/>
      </w:pPr>
      <w:r w:rsidRPr="004933B9">
        <w:t xml:space="preserve">(β) </w:t>
      </w:r>
      <w:r w:rsidRPr="007370E5">
        <w:rPr>
          <w:u w:val="single"/>
        </w:rPr>
        <w:t>Τη γυναίκα</w:t>
      </w:r>
      <w:r w:rsidRPr="004933B9">
        <w:t xml:space="preserve"> </w:t>
      </w:r>
    </w:p>
    <w:p w14:paraId="5DA05A8E" w14:textId="77777777" w:rsidR="000311EF" w:rsidRPr="004933B9" w:rsidRDefault="000311EF" w:rsidP="000311EF">
      <w:pPr>
        <w:spacing w:before="60" w:after="60"/>
        <w:ind w:left="425"/>
      </w:pPr>
      <w:r w:rsidRPr="004933B9">
        <w:t xml:space="preserve">(γ) </w:t>
      </w:r>
      <w:r w:rsidRPr="007370E5">
        <w:rPr>
          <w:u w:val="single"/>
        </w:rPr>
        <w:t>Τον άνδρα</w:t>
      </w:r>
    </w:p>
    <w:p w14:paraId="6BBED8AB" w14:textId="77777777" w:rsidR="000311EF" w:rsidRPr="004933B9" w:rsidRDefault="000311EF" w:rsidP="000311EF">
      <w:pPr>
        <w:spacing w:before="60" w:after="60"/>
        <w:ind w:left="425"/>
      </w:pPr>
      <w:r w:rsidRPr="004933B9">
        <w:t xml:space="preserve">(δ) </w:t>
      </w:r>
      <w:r w:rsidRPr="00010996">
        <w:rPr>
          <w:u w:val="single"/>
        </w:rPr>
        <w:t>Το ιατρικό κέντρο όπου πραγματοποιείται</w:t>
      </w:r>
      <w:r w:rsidRPr="004933B9">
        <w:t xml:space="preserve"> </w:t>
      </w:r>
    </w:p>
    <w:p w14:paraId="138B0538" w14:textId="77777777" w:rsidR="000311EF" w:rsidRPr="00D27C30" w:rsidRDefault="000311EF" w:rsidP="000311EF">
      <w:r w:rsidRPr="00D27C30">
        <w:t>3.5. Οι συνέπειες είναι:</w:t>
      </w:r>
    </w:p>
    <w:p w14:paraId="5753FACD" w14:textId="77777777" w:rsidR="000311EF" w:rsidRPr="00D27C30" w:rsidRDefault="000311EF" w:rsidP="000311EF">
      <w:pPr>
        <w:spacing w:before="60" w:after="60"/>
        <w:ind w:left="426"/>
      </w:pPr>
      <w:r w:rsidRPr="00D27C30">
        <w:t xml:space="preserve">(α) </w:t>
      </w:r>
      <w:r w:rsidRPr="007370E5">
        <w:rPr>
          <w:u w:val="single"/>
        </w:rPr>
        <w:t>διοικητικής φύσης</w:t>
      </w:r>
    </w:p>
    <w:p w14:paraId="4BC972EC" w14:textId="77777777" w:rsidR="000311EF" w:rsidRPr="00D27C30" w:rsidRDefault="000311EF" w:rsidP="000311EF">
      <w:pPr>
        <w:spacing w:before="60" w:after="60"/>
        <w:ind w:left="426"/>
      </w:pPr>
      <w:r w:rsidRPr="00D27C30">
        <w:t>(β) αστικής φύσης</w:t>
      </w:r>
    </w:p>
    <w:p w14:paraId="0A4AA985" w14:textId="77777777" w:rsidR="000311EF" w:rsidRPr="00D27C30" w:rsidRDefault="000311EF" w:rsidP="000311EF">
      <w:pPr>
        <w:spacing w:before="60" w:after="60"/>
        <w:ind w:left="426"/>
      </w:pPr>
      <w:r w:rsidRPr="00D27C30">
        <w:t xml:space="preserve">(γ) </w:t>
      </w:r>
      <w:r w:rsidRPr="00D27C30">
        <w:rPr>
          <w:u w:val="single"/>
        </w:rPr>
        <w:t>ποινικής φύσης</w:t>
      </w:r>
    </w:p>
    <w:p w14:paraId="2F461198" w14:textId="03434D4C" w:rsidR="000311EF" w:rsidRDefault="000311EF" w:rsidP="000A4E74">
      <w:r w:rsidRPr="00D27C30">
        <w:rPr>
          <w:rFonts w:eastAsia="Calibri"/>
          <w:lang w:eastAsia="en-US"/>
        </w:rPr>
        <w:t>Άρθρα L. 6241-1 και L. 6241-2  του Κώδικα Δημόσιας Υγείας, τα οποία προβλέπουν 23 διαφορετικές περιπτώσεις οι οποίες αποτελούν λόγο επιβολής διοικητικής φύσης κύρωσης από τον γενικό διευθυντή του Περιφερειακού Οργανισμού Υγείας (ARS) στα κέντρα ιατρικά υποβοηθούμενης αναπαραγωγής και τα βιολογικά τους εργαστήρια. Οι περιπτώσεις αυτές αφορούν σε διάφορους χειρισμούς και διεργασίες, όπως ενδεικτικά τη διενέργεια εξετάσεων (όπως π.χ. προγεννητική διάγνωση) χωρίς την ειδικά προβλεπόμενη έγκριση ή τη διενέργεια εξετάσεων χωρίς τον απαιτούμενο από το νόμο έλεγχο της ποιότητας των αποτελεσμάτων αυτών</w:t>
      </w:r>
      <w:r w:rsidRPr="00D27C30">
        <w:rPr>
          <w:rFonts w:eastAsia="Calibri"/>
          <w:vertAlign w:val="superscript"/>
          <w:lang w:eastAsia="en-US"/>
        </w:rPr>
        <w:footnoteReference w:id="372"/>
      </w:r>
      <w:r w:rsidRPr="00D27C30">
        <w:rPr>
          <w:rFonts w:eastAsia="Calibri"/>
          <w:lang w:eastAsia="en-US"/>
        </w:rPr>
        <w:t>.</w:t>
      </w:r>
    </w:p>
    <w:p w14:paraId="01EEBE4A" w14:textId="77777777" w:rsidR="000311EF" w:rsidRDefault="000311EF" w:rsidP="000A4E74"/>
    <w:p w14:paraId="3F06CF16" w14:textId="77777777" w:rsidR="000311EF" w:rsidRDefault="000311EF" w:rsidP="000A4E74"/>
    <w:p w14:paraId="651180D7" w14:textId="77777777" w:rsidR="000311EF" w:rsidRPr="00010996" w:rsidRDefault="000311EF" w:rsidP="000311EF">
      <w:pPr>
        <w:pStyle w:val="NormalWeb"/>
        <w:rPr>
          <w:b w:val="0"/>
        </w:rPr>
      </w:pPr>
      <w:r w:rsidRPr="00010996">
        <w:rPr>
          <w:b w:val="0"/>
          <w:lang w:val="en-US"/>
        </w:rPr>
        <w:t>L</w:t>
      </w:r>
      <w:r w:rsidRPr="00010996">
        <w:rPr>
          <w:b w:val="0"/>
        </w:rPr>
        <w:t>. 21</w:t>
      </w:r>
      <w:r>
        <w:rPr>
          <w:b w:val="0"/>
        </w:rPr>
        <w:t>63</w:t>
      </w:r>
      <w:r w:rsidRPr="00010996">
        <w:rPr>
          <w:b w:val="0"/>
        </w:rPr>
        <w:t>-1</w:t>
      </w:r>
      <w:r w:rsidRPr="00086DC1">
        <w:t xml:space="preserve"> </w:t>
      </w:r>
      <w:r w:rsidRPr="00086DC1">
        <w:rPr>
          <w:b w:val="0"/>
        </w:rPr>
        <w:t>Κώδικα Δημόσιας Υγείας:</w:t>
      </w:r>
    </w:p>
    <w:p w14:paraId="6B88A7D0" w14:textId="77777777" w:rsidR="000311EF" w:rsidRPr="00D701E5" w:rsidRDefault="000311EF" w:rsidP="000311EF">
      <w:pPr>
        <w:pStyle w:val="NormalWeb"/>
      </w:pPr>
      <w:r>
        <w:t>«</w:t>
      </w:r>
      <w:r w:rsidRPr="00086DC1">
        <w:rPr>
          <w:i/>
        </w:rPr>
        <w:t>Σύμφωνα με τις διατάξεις του άρθρου 214-2 ΠΚ, η παρέμβαση που στόχο της έχει τη γέννηση τέκνου γενετικά πανομοιότυπου με άλλο πρόσωπο, εν ζωή ή αποβιώσαντα, τιμωρείται με ποινή κάθειρξης τριάντα (30) ετών και χρηματ</w:t>
      </w:r>
      <w:r>
        <w:rPr>
          <w:i/>
        </w:rPr>
        <w:t>ική ποινή 7.500.</w:t>
      </w:r>
      <w:r w:rsidRPr="00086DC1">
        <w:rPr>
          <w:i/>
        </w:rPr>
        <w:t>000 ευρώ</w:t>
      </w:r>
      <w:r>
        <w:t xml:space="preserve">». </w:t>
      </w:r>
    </w:p>
    <w:p w14:paraId="749AC0CF" w14:textId="77777777" w:rsidR="000311EF" w:rsidRPr="00010996" w:rsidRDefault="000311EF" w:rsidP="000311EF">
      <w:pPr>
        <w:pStyle w:val="NormalWeb"/>
        <w:rPr>
          <w:b w:val="0"/>
        </w:rPr>
      </w:pPr>
      <w:r w:rsidRPr="00010996">
        <w:rPr>
          <w:b w:val="0"/>
          <w:lang w:val="en-US"/>
        </w:rPr>
        <w:t>L</w:t>
      </w:r>
      <w:r w:rsidRPr="00010996">
        <w:rPr>
          <w:b w:val="0"/>
        </w:rPr>
        <w:t>. 21</w:t>
      </w:r>
      <w:r>
        <w:rPr>
          <w:b w:val="0"/>
        </w:rPr>
        <w:t>63</w:t>
      </w:r>
      <w:r w:rsidRPr="00010996">
        <w:rPr>
          <w:b w:val="0"/>
        </w:rPr>
        <w:t>-2</w:t>
      </w:r>
      <w:r w:rsidRPr="00086DC1">
        <w:t xml:space="preserve"> </w:t>
      </w:r>
      <w:r w:rsidRPr="00086DC1">
        <w:rPr>
          <w:b w:val="0"/>
        </w:rPr>
        <w:t>Κώδικα Δημόσιας Υγείας:</w:t>
      </w:r>
    </w:p>
    <w:p w14:paraId="6FE3B4EA" w14:textId="77777777" w:rsidR="000311EF" w:rsidRPr="00086DC1" w:rsidRDefault="000311EF" w:rsidP="000311EF">
      <w:pPr>
        <w:pStyle w:val="NormalWeb"/>
        <w:rPr>
          <w:i/>
        </w:rPr>
      </w:pPr>
      <w:r>
        <w:t>«</w:t>
      </w:r>
      <w:r w:rsidRPr="00086DC1">
        <w:rPr>
          <w:i/>
        </w:rPr>
        <w:t xml:space="preserve">Σύμφωνα με τις διατάξεις του άρθρου 511-1 ΠΚ, τιμωρείται με έξι (6) χρόνια φυλάκιση και 150.000 ευρώ χρηματική ποινή η λήψη ιστών ή γαμετών με σκοπό τη γέννηση τέκνου γενετικά πανομοιότυπου με άλλο πρόσωπο, εν ζωή ή αποβιώσαντα. </w:t>
      </w:r>
    </w:p>
    <w:p w14:paraId="0DA06E9F" w14:textId="77777777" w:rsidR="000311EF" w:rsidRPr="00086DC1" w:rsidRDefault="000311EF" w:rsidP="000311EF">
      <w:pPr>
        <w:pStyle w:val="NormalWeb"/>
        <w:rPr>
          <w:i/>
        </w:rPr>
      </w:pPr>
      <w:r w:rsidRPr="00086DC1">
        <w:rPr>
          <w:i/>
        </w:rPr>
        <w:t xml:space="preserve">Σύμφωνα με τις διατάξεις του άρθρου 511-1-1 ΠΚ, σε περίπτωση που το αδίκημα του άρθρου 511-1 ΠΚ τελεστεί στο εξωτερικό από Γάλλο ή από πρόσωπο που έχει τη συνήθη διαμονή του σε γαλλικό έδαφος, η γαλλική νομοθεσία εφαρμόζεται κατ’ εξαίρεση του δευτέρου εδαφίου του άρθρου 113-6 και οι διατάξεις της δεύτερης φράσης του άρθρου 113-8 δεν εφαρμόζονται». </w:t>
      </w:r>
    </w:p>
    <w:p w14:paraId="5EC075BE" w14:textId="77777777" w:rsidR="000311EF" w:rsidRPr="00010996" w:rsidRDefault="000311EF" w:rsidP="000311EF">
      <w:pPr>
        <w:pStyle w:val="NormalWeb"/>
        <w:rPr>
          <w:b w:val="0"/>
        </w:rPr>
      </w:pPr>
      <w:r w:rsidRPr="00010996">
        <w:rPr>
          <w:b w:val="0"/>
          <w:lang w:val="en-US"/>
        </w:rPr>
        <w:t>L</w:t>
      </w:r>
      <w:r w:rsidRPr="00010996">
        <w:rPr>
          <w:b w:val="0"/>
        </w:rPr>
        <w:t>. 21</w:t>
      </w:r>
      <w:r>
        <w:rPr>
          <w:b w:val="0"/>
        </w:rPr>
        <w:t>63</w:t>
      </w:r>
      <w:r w:rsidRPr="00010996">
        <w:rPr>
          <w:b w:val="0"/>
        </w:rPr>
        <w:t>-3</w:t>
      </w:r>
      <w:r w:rsidRPr="00086DC1">
        <w:t xml:space="preserve"> </w:t>
      </w:r>
      <w:r w:rsidRPr="00086DC1">
        <w:rPr>
          <w:b w:val="0"/>
        </w:rPr>
        <w:t>Κώδικα Δημόσιας Υγείας:</w:t>
      </w:r>
    </w:p>
    <w:p w14:paraId="1871EBC4" w14:textId="77777777" w:rsidR="000311EF" w:rsidRPr="00086DC1" w:rsidRDefault="000311EF" w:rsidP="000311EF">
      <w:pPr>
        <w:pStyle w:val="NormalWeb"/>
        <w:rPr>
          <w:i/>
        </w:rPr>
      </w:pPr>
      <w:r>
        <w:lastRenderedPageBreak/>
        <w:t>«</w:t>
      </w:r>
      <w:r w:rsidRPr="00086DC1">
        <w:rPr>
          <w:i/>
        </w:rPr>
        <w:t xml:space="preserve">Σύμφωνα με τις διατάξεις του άρθρου 511-17 ΠΚ, η σύλληψη </w:t>
      </w:r>
      <w:r w:rsidRPr="00086DC1">
        <w:rPr>
          <w:i/>
          <w:lang w:val="en-US"/>
        </w:rPr>
        <w:t>in</w:t>
      </w:r>
      <w:r w:rsidRPr="00086DC1">
        <w:rPr>
          <w:i/>
        </w:rPr>
        <w:t xml:space="preserve"> </w:t>
      </w:r>
      <w:r w:rsidRPr="00086DC1">
        <w:rPr>
          <w:i/>
          <w:lang w:val="en-US"/>
        </w:rPr>
        <w:t>vitro</w:t>
      </w:r>
      <w:r w:rsidRPr="00086DC1">
        <w:rPr>
          <w:i/>
        </w:rPr>
        <w:t xml:space="preserve"> ή η δημιουργία με κλωνοποίηση ανθρώπινων εμβρύων για βιομηχανικούς ή εμπορικούς σκοπούς τιμωρείται ποινή φυλάκισης επτά (7) ετών και χρηματική ποινή 100</w:t>
      </w:r>
      <w:r>
        <w:rPr>
          <w:i/>
        </w:rPr>
        <w:t>.000</w:t>
      </w:r>
      <w:r w:rsidRPr="00086DC1">
        <w:rPr>
          <w:i/>
        </w:rPr>
        <w:t xml:space="preserve"> ευρώ. </w:t>
      </w:r>
    </w:p>
    <w:p w14:paraId="656E8DB3" w14:textId="77777777" w:rsidR="000311EF" w:rsidRPr="00010996" w:rsidRDefault="000311EF" w:rsidP="000311EF">
      <w:pPr>
        <w:pStyle w:val="NormalWeb"/>
      </w:pPr>
      <w:r w:rsidRPr="00086DC1">
        <w:rPr>
          <w:i/>
        </w:rPr>
        <w:t>Με την ίδια ποινή τιμωρείται η χρήση ανθρώπινων εμβρύων για βιομηχανικούς ή εμπορικούς σκοπούς</w:t>
      </w:r>
      <w:r>
        <w:t xml:space="preserve">».  </w:t>
      </w:r>
    </w:p>
    <w:p w14:paraId="5D3F0183" w14:textId="77777777" w:rsidR="000311EF" w:rsidRDefault="000311EF" w:rsidP="000311EF">
      <w:pPr>
        <w:pStyle w:val="NormalWeb"/>
        <w:rPr>
          <w:b w:val="0"/>
        </w:rPr>
      </w:pPr>
      <w:r w:rsidRPr="00010996">
        <w:rPr>
          <w:b w:val="0"/>
          <w:lang w:val="en-US"/>
        </w:rPr>
        <w:t>L</w:t>
      </w:r>
      <w:r w:rsidRPr="00010996">
        <w:rPr>
          <w:b w:val="0"/>
        </w:rPr>
        <w:t xml:space="preserve">. </w:t>
      </w:r>
      <w:r w:rsidRPr="00864775">
        <w:rPr>
          <w:b w:val="0"/>
        </w:rPr>
        <w:t>21</w:t>
      </w:r>
      <w:r>
        <w:rPr>
          <w:b w:val="0"/>
        </w:rPr>
        <w:t>63</w:t>
      </w:r>
      <w:r w:rsidRPr="00864775">
        <w:rPr>
          <w:b w:val="0"/>
        </w:rPr>
        <w:t>-4</w:t>
      </w:r>
      <w:r w:rsidRPr="00086DC1">
        <w:t xml:space="preserve"> </w:t>
      </w:r>
      <w:r w:rsidRPr="00086DC1">
        <w:rPr>
          <w:b w:val="0"/>
        </w:rPr>
        <w:t>Κώδικα Δημόσιας Υγείας:</w:t>
      </w:r>
    </w:p>
    <w:p w14:paraId="5529F799" w14:textId="77777777" w:rsidR="000311EF" w:rsidRPr="00864775" w:rsidRDefault="000311EF" w:rsidP="000311EF">
      <w:pPr>
        <w:pStyle w:val="NormalWeb"/>
      </w:pPr>
      <w:r>
        <w:t>«</w:t>
      </w:r>
      <w:r w:rsidRPr="00086DC1">
        <w:rPr>
          <w:i/>
        </w:rPr>
        <w:t xml:space="preserve">Σύμφωνα με τις διατάξεις του άρθρου 511-18 ΠΚ, η σύλληψη </w:t>
      </w:r>
      <w:r w:rsidRPr="00086DC1">
        <w:rPr>
          <w:i/>
          <w:lang w:val="en-US"/>
        </w:rPr>
        <w:t>in</w:t>
      </w:r>
      <w:r w:rsidRPr="00086DC1">
        <w:rPr>
          <w:i/>
        </w:rPr>
        <w:t xml:space="preserve"> </w:t>
      </w:r>
      <w:r w:rsidRPr="00086DC1">
        <w:rPr>
          <w:i/>
          <w:lang w:val="en-US"/>
        </w:rPr>
        <w:t>vitro</w:t>
      </w:r>
      <w:r w:rsidRPr="00086DC1">
        <w:rPr>
          <w:i/>
        </w:rPr>
        <w:t xml:space="preserve"> ή η δημιουργία με κλωνοποίηση ανθρώπινων εμβρύων για ερευνητικούς σκοπούς τιμωρείται με ποινή φυλάκισης επτά (7) ετών και χρηματική ποινή 100</w:t>
      </w:r>
      <w:r>
        <w:rPr>
          <w:i/>
        </w:rPr>
        <w:t>.000</w:t>
      </w:r>
      <w:r w:rsidRPr="00086DC1">
        <w:rPr>
          <w:i/>
        </w:rPr>
        <w:t xml:space="preserve"> ευρώ</w:t>
      </w:r>
      <w:r>
        <w:t xml:space="preserve">». </w:t>
      </w:r>
    </w:p>
    <w:p w14:paraId="460C8FD5" w14:textId="77777777" w:rsidR="000311EF" w:rsidRPr="00010996" w:rsidRDefault="000311EF" w:rsidP="000311EF">
      <w:pPr>
        <w:pStyle w:val="NormalWeb"/>
        <w:rPr>
          <w:b w:val="0"/>
        </w:rPr>
      </w:pPr>
      <w:r w:rsidRPr="00010996">
        <w:rPr>
          <w:b w:val="0"/>
          <w:lang w:val="en-US"/>
        </w:rPr>
        <w:t>L</w:t>
      </w:r>
      <w:r w:rsidRPr="00010996">
        <w:rPr>
          <w:b w:val="0"/>
        </w:rPr>
        <w:t xml:space="preserve">. </w:t>
      </w:r>
      <w:r w:rsidRPr="00864775">
        <w:rPr>
          <w:b w:val="0"/>
        </w:rPr>
        <w:t>21</w:t>
      </w:r>
      <w:r>
        <w:rPr>
          <w:b w:val="0"/>
        </w:rPr>
        <w:t>63</w:t>
      </w:r>
      <w:r w:rsidRPr="00864775">
        <w:rPr>
          <w:b w:val="0"/>
        </w:rPr>
        <w:t>-</w:t>
      </w:r>
      <w:r>
        <w:rPr>
          <w:b w:val="0"/>
        </w:rPr>
        <w:t>5</w:t>
      </w:r>
      <w:r w:rsidRPr="00086DC1">
        <w:t xml:space="preserve"> </w:t>
      </w:r>
      <w:r w:rsidRPr="00086DC1">
        <w:rPr>
          <w:b w:val="0"/>
        </w:rPr>
        <w:t>Κώδικα Δημόσιας Υγείας:</w:t>
      </w:r>
    </w:p>
    <w:p w14:paraId="3E9905CD" w14:textId="6AF6C3C1" w:rsidR="000311EF" w:rsidRDefault="000311EF" w:rsidP="000311EF">
      <w:r>
        <w:t>«</w:t>
      </w:r>
      <w:r w:rsidRPr="00086DC1">
        <w:rPr>
          <w:i/>
        </w:rPr>
        <w:t xml:space="preserve">Σύμφωνα με τις διατάξεις του άρθρου 511-18-1 ΠΚ, η σύλληψη </w:t>
      </w:r>
      <w:r w:rsidRPr="00086DC1">
        <w:rPr>
          <w:i/>
          <w:lang w:val="en-US"/>
        </w:rPr>
        <w:t>in</w:t>
      </w:r>
      <w:r w:rsidRPr="00086DC1">
        <w:rPr>
          <w:i/>
        </w:rPr>
        <w:t xml:space="preserve"> </w:t>
      </w:r>
      <w:r w:rsidRPr="00086DC1">
        <w:rPr>
          <w:i/>
          <w:lang w:val="en-US"/>
        </w:rPr>
        <w:t>vitro</w:t>
      </w:r>
      <w:r w:rsidRPr="00086DC1">
        <w:rPr>
          <w:i/>
        </w:rPr>
        <w:t xml:space="preserve"> ή η δημιουργία με κλωνοποίηση ανθρώπινων εμβρύων για ερευνητικούς σκοπούς τιμωρείται με ποινή φυλάκισης επτά (7) ετών και χρηματική ποινή 100</w:t>
      </w:r>
      <w:r>
        <w:rPr>
          <w:i/>
        </w:rPr>
        <w:t>.000</w:t>
      </w:r>
      <w:r w:rsidRPr="00086DC1">
        <w:rPr>
          <w:i/>
        </w:rPr>
        <w:t xml:space="preserve"> ευρώ</w:t>
      </w:r>
      <w:r>
        <w:t>».</w:t>
      </w:r>
    </w:p>
    <w:p w14:paraId="277DEAB6" w14:textId="77777777" w:rsidR="004442E4" w:rsidRDefault="004442E4" w:rsidP="000311EF"/>
    <w:p w14:paraId="50ED40B7" w14:textId="77777777" w:rsidR="004442E4" w:rsidRPr="004933B9" w:rsidRDefault="004442E4" w:rsidP="004442E4">
      <w:r w:rsidRPr="004933B9">
        <w:t xml:space="preserve">3.9. Επιτρέπεται η αναπαραγωγική κλωνοποίηση;    </w:t>
      </w:r>
    </w:p>
    <w:p w14:paraId="38D881F9" w14:textId="77777777" w:rsidR="004442E4" w:rsidRPr="004933B9" w:rsidRDefault="004442E4" w:rsidP="004442E4">
      <w:r w:rsidRPr="004933B9">
        <w:t xml:space="preserve">ΝΑΙ                    </w:t>
      </w:r>
      <w:r w:rsidRPr="00747E0B">
        <w:rPr>
          <w:u w:val="single"/>
        </w:rPr>
        <w:t>ΟΧΙ</w:t>
      </w:r>
    </w:p>
    <w:p w14:paraId="64FF10F6" w14:textId="77777777" w:rsidR="004442E4" w:rsidRPr="004933B9" w:rsidRDefault="004442E4" w:rsidP="004442E4">
      <w:r w:rsidRPr="004933B9">
        <w:t>3.10. Αν η απάντηση στο 3.9. είναι ΟΧΙ, υπάρχουν συνέπειες σε περίπτωση παραβίασης των διατάξεων του νόμου;</w:t>
      </w:r>
    </w:p>
    <w:p w14:paraId="283A8F9A" w14:textId="77777777" w:rsidR="004442E4" w:rsidRPr="004933B9" w:rsidRDefault="004442E4" w:rsidP="004442E4">
      <w:r w:rsidRPr="00747E0B">
        <w:rPr>
          <w:u w:val="single"/>
        </w:rPr>
        <w:t>ΝΑΙ</w:t>
      </w:r>
      <w:r w:rsidRPr="00BD7E63">
        <w:t xml:space="preserve">                    </w:t>
      </w:r>
      <w:r w:rsidRPr="004933B9">
        <w:t>ΟΧΙ</w:t>
      </w:r>
    </w:p>
    <w:p w14:paraId="69A3BF70" w14:textId="77777777" w:rsidR="004442E4" w:rsidRPr="004933B9" w:rsidRDefault="004442E4" w:rsidP="004442E4">
      <w:r w:rsidRPr="004933B9">
        <w:t>3.11. Αν η απάντηση στο 3.10. είναι ΝΑΙ, ποιον αφορούν;</w:t>
      </w:r>
    </w:p>
    <w:p w14:paraId="49F42A3E" w14:textId="77777777" w:rsidR="004442E4" w:rsidRPr="004933B9" w:rsidRDefault="004442E4" w:rsidP="004442E4">
      <w:pPr>
        <w:spacing w:before="60" w:after="60"/>
        <w:ind w:left="426"/>
      </w:pPr>
      <w:r w:rsidRPr="004933B9">
        <w:t xml:space="preserve">(α) </w:t>
      </w:r>
      <w:r w:rsidRPr="00747E0B">
        <w:rPr>
          <w:u w:val="single"/>
        </w:rPr>
        <w:t>Τον ιατρό</w:t>
      </w:r>
    </w:p>
    <w:p w14:paraId="37055E59" w14:textId="77777777" w:rsidR="004442E4" w:rsidRPr="004933B9" w:rsidRDefault="004442E4" w:rsidP="004442E4">
      <w:pPr>
        <w:spacing w:before="60" w:after="60"/>
        <w:ind w:left="426"/>
      </w:pPr>
      <w:r w:rsidRPr="004933B9">
        <w:t xml:space="preserve">(β) Τη γυναίκα </w:t>
      </w:r>
    </w:p>
    <w:p w14:paraId="64013D4B" w14:textId="77777777" w:rsidR="004442E4" w:rsidRPr="004933B9" w:rsidRDefault="004442E4" w:rsidP="004442E4">
      <w:pPr>
        <w:spacing w:before="60" w:after="60"/>
        <w:ind w:left="426"/>
      </w:pPr>
      <w:r w:rsidRPr="004933B9">
        <w:t>(γ) Τον άνδρα</w:t>
      </w:r>
    </w:p>
    <w:p w14:paraId="1E995298" w14:textId="77777777" w:rsidR="004442E4" w:rsidRPr="004933B9" w:rsidRDefault="004442E4" w:rsidP="004442E4">
      <w:pPr>
        <w:spacing w:before="60" w:after="60"/>
        <w:ind w:left="426"/>
      </w:pPr>
      <w:r w:rsidRPr="004933B9">
        <w:t xml:space="preserve">(δ) </w:t>
      </w:r>
      <w:r w:rsidRPr="00747E0B">
        <w:rPr>
          <w:u w:val="single"/>
        </w:rPr>
        <w:t>Το ιατρικό κέντρο όπου πραγματοποιείται</w:t>
      </w:r>
      <w:r w:rsidRPr="004933B9">
        <w:t xml:space="preserve"> </w:t>
      </w:r>
    </w:p>
    <w:p w14:paraId="7B025DB8" w14:textId="77777777" w:rsidR="004442E4" w:rsidRPr="00562187" w:rsidRDefault="004442E4" w:rsidP="004442E4">
      <w:r w:rsidRPr="00562187">
        <w:t>3.12. Οι συνέπειες είναι:</w:t>
      </w:r>
    </w:p>
    <w:p w14:paraId="24D24725" w14:textId="77777777" w:rsidR="004442E4" w:rsidRPr="00562187" w:rsidRDefault="004442E4" w:rsidP="004442E4">
      <w:pPr>
        <w:spacing w:before="60" w:after="60"/>
        <w:ind w:left="426"/>
      </w:pPr>
      <w:r w:rsidRPr="00562187">
        <w:t xml:space="preserve">(α) </w:t>
      </w:r>
      <w:r w:rsidRPr="00284933">
        <w:rPr>
          <w:u w:val="single"/>
        </w:rPr>
        <w:t>διοικητικής φύσης</w:t>
      </w:r>
    </w:p>
    <w:p w14:paraId="32000E1D" w14:textId="77777777" w:rsidR="004442E4" w:rsidRPr="00562187" w:rsidRDefault="004442E4" w:rsidP="004442E4">
      <w:pPr>
        <w:spacing w:before="60" w:after="60"/>
        <w:ind w:left="426"/>
      </w:pPr>
      <w:r w:rsidRPr="00562187">
        <w:t>(β) αστικής φύσης</w:t>
      </w:r>
    </w:p>
    <w:p w14:paraId="472A46CD" w14:textId="77777777" w:rsidR="004442E4" w:rsidRPr="00562187" w:rsidRDefault="004442E4" w:rsidP="004442E4">
      <w:pPr>
        <w:spacing w:before="60" w:after="60"/>
        <w:ind w:left="426"/>
      </w:pPr>
      <w:r w:rsidRPr="00562187">
        <w:t xml:space="preserve">(γ) </w:t>
      </w:r>
      <w:r w:rsidRPr="00562187">
        <w:rPr>
          <w:u w:val="single"/>
        </w:rPr>
        <w:t>ποινικής φύσης</w:t>
      </w:r>
    </w:p>
    <w:p w14:paraId="54CCD3FC" w14:textId="3569F7EE" w:rsidR="004442E4" w:rsidRDefault="004442E4" w:rsidP="000311EF">
      <w:pPr>
        <w:rPr>
          <w:rFonts w:eastAsia="Calibri"/>
          <w:lang w:eastAsia="en-US"/>
        </w:rPr>
      </w:pPr>
      <w:r w:rsidRPr="00562187">
        <w:rPr>
          <w:rFonts w:eastAsia="Calibri"/>
          <w:lang w:eastAsia="en-US"/>
        </w:rPr>
        <w:t xml:space="preserve">Άρθρα L. 6241-1 και L. 6241-2  του Κώδικα Δημόσιας Υγείας, τα οποία προβλέπουν 23 διαφορετικές περιπτώσεις οι οποίες αποτελούν λόγο επιβολής διοικητικής φύσης κύρωσης από τον γενικό διευθυντή του Περιφερειακού Οργανισμού Υγείας (ARS) στα κέντρα ιατρικά υποβοηθούμενης αναπαραγωγής και τα βιολογικά τους εργαστήρια. Οι περιπτώσεις αυτές αφορούν σε διάφορους χειρισμούς και διεργασίες, όπως ενδεικτικά τη διενέργεια εξετάσεων (όπως π.χ. προγεννητική διάγνωση) χωρίς την ειδικά προβλεπόμενη έγκριση ή τη διενέργεια </w:t>
      </w:r>
      <w:r w:rsidRPr="00562187">
        <w:rPr>
          <w:rFonts w:eastAsia="Calibri"/>
          <w:lang w:eastAsia="en-US"/>
        </w:rPr>
        <w:lastRenderedPageBreak/>
        <w:t>εξετάσεων χωρίς τον απαιτούμενο από το νόμο έλεγχο της ποιότητας των αποτελεσμάτων αυτών</w:t>
      </w:r>
      <w:r w:rsidRPr="00562187">
        <w:rPr>
          <w:rFonts w:eastAsia="Calibri"/>
          <w:vertAlign w:val="superscript"/>
          <w:lang w:eastAsia="en-US"/>
        </w:rPr>
        <w:footnoteReference w:id="373"/>
      </w:r>
      <w:r w:rsidRPr="00562187">
        <w:rPr>
          <w:rFonts w:eastAsia="Calibri"/>
          <w:lang w:eastAsia="en-US"/>
        </w:rPr>
        <w:t>.</w:t>
      </w:r>
    </w:p>
    <w:p w14:paraId="2137DD2B" w14:textId="77777777" w:rsidR="004442E4" w:rsidRDefault="004442E4" w:rsidP="000311EF">
      <w:pPr>
        <w:rPr>
          <w:rFonts w:eastAsia="Calibri"/>
          <w:lang w:eastAsia="en-US"/>
        </w:rPr>
      </w:pPr>
    </w:p>
    <w:p w14:paraId="5098D41E" w14:textId="77777777" w:rsidR="004442E4" w:rsidRPr="00010996" w:rsidRDefault="004442E4" w:rsidP="004442E4">
      <w:pPr>
        <w:pStyle w:val="NormalWeb"/>
        <w:rPr>
          <w:b w:val="0"/>
        </w:rPr>
      </w:pPr>
      <w:r w:rsidRPr="00010996">
        <w:rPr>
          <w:b w:val="0"/>
          <w:lang w:val="en-US"/>
        </w:rPr>
        <w:t>L</w:t>
      </w:r>
      <w:r w:rsidRPr="00010996">
        <w:rPr>
          <w:b w:val="0"/>
        </w:rPr>
        <w:t>. 21</w:t>
      </w:r>
      <w:r>
        <w:rPr>
          <w:b w:val="0"/>
        </w:rPr>
        <w:t>63</w:t>
      </w:r>
      <w:r w:rsidRPr="00010996">
        <w:rPr>
          <w:b w:val="0"/>
        </w:rPr>
        <w:t>-1</w:t>
      </w:r>
      <w:r w:rsidRPr="00562187">
        <w:rPr>
          <w:b w:val="0"/>
        </w:rPr>
        <w:t xml:space="preserve"> Κώδικα Δημόσιας Υγείας:</w:t>
      </w:r>
    </w:p>
    <w:p w14:paraId="120E67D4" w14:textId="77777777" w:rsidR="004442E4" w:rsidRPr="00D701E5" w:rsidRDefault="004442E4" w:rsidP="004442E4">
      <w:pPr>
        <w:pStyle w:val="NormalWeb"/>
      </w:pPr>
      <w:r>
        <w:t>«</w:t>
      </w:r>
      <w:r w:rsidRPr="00562187">
        <w:rPr>
          <w:i/>
        </w:rPr>
        <w:t xml:space="preserve">Σύμφωνα με τις διατάξεις του άρθρου 214-2 ΠΚ, η παρέμβαση που στόχο της έχει τη γέννηση τέκνου γενετικά πανομοιότυπου με άλλο πρόσωπο, εν ζωή ή αποβιώσαντα, τιμωρείται με ποινή κάθειρξης τριάντα </w:t>
      </w:r>
      <w:r>
        <w:rPr>
          <w:i/>
        </w:rPr>
        <w:t>(30) ετών και χρηματική ποινή 7.500.</w:t>
      </w:r>
      <w:r w:rsidRPr="00562187">
        <w:rPr>
          <w:i/>
        </w:rPr>
        <w:t>000 ευρώ</w:t>
      </w:r>
      <w:r>
        <w:t xml:space="preserve">». </w:t>
      </w:r>
    </w:p>
    <w:p w14:paraId="4DB1FD31" w14:textId="77777777" w:rsidR="004442E4" w:rsidRPr="00010996" w:rsidRDefault="004442E4" w:rsidP="004442E4">
      <w:pPr>
        <w:pStyle w:val="NormalWeb"/>
        <w:rPr>
          <w:b w:val="0"/>
        </w:rPr>
      </w:pPr>
      <w:r w:rsidRPr="00010996">
        <w:rPr>
          <w:b w:val="0"/>
          <w:lang w:val="en-US"/>
        </w:rPr>
        <w:t>L</w:t>
      </w:r>
      <w:r w:rsidRPr="00010996">
        <w:rPr>
          <w:b w:val="0"/>
        </w:rPr>
        <w:t>. 21</w:t>
      </w:r>
      <w:r>
        <w:rPr>
          <w:b w:val="0"/>
        </w:rPr>
        <w:t>63</w:t>
      </w:r>
      <w:r w:rsidRPr="00010996">
        <w:rPr>
          <w:b w:val="0"/>
        </w:rPr>
        <w:t>-2</w:t>
      </w:r>
      <w:r w:rsidRPr="00562187">
        <w:rPr>
          <w:b w:val="0"/>
        </w:rPr>
        <w:t xml:space="preserve"> Κώδικα Δημόσιας Υγείας:</w:t>
      </w:r>
    </w:p>
    <w:p w14:paraId="404B1E16" w14:textId="77777777" w:rsidR="004442E4" w:rsidRPr="00562187" w:rsidRDefault="004442E4" w:rsidP="004442E4">
      <w:pPr>
        <w:pStyle w:val="NormalWeb"/>
        <w:rPr>
          <w:i/>
        </w:rPr>
      </w:pPr>
      <w:r>
        <w:t>«</w:t>
      </w:r>
      <w:r w:rsidRPr="00562187">
        <w:rPr>
          <w:i/>
        </w:rPr>
        <w:t xml:space="preserve">Σύμφωνα με τις διατάξεις του άρθρου 511-1 ΠΚ, τιμωρείται με έξι (6) χρόνια φυλάκιση και 150.000 ευρώ χρηματική ποινή η λήψη ιστών ή γαμετών με σκοπό τη γέννηση τέκνου γενετικά πανομοιότυπου με άλλο πρόσωπο, εν ζωή ή αποβιώσαντα. </w:t>
      </w:r>
    </w:p>
    <w:p w14:paraId="772C7B22" w14:textId="1CCE114E" w:rsidR="004442E4" w:rsidRDefault="004442E4" w:rsidP="004442E4">
      <w:r w:rsidRPr="00562187">
        <w:rPr>
          <w:i/>
        </w:rPr>
        <w:t>Σύμφωνα με τις διατάξεις του άρθρου 511-1-1 ΠΚ, σε περίπτωση που το αδίκημα του άρθρου 511-1 ΠΚ τελεστεί στο εξωτερικό από Γάλλο ή από πρόσωπο που έχει τη συνήθη διαμονή του σε γαλλικό έδαφος, η γαλλική νομοθεσία εφαρμόζεται κατ’ εξαίρεση του δευτέρου εδαφίου του άρθρου 113-6 και οι διατάξεις της δεύτερης φράσης του άρθρου 113-8 δεν εφαρμόζονται</w:t>
      </w:r>
      <w:r>
        <w:t>»</w:t>
      </w:r>
    </w:p>
    <w:p w14:paraId="3BEAFF43" w14:textId="77777777" w:rsidR="004442E4" w:rsidRDefault="004442E4" w:rsidP="000311EF"/>
    <w:p w14:paraId="24A36CC3" w14:textId="77777777" w:rsidR="004442E4" w:rsidRDefault="004442E4" w:rsidP="000311EF"/>
    <w:p w14:paraId="4BE7ED86" w14:textId="77777777" w:rsidR="00FD6E0D" w:rsidRPr="004933B9" w:rsidRDefault="00FD6E0D" w:rsidP="00FD6E0D">
      <w:pPr>
        <w:pStyle w:val="Heading1"/>
      </w:pPr>
      <w:bookmarkStart w:id="210" w:name="_Toc275535617"/>
      <w:bookmarkStart w:id="211" w:name="_Toc276148671"/>
      <w:bookmarkStart w:id="212" w:name="_Toc276574442"/>
      <w:r w:rsidRPr="004933B9">
        <w:lastRenderedPageBreak/>
        <w:t>Ι</w:t>
      </w:r>
      <w:r w:rsidRPr="004933B9">
        <w:rPr>
          <w:lang w:val="en-US"/>
        </w:rPr>
        <w:t>V</w:t>
      </w:r>
      <w:r w:rsidRPr="004933B9">
        <w:t xml:space="preserve">. ΥΠΟΒΟΗΘΟΥΜΕΝΗ ΑΝΑΠΑΡΑΓΩΓΗ </w:t>
      </w:r>
      <w:r>
        <w:rPr>
          <w:lang w:val="el-GR"/>
        </w:rPr>
        <w:t>ΚΑΙ</w:t>
      </w:r>
      <w:r w:rsidRPr="004933B9">
        <w:t xml:space="preserve"> ΕΝΑΛΛΑΚΤΙΚΑ ΟΙΚΟΓΕΝΕΙΑΚΑ ΣΧΗΜΑΤΑ</w:t>
      </w:r>
      <w:bookmarkEnd w:id="188"/>
      <w:bookmarkEnd w:id="210"/>
      <w:bookmarkEnd w:id="211"/>
      <w:bookmarkEnd w:id="212"/>
    </w:p>
    <w:p w14:paraId="1B901DC6" w14:textId="77777777" w:rsidR="00FD6E0D" w:rsidRPr="004933B9" w:rsidRDefault="00FD6E0D" w:rsidP="00FD6E0D">
      <w:pPr>
        <w:pStyle w:val="Heading2"/>
      </w:pPr>
      <w:bookmarkStart w:id="213" w:name="_Ref393995684"/>
      <w:bookmarkStart w:id="214" w:name="_Toc394082571"/>
      <w:bookmarkStart w:id="215" w:name="_Toc275535618"/>
      <w:bookmarkStart w:id="216" w:name="_Toc276148672"/>
      <w:bookmarkStart w:id="217" w:name="_Toc276574443"/>
      <w:r w:rsidRPr="004933B9">
        <w:t xml:space="preserve">Α. </w:t>
      </w:r>
      <w:bookmarkEnd w:id="213"/>
      <w:bookmarkEnd w:id="214"/>
      <w:bookmarkEnd w:id="215"/>
      <w:r w:rsidR="000C15CB">
        <w:t>Μοναχικές γυναίκες</w:t>
      </w:r>
      <w:bookmarkEnd w:id="216"/>
      <w:bookmarkEnd w:id="217"/>
    </w:p>
    <w:p w14:paraId="02D30495" w14:textId="77777777" w:rsidR="002B0FA3" w:rsidRDefault="002B0FA3" w:rsidP="00801C2A"/>
    <w:p w14:paraId="74637ED3" w14:textId="77777777" w:rsidR="00FD6E0D" w:rsidRPr="004933B9" w:rsidRDefault="00FD6E0D" w:rsidP="00FD6E0D">
      <w:pPr>
        <w:pStyle w:val="Heading2"/>
      </w:pPr>
      <w:bookmarkStart w:id="218" w:name="_Ref393995714"/>
      <w:bookmarkStart w:id="219" w:name="_Toc394082575"/>
      <w:bookmarkStart w:id="220" w:name="_Toc275535619"/>
      <w:bookmarkStart w:id="221" w:name="_Toc276148673"/>
      <w:bookmarkStart w:id="222" w:name="_Toc276574444"/>
      <w:r w:rsidRPr="004933B9">
        <w:t xml:space="preserve">Β. </w:t>
      </w:r>
      <w:bookmarkEnd w:id="218"/>
      <w:bookmarkEnd w:id="219"/>
      <w:bookmarkEnd w:id="220"/>
      <w:r w:rsidR="006F4825">
        <w:t>Μοναχικός άνδρας</w:t>
      </w:r>
      <w:bookmarkEnd w:id="221"/>
      <w:bookmarkEnd w:id="222"/>
      <w:r w:rsidR="006F4825">
        <w:t xml:space="preserve"> </w:t>
      </w:r>
    </w:p>
    <w:p w14:paraId="2805556C" w14:textId="77777777" w:rsidR="00FD6E0D" w:rsidRDefault="00FD6E0D" w:rsidP="00801C2A"/>
    <w:p w14:paraId="6FAAE8DF" w14:textId="77777777" w:rsidR="00FD6E0D" w:rsidRPr="004933B9" w:rsidRDefault="00FD6E0D" w:rsidP="00FD6E0D">
      <w:pPr>
        <w:pStyle w:val="Heading2"/>
      </w:pPr>
      <w:bookmarkStart w:id="223" w:name="_Ref393995600"/>
      <w:bookmarkStart w:id="224" w:name="_Ref393995606"/>
      <w:bookmarkStart w:id="225" w:name="_Toc394082579"/>
      <w:bookmarkStart w:id="226" w:name="_Toc275535620"/>
      <w:bookmarkStart w:id="227" w:name="_Toc276148674"/>
      <w:bookmarkStart w:id="228" w:name="_Toc276574445"/>
      <w:r w:rsidRPr="004933B9">
        <w:t xml:space="preserve">Γ. </w:t>
      </w:r>
      <w:bookmarkEnd w:id="223"/>
      <w:bookmarkEnd w:id="224"/>
      <w:bookmarkEnd w:id="225"/>
      <w:bookmarkEnd w:id="226"/>
      <w:r w:rsidR="006F4825">
        <w:t>Ομόφυλα ζευγάρια</w:t>
      </w:r>
      <w:bookmarkEnd w:id="227"/>
      <w:bookmarkEnd w:id="228"/>
      <w:r w:rsidR="006F4825">
        <w:t xml:space="preserve"> </w:t>
      </w:r>
    </w:p>
    <w:p w14:paraId="0AB4AEA6" w14:textId="0DB7BAC0" w:rsidR="00A254D3" w:rsidRDefault="00D9759E" w:rsidP="00A254D3">
      <w:r w:rsidRPr="00D9759E">
        <w:rPr>
          <w:b/>
          <w:i/>
        </w:rPr>
        <w:t xml:space="preserve"> </w:t>
      </w:r>
      <w:r w:rsidRPr="00D9759E">
        <w:rPr>
          <w:b/>
          <w:i/>
          <w:lang w:val="en-US"/>
        </w:rPr>
        <w:t>St. Hennette-Vauchez, D. Roman</w:t>
      </w:r>
      <w:r>
        <w:rPr>
          <w:lang w:val="en-US"/>
        </w:rPr>
        <w:t xml:space="preserve">, </w:t>
      </w:r>
      <w:r w:rsidRPr="00D9759E">
        <w:rPr>
          <w:i/>
          <w:lang w:val="en-US"/>
        </w:rPr>
        <w:t>Droits de l’Homme et libert</w:t>
      </w:r>
      <w:r w:rsidRPr="00D9759E">
        <w:rPr>
          <w:i/>
        </w:rPr>
        <w:t>é</w:t>
      </w:r>
      <w:r w:rsidRPr="00D9759E">
        <w:rPr>
          <w:i/>
          <w:lang w:val="en-US"/>
        </w:rPr>
        <w:t>s fondamentales</w:t>
      </w:r>
      <w:r>
        <w:rPr>
          <w:lang w:val="en-US"/>
        </w:rPr>
        <w:t xml:space="preserve">, Éd. Dalloz, 2013, </w:t>
      </w:r>
      <w:r>
        <w:t>σελ. 530.</w:t>
      </w:r>
    </w:p>
    <w:p w14:paraId="509CBEB1" w14:textId="77777777" w:rsidR="00A254D3" w:rsidRDefault="003151F6" w:rsidP="00A254D3">
      <w:hyperlink r:id="rId14" w:anchor=".VCP-elNtMlA" w:history="1">
        <w:r w:rsidR="00A254D3" w:rsidRPr="002A06A4">
          <w:rPr>
            <w:rStyle w:val="Hyperlink"/>
          </w:rPr>
          <w:t>http://www.genethique.org/fr/gpa-le-gouvernement-lheure-des-choix-62136.html#.VCP-elNtMlA</w:t>
        </w:r>
      </w:hyperlink>
      <w:r w:rsidR="00A254D3">
        <w:t xml:space="preserve"> </w:t>
      </w:r>
    </w:p>
    <w:p w14:paraId="284C6278" w14:textId="77777777" w:rsidR="00A254D3" w:rsidRDefault="003151F6" w:rsidP="00A254D3">
      <w:hyperlink r:id="rId15" w:anchor=".VCWrh1ZLa3V" w:history="1">
        <w:r w:rsidR="00A254D3" w:rsidRPr="00C11A79">
          <w:rPr>
            <w:rStyle w:val="Hyperlink"/>
          </w:rPr>
          <w:t>http://genethique.org/fr/la-cour-de-cassation-autorise-ladoption-denfant-concu-par-pma-62108.html#.VCWrh1ZLa3V</w:t>
        </w:r>
      </w:hyperlink>
      <w:r w:rsidR="00A254D3">
        <w:t xml:space="preserve"> </w:t>
      </w:r>
    </w:p>
    <w:p w14:paraId="156A6B17" w14:textId="77777777" w:rsidR="00A254D3" w:rsidRDefault="003151F6" w:rsidP="00A254D3">
      <w:hyperlink r:id="rId16" w:anchor=".VCWr01ZLa3V" w:history="1">
        <w:r w:rsidR="00A254D3" w:rsidRPr="00C11A79">
          <w:rPr>
            <w:rStyle w:val="Hyperlink"/>
          </w:rPr>
          <w:t>http://www.genethique.org/fr/quelles-suites-lavis-de-la-cour-de-cassation-62157.html#.VCWr01ZLa3V</w:t>
        </w:r>
      </w:hyperlink>
      <w:r w:rsidR="00A254D3">
        <w:t xml:space="preserve"> </w:t>
      </w:r>
    </w:p>
    <w:p w14:paraId="2E9B0E80" w14:textId="77777777" w:rsidR="00A254D3" w:rsidRDefault="003151F6" w:rsidP="00A254D3">
      <w:hyperlink r:id="rId17" w:anchor=".VCWsJFZLa3V" w:history="1">
        <w:r w:rsidR="00A254D3" w:rsidRPr="00C11A79">
          <w:rPr>
            <w:rStyle w:val="Hyperlink"/>
          </w:rPr>
          <w:t>http://genethique.org/fr/pma-letranger-letrange-reponse-de-la-cour-de-cassation-62109.html#.VCWsJFZLa3V</w:t>
        </w:r>
      </w:hyperlink>
      <w:r w:rsidR="00A254D3">
        <w:t xml:space="preserve"> </w:t>
      </w:r>
    </w:p>
    <w:p w14:paraId="0D88005F" w14:textId="77777777" w:rsidR="00FD6E0D" w:rsidRDefault="00FD6E0D" w:rsidP="00801C2A"/>
    <w:p w14:paraId="3582F502" w14:textId="77777777" w:rsidR="004539D1" w:rsidRDefault="004539D1" w:rsidP="00801C2A"/>
    <w:p w14:paraId="7BFE25EA" w14:textId="77777777" w:rsidR="00377A65" w:rsidRPr="004933B9" w:rsidRDefault="00377A65" w:rsidP="00377A65">
      <w:pPr>
        <w:pStyle w:val="Heading1"/>
      </w:pPr>
      <w:bookmarkStart w:id="229" w:name="_Toc394082588"/>
      <w:bookmarkStart w:id="230" w:name="_Toc275535621"/>
      <w:bookmarkStart w:id="231" w:name="_Toc276148675"/>
      <w:bookmarkStart w:id="232" w:name="_Toc276237106"/>
      <w:bookmarkStart w:id="233" w:name="_Toc276574446"/>
      <w:r w:rsidRPr="004933B9">
        <w:rPr>
          <w:lang w:val="en-GB"/>
        </w:rPr>
        <w:lastRenderedPageBreak/>
        <w:t>V</w:t>
      </w:r>
      <w:r w:rsidRPr="004933B9">
        <w:t>Ι. ΘΕΜΑΤΑ ΒΙΟΗΘΙΚΗΣ ΣΤΗΝ ΥΠΟΒΟΗΘΟΥΜΕΝΗ ΑΝΑΠΑΡΑΓΩΓΗ</w:t>
      </w:r>
      <w:bookmarkEnd w:id="229"/>
      <w:bookmarkEnd w:id="230"/>
      <w:bookmarkEnd w:id="231"/>
      <w:bookmarkEnd w:id="232"/>
      <w:bookmarkEnd w:id="233"/>
    </w:p>
    <w:p w14:paraId="60017A31" w14:textId="77777777" w:rsidR="00377A65" w:rsidRPr="004933B9" w:rsidRDefault="00377A65" w:rsidP="00377A65">
      <w:pPr>
        <w:pStyle w:val="Heading2"/>
        <w:rPr>
          <w:u w:val="single"/>
        </w:rPr>
      </w:pPr>
      <w:bookmarkStart w:id="234" w:name="_Toc394082589"/>
      <w:bookmarkStart w:id="235" w:name="_Toc275535622"/>
      <w:bookmarkStart w:id="236" w:name="_Toc276148676"/>
      <w:bookmarkStart w:id="237" w:name="_Toc276237107"/>
      <w:bookmarkStart w:id="238" w:name="_Toc276574447"/>
      <w:r w:rsidRPr="004933B9">
        <w:t xml:space="preserve">1. </w:t>
      </w:r>
      <w:r w:rsidR="00D77203">
        <w:t>Αξιολόγηση του συμφέροντος του παιδιού που πρόκειται να γεννηθεί</w:t>
      </w:r>
      <w:bookmarkEnd w:id="234"/>
      <w:bookmarkEnd w:id="235"/>
      <w:bookmarkEnd w:id="236"/>
      <w:bookmarkEnd w:id="237"/>
      <w:bookmarkEnd w:id="238"/>
    </w:p>
    <w:p w14:paraId="6D476716" w14:textId="77777777" w:rsidR="002F1696" w:rsidRDefault="002F1696" w:rsidP="00CC254B">
      <w:bookmarkStart w:id="239" w:name="_Toc394082592"/>
      <w:bookmarkStart w:id="240" w:name="_Ref273469758"/>
    </w:p>
    <w:p w14:paraId="33B99121" w14:textId="7AA144AA" w:rsidR="00CC254B" w:rsidRDefault="002F1696" w:rsidP="002F1696">
      <w:pPr>
        <w:pStyle w:val="Heading2"/>
      </w:pPr>
      <w:bookmarkStart w:id="241" w:name="_Toc276574448"/>
      <w:r>
        <w:t>3. Νομική φύση του γεννητικού υλικού</w:t>
      </w:r>
      <w:bookmarkEnd w:id="241"/>
      <w:r>
        <w:t xml:space="preserve"> </w:t>
      </w:r>
    </w:p>
    <w:p w14:paraId="21E8CA2F" w14:textId="4BFCA106" w:rsidR="002F1696" w:rsidRDefault="002F1696" w:rsidP="002F1696">
      <w:r>
        <w:rPr>
          <w:b/>
          <w:i/>
          <w:lang w:val="en-US"/>
        </w:rPr>
        <w:t xml:space="preserve">H. Oberdorff, </w:t>
      </w:r>
      <w:r>
        <w:rPr>
          <w:i/>
          <w:lang w:val="en-US"/>
        </w:rPr>
        <w:t>Droits de l’homme et libert</w:t>
      </w:r>
      <w:r w:rsidRPr="00E254F5">
        <w:rPr>
          <w:i/>
        </w:rPr>
        <w:t>é</w:t>
      </w:r>
      <w:r>
        <w:rPr>
          <w:i/>
          <w:lang w:val="en-US"/>
        </w:rPr>
        <w:t xml:space="preserve">s fondamentales, </w:t>
      </w:r>
      <w:r>
        <w:t xml:space="preserve">Éd. Lextenso, LGDJ, 2013, σελ. 435-436. </w:t>
      </w:r>
    </w:p>
    <w:p w14:paraId="0B5160D6" w14:textId="77777777" w:rsidR="002F1696" w:rsidRDefault="002F1696" w:rsidP="002F1696"/>
    <w:p w14:paraId="710164F8" w14:textId="77777777" w:rsidR="00377A65" w:rsidRPr="004933B9" w:rsidRDefault="00377A65" w:rsidP="00377A65">
      <w:pPr>
        <w:pStyle w:val="Heading2"/>
      </w:pPr>
      <w:bookmarkStart w:id="242" w:name="_Ref274843385"/>
      <w:bookmarkStart w:id="243" w:name="_Toc275535623"/>
      <w:bookmarkStart w:id="244" w:name="_Toc276148677"/>
      <w:bookmarkStart w:id="245" w:name="_Toc276237108"/>
      <w:bookmarkStart w:id="246" w:name="_Toc276574449"/>
      <w:r w:rsidRPr="004933B9">
        <w:t xml:space="preserve">4. </w:t>
      </w:r>
      <w:bookmarkEnd w:id="239"/>
      <w:bookmarkEnd w:id="240"/>
      <w:r w:rsidR="00463C6E">
        <w:t>Αποκάλυψη ταυτότητας δοτών γεννητικού υλικού</w:t>
      </w:r>
      <w:bookmarkEnd w:id="242"/>
      <w:bookmarkEnd w:id="243"/>
      <w:bookmarkEnd w:id="244"/>
      <w:bookmarkEnd w:id="245"/>
      <w:bookmarkEnd w:id="246"/>
      <w:r w:rsidR="00463C6E">
        <w:t xml:space="preserve"> </w:t>
      </w:r>
    </w:p>
    <w:p w14:paraId="5D8B70F5" w14:textId="77777777" w:rsidR="00377A65" w:rsidRPr="004933B9" w:rsidRDefault="00377A65" w:rsidP="00377A65">
      <w:r w:rsidRPr="004933B9">
        <w:t>4.1.</w:t>
      </w:r>
      <w:r>
        <w:t xml:space="preserve"> </w:t>
      </w:r>
      <w:r w:rsidRPr="004933B9">
        <w:t xml:space="preserve">Αποκαλύπτεται η ταυτότητα του δότη του γεννητικού υλικού στα πρόσωπα που επιθυμούν να αποκτήσουν παιδί; </w:t>
      </w:r>
    </w:p>
    <w:p w14:paraId="49795260" w14:textId="77777777" w:rsidR="00377A65" w:rsidRDefault="00377A65" w:rsidP="00801C2A"/>
    <w:p w14:paraId="4E5A11E1" w14:textId="77777777" w:rsidR="004539D1" w:rsidRDefault="004539D1" w:rsidP="00801C2A">
      <w:r>
        <w:t xml:space="preserve">Ανωνυμία δότη </w:t>
      </w:r>
    </w:p>
    <w:p w14:paraId="706CB8E1" w14:textId="77777777" w:rsidR="004539D1" w:rsidRDefault="004539D1" w:rsidP="00801C2A">
      <w:r>
        <w:t xml:space="preserve">Βλ. σχετικά </w:t>
      </w:r>
      <w:r w:rsidRPr="006A718B">
        <w:rPr>
          <w:b/>
          <w:i/>
        </w:rPr>
        <w:t>Fr. Terré, D. Fenouillet</w:t>
      </w:r>
      <w:r w:rsidRPr="006A718B">
        <w:t xml:space="preserve">, </w:t>
      </w:r>
      <w:r w:rsidRPr="006A718B">
        <w:rPr>
          <w:i/>
        </w:rPr>
        <w:t>Droit civil. La famille</w:t>
      </w:r>
      <w:r w:rsidRPr="006A718B">
        <w:t xml:space="preserve">, </w:t>
      </w:r>
      <w:r w:rsidRPr="006A718B">
        <w:rPr>
          <w:i/>
        </w:rPr>
        <w:t>op.cit.</w:t>
      </w:r>
      <w:r>
        <w:t xml:space="preserve">, σελ. 748-749. </w:t>
      </w:r>
    </w:p>
    <w:p w14:paraId="15FD8F45" w14:textId="77777777" w:rsidR="00463C6E" w:rsidRDefault="00102DF4" w:rsidP="00463C6E">
      <w:r>
        <w:t>Συνταγματικό Συμβούλιο, 27 Ιουλίου 1994</w:t>
      </w:r>
    </w:p>
    <w:p w14:paraId="495EF2FF" w14:textId="0131D950" w:rsidR="00E65AB9" w:rsidRDefault="00E65AB9" w:rsidP="00E65AB9">
      <w:pPr>
        <w:rPr>
          <w:lang w:val="en-US" w:eastAsia="en-US"/>
        </w:rPr>
      </w:pPr>
      <w:r>
        <w:rPr>
          <w:lang w:val="en-US" w:eastAsia="en-US"/>
        </w:rPr>
        <w:t xml:space="preserve">Αρθρο: Le principe de l’anonymat du don de sperme : remarques sur son histoire et son application, </w:t>
      </w:r>
      <w:r>
        <w:rPr>
          <w:sz w:val="26"/>
          <w:szCs w:val="26"/>
          <w:lang w:val="en-US" w:eastAsia="en-US"/>
        </w:rPr>
        <w:t xml:space="preserve">S. Bateman </w:t>
      </w:r>
    </w:p>
    <w:p w14:paraId="29C24C2A" w14:textId="77777777" w:rsidR="003E67A9" w:rsidRPr="003E67A9" w:rsidRDefault="003E67A9" w:rsidP="003E67A9">
      <w:pPr>
        <w:rPr>
          <w:lang w:val="en-US"/>
        </w:rPr>
      </w:pPr>
      <w:r>
        <w:t xml:space="preserve">Article A. Lamboley, livre </w:t>
      </w:r>
      <w:r>
        <w:rPr>
          <w:lang w:val="en-US"/>
        </w:rPr>
        <w:t>CRFPA, p. 294-295</w:t>
      </w:r>
    </w:p>
    <w:p w14:paraId="02184B6E" w14:textId="31ADBC1F" w:rsidR="00E65AB9" w:rsidRDefault="00272388" w:rsidP="00463C6E">
      <w:r>
        <w:rPr>
          <w:b/>
          <w:i/>
          <w:lang w:val="en-US"/>
        </w:rPr>
        <w:t xml:space="preserve">H. Oberdorff, </w:t>
      </w:r>
      <w:r>
        <w:rPr>
          <w:i/>
          <w:lang w:val="en-US"/>
        </w:rPr>
        <w:t>Droits de l’homme et libert</w:t>
      </w:r>
      <w:r w:rsidRPr="00E254F5">
        <w:rPr>
          <w:i/>
        </w:rPr>
        <w:t>é</w:t>
      </w:r>
      <w:r>
        <w:rPr>
          <w:i/>
          <w:lang w:val="en-US"/>
        </w:rPr>
        <w:t xml:space="preserve">s fondamentales, </w:t>
      </w:r>
      <w:r>
        <w:t xml:space="preserve">Éd. Lextenso, LGDJ, 2013, σελ. 434. </w:t>
      </w:r>
    </w:p>
    <w:p w14:paraId="3B6E0389" w14:textId="77777777" w:rsidR="00463C6E" w:rsidRPr="004933B9" w:rsidRDefault="00463C6E" w:rsidP="00463C6E">
      <w:pPr>
        <w:pStyle w:val="Heading2"/>
      </w:pPr>
      <w:bookmarkStart w:id="247" w:name="_Toc394082596"/>
      <w:bookmarkStart w:id="248" w:name="_Ref274675140"/>
      <w:bookmarkStart w:id="249" w:name="_Toc275535624"/>
      <w:bookmarkStart w:id="250" w:name="_Toc276148678"/>
      <w:bookmarkStart w:id="251" w:name="_Toc276237109"/>
      <w:bookmarkStart w:id="252" w:name="_Toc276574450"/>
      <w:r w:rsidRPr="00B37294">
        <w:t xml:space="preserve">8. </w:t>
      </w:r>
      <w:bookmarkEnd w:id="247"/>
      <w:r>
        <w:t>Έρευνα επί του γεννητικού υλικού</w:t>
      </w:r>
      <w:bookmarkEnd w:id="248"/>
      <w:bookmarkEnd w:id="249"/>
      <w:bookmarkEnd w:id="250"/>
      <w:bookmarkEnd w:id="251"/>
      <w:bookmarkEnd w:id="252"/>
      <w:r>
        <w:t xml:space="preserve"> </w:t>
      </w:r>
      <w:r w:rsidRPr="004933B9">
        <w:t xml:space="preserve"> </w:t>
      </w:r>
    </w:p>
    <w:p w14:paraId="068A84D3" w14:textId="77777777" w:rsidR="00463C6E" w:rsidRDefault="00353ACB" w:rsidP="00463C6E">
      <w:pPr>
        <w:rPr>
          <w:lang w:val="en-US"/>
        </w:rPr>
      </w:pPr>
      <w:r>
        <w:rPr>
          <w:lang w:val="en-US"/>
        </w:rPr>
        <w:t xml:space="preserve">Binet, p. 75 suiv. </w:t>
      </w:r>
    </w:p>
    <w:p w14:paraId="0B165544" w14:textId="77777777" w:rsidR="00546539" w:rsidRDefault="00546539" w:rsidP="00463C6E">
      <w:pPr>
        <w:rPr>
          <w:lang w:val="en-US"/>
        </w:rPr>
      </w:pPr>
      <w:r>
        <w:rPr>
          <w:lang w:val="en-US"/>
        </w:rPr>
        <w:t>Fenouillet, p. 752-753</w:t>
      </w:r>
    </w:p>
    <w:p w14:paraId="72D1D789" w14:textId="77777777" w:rsidR="00546539" w:rsidRDefault="00546539" w:rsidP="00463C6E">
      <w:pPr>
        <w:rPr>
          <w:lang w:val="en-US"/>
        </w:rPr>
      </w:pPr>
    </w:p>
    <w:p w14:paraId="774687B2" w14:textId="77777777" w:rsidR="008B6E4A" w:rsidRDefault="008B6E4A" w:rsidP="008B6E4A">
      <w:r>
        <w:t xml:space="preserve">Δες ΙΙ, Δ, δ, ιι, </w:t>
      </w:r>
    </w:p>
    <w:p w14:paraId="67D0AB47" w14:textId="77777777" w:rsidR="008B6E4A" w:rsidRDefault="00674292" w:rsidP="008B6E4A">
      <w:r>
        <w:t xml:space="preserve">Ο </w:t>
      </w:r>
      <w:r w:rsidRPr="00674292">
        <w:rPr>
          <w:i/>
        </w:rPr>
        <w:t>Νόμος περί Β</w:t>
      </w:r>
      <w:r w:rsidR="008B6E4A" w:rsidRPr="00674292">
        <w:rPr>
          <w:i/>
        </w:rPr>
        <w:t>ιοηθικής</w:t>
      </w:r>
      <w:r w:rsidR="008B6E4A">
        <w:t xml:space="preserve"> του 2011 διεύρυνε επίσης ελαφρώς τη δυνατότητα έρευνας στα πλεονάζοντα έμβρυα. ... το άρθρο </w:t>
      </w:r>
      <w:r w:rsidR="008B6E4A" w:rsidRPr="00E84FCA">
        <w:rPr>
          <w:b/>
          <w:lang w:val="fr-FR"/>
        </w:rPr>
        <w:t>L</w:t>
      </w:r>
      <w:r w:rsidR="008B6E4A" w:rsidRPr="00E84FCA">
        <w:rPr>
          <w:b/>
        </w:rPr>
        <w:t>. 2151-5</w:t>
      </w:r>
      <w:r w:rsidR="008B6E4A">
        <w:rPr>
          <w:b/>
        </w:rPr>
        <w:t xml:space="preserve"> ΚΔΥ</w:t>
      </w:r>
      <w:r w:rsidR="008B6E4A">
        <w:t xml:space="preserve"> [προϋποθέσεις υπό τις οποίες διεξάγεται η έρευνα στα έμβρυα]. Από το Νόμο του 2011 και εφεξής, υπό τις προϋποθέσεις που προβλέπονται από το ανωτέρω άρθρο και το άρθρο </w:t>
      </w:r>
      <w:r w:rsidR="008B6E4A" w:rsidRPr="00E84FCA">
        <w:rPr>
          <w:b/>
          <w:lang w:val="fr-FR"/>
        </w:rPr>
        <w:t>L</w:t>
      </w:r>
      <w:r w:rsidR="008B6E4A" w:rsidRPr="00E84FCA">
        <w:rPr>
          <w:b/>
        </w:rPr>
        <w:t>. 1125-1</w:t>
      </w:r>
      <w:r w:rsidR="008B6E4A">
        <w:rPr>
          <w:b/>
        </w:rPr>
        <w:t xml:space="preserve"> ΚΔΥ </w:t>
      </w:r>
      <w:r w:rsidR="008B6E4A">
        <w:t>[προϋποθέσεις υπό τις οποίες διεξάγεται η έρευνα στα έμβρυα...</w:t>
      </w:r>
    </w:p>
    <w:p w14:paraId="124918F5" w14:textId="561356C4" w:rsidR="003E67A9" w:rsidRPr="003E67A9" w:rsidRDefault="003E67A9" w:rsidP="008B6E4A">
      <w:pPr>
        <w:rPr>
          <w:lang w:val="en-US"/>
        </w:rPr>
      </w:pPr>
      <w:r>
        <w:t xml:space="preserve">Article A. Lamboley, livre </w:t>
      </w:r>
      <w:r>
        <w:rPr>
          <w:lang w:val="en-US"/>
        </w:rPr>
        <w:t>CRFPA, p. 294-295</w:t>
      </w:r>
    </w:p>
    <w:p w14:paraId="4B47A71F" w14:textId="77777777" w:rsidR="00E45D90" w:rsidRDefault="00E45D90" w:rsidP="00E45D90">
      <w:pPr>
        <w:pStyle w:val="Heading4"/>
      </w:pPr>
      <w:bookmarkStart w:id="253" w:name="_Ref275461081"/>
      <w:bookmarkStart w:id="254" w:name="_Toc276148679"/>
      <w:bookmarkStart w:id="255" w:name="_Toc276237110"/>
      <w:bookmarkStart w:id="256" w:name="_Toc276574451"/>
      <w:r>
        <w:lastRenderedPageBreak/>
        <w:t>§2. Συνέπειες μη συμμόρφωσης με τις νομοθετικές προσταγές</w:t>
      </w:r>
      <w:bookmarkEnd w:id="253"/>
      <w:bookmarkEnd w:id="254"/>
      <w:bookmarkEnd w:id="255"/>
      <w:bookmarkEnd w:id="256"/>
      <w:r>
        <w:t xml:space="preserve"> </w:t>
      </w:r>
    </w:p>
    <w:p w14:paraId="539F6998" w14:textId="747BA27C" w:rsidR="00986020" w:rsidRDefault="00986020" w:rsidP="00986020">
      <w:pPr>
        <w:pStyle w:val="Heading1"/>
      </w:pPr>
      <w:bookmarkStart w:id="257" w:name="_Toc276574452"/>
      <w:r>
        <w:rPr>
          <w:lang w:val="en-US"/>
        </w:rPr>
        <w:lastRenderedPageBreak/>
        <w:t xml:space="preserve">VII. </w:t>
      </w:r>
      <w:r>
        <w:t>ΤΑ «ΟΙΚΟΝΟΜΙΚΑ» ΤΗΣ ΙΑΤΡΙΚΑ ΥΠΟΟΒΟΗΘΟΥΜΕΝΗΣ ΑΝΑΠΑΡΑΓΩΓΗΣ</w:t>
      </w:r>
      <w:bookmarkEnd w:id="257"/>
    </w:p>
    <w:p w14:paraId="7738D2B9" w14:textId="5D83C46A" w:rsidR="00986020" w:rsidRPr="00986020" w:rsidRDefault="00986020" w:rsidP="00986020">
      <w:pPr>
        <w:rPr>
          <w:lang w:val="en-US"/>
        </w:rPr>
      </w:pPr>
      <w:r>
        <w:rPr>
          <w:lang w:val="en-US"/>
        </w:rPr>
        <w:t>Article Fl. Taboulet</w:t>
      </w:r>
    </w:p>
    <w:p w14:paraId="2375BF4E" w14:textId="77777777" w:rsidR="00986020" w:rsidRPr="00986020" w:rsidRDefault="00986020" w:rsidP="00986020"/>
    <w:p w14:paraId="125D0321" w14:textId="77777777" w:rsidR="00591B8E" w:rsidRDefault="00591B8E" w:rsidP="00591B8E">
      <w:pPr>
        <w:pStyle w:val="Heading1"/>
      </w:pPr>
      <w:bookmarkStart w:id="258" w:name="_Ref276574105"/>
      <w:bookmarkStart w:id="259" w:name="_Toc276574453"/>
      <w:r>
        <w:rPr>
          <w:lang w:val="en-US"/>
        </w:rPr>
        <w:lastRenderedPageBreak/>
        <w:t xml:space="preserve">IX.  </w:t>
      </w:r>
      <w:r>
        <w:t>ΖΗΤΗΜΑΤΑ ΙΔΙΩΤΙΚΟΥ ΔΙΕΘΝΟΥΣ ΔΙΚΑΙΟΥ ΣΤΗΝ ΥΠΟΒΟΗΘΟΥΜΕΝΗ ΑΝΑΠΑΡΑΓΩΓΗ</w:t>
      </w:r>
      <w:bookmarkEnd w:id="258"/>
      <w:bookmarkEnd w:id="259"/>
      <w:r>
        <w:t xml:space="preserve"> </w:t>
      </w:r>
    </w:p>
    <w:p w14:paraId="14CB3E8F" w14:textId="77777777" w:rsidR="006E40D8" w:rsidRDefault="00591B8E">
      <w:pPr>
        <w:spacing w:before="0" w:after="0" w:line="240" w:lineRule="auto"/>
        <w:ind w:firstLine="0"/>
        <w:jc w:val="left"/>
        <w:rPr>
          <w:lang w:val="en-US"/>
        </w:rPr>
      </w:pPr>
      <w:r>
        <w:t xml:space="preserve"> </w:t>
      </w:r>
      <w:r>
        <w:rPr>
          <w:lang w:val="en-US"/>
        </w:rPr>
        <w:t>Article Taboulet Florence, don d’ovocytes.</w:t>
      </w:r>
    </w:p>
    <w:p w14:paraId="282C67DF" w14:textId="77777777" w:rsidR="00780C84" w:rsidRDefault="00780C84">
      <w:pPr>
        <w:spacing w:before="0" w:after="0" w:line="240" w:lineRule="auto"/>
        <w:ind w:firstLine="0"/>
        <w:jc w:val="left"/>
      </w:pPr>
    </w:p>
    <w:p w14:paraId="54DD87F1" w14:textId="51B50277" w:rsidR="00780C84" w:rsidRDefault="00780C84">
      <w:pPr>
        <w:spacing w:before="0" w:after="0" w:line="240" w:lineRule="auto"/>
        <w:ind w:firstLine="0"/>
        <w:jc w:val="left"/>
        <w:rPr>
          <w:lang w:val="en-US"/>
        </w:rPr>
      </w:pPr>
      <w:r w:rsidRPr="00ED1ECB">
        <w:t xml:space="preserve">Inspection </w:t>
      </w:r>
      <w:r>
        <w:t xml:space="preserve">Générale des Affaires Sociales (IGAS), </w:t>
      </w:r>
      <w:r>
        <w:rPr>
          <w:i/>
        </w:rPr>
        <w:t>É</w:t>
      </w:r>
      <w:r w:rsidRPr="00ED1ECB">
        <w:rPr>
          <w:i/>
        </w:rPr>
        <w:t>tat des lieux et perspectives du don d'ovocytes en France</w:t>
      </w:r>
      <w:r>
        <w:t xml:space="preserve">, Février 2011, διαθέσιμο σε: </w:t>
      </w:r>
      <w:hyperlink r:id="rId18" w:history="1">
        <w:r w:rsidRPr="00265D4D">
          <w:rPr>
            <w:rStyle w:val="Hyperlink"/>
          </w:rPr>
          <w:t>http://www.ladocumentationfrancaise.fr/var/storage/rapports-publics/114000113/0000.pdf</w:t>
        </w:r>
      </w:hyperlink>
      <w:r>
        <w:t>.</w:t>
      </w:r>
    </w:p>
    <w:p w14:paraId="473D2E9A" w14:textId="77777777" w:rsidR="006E40D8" w:rsidRDefault="006E40D8" w:rsidP="006E40D8">
      <w:pPr>
        <w:pStyle w:val="Heading1"/>
      </w:pPr>
      <w:bookmarkStart w:id="260" w:name="_Toc276574454"/>
      <w:r>
        <w:lastRenderedPageBreak/>
        <w:t>ΣΥΜΠΕΡΑΣΜΑΤΙΚΕΣ ΠΑΡΑΤΗΡΗΣΕΙΣ</w:t>
      </w:r>
      <w:bookmarkEnd w:id="260"/>
    </w:p>
    <w:p w14:paraId="7E3749DE" w14:textId="302B4150" w:rsidR="00AF0293" w:rsidRPr="006E40D8" w:rsidRDefault="006E40D8" w:rsidP="006E40D8">
      <w:pPr>
        <w:spacing w:line="240" w:lineRule="auto"/>
        <w:ind w:firstLine="0"/>
      </w:pPr>
      <w:r>
        <w:rPr>
          <w:b/>
          <w:i/>
          <w:lang w:val="en-US"/>
        </w:rPr>
        <w:t xml:space="preserve">H. Oberdorff, </w:t>
      </w:r>
      <w:r>
        <w:rPr>
          <w:i/>
          <w:lang w:val="en-US"/>
        </w:rPr>
        <w:t>Droits de l’homme et libert</w:t>
      </w:r>
      <w:r w:rsidRPr="00E254F5">
        <w:rPr>
          <w:i/>
        </w:rPr>
        <w:t>é</w:t>
      </w:r>
      <w:r>
        <w:rPr>
          <w:i/>
          <w:lang w:val="en-US"/>
        </w:rPr>
        <w:t xml:space="preserve">s fondamentales, </w:t>
      </w:r>
      <w:r>
        <w:t xml:space="preserve">Éd. Lextenso, LGDJ, 2013, σελ. 432. </w:t>
      </w:r>
      <w:r w:rsidR="00AF0293">
        <w:br w:type="page"/>
      </w:r>
    </w:p>
    <w:p w14:paraId="3C41A359" w14:textId="3D2466F2" w:rsidR="00AF0293" w:rsidRDefault="00AF0293" w:rsidP="00AF0293">
      <w:pPr>
        <w:pStyle w:val="Heading1"/>
      </w:pPr>
      <w:bookmarkStart w:id="261" w:name="_Toc276574455"/>
      <w:r>
        <w:lastRenderedPageBreak/>
        <w:t>ΒΙΒΛΙΟΓΡΑΦΙΑ</w:t>
      </w:r>
      <w:bookmarkEnd w:id="261"/>
      <w:r>
        <w:t xml:space="preserve"> </w:t>
      </w:r>
    </w:p>
    <w:p w14:paraId="388E350C" w14:textId="448E9E0C" w:rsidR="00AF0293" w:rsidRDefault="00E803E4" w:rsidP="002C2688">
      <w:pPr>
        <w:pStyle w:val="Heading2"/>
      </w:pPr>
      <w:bookmarkStart w:id="262" w:name="_Toc276237112"/>
      <w:bookmarkStart w:id="263" w:name="_Toc276574456"/>
      <w:r>
        <w:rPr>
          <w:lang w:val="el-GR"/>
        </w:rPr>
        <w:t>Συγγράμματα</w:t>
      </w:r>
      <w:bookmarkEnd w:id="262"/>
      <w:bookmarkEnd w:id="263"/>
      <w:r>
        <w:rPr>
          <w:lang w:val="el-GR"/>
        </w:rPr>
        <w:t xml:space="preserve"> </w:t>
      </w:r>
    </w:p>
    <w:p w14:paraId="742F5118" w14:textId="77777777" w:rsidR="00F30A24" w:rsidRDefault="00F30A24" w:rsidP="00E803E4">
      <w:pPr>
        <w:spacing w:line="240" w:lineRule="auto"/>
        <w:ind w:firstLine="0"/>
      </w:pPr>
      <w:r w:rsidRPr="00976E6D">
        <w:rPr>
          <w:b/>
          <w:i/>
        </w:rPr>
        <w:t>J.-L. Baudouin, C. Larusse-Riou</w:t>
      </w:r>
      <w:r>
        <w:t xml:space="preserve">, </w:t>
      </w:r>
      <w:r w:rsidRPr="00976E6D">
        <w:rPr>
          <w:i/>
        </w:rPr>
        <w:t>Produire l’homme: de quel droit?</w:t>
      </w:r>
      <w:r>
        <w:t xml:space="preserve">, </w:t>
      </w:r>
      <w:r w:rsidRPr="001F372E">
        <w:t>Éd.</w:t>
      </w:r>
      <w:r>
        <w:t xml:space="preserve"> PUF, 1987. </w:t>
      </w:r>
    </w:p>
    <w:p w14:paraId="5DDAD26F" w14:textId="77777777" w:rsidR="00F30A24" w:rsidRDefault="00F30A24" w:rsidP="00E803E4">
      <w:pPr>
        <w:spacing w:line="240" w:lineRule="auto"/>
        <w:ind w:firstLine="0"/>
      </w:pPr>
      <w:r w:rsidRPr="00E803E4">
        <w:rPr>
          <w:b/>
          <w:i/>
        </w:rPr>
        <w:t>A. Bertrand-Mirkovic</w:t>
      </w:r>
      <w:r w:rsidRPr="00E254F5">
        <w:t xml:space="preserve">, </w:t>
      </w:r>
      <w:r w:rsidRPr="003127E6">
        <w:rPr>
          <w:i/>
        </w:rPr>
        <w:t>Droit civil: Personnes</w:t>
      </w:r>
      <w:r w:rsidRPr="00E254F5">
        <w:t xml:space="preserve">, Famille, </w:t>
      </w:r>
      <w:r>
        <w:t xml:space="preserve">Studyrama, 2007. </w:t>
      </w:r>
      <w:r w:rsidRPr="00E254F5">
        <w:t xml:space="preserve"> </w:t>
      </w:r>
    </w:p>
    <w:p w14:paraId="3FF89FE2" w14:textId="77777777" w:rsidR="00F30A24" w:rsidRDefault="00F30A24" w:rsidP="00E803E4">
      <w:pPr>
        <w:spacing w:line="240" w:lineRule="auto"/>
        <w:ind w:firstLine="0"/>
      </w:pPr>
      <w:r w:rsidRPr="00E254F5">
        <w:rPr>
          <w:b/>
          <w:i/>
        </w:rPr>
        <w:t>J.-R. Binet,</w:t>
      </w:r>
      <w:r w:rsidRPr="00E254F5">
        <w:rPr>
          <w:i/>
        </w:rPr>
        <w:t xml:space="preserve"> La reforme de la loi bioéthique. Commentaire et analyse de la loi n</w:t>
      </w:r>
      <w:r w:rsidRPr="00E254F5">
        <w:rPr>
          <w:i/>
          <w:vertAlign w:val="superscript"/>
        </w:rPr>
        <w:t>o</w:t>
      </w:r>
      <w:r w:rsidRPr="00E254F5">
        <w:rPr>
          <w:i/>
        </w:rPr>
        <w:t xml:space="preserve"> 2011-814 du 7 juillet 2011 relative à la bioéthique</w:t>
      </w:r>
      <w:r w:rsidRPr="00E254F5">
        <w:t>,</w:t>
      </w:r>
      <w:r>
        <w:t xml:space="preserve"> Éd. Lexis Nexis, 2012. </w:t>
      </w:r>
    </w:p>
    <w:p w14:paraId="2EC7CCC2" w14:textId="77777777" w:rsidR="00F30A24" w:rsidRDefault="00F30A24" w:rsidP="00E803E4">
      <w:pPr>
        <w:spacing w:line="240" w:lineRule="auto"/>
        <w:ind w:firstLine="0"/>
      </w:pPr>
      <w:r w:rsidRPr="00E803E4">
        <w:rPr>
          <w:b/>
          <w:i/>
        </w:rPr>
        <w:t>A.-M. Leroyer</w:t>
      </w:r>
      <w:r w:rsidRPr="00E254F5">
        <w:t xml:space="preserve">, </w:t>
      </w:r>
      <w:r w:rsidRPr="003127E6">
        <w:rPr>
          <w:i/>
        </w:rPr>
        <w:t>Droit de la famille</w:t>
      </w:r>
      <w:r w:rsidRPr="00E254F5">
        <w:t xml:space="preserve">, </w:t>
      </w:r>
      <w:r>
        <w:t>Éd.</w:t>
      </w:r>
      <w:r w:rsidRPr="00E254F5">
        <w:t xml:space="preserve"> PUF, 2011, σελ. 299. </w:t>
      </w:r>
    </w:p>
    <w:p w14:paraId="1CAF8CC8" w14:textId="77777777" w:rsidR="00F30A24" w:rsidRDefault="00F30A24" w:rsidP="00E803E4">
      <w:pPr>
        <w:spacing w:line="240" w:lineRule="auto"/>
        <w:ind w:firstLine="0"/>
      </w:pPr>
      <w:r w:rsidRPr="00E254F5">
        <w:rPr>
          <w:b/>
          <w:i/>
        </w:rPr>
        <w:t>P. Muzny</w:t>
      </w:r>
      <w:r w:rsidRPr="00E254F5">
        <w:t xml:space="preserve">, </w:t>
      </w:r>
      <w:r w:rsidRPr="00E254F5">
        <w:rPr>
          <w:i/>
        </w:rPr>
        <w:t>La liberté de la personne sur son corps</w:t>
      </w:r>
      <w:r w:rsidRPr="00E254F5">
        <w:t xml:space="preserve">, </w:t>
      </w:r>
      <w:r>
        <w:t>Éd.</w:t>
      </w:r>
      <w:r w:rsidRPr="00E254F5">
        <w:t xml:space="preserve"> Dalloz, Thèmes et commentaires, 2010.</w:t>
      </w:r>
    </w:p>
    <w:p w14:paraId="26F02EC5" w14:textId="62C31BA2" w:rsidR="00C95831" w:rsidRPr="00C95831" w:rsidRDefault="00C95831" w:rsidP="00E803E4">
      <w:pPr>
        <w:spacing w:line="240" w:lineRule="auto"/>
        <w:ind w:firstLine="0"/>
      </w:pPr>
      <w:r>
        <w:rPr>
          <w:b/>
          <w:i/>
          <w:lang w:val="en-US"/>
        </w:rPr>
        <w:t xml:space="preserve">H. Oberdorff, </w:t>
      </w:r>
      <w:r>
        <w:rPr>
          <w:i/>
          <w:lang w:val="en-US"/>
        </w:rPr>
        <w:t>Droits de l’homme et libert</w:t>
      </w:r>
      <w:r w:rsidRPr="00E254F5">
        <w:rPr>
          <w:i/>
        </w:rPr>
        <w:t>é</w:t>
      </w:r>
      <w:r>
        <w:rPr>
          <w:i/>
          <w:lang w:val="en-US"/>
        </w:rPr>
        <w:t xml:space="preserve">s fondamentales, </w:t>
      </w:r>
      <w:r>
        <w:t xml:space="preserve">Éd. Lextenso, LGDJ, 2013. </w:t>
      </w:r>
    </w:p>
    <w:p w14:paraId="4206FF8D" w14:textId="77777777" w:rsidR="00F30A24" w:rsidRDefault="00F30A24" w:rsidP="00E803E4">
      <w:pPr>
        <w:spacing w:line="240" w:lineRule="auto"/>
        <w:ind w:firstLine="0"/>
      </w:pPr>
      <w:r w:rsidRPr="00E254F5">
        <w:rPr>
          <w:b/>
          <w:i/>
        </w:rPr>
        <w:t>Fr. Terré, D. Fenouillet</w:t>
      </w:r>
      <w:r w:rsidRPr="00E254F5">
        <w:t xml:space="preserve">, </w:t>
      </w:r>
      <w:r w:rsidRPr="00E254F5">
        <w:rPr>
          <w:i/>
        </w:rPr>
        <w:t>Droit civil. La famille</w:t>
      </w:r>
      <w:r w:rsidRPr="00E254F5">
        <w:t xml:space="preserve">, </w:t>
      </w:r>
      <w:r>
        <w:t>Éd.</w:t>
      </w:r>
      <w:r w:rsidRPr="00E254F5">
        <w:t xml:space="preserve"> Dalloz, 2011</w:t>
      </w:r>
      <w:r>
        <w:t>.</w:t>
      </w:r>
    </w:p>
    <w:p w14:paraId="21868C3B" w14:textId="77777777" w:rsidR="00F30A24" w:rsidRDefault="00F30A24" w:rsidP="00E803E4">
      <w:pPr>
        <w:spacing w:line="240" w:lineRule="auto"/>
        <w:ind w:firstLine="0"/>
      </w:pPr>
      <w:r w:rsidRPr="00E803E4">
        <w:rPr>
          <w:b/>
          <w:i/>
        </w:rPr>
        <w:t>J. Testart</w:t>
      </w:r>
      <w:r w:rsidRPr="00E254F5">
        <w:t xml:space="preserve">, </w:t>
      </w:r>
      <w:r w:rsidRPr="000A0D76">
        <w:rPr>
          <w:i/>
        </w:rPr>
        <w:t>Faire des enfants demain</w:t>
      </w:r>
      <w:r w:rsidRPr="00E254F5">
        <w:t xml:space="preserve">, Seuil, 2014. </w:t>
      </w:r>
    </w:p>
    <w:p w14:paraId="41BE7C44" w14:textId="77777777" w:rsidR="00F30A24" w:rsidRDefault="00F30A24" w:rsidP="00E803E4">
      <w:pPr>
        <w:spacing w:line="240" w:lineRule="auto"/>
        <w:ind w:firstLine="0"/>
      </w:pPr>
      <w:r w:rsidRPr="00E803E4">
        <w:rPr>
          <w:b/>
          <w:i/>
        </w:rPr>
        <w:t>J. Testart</w:t>
      </w:r>
      <w:r w:rsidRPr="00E254F5">
        <w:t xml:space="preserve">, </w:t>
      </w:r>
      <w:r w:rsidRPr="003127E6">
        <w:rPr>
          <w:i/>
        </w:rPr>
        <w:t>L’oeuf transparent</w:t>
      </w:r>
      <w:r w:rsidRPr="00E254F5">
        <w:t>, Flammarion, 1986</w:t>
      </w:r>
      <w:r>
        <w:t xml:space="preserve">. </w:t>
      </w:r>
    </w:p>
    <w:p w14:paraId="07F0C2C2" w14:textId="3BBD56AD" w:rsidR="002C2688" w:rsidRDefault="002C2688" w:rsidP="002C2688">
      <w:pPr>
        <w:pStyle w:val="Heading2"/>
      </w:pPr>
      <w:bookmarkStart w:id="264" w:name="_Toc276148682"/>
      <w:bookmarkStart w:id="265" w:name="_Toc276237113"/>
      <w:bookmarkStart w:id="266" w:name="_Toc276574457"/>
      <w:r>
        <w:t>Άρθρα</w:t>
      </w:r>
      <w:bookmarkEnd w:id="264"/>
      <w:bookmarkEnd w:id="265"/>
      <w:bookmarkEnd w:id="266"/>
      <w:r>
        <w:t xml:space="preserve"> </w:t>
      </w:r>
    </w:p>
    <w:p w14:paraId="55463A2F" w14:textId="77777777" w:rsidR="00F30A24" w:rsidRDefault="00F30A24" w:rsidP="00E803E4">
      <w:pPr>
        <w:spacing w:line="240" w:lineRule="auto"/>
        <w:ind w:firstLine="0"/>
      </w:pPr>
      <w:r w:rsidRPr="00E433F2">
        <w:rPr>
          <w:b/>
          <w:i/>
        </w:rPr>
        <w:t>M. Allabatre</w:t>
      </w:r>
      <w:r>
        <w:t>, «</w:t>
      </w:r>
      <w:r w:rsidRPr="00E433F2">
        <w:t>T. Derville</w:t>
      </w:r>
      <w:r>
        <w:t>:</w:t>
      </w:r>
      <w:r w:rsidRPr="00E433F2">
        <w:t xml:space="preserve"> </w:t>
      </w:r>
      <w:r>
        <w:t xml:space="preserve">Ce qu’on ne dit pas sur le "bébé-médicament"», </w:t>
      </w:r>
      <w:r w:rsidRPr="00E433F2">
        <w:rPr>
          <w:i/>
        </w:rPr>
        <w:t>Valeurs actuelles</w:t>
      </w:r>
      <w:r>
        <w:t xml:space="preserve">, 9 Φεβρουαρίου 2011. </w:t>
      </w:r>
    </w:p>
    <w:p w14:paraId="7181C453" w14:textId="77777777" w:rsidR="00F30A24" w:rsidRDefault="00F30A24" w:rsidP="00E803E4">
      <w:pPr>
        <w:spacing w:line="240" w:lineRule="auto"/>
        <w:ind w:firstLine="0"/>
      </w:pPr>
      <w:r w:rsidRPr="00A42718">
        <w:rPr>
          <w:b/>
          <w:i/>
        </w:rPr>
        <w:t>P.-O. Arduin</w:t>
      </w:r>
      <w:r w:rsidRPr="00F61AE7">
        <w:t xml:space="preserve">, «La société de pédiatrie fait l'apologie du DPI», </w:t>
      </w:r>
      <w:r w:rsidRPr="00A42718">
        <w:rPr>
          <w:i/>
        </w:rPr>
        <w:t xml:space="preserve">Liberté </w:t>
      </w:r>
      <w:r>
        <w:rPr>
          <w:i/>
        </w:rPr>
        <w:t>P</w:t>
      </w:r>
      <w:r w:rsidRPr="00A42718">
        <w:rPr>
          <w:i/>
        </w:rPr>
        <w:t>olitique</w:t>
      </w:r>
      <w:r>
        <w:t xml:space="preserve">, 25 Φεβρουαρίου 2011.  </w:t>
      </w:r>
    </w:p>
    <w:p w14:paraId="7DBE6E37" w14:textId="2647D41D" w:rsidR="00F30A24" w:rsidRDefault="00F30A24" w:rsidP="00E803E4">
      <w:pPr>
        <w:spacing w:line="240" w:lineRule="auto"/>
        <w:ind w:firstLine="0"/>
      </w:pPr>
      <w:r w:rsidRPr="00E254F5">
        <w:rPr>
          <w:b/>
          <w:i/>
        </w:rPr>
        <w:t>Cl. Bergoignan Esper</w:t>
      </w:r>
      <w:r w:rsidRPr="00E254F5">
        <w:t xml:space="preserve">, </w:t>
      </w:r>
      <w:r>
        <w:t>«</w:t>
      </w:r>
      <w:r w:rsidRPr="00E254F5">
        <w:t xml:space="preserve">Les états généraux de la bioéthique, un tournant dans la réflexion», </w:t>
      </w:r>
      <w:r w:rsidRPr="00E254F5">
        <w:rPr>
          <w:i/>
        </w:rPr>
        <w:t>Recueil Dalloz Sirey</w:t>
      </w:r>
      <w:r>
        <w:t xml:space="preserve">, 2009, σελ. 1837. </w:t>
      </w:r>
    </w:p>
    <w:p w14:paraId="623D458D" w14:textId="77777777" w:rsidR="00F30A24" w:rsidRPr="00BB6CF4" w:rsidRDefault="00F30A24" w:rsidP="00E803E4">
      <w:pPr>
        <w:spacing w:line="240" w:lineRule="auto"/>
        <w:ind w:firstLine="0"/>
        <w:rPr>
          <w:rFonts w:ascii="Helvetica" w:hAnsi="Helvetica" w:cs="Helvetica"/>
          <w:color w:val="262626"/>
          <w:sz w:val="30"/>
          <w:szCs w:val="30"/>
        </w:rPr>
      </w:pPr>
      <w:r w:rsidRPr="00E254F5">
        <w:rPr>
          <w:b/>
          <w:i/>
        </w:rPr>
        <w:t>A.-L. Blouet-Patin</w:t>
      </w:r>
      <w:r w:rsidRPr="00E254F5">
        <w:t>, «</w:t>
      </w:r>
      <w:r w:rsidRPr="00E254F5">
        <w:rPr>
          <w:rFonts w:cs="Helvetica"/>
          <w:color w:val="262626"/>
        </w:rPr>
        <w:t>Diagnostic préimplantatoire et conditions de recours au "bébé médicament"</w:t>
      </w:r>
      <w:r w:rsidRPr="006E6A08">
        <w:t>»</w:t>
      </w:r>
      <w:r>
        <w:t xml:space="preserve">, </w:t>
      </w:r>
      <w:r w:rsidRPr="00AC2016">
        <w:rPr>
          <w:i/>
        </w:rPr>
        <w:t>Lexbase Hebdo – Edition Priv</w:t>
      </w:r>
      <w:r w:rsidRPr="00AC2016">
        <w:rPr>
          <w:rFonts w:cs="Helvetica"/>
          <w:i/>
          <w:color w:val="262626"/>
        </w:rPr>
        <w:t>é</w:t>
      </w:r>
      <w:r w:rsidRPr="00AC2016">
        <w:rPr>
          <w:i/>
        </w:rPr>
        <w:t>e G</w:t>
      </w:r>
      <w:r w:rsidRPr="00AC2016">
        <w:rPr>
          <w:rFonts w:cs="Helvetica"/>
          <w:i/>
          <w:color w:val="262626"/>
        </w:rPr>
        <w:t>é</w:t>
      </w:r>
      <w:r w:rsidRPr="00AC2016">
        <w:rPr>
          <w:i/>
        </w:rPr>
        <w:t>n</w:t>
      </w:r>
      <w:r w:rsidRPr="00AC2016">
        <w:rPr>
          <w:rFonts w:cs="Helvetica"/>
          <w:i/>
          <w:color w:val="262626"/>
        </w:rPr>
        <w:t>é</w:t>
      </w:r>
      <w:r w:rsidRPr="00AC2016">
        <w:rPr>
          <w:i/>
        </w:rPr>
        <w:t>rale</w:t>
      </w:r>
      <w:r>
        <w:t xml:space="preserve">, 11.1.2007, </w:t>
      </w:r>
      <w:r w:rsidRPr="00BB6CF4">
        <w:rPr>
          <w:iCs/>
        </w:rPr>
        <w:t>n</w:t>
      </w:r>
      <w:r w:rsidRPr="00BB6CF4">
        <w:rPr>
          <w:iCs/>
          <w:vertAlign w:val="superscript"/>
        </w:rPr>
        <w:t>o</w:t>
      </w:r>
      <w:r w:rsidRPr="00BB6CF4">
        <w:rPr>
          <w:iCs/>
        </w:rPr>
        <w:t xml:space="preserve"> </w:t>
      </w:r>
      <w:r>
        <w:t xml:space="preserve">243. </w:t>
      </w:r>
    </w:p>
    <w:p w14:paraId="0D97225A" w14:textId="77777777" w:rsidR="00F30A24" w:rsidRDefault="00F30A24" w:rsidP="00E803E4">
      <w:pPr>
        <w:spacing w:line="240" w:lineRule="auto"/>
        <w:ind w:firstLine="0"/>
      </w:pPr>
      <w:r w:rsidRPr="00E254F5">
        <w:rPr>
          <w:b/>
          <w:i/>
        </w:rPr>
        <w:t>Ch. Byk</w:t>
      </w:r>
      <w:r w:rsidRPr="00E254F5">
        <w:t xml:space="preserve">, </w:t>
      </w:r>
      <w:r>
        <w:t>«</w:t>
      </w:r>
      <w:r w:rsidRPr="00E254F5">
        <w:t>Bioéthique</w:t>
      </w:r>
      <w:r>
        <w:t>»</w:t>
      </w:r>
      <w:r w:rsidRPr="00E254F5">
        <w:t xml:space="preserve">, </w:t>
      </w:r>
      <w:r w:rsidRPr="00E254F5">
        <w:rPr>
          <w:i/>
        </w:rPr>
        <w:t>JCP G Semaine Juridique</w:t>
      </w:r>
      <w:r w:rsidRPr="00E254F5">
        <w:t>, 18.6.2012, n</w:t>
      </w:r>
      <w:r w:rsidRPr="00E254F5">
        <w:rPr>
          <w:vertAlign w:val="superscript"/>
        </w:rPr>
        <w:t>o</w:t>
      </w:r>
      <w:r>
        <w:t xml:space="preserve"> 25, σελ. 1233-1239. </w:t>
      </w:r>
    </w:p>
    <w:p w14:paraId="7A0D9F99" w14:textId="77777777" w:rsidR="00F30A24" w:rsidRDefault="00F30A24" w:rsidP="00E803E4">
      <w:pPr>
        <w:spacing w:line="240" w:lineRule="auto"/>
        <w:ind w:firstLine="0"/>
        <w:rPr>
          <w:iCs/>
        </w:rPr>
      </w:pPr>
      <w:r w:rsidRPr="00E254F5">
        <w:rPr>
          <w:b/>
          <w:i/>
        </w:rPr>
        <w:t>Ch. Byk</w:t>
      </w:r>
      <w:r w:rsidRPr="00E254F5">
        <w:t xml:space="preserve">, «La loi relative au respect du corps humain», </w:t>
      </w:r>
      <w:r w:rsidRPr="00E254F5">
        <w:rPr>
          <w:i/>
        </w:rPr>
        <w:t>JCP G Semaine juridique</w:t>
      </w:r>
      <w:r w:rsidRPr="00E254F5">
        <w:t xml:space="preserve">, </w:t>
      </w:r>
      <w:r w:rsidRPr="00E254F5">
        <w:rPr>
          <w:iCs/>
        </w:rPr>
        <w:t>28.8.1994, n</w:t>
      </w:r>
      <w:r w:rsidRPr="00E254F5">
        <w:rPr>
          <w:iCs/>
          <w:vertAlign w:val="superscript"/>
        </w:rPr>
        <w:t>o</w:t>
      </w:r>
      <w:r>
        <w:rPr>
          <w:iCs/>
        </w:rPr>
        <w:t xml:space="preserve"> 39, σελ. 405-414. </w:t>
      </w:r>
    </w:p>
    <w:p w14:paraId="7A3409C9" w14:textId="77777777" w:rsidR="00F30A24" w:rsidRDefault="00F30A24" w:rsidP="00E803E4">
      <w:pPr>
        <w:spacing w:line="240" w:lineRule="auto"/>
        <w:ind w:firstLine="0"/>
      </w:pPr>
      <w:r w:rsidRPr="00E254F5">
        <w:rPr>
          <w:b/>
          <w:i/>
        </w:rPr>
        <w:t>A. Cheynet De Beaupré</w:t>
      </w:r>
      <w:r w:rsidRPr="00E254F5">
        <w:t xml:space="preserve">, «Le bébé du double espoir», </w:t>
      </w:r>
      <w:r w:rsidRPr="00E254F5">
        <w:rPr>
          <w:i/>
        </w:rPr>
        <w:t>Recueil Dalloz Sirey</w:t>
      </w:r>
      <w:r w:rsidRPr="00E254F5">
        <w:t xml:space="preserve">, 3.3.2011, </w:t>
      </w:r>
      <w:r w:rsidRPr="00E254F5">
        <w:rPr>
          <w:iCs/>
        </w:rPr>
        <w:t>n</w:t>
      </w:r>
      <w:r w:rsidRPr="00E254F5">
        <w:rPr>
          <w:iCs/>
          <w:vertAlign w:val="superscript"/>
        </w:rPr>
        <w:t>o</w:t>
      </w:r>
      <w:r w:rsidRPr="00E254F5">
        <w:rPr>
          <w:iCs/>
        </w:rPr>
        <w:t xml:space="preserve"> 9, </w:t>
      </w:r>
      <w:r w:rsidRPr="00E254F5">
        <w:t>σελ. 603</w:t>
      </w:r>
      <w:r>
        <w:t xml:space="preserve">. </w:t>
      </w:r>
    </w:p>
    <w:p w14:paraId="1A55A302" w14:textId="77777777" w:rsidR="00F30A24" w:rsidRDefault="00F30A24" w:rsidP="00E803E4">
      <w:pPr>
        <w:spacing w:line="240" w:lineRule="auto"/>
        <w:ind w:firstLine="0"/>
        <w:rPr>
          <w:b/>
          <w:i/>
        </w:rPr>
      </w:pPr>
      <w:r w:rsidRPr="00E254F5">
        <w:rPr>
          <w:b/>
          <w:i/>
        </w:rPr>
        <w:t>R.-C. Chian</w:t>
      </w:r>
      <w:r w:rsidRPr="00E254F5">
        <w:t xml:space="preserve">, «Vitrification des ovocytes et des embyrons: voie d’avenir», </w:t>
      </w:r>
      <w:r w:rsidRPr="00E254F5">
        <w:rPr>
          <w:i/>
        </w:rPr>
        <w:t>Journal de gynécologie obstétrique et biologie de la reproduction,</w:t>
      </w:r>
      <w:r w:rsidRPr="00E254F5">
        <w:t xml:space="preserve"> 2007, vol. 36, SUP2.</w:t>
      </w:r>
      <w:r w:rsidRPr="00F30A24">
        <w:rPr>
          <w:b/>
          <w:i/>
        </w:rPr>
        <w:t xml:space="preserve"> </w:t>
      </w:r>
    </w:p>
    <w:p w14:paraId="6B6EBD9F" w14:textId="77777777" w:rsidR="00F30A24" w:rsidRPr="00E254F5" w:rsidRDefault="00F30A24" w:rsidP="00E803E4">
      <w:pPr>
        <w:spacing w:line="240" w:lineRule="auto"/>
        <w:ind w:firstLine="0"/>
      </w:pPr>
      <w:r w:rsidRPr="00FC78CB">
        <w:rPr>
          <w:b/>
          <w:i/>
        </w:rPr>
        <w:t>F. Dekeuwer-Défossez</w:t>
      </w:r>
      <w:r w:rsidRPr="00E254F5">
        <w:t xml:space="preserve">, «Réflexions sur les mythes fondateurs du droit contemporain de la famille», </w:t>
      </w:r>
      <w:r w:rsidRPr="00E254F5">
        <w:rPr>
          <w:i/>
        </w:rPr>
        <w:t>RDD civ.,</w:t>
      </w:r>
      <w:r w:rsidRPr="00E254F5">
        <w:t xml:space="preserve"> 1995, </w:t>
      </w:r>
      <w:r>
        <w:t>n</w:t>
      </w:r>
      <w:r w:rsidRPr="00FC78CB">
        <w:rPr>
          <w:vertAlign w:val="superscript"/>
        </w:rPr>
        <w:t>o</w:t>
      </w:r>
      <w:r>
        <w:t xml:space="preserve"> 2, σελ. 249επ.</w:t>
      </w:r>
      <w:r w:rsidRPr="00E254F5">
        <w:t xml:space="preserve"> </w:t>
      </w:r>
    </w:p>
    <w:p w14:paraId="48324A37" w14:textId="77777777" w:rsidR="00F30A24" w:rsidRDefault="00F30A24" w:rsidP="00E803E4">
      <w:pPr>
        <w:spacing w:line="240" w:lineRule="auto"/>
        <w:ind w:firstLine="0"/>
      </w:pPr>
      <w:r w:rsidRPr="00E254F5">
        <w:rPr>
          <w:b/>
          <w:i/>
          <w:iCs/>
        </w:rPr>
        <w:t xml:space="preserve">Μ. </w:t>
      </w:r>
      <w:r w:rsidRPr="00E254F5">
        <w:rPr>
          <w:b/>
          <w:i/>
        </w:rPr>
        <w:t>Delmas-Marty</w:t>
      </w:r>
      <w:r w:rsidRPr="00E254F5">
        <w:t xml:space="preserve">, «Le crime contre l'humanité, les droits de l'homme et l'irréductible humain», </w:t>
      </w:r>
      <w:r w:rsidRPr="00E254F5">
        <w:rPr>
          <w:i/>
        </w:rPr>
        <w:t>Revue de science criminelle et de droit pénal comparé</w:t>
      </w:r>
      <w:r w:rsidRPr="00E254F5">
        <w:t>, 1.7.</w:t>
      </w:r>
      <w:r w:rsidRPr="00E254F5">
        <w:rPr>
          <w:iCs/>
        </w:rPr>
        <w:t>1994, n</w:t>
      </w:r>
      <w:r w:rsidRPr="00E254F5">
        <w:rPr>
          <w:iCs/>
          <w:vertAlign w:val="superscript"/>
        </w:rPr>
        <w:t>o</w:t>
      </w:r>
      <w:r w:rsidRPr="00E254F5">
        <w:rPr>
          <w:iCs/>
        </w:rPr>
        <w:t xml:space="preserve"> 3, σελ. 477</w:t>
      </w:r>
      <w:r>
        <w:t xml:space="preserve">-490. </w:t>
      </w:r>
    </w:p>
    <w:p w14:paraId="4CC71201" w14:textId="77777777" w:rsidR="00F30A24" w:rsidRDefault="00F30A24" w:rsidP="00E803E4">
      <w:pPr>
        <w:spacing w:line="240" w:lineRule="auto"/>
        <w:ind w:firstLine="0"/>
      </w:pPr>
      <w:r w:rsidRPr="00E254F5">
        <w:rPr>
          <w:b/>
          <w:i/>
        </w:rPr>
        <w:t>M.-P. Deswartes</w:t>
      </w:r>
      <w:r w:rsidRPr="00E254F5">
        <w:t xml:space="preserve">, </w:t>
      </w:r>
      <w:r>
        <w:t>«</w:t>
      </w:r>
      <w:r w:rsidRPr="00E254F5">
        <w:t>Le droit à la vie dans la décision du Conseil constitutionnel du 29 juillet 1994</w:t>
      </w:r>
      <w:r>
        <w:t>»</w:t>
      </w:r>
      <w:r w:rsidRPr="00E254F5">
        <w:t xml:space="preserve">, </w:t>
      </w:r>
      <w:r w:rsidRPr="00E254F5">
        <w:rPr>
          <w:i/>
        </w:rPr>
        <w:t>Journal international de bioéthique</w:t>
      </w:r>
      <w:r w:rsidRPr="00E254F5">
        <w:t>, 1.3.</w:t>
      </w:r>
      <w:r w:rsidRPr="00E254F5">
        <w:rPr>
          <w:iCs/>
        </w:rPr>
        <w:t>1996, n</w:t>
      </w:r>
      <w:r w:rsidRPr="00E254F5">
        <w:rPr>
          <w:iCs/>
          <w:vertAlign w:val="superscript"/>
        </w:rPr>
        <w:t>o</w:t>
      </w:r>
      <w:r w:rsidRPr="00E254F5">
        <w:rPr>
          <w:iCs/>
        </w:rPr>
        <w:t xml:space="preserve"> 1, σελ. 10-15</w:t>
      </w:r>
      <w:r>
        <w:t xml:space="preserve">. </w:t>
      </w:r>
    </w:p>
    <w:p w14:paraId="60E703ED" w14:textId="77777777" w:rsidR="007174F1" w:rsidRDefault="007174F1" w:rsidP="00E803E4">
      <w:pPr>
        <w:spacing w:line="240" w:lineRule="auto"/>
        <w:ind w:firstLine="0"/>
      </w:pPr>
      <w:r w:rsidRPr="00E254F5">
        <w:rPr>
          <w:b/>
          <w:i/>
        </w:rPr>
        <w:t>J.-P. Duprat</w:t>
      </w:r>
      <w:r w:rsidRPr="00E254F5">
        <w:t xml:space="preserve">, </w:t>
      </w:r>
      <w:r>
        <w:t>«</w:t>
      </w:r>
      <w:r w:rsidRPr="00E254F5">
        <w:t>A la recherche d'une protection constitutionnelle du corps humain : la décision 94-343/344 DC du 27 juillet 1994</w:t>
      </w:r>
      <w:r>
        <w:t>»</w:t>
      </w:r>
      <w:r w:rsidRPr="00E254F5">
        <w:t xml:space="preserve">, </w:t>
      </w:r>
      <w:r w:rsidRPr="00E254F5">
        <w:rPr>
          <w:i/>
        </w:rPr>
        <w:t>Les Petites Affiches</w:t>
      </w:r>
      <w:r w:rsidRPr="00E254F5">
        <w:t xml:space="preserve">, </w:t>
      </w:r>
      <w:r w:rsidRPr="00E254F5">
        <w:rPr>
          <w:iCs/>
        </w:rPr>
        <w:t>14.12.1994, n</w:t>
      </w:r>
      <w:r w:rsidRPr="00E254F5">
        <w:rPr>
          <w:iCs/>
          <w:vertAlign w:val="superscript"/>
        </w:rPr>
        <w:t>o</w:t>
      </w:r>
      <w:r w:rsidRPr="00E254F5">
        <w:rPr>
          <w:iCs/>
        </w:rPr>
        <w:t xml:space="preserve"> 149, σελ. 34</w:t>
      </w:r>
      <w:r>
        <w:t xml:space="preserve">-40. </w:t>
      </w:r>
    </w:p>
    <w:p w14:paraId="7C0FC143" w14:textId="77777777" w:rsidR="00F30A24" w:rsidRDefault="00F30A24" w:rsidP="00E803E4">
      <w:pPr>
        <w:spacing w:line="240" w:lineRule="auto"/>
        <w:ind w:firstLine="0"/>
      </w:pPr>
      <w:r w:rsidRPr="00E254F5">
        <w:rPr>
          <w:b/>
          <w:i/>
        </w:rPr>
        <w:lastRenderedPageBreak/>
        <w:t>B. Edelman</w:t>
      </w:r>
      <w:r w:rsidRPr="00E254F5">
        <w:t xml:space="preserve">, </w:t>
      </w:r>
      <w:r>
        <w:t>«</w:t>
      </w:r>
      <w:r w:rsidRPr="00E254F5">
        <w:t>Le Conseil constitutionnel et l'embryon</w:t>
      </w:r>
      <w:r>
        <w:t>»</w:t>
      </w:r>
      <w:r w:rsidRPr="00E254F5">
        <w:t xml:space="preserve">, </w:t>
      </w:r>
      <w:r w:rsidRPr="00E254F5">
        <w:rPr>
          <w:i/>
        </w:rPr>
        <w:t>Recueil Dalloz Sirey</w:t>
      </w:r>
      <w:r w:rsidRPr="00E254F5">
        <w:t>, 20.7.</w:t>
      </w:r>
      <w:r w:rsidRPr="00E254F5">
        <w:rPr>
          <w:iCs/>
        </w:rPr>
        <w:t>1995, n</w:t>
      </w:r>
      <w:r w:rsidRPr="00E254F5">
        <w:rPr>
          <w:iCs/>
          <w:vertAlign w:val="superscript"/>
        </w:rPr>
        <w:t>o</w:t>
      </w:r>
      <w:r w:rsidRPr="00E254F5">
        <w:rPr>
          <w:iCs/>
        </w:rPr>
        <w:t xml:space="preserve"> 27, σελ. 205-210</w:t>
      </w:r>
      <w:r>
        <w:t xml:space="preserve">. </w:t>
      </w:r>
    </w:p>
    <w:p w14:paraId="625B4B22" w14:textId="77777777" w:rsidR="00F30A24" w:rsidRDefault="00F30A24" w:rsidP="00E803E4">
      <w:pPr>
        <w:spacing w:line="240" w:lineRule="auto"/>
        <w:ind w:firstLine="0"/>
      </w:pPr>
      <w:r w:rsidRPr="00E254F5">
        <w:rPr>
          <w:b/>
          <w:i/>
        </w:rPr>
        <w:t>P. Egéa</w:t>
      </w:r>
      <w:r w:rsidRPr="00E254F5">
        <w:t xml:space="preserve">, </w:t>
      </w:r>
      <w:r>
        <w:t>«</w:t>
      </w:r>
      <w:r w:rsidRPr="00E254F5">
        <w:t xml:space="preserve">En l'absence de projet parental du couple, la détérioration </w:t>
      </w:r>
      <w:r w:rsidRPr="00E254F5">
        <w:rPr>
          <w:rStyle w:val="hl"/>
          <w:szCs w:val="20"/>
          <w:lang w:val="fr-FR"/>
        </w:rPr>
        <w:t>d</w:t>
      </w:r>
      <w:r w:rsidRPr="00E254F5">
        <w:t xml:space="preserve">'embryons </w:t>
      </w:r>
      <w:r w:rsidRPr="00740A1C">
        <w:rPr>
          <w:i/>
        </w:rPr>
        <w:t>in vitro</w:t>
      </w:r>
      <w:r w:rsidRPr="00E254F5">
        <w:t xml:space="preserve"> causée par un établissement de santé n'est pas constitutive </w:t>
      </w:r>
      <w:r w:rsidRPr="00E254F5">
        <w:rPr>
          <w:rStyle w:val="hl"/>
          <w:szCs w:val="20"/>
          <w:lang w:val="fr-FR"/>
        </w:rPr>
        <w:t>d</w:t>
      </w:r>
      <w:r w:rsidRPr="00E254F5">
        <w:t>'un préjudice réparable en droit</w:t>
      </w:r>
      <w:r>
        <w:t>»</w:t>
      </w:r>
      <w:r w:rsidRPr="00E254F5">
        <w:t xml:space="preserve">, </w:t>
      </w:r>
      <w:r w:rsidRPr="00E254F5">
        <w:rPr>
          <w:i/>
        </w:rPr>
        <w:t>Revue Juridique Personnes et Famille</w:t>
      </w:r>
      <w:r w:rsidRPr="00E254F5">
        <w:t>, 1.6.2006, n</w:t>
      </w:r>
      <w:r w:rsidRPr="00E254F5">
        <w:rPr>
          <w:vertAlign w:val="superscript"/>
        </w:rPr>
        <w:t>o</w:t>
      </w:r>
      <w:r w:rsidRPr="00E254F5">
        <w:t xml:space="preserve"> 6, σελ.</w:t>
      </w:r>
      <w:r>
        <w:t xml:space="preserve"> 10-12.</w:t>
      </w:r>
    </w:p>
    <w:p w14:paraId="1B466933" w14:textId="77777777" w:rsidR="00E97EEC" w:rsidRDefault="00E97EEC" w:rsidP="00E803E4">
      <w:pPr>
        <w:spacing w:line="240" w:lineRule="auto"/>
        <w:ind w:firstLine="0"/>
      </w:pPr>
      <w:r w:rsidRPr="00E254F5">
        <w:rPr>
          <w:b/>
          <w:i/>
        </w:rPr>
        <w:t>L. Favoreu, L. Philip</w:t>
      </w:r>
      <w:r w:rsidRPr="00E254F5">
        <w:t xml:space="preserve">, </w:t>
      </w:r>
      <w:r>
        <w:t>«</w:t>
      </w:r>
      <w:r w:rsidRPr="00E254F5">
        <w:t>Bioéthique</w:t>
      </w:r>
      <w:r>
        <w:t>»</w:t>
      </w:r>
      <w:r w:rsidRPr="00E254F5">
        <w:t xml:space="preserve">, </w:t>
      </w:r>
      <w:r w:rsidRPr="00E254F5">
        <w:rPr>
          <w:i/>
        </w:rPr>
        <w:t>Les grandes décisions du Conseil constitutionnel</w:t>
      </w:r>
      <w:r w:rsidRPr="00E254F5">
        <w:t xml:space="preserve">, </w:t>
      </w:r>
      <w:r w:rsidRPr="00E254F5">
        <w:rPr>
          <w:iCs/>
        </w:rPr>
        <w:t>Dalloz,</w:t>
      </w:r>
      <w:r w:rsidRPr="00E254F5">
        <w:rPr>
          <w:i/>
          <w:iCs/>
        </w:rPr>
        <w:t xml:space="preserve"> </w:t>
      </w:r>
      <w:r w:rsidRPr="00E254F5">
        <w:rPr>
          <w:iCs/>
        </w:rPr>
        <w:t>2009, σελ. 641-657</w:t>
      </w:r>
      <w:r w:rsidRPr="00E254F5">
        <w:t>.</w:t>
      </w:r>
    </w:p>
    <w:p w14:paraId="56B5D5A9" w14:textId="77777777" w:rsidR="00E97EEC" w:rsidRDefault="00E97EEC" w:rsidP="00E803E4">
      <w:pPr>
        <w:spacing w:line="240" w:lineRule="auto"/>
        <w:ind w:firstLine="0"/>
      </w:pPr>
      <w:r w:rsidRPr="00E254F5">
        <w:rPr>
          <w:b/>
          <w:i/>
        </w:rPr>
        <w:t>L. Favoreu</w:t>
      </w:r>
      <w:r w:rsidRPr="00E254F5">
        <w:t xml:space="preserve">, </w:t>
      </w:r>
      <w:r>
        <w:t>«</w:t>
      </w:r>
      <w:r w:rsidRPr="00E254F5">
        <w:t>Bioéthique</w:t>
      </w:r>
      <w:r>
        <w:t>»</w:t>
      </w:r>
      <w:r w:rsidRPr="00E254F5">
        <w:t xml:space="preserve">, </w:t>
      </w:r>
      <w:r w:rsidRPr="00E254F5">
        <w:rPr>
          <w:i/>
        </w:rPr>
        <w:t>Revue française de droit constitutionnel</w:t>
      </w:r>
      <w:r w:rsidRPr="00E254F5">
        <w:t xml:space="preserve">, 1.12.1994, </w:t>
      </w:r>
      <w:r w:rsidRPr="00E254F5">
        <w:rPr>
          <w:iCs/>
        </w:rPr>
        <w:t>n</w:t>
      </w:r>
      <w:r w:rsidRPr="00E254F5">
        <w:rPr>
          <w:iCs/>
          <w:vertAlign w:val="superscript"/>
        </w:rPr>
        <w:t>o</w:t>
      </w:r>
      <w:r w:rsidRPr="00E254F5">
        <w:rPr>
          <w:iCs/>
        </w:rPr>
        <w:t xml:space="preserve"> 20, σελ. 799-811</w:t>
      </w:r>
      <w:r>
        <w:rPr>
          <w:iCs/>
        </w:rPr>
        <w:t xml:space="preserve">. </w:t>
      </w:r>
    </w:p>
    <w:p w14:paraId="53C3CE8D" w14:textId="77777777" w:rsidR="00E97EEC" w:rsidRDefault="00E97EEC" w:rsidP="00E803E4">
      <w:pPr>
        <w:spacing w:line="240" w:lineRule="auto"/>
        <w:ind w:firstLine="0"/>
      </w:pPr>
      <w:r w:rsidRPr="00E254F5">
        <w:rPr>
          <w:b/>
          <w:i/>
        </w:rPr>
        <w:t>J.-C. Galloux, H. Gaumont-Prat</w:t>
      </w:r>
      <w:r w:rsidRPr="00E254F5">
        <w:t xml:space="preserve">, «Droits et libertés corporels. Janvier 2013-Janvier 2014», </w:t>
      </w:r>
      <w:r w:rsidRPr="00E254F5">
        <w:rPr>
          <w:i/>
        </w:rPr>
        <w:t>Recueil Dalloz Sirey</w:t>
      </w:r>
      <w:r>
        <w:t xml:space="preserve">, 10.4.2014, </w:t>
      </w:r>
      <w:r w:rsidRPr="00E254F5">
        <w:t>n</w:t>
      </w:r>
      <w:r w:rsidRPr="00E254F5">
        <w:rPr>
          <w:vertAlign w:val="superscript"/>
        </w:rPr>
        <w:t xml:space="preserve">o </w:t>
      </w:r>
      <w:r w:rsidRPr="00E254F5">
        <w:t xml:space="preserve">14, σελ. 843. </w:t>
      </w:r>
    </w:p>
    <w:p w14:paraId="6671843E" w14:textId="77777777" w:rsidR="007174F1" w:rsidRDefault="007174F1" w:rsidP="00E803E4">
      <w:pPr>
        <w:spacing w:line="240" w:lineRule="auto"/>
        <w:ind w:firstLine="0"/>
      </w:pPr>
      <w:r w:rsidRPr="00E254F5">
        <w:rPr>
          <w:b/>
          <w:i/>
        </w:rPr>
        <w:t>J.-C. Galloux</w:t>
      </w:r>
      <w:r w:rsidRPr="00E254F5">
        <w:t xml:space="preserve">, </w:t>
      </w:r>
      <w:r w:rsidRPr="005C1794">
        <w:rPr>
          <w:b/>
          <w:i/>
        </w:rPr>
        <w:t>H. Gaumont-Prat</w:t>
      </w:r>
      <w:r w:rsidRPr="00E254F5">
        <w:t>, «Droit et libertés corporelles</w:t>
      </w:r>
      <w:r>
        <w:t>»</w:t>
      </w:r>
      <w:r w:rsidRPr="00E254F5">
        <w:t xml:space="preserve">, </w:t>
      </w:r>
      <w:r w:rsidRPr="00E254F5">
        <w:rPr>
          <w:i/>
        </w:rPr>
        <w:t>Recueil Dalloz Sirey</w:t>
      </w:r>
      <w:r w:rsidRPr="00E254F5">
        <w:t>, 14.3.2013, n</w:t>
      </w:r>
      <w:r w:rsidRPr="00E254F5">
        <w:rPr>
          <w:vertAlign w:val="superscript"/>
        </w:rPr>
        <w:t xml:space="preserve">o </w:t>
      </w:r>
      <w:r>
        <w:t xml:space="preserve">10, σελ. 663-675. </w:t>
      </w:r>
    </w:p>
    <w:p w14:paraId="753D9784" w14:textId="77777777" w:rsidR="007174F1" w:rsidRDefault="007174F1" w:rsidP="00E803E4">
      <w:pPr>
        <w:spacing w:line="240" w:lineRule="auto"/>
        <w:ind w:firstLine="0"/>
      </w:pPr>
      <w:r w:rsidRPr="00E254F5">
        <w:rPr>
          <w:b/>
        </w:rPr>
        <w:t>J.-C. Galloux, H. Gaumont-Prat</w:t>
      </w:r>
      <w:r w:rsidRPr="00E254F5">
        <w:t xml:space="preserve">, «Droits et libertés corporels», </w:t>
      </w:r>
      <w:r w:rsidRPr="002C2688">
        <w:rPr>
          <w:i/>
        </w:rPr>
        <w:t>Recueil Dalloz Sirey</w:t>
      </w:r>
      <w:r w:rsidRPr="00E254F5">
        <w:t>, 2.2.2012,  n</w:t>
      </w:r>
      <w:r w:rsidRPr="00E254F5">
        <w:rPr>
          <w:vertAlign w:val="superscript"/>
        </w:rPr>
        <w:t xml:space="preserve">o </w:t>
      </w:r>
      <w:r w:rsidRPr="00E254F5">
        <w:t>5, σελ. 308.</w:t>
      </w:r>
    </w:p>
    <w:p w14:paraId="4609B044" w14:textId="77777777" w:rsidR="007174F1" w:rsidRDefault="007174F1" w:rsidP="00E803E4">
      <w:pPr>
        <w:spacing w:line="240" w:lineRule="auto"/>
        <w:ind w:firstLine="0"/>
      </w:pPr>
      <w:r w:rsidRPr="00E254F5">
        <w:rPr>
          <w:b/>
          <w:i/>
          <w:iCs/>
        </w:rPr>
        <w:t xml:space="preserve">G. </w:t>
      </w:r>
      <w:r w:rsidRPr="00E254F5">
        <w:rPr>
          <w:b/>
          <w:i/>
        </w:rPr>
        <w:t>Giudicelli-Delage</w:t>
      </w:r>
      <w:r w:rsidRPr="00E254F5">
        <w:t xml:space="preserve">, </w:t>
      </w:r>
      <w:r>
        <w:t>«</w:t>
      </w:r>
      <w:r w:rsidRPr="00E254F5">
        <w:t>Droit à la protection de la santé et droit pénal en France</w:t>
      </w:r>
      <w:r>
        <w:t>»</w:t>
      </w:r>
      <w:r w:rsidRPr="00E254F5">
        <w:t xml:space="preserve">, </w:t>
      </w:r>
      <w:r w:rsidRPr="00E254F5">
        <w:rPr>
          <w:i/>
        </w:rPr>
        <w:t>Revue de science criminelle et de droit pénal comparé</w:t>
      </w:r>
      <w:r w:rsidRPr="00E254F5">
        <w:t>, 1.1.</w:t>
      </w:r>
      <w:r w:rsidRPr="00E254F5">
        <w:rPr>
          <w:iCs/>
        </w:rPr>
        <w:t>1996, n</w:t>
      </w:r>
      <w:r w:rsidRPr="00E254F5">
        <w:rPr>
          <w:iCs/>
          <w:vertAlign w:val="superscript"/>
        </w:rPr>
        <w:t>o</w:t>
      </w:r>
      <w:r w:rsidRPr="00E254F5">
        <w:rPr>
          <w:iCs/>
        </w:rPr>
        <w:t xml:space="preserve"> 1, σελ. 13-30</w:t>
      </w:r>
      <w:r>
        <w:t xml:space="preserve">. </w:t>
      </w:r>
    </w:p>
    <w:p w14:paraId="4C4D2177" w14:textId="7CBBF8F7" w:rsidR="007174F1" w:rsidRDefault="007174F1" w:rsidP="00E803E4">
      <w:pPr>
        <w:spacing w:line="240" w:lineRule="auto"/>
        <w:ind w:firstLine="0"/>
      </w:pPr>
      <w:r w:rsidRPr="00E254F5">
        <w:rPr>
          <w:b/>
          <w:i/>
        </w:rPr>
        <w:t>F. Granet-Lambrechts</w:t>
      </w:r>
      <w:r w:rsidRPr="00E254F5">
        <w:t xml:space="preserve">, </w:t>
      </w:r>
      <w:r>
        <w:t>«</w:t>
      </w:r>
      <w:r w:rsidRPr="00E254F5">
        <w:t xml:space="preserve">Droit de la filiation. Avril 2011-février 2012», </w:t>
      </w:r>
      <w:r w:rsidRPr="00E254F5">
        <w:rPr>
          <w:i/>
        </w:rPr>
        <w:t>Recueil Dalloz Sirey</w:t>
      </w:r>
      <w:r w:rsidRPr="00E254F5">
        <w:t>, 7.6.2012, n</w:t>
      </w:r>
      <w:r w:rsidRPr="00E254F5">
        <w:rPr>
          <w:vertAlign w:val="superscript"/>
        </w:rPr>
        <w:t xml:space="preserve">o </w:t>
      </w:r>
      <w:r>
        <w:t xml:space="preserve">22, σελ. 1432επ. </w:t>
      </w:r>
    </w:p>
    <w:p w14:paraId="313974EB" w14:textId="77777777" w:rsidR="00E97EEC" w:rsidRDefault="00E97EEC" w:rsidP="00E803E4">
      <w:pPr>
        <w:spacing w:line="240" w:lineRule="auto"/>
        <w:ind w:firstLine="0"/>
      </w:pPr>
      <w:r w:rsidRPr="00E254F5">
        <w:rPr>
          <w:b/>
          <w:i/>
        </w:rPr>
        <w:t>J. Hauser</w:t>
      </w:r>
      <w:r w:rsidRPr="00E254F5">
        <w:t xml:space="preserve">, </w:t>
      </w:r>
      <w:r>
        <w:t>«</w:t>
      </w:r>
      <w:r w:rsidRPr="00E254F5">
        <w:t>Procréations médicalement assistées: pas de QPC; Note sous Cour de cassation, première Chambre civile, 19 janvier 2012, pourvoi numéro 11-40.089 et Cour de cassation, première Chambre civile, 15 février 2012, pourvoi numéro 11-22.111 et 11.22.237</w:t>
      </w:r>
      <w:r>
        <w:t>»</w:t>
      </w:r>
      <w:r w:rsidRPr="00E254F5">
        <w:t xml:space="preserve">, </w:t>
      </w:r>
      <w:r w:rsidRPr="00E254F5">
        <w:rPr>
          <w:i/>
        </w:rPr>
        <w:t>Revue Trimestrielle de Droit Civil</w:t>
      </w:r>
      <w:r w:rsidRPr="00E254F5">
        <w:t>, 1.4.2012, n</w:t>
      </w:r>
      <w:r w:rsidRPr="00E254F5">
        <w:rPr>
          <w:vertAlign w:val="superscript"/>
        </w:rPr>
        <w:t>o</w:t>
      </w:r>
      <w:r w:rsidRPr="00E254F5">
        <w:t xml:space="preserve"> 2, σελ. 303</w:t>
      </w:r>
      <w:r>
        <w:t xml:space="preserve">. </w:t>
      </w:r>
    </w:p>
    <w:p w14:paraId="7F58D62A" w14:textId="77777777" w:rsidR="00E97EEC" w:rsidRDefault="00E97EEC" w:rsidP="00E803E4">
      <w:pPr>
        <w:spacing w:line="240" w:lineRule="auto"/>
        <w:ind w:firstLine="0"/>
      </w:pPr>
      <w:r w:rsidRPr="004D49A9">
        <w:rPr>
          <w:b/>
          <w:i/>
        </w:rPr>
        <w:t>C. Labrusse-Riou</w:t>
      </w:r>
      <w:r>
        <w:t xml:space="preserve">, </w:t>
      </w:r>
      <w:r w:rsidRPr="006018E1">
        <w:t>«</w:t>
      </w:r>
      <w:r>
        <w:t>L’embryon humain-médicament ou le dépassement de toute norme</w:t>
      </w:r>
      <w:r w:rsidRPr="006018E1">
        <w:t>»</w:t>
      </w:r>
      <w:r>
        <w:t xml:space="preserve">, in </w:t>
      </w:r>
      <w:r w:rsidRPr="004D49A9">
        <w:rPr>
          <w:b/>
          <w:i/>
        </w:rPr>
        <w:t>I. Moine</w:t>
      </w:r>
      <w:r>
        <w:t xml:space="preserve"> (dir.), </w:t>
      </w:r>
      <w:r>
        <w:rPr>
          <w:i/>
        </w:rPr>
        <w:t>Le médica</w:t>
      </w:r>
      <w:r w:rsidRPr="004D49A9">
        <w:rPr>
          <w:i/>
        </w:rPr>
        <w:t xml:space="preserve">ment </w:t>
      </w:r>
      <w:r>
        <w:rPr>
          <w:i/>
        </w:rPr>
        <w:t>et la personne, aspects de droi</w:t>
      </w:r>
      <w:r w:rsidRPr="004D49A9">
        <w:rPr>
          <w:i/>
        </w:rPr>
        <w:t>t internationa</w:t>
      </w:r>
      <w:r>
        <w:rPr>
          <w:i/>
        </w:rPr>
        <w:t>l</w:t>
      </w:r>
      <w:r>
        <w:t xml:space="preserve">, LexisNexis Litec, Travaux du CREDIMI, 2007, vol. 28, σελ. 453-460. </w:t>
      </w:r>
    </w:p>
    <w:p w14:paraId="41721612" w14:textId="6B42F5E4" w:rsidR="00406EEB" w:rsidRDefault="00406EEB" w:rsidP="00E803E4">
      <w:pPr>
        <w:spacing w:line="240" w:lineRule="auto"/>
        <w:ind w:firstLine="0"/>
      </w:pPr>
      <w:r w:rsidRPr="00E708BB">
        <w:rPr>
          <w:b/>
          <w:i/>
        </w:rPr>
        <w:t>A. Lamboley</w:t>
      </w:r>
      <w:r>
        <w:t xml:space="preserve">, «Les droits fondamentaux de l’enfant», in </w:t>
      </w:r>
      <w:r w:rsidRPr="00E708BB">
        <w:rPr>
          <w:b/>
          <w:i/>
        </w:rPr>
        <w:t>R. Cabrillac, M.-A. Frison-Roche, Th. Revet (dir.)</w:t>
      </w:r>
      <w:r>
        <w:t xml:space="preserve">, </w:t>
      </w:r>
      <w:r w:rsidRPr="00E708BB">
        <w:rPr>
          <w:i/>
        </w:rPr>
        <w:t>Libert</w:t>
      </w:r>
      <w:r w:rsidRPr="00587E5D">
        <w:rPr>
          <w:i/>
        </w:rPr>
        <w:t>é</w:t>
      </w:r>
      <w:r w:rsidRPr="00E708BB">
        <w:rPr>
          <w:i/>
        </w:rPr>
        <w:t>s et droits fondamentaux</w:t>
      </w:r>
      <w:r>
        <w:t xml:space="preserve">, </w:t>
      </w:r>
      <w:r w:rsidR="007E519C">
        <w:rPr>
          <w:lang w:val="en-US"/>
        </w:rPr>
        <w:t>Éd.</w:t>
      </w:r>
      <w:r>
        <w:t xml:space="preserve"> Dalloz, 2011, σελ. 287-313. </w:t>
      </w:r>
    </w:p>
    <w:p w14:paraId="46B09C38" w14:textId="77777777" w:rsidR="00E97EEC" w:rsidRDefault="00E97EEC" w:rsidP="00E803E4">
      <w:pPr>
        <w:spacing w:line="240" w:lineRule="auto"/>
        <w:ind w:firstLine="0"/>
      </w:pPr>
      <w:r w:rsidRPr="00E254F5">
        <w:rPr>
          <w:b/>
          <w:i/>
        </w:rPr>
        <w:t>A. M. M. Lebech</w:t>
      </w:r>
      <w:r w:rsidRPr="00E254F5">
        <w:t xml:space="preserve">, </w:t>
      </w:r>
      <w:r>
        <w:t>«</w:t>
      </w:r>
      <w:r w:rsidRPr="00E254F5">
        <w:t>Constitution de la dignité humaine</w:t>
      </w:r>
      <w:r>
        <w:t>»</w:t>
      </w:r>
      <w:r w:rsidRPr="00E254F5">
        <w:t xml:space="preserve">, </w:t>
      </w:r>
      <w:r w:rsidRPr="00E254F5">
        <w:rPr>
          <w:i/>
        </w:rPr>
        <w:t>Revue générale de droit médical</w:t>
      </w:r>
      <w:r w:rsidRPr="00E254F5">
        <w:t>, 1.10.</w:t>
      </w:r>
      <w:r w:rsidRPr="00E254F5">
        <w:rPr>
          <w:iCs/>
        </w:rPr>
        <w:t>2002, n</w:t>
      </w:r>
      <w:r w:rsidRPr="00E254F5">
        <w:rPr>
          <w:iCs/>
          <w:vertAlign w:val="superscript"/>
        </w:rPr>
        <w:t>o</w:t>
      </w:r>
      <w:r w:rsidRPr="00E254F5">
        <w:rPr>
          <w:iCs/>
        </w:rPr>
        <w:t xml:space="preserve"> 8, σελ. 55-67</w:t>
      </w:r>
      <w:r>
        <w:t xml:space="preserve">. </w:t>
      </w:r>
    </w:p>
    <w:p w14:paraId="457DB6C7" w14:textId="77777777" w:rsidR="00E97EEC" w:rsidRDefault="00E97EEC" w:rsidP="00E803E4">
      <w:pPr>
        <w:spacing w:line="240" w:lineRule="auto"/>
        <w:ind w:firstLine="0"/>
      </w:pPr>
      <w:r w:rsidRPr="00E254F5">
        <w:rPr>
          <w:b/>
          <w:i/>
        </w:rPr>
        <w:t>A.-M. Le Bos-Le Pourhiet</w:t>
      </w:r>
      <w:r w:rsidRPr="00E254F5">
        <w:t xml:space="preserve">, </w:t>
      </w:r>
      <w:r>
        <w:t>«</w:t>
      </w:r>
      <w:r w:rsidRPr="00E254F5">
        <w:t>Le Conseil constitutionnel et l'éthique biomédicale</w:t>
      </w:r>
      <w:r>
        <w:t>»</w:t>
      </w:r>
      <w:r w:rsidRPr="00E254F5">
        <w:t xml:space="preserve">, </w:t>
      </w:r>
      <w:r w:rsidRPr="00E254F5">
        <w:rPr>
          <w:i/>
        </w:rPr>
        <w:t>Mélanges Dupuis</w:t>
      </w:r>
      <w:r w:rsidRPr="00E254F5">
        <w:t xml:space="preserve">, </w:t>
      </w:r>
      <w:r w:rsidRPr="00E254F5">
        <w:rPr>
          <w:iCs/>
        </w:rPr>
        <w:t>LGDJ, 1997</w:t>
      </w:r>
      <w:r w:rsidRPr="00E254F5">
        <w:rPr>
          <w:i/>
          <w:iCs/>
        </w:rPr>
        <w:t xml:space="preserve">, </w:t>
      </w:r>
      <w:r w:rsidRPr="00E254F5">
        <w:rPr>
          <w:iCs/>
        </w:rPr>
        <w:t>σελ. 213-225</w:t>
      </w:r>
      <w:r>
        <w:t xml:space="preserve">.  </w:t>
      </w:r>
    </w:p>
    <w:p w14:paraId="5CF30308" w14:textId="77777777" w:rsidR="00E97EEC" w:rsidRDefault="00E97EEC" w:rsidP="00E803E4">
      <w:pPr>
        <w:spacing w:line="240" w:lineRule="auto"/>
        <w:ind w:firstLine="0"/>
      </w:pPr>
      <w:r w:rsidRPr="00E254F5">
        <w:rPr>
          <w:b/>
          <w:i/>
        </w:rPr>
        <w:t>Fr. Luchaire</w:t>
      </w:r>
      <w:r w:rsidRPr="00E254F5">
        <w:t xml:space="preserve">, «Le Conseil constitutionnel et l'assistance médicale à la procréation», </w:t>
      </w:r>
      <w:r w:rsidRPr="00E254F5">
        <w:rPr>
          <w:i/>
        </w:rPr>
        <w:t>Revue du droit public</w:t>
      </w:r>
      <w:r w:rsidRPr="00E254F5">
        <w:t xml:space="preserve">, 1.12.1994, </w:t>
      </w:r>
      <w:r w:rsidRPr="00E254F5">
        <w:rPr>
          <w:iCs/>
        </w:rPr>
        <w:t>n</w:t>
      </w:r>
      <w:r w:rsidRPr="00E254F5">
        <w:rPr>
          <w:iCs/>
          <w:vertAlign w:val="superscript"/>
        </w:rPr>
        <w:t>o</w:t>
      </w:r>
      <w:r w:rsidRPr="00E254F5">
        <w:rPr>
          <w:iCs/>
        </w:rPr>
        <w:t xml:space="preserve"> 6, σελ. 1647-1662</w:t>
      </w:r>
      <w:r>
        <w:rPr>
          <w:iCs/>
        </w:rPr>
        <w:t xml:space="preserve">. </w:t>
      </w:r>
    </w:p>
    <w:p w14:paraId="32682258" w14:textId="77777777" w:rsidR="00E97EEC" w:rsidRDefault="00E97EEC" w:rsidP="00E803E4">
      <w:pPr>
        <w:spacing w:line="240" w:lineRule="auto"/>
        <w:ind w:firstLine="0"/>
      </w:pPr>
      <w:r w:rsidRPr="00E254F5">
        <w:rPr>
          <w:b/>
          <w:i/>
        </w:rPr>
        <w:t>B. Mathieu</w:t>
      </w:r>
      <w:r w:rsidRPr="00E254F5">
        <w:t xml:space="preserve">, «Une refondation de la bioéthique?», </w:t>
      </w:r>
      <w:r w:rsidRPr="00E254F5">
        <w:rPr>
          <w:i/>
        </w:rPr>
        <w:t>JCP G Semaine juridique,</w:t>
      </w:r>
      <w:r w:rsidRPr="00E254F5">
        <w:t xml:space="preserve"> 2009, σελ. 20</w:t>
      </w:r>
      <w:r>
        <w:t xml:space="preserve">8. </w:t>
      </w:r>
    </w:p>
    <w:p w14:paraId="7EBC1211" w14:textId="77777777" w:rsidR="00E97EEC" w:rsidRDefault="00E97EEC" w:rsidP="00E803E4">
      <w:pPr>
        <w:spacing w:line="240" w:lineRule="auto"/>
        <w:ind w:firstLine="0"/>
      </w:pPr>
      <w:r w:rsidRPr="00E254F5">
        <w:rPr>
          <w:b/>
          <w:i/>
        </w:rPr>
        <w:t>B. Mathieu</w:t>
      </w:r>
      <w:r w:rsidRPr="00E254F5">
        <w:t>, </w:t>
      </w:r>
      <w:r>
        <w:t>«</w:t>
      </w:r>
      <w:r w:rsidRPr="00E254F5">
        <w:t>L'insuffisance des normes constitutionnelles face aux développements des sciences biomédicales</w:t>
      </w:r>
      <w:r>
        <w:t>»</w:t>
      </w:r>
      <w:r w:rsidRPr="00E254F5">
        <w:t xml:space="preserve">, </w:t>
      </w:r>
      <w:r w:rsidRPr="00E254F5">
        <w:rPr>
          <w:i/>
        </w:rPr>
        <w:t>Recueil Dalloz Sirey</w:t>
      </w:r>
      <w:r w:rsidRPr="00E254F5">
        <w:t>, 20.4.</w:t>
      </w:r>
      <w:r w:rsidRPr="00E254F5">
        <w:rPr>
          <w:iCs/>
        </w:rPr>
        <w:t>1995, n</w:t>
      </w:r>
      <w:r w:rsidRPr="00E254F5">
        <w:rPr>
          <w:iCs/>
          <w:vertAlign w:val="superscript"/>
        </w:rPr>
        <w:t>o</w:t>
      </w:r>
      <w:r w:rsidRPr="00E254F5">
        <w:rPr>
          <w:iCs/>
        </w:rPr>
        <w:t xml:space="preserve"> 16, σελ. 237-241</w:t>
      </w:r>
      <w:r>
        <w:t xml:space="preserve">. </w:t>
      </w:r>
    </w:p>
    <w:p w14:paraId="1EF84BFE" w14:textId="77777777" w:rsidR="00E97EEC" w:rsidRDefault="00E97EEC" w:rsidP="00E803E4">
      <w:pPr>
        <w:spacing w:line="240" w:lineRule="auto"/>
        <w:ind w:firstLine="0"/>
      </w:pPr>
      <w:r w:rsidRPr="00E254F5">
        <w:rPr>
          <w:b/>
          <w:i/>
        </w:rPr>
        <w:t>B. Mathieu</w:t>
      </w:r>
      <w:r w:rsidRPr="00E254F5">
        <w:t xml:space="preserve">, </w:t>
      </w:r>
      <w:r>
        <w:t>«Bioéthique</w:t>
      </w:r>
      <w:r w:rsidRPr="00E254F5">
        <w:t xml:space="preserve">: un juge constitutionnel réservé face aux défis de la science», </w:t>
      </w:r>
      <w:r w:rsidRPr="00E254F5">
        <w:rPr>
          <w:i/>
        </w:rPr>
        <w:t>Revue française de droit administratif</w:t>
      </w:r>
      <w:r w:rsidRPr="00E254F5">
        <w:t>, 9.10.</w:t>
      </w:r>
      <w:r w:rsidRPr="00E254F5">
        <w:rPr>
          <w:iCs/>
        </w:rPr>
        <w:t>1994, n</w:t>
      </w:r>
      <w:r w:rsidRPr="00E254F5">
        <w:rPr>
          <w:iCs/>
          <w:vertAlign w:val="superscript"/>
        </w:rPr>
        <w:t>o</w:t>
      </w:r>
      <w:r w:rsidRPr="00E254F5">
        <w:rPr>
          <w:iCs/>
        </w:rPr>
        <w:t xml:space="preserve"> 5, σελ. 1019-1032</w:t>
      </w:r>
      <w:r>
        <w:t xml:space="preserve">. </w:t>
      </w:r>
    </w:p>
    <w:p w14:paraId="4C1D33CA" w14:textId="77777777" w:rsidR="00F30A24" w:rsidRDefault="00F30A24" w:rsidP="00E803E4">
      <w:pPr>
        <w:spacing w:line="240" w:lineRule="auto"/>
        <w:ind w:firstLine="0"/>
      </w:pPr>
      <w:r w:rsidRPr="00E254F5">
        <w:rPr>
          <w:b/>
          <w:i/>
        </w:rPr>
        <w:t>A. Mirkovic</w:t>
      </w:r>
      <w:r w:rsidRPr="00E254F5">
        <w:t xml:space="preserve">, </w:t>
      </w:r>
      <w:r>
        <w:t>«</w:t>
      </w:r>
      <w:r w:rsidRPr="00E254F5">
        <w:t xml:space="preserve">Interdiction du double du don de gamètes: déjà déclarée conforme à la Constitution... Circulez, il n'y a rien à dire!; Note sous Cour de cassation, première Chambre </w:t>
      </w:r>
      <w:r w:rsidRPr="00E254F5">
        <w:lastRenderedPageBreak/>
        <w:t>civile, 19 janvier 2012, pourvoi numéro 11-40.089</w:t>
      </w:r>
      <w:r>
        <w:t>»</w:t>
      </w:r>
      <w:r w:rsidRPr="00E254F5">
        <w:rPr>
          <w:i/>
        </w:rPr>
        <w:t>, La Gazette du Palais</w:t>
      </w:r>
      <w:r w:rsidRPr="00E254F5">
        <w:t>, 22.6.2012, n</w:t>
      </w:r>
      <w:r w:rsidRPr="00E254F5">
        <w:rPr>
          <w:vertAlign w:val="superscript"/>
        </w:rPr>
        <w:t>o</w:t>
      </w:r>
      <w:r>
        <w:t xml:space="preserve"> 174-175, σελ. 12-13. </w:t>
      </w:r>
    </w:p>
    <w:p w14:paraId="1758A46D" w14:textId="77777777" w:rsidR="00F30A24" w:rsidRDefault="00F30A24" w:rsidP="00E803E4">
      <w:pPr>
        <w:spacing w:line="240" w:lineRule="auto"/>
        <w:ind w:firstLine="0"/>
      </w:pPr>
      <w:r w:rsidRPr="009336DE">
        <w:rPr>
          <w:b/>
          <w:i/>
        </w:rPr>
        <w:t>A. Mirkovic</w:t>
      </w:r>
      <w:r w:rsidRPr="00E254F5">
        <w:t xml:space="preserve">, «Statut de l’Embryon, la question interdite», </w:t>
      </w:r>
      <w:r w:rsidRPr="00E254F5">
        <w:rPr>
          <w:i/>
        </w:rPr>
        <w:t>JCP G Semaine Juridique</w:t>
      </w:r>
      <w:r w:rsidRPr="00E254F5">
        <w:t>, 25.1.2010, n</w:t>
      </w:r>
      <w:r w:rsidRPr="00E254F5">
        <w:rPr>
          <w:vertAlign w:val="superscript"/>
        </w:rPr>
        <w:t>o</w:t>
      </w:r>
      <w:r w:rsidRPr="00E254F5">
        <w:t xml:space="preserve"> 4, σελ. 177-182.</w:t>
      </w:r>
    </w:p>
    <w:p w14:paraId="0A78BBAE" w14:textId="77777777" w:rsidR="00E97EEC" w:rsidRDefault="00E97EEC" w:rsidP="00E803E4">
      <w:pPr>
        <w:spacing w:line="240" w:lineRule="auto"/>
        <w:ind w:firstLine="0"/>
      </w:pPr>
      <w:r w:rsidRPr="00E254F5">
        <w:rPr>
          <w:b/>
          <w:i/>
        </w:rPr>
        <w:t>O. Roy</w:t>
      </w:r>
      <w:r w:rsidRPr="00E254F5">
        <w:rPr>
          <w:b/>
        </w:rPr>
        <w:t>,</w:t>
      </w:r>
      <w:r w:rsidRPr="00E254F5">
        <w:t xml:space="preserve"> </w:t>
      </w:r>
      <w:r>
        <w:t>«</w:t>
      </w:r>
      <w:r w:rsidRPr="00E254F5">
        <w:t>Procréation Médicalement assistée et révision des lois bioéthiques françaises. Le montagne a accouché d’une souris</w:t>
      </w:r>
      <w:r>
        <w:t>»</w:t>
      </w:r>
      <w:r w:rsidRPr="00E254F5">
        <w:t xml:space="preserve">, in </w:t>
      </w:r>
      <w:r w:rsidRPr="00D938AD">
        <w:rPr>
          <w:b/>
          <w:i/>
        </w:rPr>
        <w:t>N. Gallus</w:t>
      </w:r>
      <w:r w:rsidRPr="00D938AD">
        <w:rPr>
          <w:b/>
        </w:rPr>
        <w:t xml:space="preserve"> (dir.)</w:t>
      </w:r>
      <w:r w:rsidRPr="00E254F5">
        <w:t xml:space="preserve">, </w:t>
      </w:r>
      <w:r w:rsidRPr="00E254F5">
        <w:rPr>
          <w:i/>
        </w:rPr>
        <w:t>Droit des familles: Genre et sexualité</w:t>
      </w:r>
      <w:r w:rsidRPr="00E254F5">
        <w:t xml:space="preserve">, </w:t>
      </w:r>
      <w:r>
        <w:t>Éd.</w:t>
      </w:r>
      <w:r w:rsidRPr="00E254F5">
        <w:t xml:space="preserve"> Anthemis, 2012, σελ. 13</w:t>
      </w:r>
      <w:r>
        <w:t xml:space="preserve">9επ.  </w:t>
      </w:r>
    </w:p>
    <w:p w14:paraId="6D5B154E" w14:textId="2F230C0D" w:rsidR="0008384A" w:rsidRDefault="0008384A" w:rsidP="00E803E4">
      <w:pPr>
        <w:spacing w:line="240" w:lineRule="auto"/>
        <w:ind w:firstLine="0"/>
      </w:pPr>
      <w:r w:rsidRPr="00B26AB4">
        <w:rPr>
          <w:b/>
          <w:i/>
        </w:rPr>
        <w:t>Fl. Taboulet</w:t>
      </w:r>
      <w:r>
        <w:t xml:space="preserve">, </w:t>
      </w:r>
      <w:r w:rsidRPr="00E254F5">
        <w:t>«</w:t>
      </w:r>
      <w:r>
        <w:t>Don d’ovocytes et tourisme procréatif: comment sortir de l’impasse?</w:t>
      </w:r>
      <w:r w:rsidRPr="00E254F5">
        <w:t>»,</w:t>
      </w:r>
      <w:r>
        <w:t xml:space="preserve"> </w:t>
      </w:r>
      <w:r w:rsidRPr="00B26AB4">
        <w:rPr>
          <w:i/>
        </w:rPr>
        <w:t>Médécine et Droit</w:t>
      </w:r>
      <w:r>
        <w:t>, 1.3.</w:t>
      </w:r>
      <w:r w:rsidRPr="00566602">
        <w:t>2014</w:t>
      </w:r>
      <w:r>
        <w:t>, n</w:t>
      </w:r>
      <w:r w:rsidRPr="00566602">
        <w:rPr>
          <w:vertAlign w:val="superscript"/>
        </w:rPr>
        <w:t>o</w:t>
      </w:r>
      <w:r>
        <w:t xml:space="preserve"> 125,  σελ. 40-45. </w:t>
      </w:r>
    </w:p>
    <w:p w14:paraId="6BE976CA" w14:textId="77777777" w:rsidR="00F30A24" w:rsidRDefault="00F30A24" w:rsidP="00E803E4">
      <w:pPr>
        <w:spacing w:line="240" w:lineRule="auto"/>
        <w:ind w:firstLine="0"/>
      </w:pPr>
      <w:r w:rsidRPr="00E254F5">
        <w:rPr>
          <w:b/>
          <w:i/>
        </w:rPr>
        <w:t>D. Thouvenin</w:t>
      </w:r>
      <w:r w:rsidRPr="00E254F5">
        <w:t xml:space="preserve">, </w:t>
      </w:r>
      <w:r>
        <w:t>«</w:t>
      </w:r>
      <w:r w:rsidRPr="00E254F5">
        <w:t>Les lois n°94-548 du 1er juillet 1994, n°94-653 et n°94-654 du 29 juillet 1994 ou comment construire un droit de la bioéthique</w:t>
      </w:r>
      <w:r>
        <w:t>»</w:t>
      </w:r>
      <w:r w:rsidRPr="00E254F5">
        <w:t xml:space="preserve">, </w:t>
      </w:r>
      <w:r w:rsidRPr="00E254F5">
        <w:rPr>
          <w:i/>
        </w:rPr>
        <w:t>Actualités législatives Dalloz</w:t>
      </w:r>
      <w:r w:rsidRPr="00E254F5">
        <w:t>, 23.11.</w:t>
      </w:r>
      <w:r w:rsidRPr="00E254F5">
        <w:rPr>
          <w:iCs/>
        </w:rPr>
        <w:t>1995, n</w:t>
      </w:r>
      <w:r w:rsidRPr="00E254F5">
        <w:rPr>
          <w:iCs/>
          <w:vertAlign w:val="superscript"/>
        </w:rPr>
        <w:t>o</w:t>
      </w:r>
      <w:r w:rsidRPr="00E254F5">
        <w:rPr>
          <w:iCs/>
        </w:rPr>
        <w:t xml:space="preserve"> 20, σελ. 179-216</w:t>
      </w:r>
      <w:r>
        <w:t xml:space="preserve">. </w:t>
      </w:r>
    </w:p>
    <w:p w14:paraId="1D3FB5E0" w14:textId="1C71D078" w:rsidR="00961CC1" w:rsidRDefault="00E97EEC" w:rsidP="00E803E4">
      <w:pPr>
        <w:spacing w:line="240" w:lineRule="auto"/>
        <w:ind w:firstLine="0"/>
      </w:pPr>
      <w:r w:rsidRPr="00E254F5">
        <w:t xml:space="preserve">«Commentaire des lois», Dictionnaire Permanent Bioéthique et Biotechnologies, </w:t>
      </w:r>
      <w:r>
        <w:t>Éd.</w:t>
      </w:r>
      <w:r w:rsidRPr="00E254F5">
        <w:t xml:space="preserve"> législatives, Montrouge, 1</w:t>
      </w:r>
      <w:r w:rsidRPr="00E254F5">
        <w:rPr>
          <w:vertAlign w:val="superscript"/>
        </w:rPr>
        <w:t>er</w:t>
      </w:r>
      <w:r>
        <w:t xml:space="preserve"> septembre 1994 (bull. 10). </w:t>
      </w:r>
    </w:p>
    <w:p w14:paraId="21C43077" w14:textId="67E2562D" w:rsidR="002C2688" w:rsidRDefault="002C2688" w:rsidP="002C2688">
      <w:pPr>
        <w:pStyle w:val="Heading2"/>
      </w:pPr>
      <w:bookmarkStart w:id="267" w:name="_Toc276148683"/>
      <w:bookmarkStart w:id="268" w:name="_Toc276237114"/>
      <w:bookmarkStart w:id="269" w:name="_Toc276574458"/>
      <w:r>
        <w:t>Νομοθεσία</w:t>
      </w:r>
      <w:bookmarkEnd w:id="267"/>
      <w:bookmarkEnd w:id="268"/>
      <w:bookmarkEnd w:id="269"/>
      <w:r>
        <w:t xml:space="preserve"> </w:t>
      </w:r>
    </w:p>
    <w:p w14:paraId="0B9480B0" w14:textId="77777777" w:rsidR="00C90476" w:rsidRPr="0065338C" w:rsidRDefault="00C90476" w:rsidP="00E803E4">
      <w:pPr>
        <w:spacing w:line="240" w:lineRule="auto"/>
        <w:ind w:firstLine="0"/>
        <w:rPr>
          <w:rStyle w:val="Strong"/>
          <w:b w:val="0"/>
          <w:szCs w:val="20"/>
          <w:lang w:val="fr-FR"/>
        </w:rPr>
      </w:pPr>
      <w:r w:rsidRPr="0065338C">
        <w:rPr>
          <w:szCs w:val="20"/>
        </w:rPr>
        <w:t xml:space="preserve">Loi n° 2011-814 du 7 juillet 2011 relative à la bioéthique, διαθέσιμος σε: </w:t>
      </w:r>
      <w:hyperlink r:id="rId19" w:history="1">
        <w:r w:rsidRPr="0065338C">
          <w:rPr>
            <w:rStyle w:val="Hyperlink"/>
            <w:szCs w:val="20"/>
            <w:lang w:val="fr-FR"/>
          </w:rPr>
          <w:t>http://www.legifrance.gouv.fr/affichTexte.do?cidTexte=JORFTEXT000024323102</w:t>
        </w:r>
      </w:hyperlink>
      <w:r w:rsidRPr="0065338C">
        <w:rPr>
          <w:rStyle w:val="Strong"/>
          <w:b w:val="0"/>
          <w:szCs w:val="20"/>
          <w:lang w:val="fr-FR"/>
        </w:rPr>
        <w:t>.</w:t>
      </w:r>
    </w:p>
    <w:p w14:paraId="6A40E645" w14:textId="77777777" w:rsidR="00C90476" w:rsidRPr="0065338C" w:rsidRDefault="00C90476" w:rsidP="00E803E4">
      <w:pPr>
        <w:spacing w:line="240" w:lineRule="auto"/>
        <w:ind w:firstLine="0"/>
        <w:rPr>
          <w:rStyle w:val="Strong"/>
          <w:b w:val="0"/>
          <w:szCs w:val="20"/>
          <w:lang w:val="fr-FR"/>
        </w:rPr>
      </w:pPr>
      <w:r w:rsidRPr="0065338C">
        <w:rPr>
          <w:szCs w:val="20"/>
        </w:rPr>
        <w:t xml:space="preserve">Loi n° 2004-800 du 6 août 2004 relative à la bioéthique, διαθέσιμος σε: </w:t>
      </w:r>
      <w:hyperlink r:id="rId20" w:history="1">
        <w:r w:rsidRPr="0065338C">
          <w:rPr>
            <w:rStyle w:val="Hyperlink"/>
            <w:szCs w:val="20"/>
            <w:lang w:val="fr-FR"/>
          </w:rPr>
          <w:t>http://www.legifrance.gouv.fr/affichTexte.do?cidTexte=JORFTEXT000000441469</w:t>
        </w:r>
      </w:hyperlink>
      <w:r w:rsidRPr="0065338C">
        <w:rPr>
          <w:rStyle w:val="Strong"/>
          <w:b w:val="0"/>
          <w:szCs w:val="20"/>
          <w:lang w:val="fr-FR"/>
        </w:rPr>
        <w:t>.</w:t>
      </w:r>
    </w:p>
    <w:p w14:paraId="5F177178" w14:textId="77777777" w:rsidR="002F1EAA" w:rsidRPr="0065338C" w:rsidRDefault="002F1EAA" w:rsidP="00E803E4">
      <w:pPr>
        <w:spacing w:line="240" w:lineRule="auto"/>
        <w:ind w:firstLine="0"/>
      </w:pPr>
      <w:r w:rsidRPr="0065338C">
        <w:rPr>
          <w:rStyle w:val="Strong"/>
          <w:b w:val="0"/>
          <w:bCs w:val="0"/>
          <w:szCs w:val="20"/>
          <w:lang w:val="fr-FR"/>
        </w:rPr>
        <w:t xml:space="preserve">Loi n° 94-653 du 29 juillet 1994 relative au respect du corps humain, διαθέσιμος σε : </w:t>
      </w:r>
      <w:hyperlink r:id="rId21" w:history="1">
        <w:r w:rsidRPr="0065338C">
          <w:rPr>
            <w:rStyle w:val="Hyperlink"/>
            <w:bCs/>
            <w:szCs w:val="20"/>
            <w:lang w:val="fr-FR"/>
          </w:rPr>
          <w:t>http://legifrance.gouv.fr/affichTexte.do?cidTexte=JORFTEXT000000549619</w:t>
        </w:r>
      </w:hyperlink>
      <w:r w:rsidRPr="0065338C">
        <w:rPr>
          <w:rStyle w:val="Strong"/>
          <w:b w:val="0"/>
          <w:bCs w:val="0"/>
          <w:szCs w:val="20"/>
          <w:lang w:val="fr-FR"/>
        </w:rPr>
        <w:t>.</w:t>
      </w:r>
      <w:r w:rsidRPr="0065338C">
        <w:rPr>
          <w:rStyle w:val="Strong"/>
          <w:b w:val="0"/>
          <w:szCs w:val="20"/>
          <w:lang w:val="fr-FR"/>
        </w:rPr>
        <w:t xml:space="preserve"> </w:t>
      </w:r>
    </w:p>
    <w:p w14:paraId="2168E8A7" w14:textId="5218C08B" w:rsidR="002F1EAA" w:rsidRPr="0065338C" w:rsidRDefault="002F1EAA" w:rsidP="00E803E4">
      <w:pPr>
        <w:spacing w:line="240" w:lineRule="auto"/>
        <w:ind w:firstLine="0"/>
        <w:rPr>
          <w:spacing w:val="-20"/>
        </w:rPr>
      </w:pPr>
      <w:r w:rsidRPr="0065338C">
        <w:rPr>
          <w:rStyle w:val="Strong"/>
          <w:b w:val="0"/>
          <w:bCs w:val="0"/>
          <w:szCs w:val="20"/>
          <w:lang w:val="fr-FR"/>
        </w:rPr>
        <w:t xml:space="preserve">Loi n° 94-654 du 29 juillet 1994 relative au don et à l'utilisation des éléments et produits du corps humain, à l'assistance médicale à la procréation et au diagnostic prénatal, διαθέσιμος σε : </w:t>
      </w:r>
      <w:hyperlink r:id="rId22" w:history="1">
        <w:r w:rsidRPr="0065338C">
          <w:rPr>
            <w:rStyle w:val="Hyperlink"/>
            <w:bCs/>
            <w:szCs w:val="20"/>
            <w:lang w:val="fr-FR"/>
          </w:rPr>
          <w:t>http://www.legifrance.gouv.fr/affichTexte.do?cidTexte=JORFTEXT000000549618</w:t>
        </w:r>
      </w:hyperlink>
      <w:r w:rsidRPr="0065338C">
        <w:rPr>
          <w:rStyle w:val="Strong"/>
          <w:b w:val="0"/>
          <w:bCs w:val="0"/>
          <w:szCs w:val="20"/>
          <w:lang w:val="fr-FR"/>
        </w:rPr>
        <w:t xml:space="preserve">. </w:t>
      </w:r>
    </w:p>
    <w:p w14:paraId="688E9371" w14:textId="022CF1EB" w:rsidR="0065338C" w:rsidRDefault="00F972DF" w:rsidP="00E803E4">
      <w:pPr>
        <w:pStyle w:val="Heading3"/>
        <w:numPr>
          <w:ilvl w:val="0"/>
          <w:numId w:val="18"/>
        </w:numPr>
      </w:pPr>
      <w:bookmarkStart w:id="270" w:name="_Toc276148684"/>
      <w:bookmarkStart w:id="271" w:name="_Toc276237115"/>
      <w:bookmarkStart w:id="272" w:name="_Toc276574459"/>
      <w:r>
        <w:t>Υπουργικές Αποφάσεις</w:t>
      </w:r>
      <w:bookmarkEnd w:id="270"/>
      <w:bookmarkEnd w:id="271"/>
      <w:bookmarkEnd w:id="272"/>
    </w:p>
    <w:p w14:paraId="481AAD71" w14:textId="32E2BA97" w:rsidR="00F972DF" w:rsidRPr="00E254F5" w:rsidRDefault="00F972DF" w:rsidP="00E803E4">
      <w:pPr>
        <w:spacing w:line="240" w:lineRule="auto"/>
        <w:ind w:left="426" w:firstLine="0"/>
        <w:rPr>
          <w:b/>
        </w:rPr>
      </w:pPr>
      <w:r w:rsidRPr="00E254F5">
        <w:t>Arrêté du 12 janvier 1999 relatif aux règles de bonnes pratiques cliniques et biologiques en assistance médicale à la procréation</w:t>
      </w:r>
      <w:r>
        <w:t>, διαθέσιμο σε:</w:t>
      </w:r>
      <w:r w:rsidRPr="00E254F5">
        <w:t xml:space="preserve"> </w:t>
      </w:r>
      <w:hyperlink r:id="rId23" w:history="1">
        <w:r w:rsidRPr="00E254F5">
          <w:rPr>
            <w:rStyle w:val="Hyperlink"/>
            <w:szCs w:val="20"/>
            <w:lang w:val="fr-FR"/>
          </w:rPr>
          <w:t>http://legifrance.gouv.fr/affichTexte.do;jsessionid=112119A73C773B6E0E287C667783D434.tpdjo04v_1?cidTexte=JORFTEXT000000759334&amp;categorieLien=id</w:t>
        </w:r>
      </w:hyperlink>
      <w:r w:rsidRPr="00F972DF">
        <w:rPr>
          <w:rStyle w:val="Strong"/>
          <w:b w:val="0"/>
          <w:szCs w:val="20"/>
          <w:lang w:val="fr-FR"/>
        </w:rPr>
        <w:t xml:space="preserve">. </w:t>
      </w:r>
    </w:p>
    <w:p w14:paraId="427C99DF" w14:textId="3F1CFF5C" w:rsidR="00F972DF" w:rsidRPr="00E254F5" w:rsidRDefault="00F972DF" w:rsidP="00E803E4">
      <w:pPr>
        <w:spacing w:line="240" w:lineRule="auto"/>
        <w:ind w:left="426" w:firstLine="0"/>
      </w:pPr>
      <w:r w:rsidRPr="00E254F5">
        <w:t>Arrêté du 11 avril 2008 relatif aux règles de bonnes pratiques cliniques et biologiques d’assis</w:t>
      </w:r>
      <w:r>
        <w:t xml:space="preserve">tance médicale à la procréation, διαθέσιμο σε: </w:t>
      </w:r>
      <w:hyperlink r:id="rId24" w:history="1">
        <w:r w:rsidRPr="00E254F5">
          <w:rPr>
            <w:rStyle w:val="Hyperlink"/>
            <w:szCs w:val="20"/>
            <w:lang w:val="fr-FR"/>
          </w:rPr>
          <w:t>http://www.juridique-biomedecine.fr/uploads/documents/arrt-du-11-avril-2008-relatif-aux-rgles-de-bonnes-pratiques-cliniques-et-biologiques-d-assistance-mdicale--la-procration-modifi-arrt-du-3-aot-2010.pdf</w:t>
        </w:r>
      </w:hyperlink>
      <w:r w:rsidRPr="00F972DF">
        <w:t xml:space="preserve">. </w:t>
      </w:r>
    </w:p>
    <w:p w14:paraId="114967AA" w14:textId="70832A88" w:rsidR="00F972DF" w:rsidRDefault="00DA7C18" w:rsidP="00E803E4">
      <w:pPr>
        <w:pStyle w:val="Heading3"/>
        <w:numPr>
          <w:ilvl w:val="0"/>
          <w:numId w:val="18"/>
        </w:numPr>
      </w:pPr>
      <w:bookmarkStart w:id="273" w:name="_Toc276148685"/>
      <w:bookmarkStart w:id="274" w:name="_Toc276237116"/>
      <w:bookmarkStart w:id="275" w:name="_Toc276574460"/>
      <w:r>
        <w:t>Διατάγματα</w:t>
      </w:r>
      <w:bookmarkEnd w:id="273"/>
      <w:bookmarkEnd w:id="274"/>
      <w:bookmarkEnd w:id="275"/>
      <w:r>
        <w:t xml:space="preserve"> </w:t>
      </w:r>
    </w:p>
    <w:p w14:paraId="26C1B681" w14:textId="2E2EAC9F" w:rsidR="00DA7C18" w:rsidRPr="00F972DF" w:rsidRDefault="00F24850" w:rsidP="00E803E4">
      <w:pPr>
        <w:spacing w:line="240" w:lineRule="auto"/>
        <w:ind w:left="426" w:firstLine="0"/>
      </w:pPr>
      <w:r>
        <w:t>Δ</w:t>
      </w:r>
      <w:r w:rsidR="00DA7C18">
        <w:t xml:space="preserve">ιατάγματα που αφορούν στην ιατρικά υποβοηθούμενη αναπαραγωγή και την προστασία του εμβρύου </w:t>
      </w:r>
      <w:r w:rsidR="00DA7C18" w:rsidRPr="003E6FBE">
        <w:rPr>
          <w:i/>
        </w:rPr>
        <w:t>in vitro</w:t>
      </w:r>
      <w:r w:rsidR="00DA7C18">
        <w:t xml:space="preserve"> βλ. την ιστοσελίδα του Οργανισμού:</w:t>
      </w:r>
      <w:r w:rsidR="00DA7C18" w:rsidRPr="00CB5E28">
        <w:rPr>
          <w:szCs w:val="20"/>
        </w:rPr>
        <w:t xml:space="preserve"> </w:t>
      </w:r>
      <w:hyperlink r:id="rId25" w:anchor="article-l-2141-1" w:history="1">
        <w:r w:rsidR="00DA7C18" w:rsidRPr="00CB5E28">
          <w:rPr>
            <w:rStyle w:val="Hyperlink"/>
            <w:szCs w:val="20"/>
          </w:rPr>
          <w:t>http://www.juridique-biomedecine.fr/code-de-la-sante/chapitre-1-dispositions-gnrales.html#article-l-2141-1</w:t>
        </w:r>
      </w:hyperlink>
    </w:p>
    <w:p w14:paraId="7110E1DF" w14:textId="7EED89E8" w:rsidR="002C2688" w:rsidRDefault="002C2688" w:rsidP="002C2688">
      <w:pPr>
        <w:pStyle w:val="Heading2"/>
      </w:pPr>
      <w:bookmarkStart w:id="276" w:name="_Toc276148686"/>
      <w:bookmarkStart w:id="277" w:name="_Toc276237117"/>
      <w:bookmarkStart w:id="278" w:name="_Toc276574461"/>
      <w:r>
        <w:lastRenderedPageBreak/>
        <w:t>Νομολογία</w:t>
      </w:r>
      <w:bookmarkEnd w:id="276"/>
      <w:bookmarkEnd w:id="277"/>
      <w:bookmarkEnd w:id="278"/>
      <w:r>
        <w:t xml:space="preserve"> </w:t>
      </w:r>
    </w:p>
    <w:p w14:paraId="48838606" w14:textId="77777777" w:rsidR="00321002" w:rsidRDefault="00321002" w:rsidP="00F65651">
      <w:pPr>
        <w:pStyle w:val="Heading3"/>
        <w:numPr>
          <w:ilvl w:val="0"/>
          <w:numId w:val="18"/>
        </w:numPr>
        <w:spacing w:line="240" w:lineRule="auto"/>
        <w:ind w:hanging="294"/>
      </w:pPr>
      <w:bookmarkStart w:id="279" w:name="_Toc276148687"/>
      <w:bookmarkStart w:id="280" w:name="_Toc276237118"/>
      <w:bookmarkStart w:id="281" w:name="_Toc276574462"/>
      <w:r>
        <w:t>Ανώτατο Ακυρωτικό Δικαστήριο</w:t>
      </w:r>
      <w:bookmarkEnd w:id="279"/>
      <w:bookmarkEnd w:id="280"/>
      <w:bookmarkEnd w:id="281"/>
      <w:r>
        <w:t xml:space="preserve"> </w:t>
      </w:r>
    </w:p>
    <w:p w14:paraId="78B97BF9" w14:textId="77777777" w:rsidR="00321002" w:rsidRDefault="00321002" w:rsidP="00E803E4">
      <w:pPr>
        <w:spacing w:line="240" w:lineRule="auto"/>
        <w:ind w:left="426" w:firstLine="0"/>
      </w:pPr>
      <w:r w:rsidRPr="00390B86">
        <w:t>CCass, 1</w:t>
      </w:r>
      <w:r w:rsidRPr="00390B86">
        <w:rPr>
          <w:vertAlign w:val="superscript"/>
        </w:rPr>
        <w:t>e</w:t>
      </w:r>
      <w:r w:rsidRPr="00390B86">
        <w:t xml:space="preserve"> Civile, 17 Σεπτεμβρίου 2003 [αριθ. αίτησης αναίρεσης: 00-18137]</w:t>
      </w:r>
      <w:r>
        <w:t xml:space="preserve">. </w:t>
      </w:r>
    </w:p>
    <w:p w14:paraId="7ED5E761" w14:textId="77777777" w:rsidR="00321002" w:rsidRPr="00143622" w:rsidRDefault="00321002" w:rsidP="00E803E4">
      <w:pPr>
        <w:spacing w:line="240" w:lineRule="auto"/>
        <w:ind w:left="426" w:firstLine="0"/>
      </w:pPr>
      <w:r w:rsidRPr="00322336">
        <w:t>CCass, 1</w:t>
      </w:r>
      <w:r w:rsidRPr="00322336">
        <w:rPr>
          <w:vertAlign w:val="superscript"/>
        </w:rPr>
        <w:t>e</w:t>
      </w:r>
      <w:r w:rsidRPr="00322336">
        <w:t xml:space="preserve"> Civile, 19</w:t>
      </w:r>
      <w:r w:rsidRPr="00E254F5">
        <w:t xml:space="preserve"> Ιανουαρίου 2012 [αριθ. αίτησης αναίρεσης: 11-40089]</w:t>
      </w:r>
      <w:r>
        <w:t xml:space="preserve">. </w:t>
      </w:r>
    </w:p>
    <w:p w14:paraId="4644901C" w14:textId="684E56E1" w:rsidR="00143092" w:rsidRDefault="00143092" w:rsidP="00F65651">
      <w:pPr>
        <w:pStyle w:val="Heading3"/>
        <w:numPr>
          <w:ilvl w:val="0"/>
          <w:numId w:val="18"/>
        </w:numPr>
        <w:spacing w:line="240" w:lineRule="auto"/>
        <w:ind w:hanging="294"/>
      </w:pPr>
      <w:bookmarkStart w:id="282" w:name="_Toc276148688"/>
      <w:bookmarkStart w:id="283" w:name="_Toc276237119"/>
      <w:bookmarkStart w:id="284" w:name="_Toc276574463"/>
      <w:r>
        <w:t>Συμβούλιο Επικρατείας</w:t>
      </w:r>
      <w:bookmarkEnd w:id="282"/>
      <w:bookmarkEnd w:id="283"/>
      <w:bookmarkEnd w:id="284"/>
      <w:r>
        <w:t xml:space="preserve"> </w:t>
      </w:r>
    </w:p>
    <w:p w14:paraId="3233F0DE" w14:textId="77777777" w:rsidR="00321002" w:rsidRPr="00E254F5" w:rsidRDefault="00321002" w:rsidP="00F65651">
      <w:pPr>
        <w:spacing w:line="240" w:lineRule="auto"/>
        <w:ind w:left="426" w:firstLine="0"/>
      </w:pPr>
      <w:r w:rsidRPr="00E254F5">
        <w:t xml:space="preserve">CE, </w:t>
      </w:r>
      <w:r w:rsidRPr="00E254F5">
        <w:rPr>
          <w:i/>
        </w:rPr>
        <w:t xml:space="preserve">Ομοσπονδία της ΙΥΑ και Ομοσπονδία των γενικών νοσοκομείων, </w:t>
      </w:r>
      <w:r w:rsidRPr="00E254F5">
        <w:t xml:space="preserve">21 Ιανουαρίου 1994 [αριθ. αίτησης: </w:t>
      </w:r>
      <w:r w:rsidRPr="00321002">
        <w:rPr>
          <w:rStyle w:val="Strong"/>
          <w:b w:val="0"/>
          <w:szCs w:val="20"/>
        </w:rPr>
        <w:t>118858</w:t>
      </w:r>
      <w:r w:rsidRPr="00321002">
        <w:t>].</w:t>
      </w:r>
      <w:r>
        <w:t xml:space="preserve"> </w:t>
      </w:r>
    </w:p>
    <w:p w14:paraId="7653A513" w14:textId="77777777" w:rsidR="00321002" w:rsidRPr="00143092" w:rsidRDefault="00321002" w:rsidP="00F65651">
      <w:pPr>
        <w:pStyle w:val="Heading3"/>
        <w:numPr>
          <w:ilvl w:val="0"/>
          <w:numId w:val="18"/>
        </w:numPr>
        <w:spacing w:line="240" w:lineRule="auto"/>
        <w:ind w:hanging="294"/>
      </w:pPr>
      <w:bookmarkStart w:id="285" w:name="_Toc276148689"/>
      <w:bookmarkStart w:id="286" w:name="_Toc276237120"/>
      <w:bookmarkStart w:id="287" w:name="_Toc276574464"/>
      <w:r>
        <w:t>Συνταγματικό Συμβούλιο</w:t>
      </w:r>
      <w:bookmarkEnd w:id="285"/>
      <w:bookmarkEnd w:id="286"/>
      <w:bookmarkEnd w:id="287"/>
    </w:p>
    <w:p w14:paraId="01F0BCB2" w14:textId="77777777" w:rsidR="00321002" w:rsidRDefault="00321002" w:rsidP="00F65651">
      <w:pPr>
        <w:spacing w:line="240" w:lineRule="auto"/>
        <w:ind w:left="426" w:firstLine="0"/>
      </w:pPr>
      <w:r w:rsidRPr="00E254F5">
        <w:t>Conseil Constitutionnel, Déc. n</w:t>
      </w:r>
      <w:r w:rsidRPr="00E254F5">
        <w:rPr>
          <w:vertAlign w:val="superscript"/>
        </w:rPr>
        <w:t>o</w:t>
      </w:r>
      <w:r w:rsidRPr="00E254F5">
        <w:t xml:space="preserve"> 94-343/344 DC, 27 Ιουλίου 1994, </w:t>
      </w:r>
      <w:r w:rsidRPr="00E254F5">
        <w:rPr>
          <w:i/>
        </w:rPr>
        <w:t xml:space="preserve">Νόμος σχετικά με το σεβασμό του </w:t>
      </w:r>
      <w:r>
        <w:rPr>
          <w:i/>
        </w:rPr>
        <w:t>ανθρωπίνου</w:t>
      </w:r>
      <w:r w:rsidRPr="00E254F5">
        <w:rPr>
          <w:i/>
        </w:rPr>
        <w:t xml:space="preserve"> σώματος και Νόμος σχετικά με τη δωρεά και τη χρήση των στοιχείων και προϊόντων του </w:t>
      </w:r>
      <w:r>
        <w:rPr>
          <w:i/>
        </w:rPr>
        <w:t>ανθρωπίνου</w:t>
      </w:r>
      <w:r w:rsidRPr="00E254F5">
        <w:rPr>
          <w:i/>
        </w:rPr>
        <w:t xml:space="preserve"> σώματος, την ΙΥΑ και την προγεννητική διάγνωση</w:t>
      </w:r>
      <w:r w:rsidRPr="00E254F5">
        <w:t>, Επίσημη Εφημερίδα 29</w:t>
      </w:r>
      <w:r w:rsidRPr="00E254F5">
        <w:rPr>
          <w:vertAlign w:val="superscript"/>
        </w:rPr>
        <w:t>ης</w:t>
      </w:r>
      <w:r w:rsidRPr="00E254F5">
        <w:t xml:space="preserve"> Ιουλίου 1994, σελ. 11024</w:t>
      </w:r>
      <w:r>
        <w:t xml:space="preserve">. </w:t>
      </w:r>
    </w:p>
    <w:p w14:paraId="7D0EFDE5" w14:textId="550B2649" w:rsidR="00321002" w:rsidRPr="00321002" w:rsidRDefault="00321002" w:rsidP="00F65651">
      <w:pPr>
        <w:pStyle w:val="Heading3"/>
        <w:numPr>
          <w:ilvl w:val="0"/>
          <w:numId w:val="18"/>
        </w:numPr>
        <w:spacing w:line="240" w:lineRule="auto"/>
        <w:ind w:hanging="294"/>
        <w:rPr>
          <w:lang w:val="el-GR"/>
        </w:rPr>
      </w:pPr>
      <w:bookmarkStart w:id="288" w:name="_Toc276148690"/>
      <w:bookmarkStart w:id="289" w:name="_Toc276237121"/>
      <w:bookmarkStart w:id="290" w:name="_Toc276574465"/>
      <w:r>
        <w:t>Πρωτοβάθμια/Δευτεροβάθμια Δικαστήρια</w:t>
      </w:r>
      <w:bookmarkEnd w:id="288"/>
      <w:bookmarkEnd w:id="289"/>
      <w:bookmarkEnd w:id="290"/>
      <w:r>
        <w:t xml:space="preserve"> </w:t>
      </w:r>
    </w:p>
    <w:p w14:paraId="4B9BC980" w14:textId="4D25C7B8" w:rsidR="00CB6725" w:rsidRDefault="00082DEC" w:rsidP="00F65651">
      <w:pPr>
        <w:spacing w:line="240" w:lineRule="auto"/>
        <w:ind w:left="426" w:firstLine="0"/>
      </w:pPr>
      <w:r w:rsidRPr="00724A92">
        <w:t>Tribunal de Grande Instance Nanterre, 8 Ιουνίου 1988</w:t>
      </w:r>
      <w:r>
        <w:t xml:space="preserve">. </w:t>
      </w:r>
    </w:p>
    <w:p w14:paraId="00C2D303" w14:textId="349E8742" w:rsidR="00082DEC" w:rsidRDefault="007D4799" w:rsidP="00F65651">
      <w:pPr>
        <w:spacing w:line="240" w:lineRule="auto"/>
        <w:ind w:left="426" w:firstLine="0"/>
      </w:pPr>
      <w:r w:rsidRPr="005C63F2">
        <w:t>Tribunal de Grande Instance de Paris, 2 Σεπτεμβρίου 1997</w:t>
      </w:r>
      <w:r>
        <w:t xml:space="preserve">. </w:t>
      </w:r>
    </w:p>
    <w:p w14:paraId="420A99B8" w14:textId="3A1C0855" w:rsidR="009372E3" w:rsidRPr="00E254F5" w:rsidRDefault="009372E3" w:rsidP="00F65651">
      <w:pPr>
        <w:spacing w:line="240" w:lineRule="auto"/>
        <w:ind w:left="426" w:firstLine="0"/>
      </w:pPr>
      <w:r w:rsidRPr="00E254F5">
        <w:t>CA de Paris, 3 Μαρτ</w:t>
      </w:r>
      <w:r>
        <w:t xml:space="preserve">ίου 2011 [αριθ.: 09/12439]. </w:t>
      </w:r>
    </w:p>
    <w:p w14:paraId="40B7AE97" w14:textId="27C8961D" w:rsidR="007D4799" w:rsidRDefault="006E63DB" w:rsidP="00F65651">
      <w:pPr>
        <w:spacing w:line="240" w:lineRule="auto"/>
        <w:ind w:left="426" w:firstLine="0"/>
      </w:pPr>
      <w:r w:rsidRPr="00E254F5">
        <w:t xml:space="preserve">CAA de Douai, </w:t>
      </w:r>
      <w:r w:rsidRPr="00E254F5">
        <w:rPr>
          <w:i/>
        </w:rPr>
        <w:t xml:space="preserve">κ. και κυρία </w:t>
      </w:r>
      <w:r w:rsidRPr="00E254F5">
        <w:rPr>
          <w:rStyle w:val="hl"/>
          <w:i/>
          <w:szCs w:val="20"/>
          <w:lang w:val="fr-FR"/>
        </w:rPr>
        <w:t>Marc</w:t>
      </w:r>
      <w:r w:rsidRPr="00E254F5">
        <w:rPr>
          <w:rStyle w:val="hl"/>
          <w:i/>
          <w:szCs w:val="20"/>
        </w:rPr>
        <w:t xml:space="preserve"> </w:t>
      </w:r>
      <w:r w:rsidRPr="00E254F5">
        <w:rPr>
          <w:rStyle w:val="hl"/>
          <w:i/>
          <w:szCs w:val="20"/>
          <w:lang w:val="fr-FR"/>
        </w:rPr>
        <w:t>Tellier</w:t>
      </w:r>
      <w:r w:rsidRPr="00E254F5">
        <w:t xml:space="preserve"> </w:t>
      </w:r>
      <w:r w:rsidRPr="00E254F5">
        <w:rPr>
          <w:i/>
        </w:rPr>
        <w:t xml:space="preserve">κατά </w:t>
      </w:r>
      <w:r w:rsidRPr="00E254F5">
        <w:rPr>
          <w:rStyle w:val="hl"/>
          <w:i/>
          <w:szCs w:val="20"/>
        </w:rPr>
        <w:t xml:space="preserve">Πανεπιστημιακό Νοσοκομείο της </w:t>
      </w:r>
      <w:r w:rsidRPr="00E254F5">
        <w:rPr>
          <w:rStyle w:val="hl"/>
          <w:i/>
          <w:szCs w:val="20"/>
          <w:lang w:val="fr-FR"/>
        </w:rPr>
        <w:t>Amiens</w:t>
      </w:r>
      <w:r w:rsidRPr="00E254F5">
        <w:t>, 6 Δεκεμβρίου 2005 [αριθ.: 04DA00376]</w:t>
      </w:r>
      <w:r>
        <w:t xml:space="preserve">. </w:t>
      </w:r>
    </w:p>
    <w:p w14:paraId="5DA65F53" w14:textId="33395945" w:rsidR="002C2688" w:rsidRDefault="002C2688" w:rsidP="002C2688">
      <w:pPr>
        <w:pStyle w:val="Heading2"/>
      </w:pPr>
      <w:bookmarkStart w:id="291" w:name="_Toc276148691"/>
      <w:bookmarkStart w:id="292" w:name="_Toc276237122"/>
      <w:bookmarkStart w:id="293" w:name="_Toc276574466"/>
      <w:r>
        <w:t xml:space="preserve">Γνωμοδοτήσεις </w:t>
      </w:r>
      <w:r w:rsidR="002F1EAA">
        <w:t>– Ειδικές Εκθέσεις</w:t>
      </w:r>
      <w:bookmarkEnd w:id="291"/>
      <w:bookmarkEnd w:id="292"/>
      <w:bookmarkEnd w:id="293"/>
    </w:p>
    <w:p w14:paraId="2332D946" w14:textId="492FD072" w:rsidR="003D03F5" w:rsidRDefault="003D03F5" w:rsidP="003D03F5">
      <w:pPr>
        <w:pStyle w:val="Heading3"/>
      </w:pPr>
      <w:bookmarkStart w:id="294" w:name="_Toc276148692"/>
      <w:bookmarkStart w:id="295" w:name="_Toc276237123"/>
      <w:bookmarkStart w:id="296" w:name="_Toc276574467"/>
      <w:r>
        <w:t>Οργανισμός Βιοϊατρικής</w:t>
      </w:r>
      <w:bookmarkEnd w:id="294"/>
      <w:bookmarkEnd w:id="295"/>
      <w:bookmarkEnd w:id="296"/>
    </w:p>
    <w:p w14:paraId="662A4EC2" w14:textId="31242B8F" w:rsidR="00D938AD" w:rsidRPr="00E254F5" w:rsidRDefault="00D938AD" w:rsidP="00F65651">
      <w:pPr>
        <w:spacing w:line="240" w:lineRule="auto"/>
        <w:ind w:firstLine="0"/>
      </w:pPr>
      <w:r w:rsidRPr="00D938AD">
        <w:rPr>
          <w:i/>
        </w:rPr>
        <w:t>Le rapport médical et scientifique de l'assistance médicale à la procréation et de la génétique humaines en France</w:t>
      </w:r>
      <w:r w:rsidRPr="00E254F5">
        <w:t>, Données AMP Vigilance 2013</w:t>
      </w:r>
      <w:r>
        <w:t xml:space="preserve">. </w:t>
      </w:r>
    </w:p>
    <w:p w14:paraId="091BC15B" w14:textId="43C932E9" w:rsidR="008574B9" w:rsidRPr="00E254F5" w:rsidRDefault="008574B9" w:rsidP="00F65651">
      <w:pPr>
        <w:spacing w:line="240" w:lineRule="auto"/>
        <w:ind w:firstLine="0"/>
      </w:pPr>
      <w:r w:rsidRPr="008574B9">
        <w:rPr>
          <w:i/>
        </w:rPr>
        <w:t>Le rapport médical et scientifique de l'assistance médicale à la procréation et de la génétique humaines en France</w:t>
      </w:r>
      <w:r w:rsidRPr="00E254F5">
        <w:t>, Activité d’Assistance Médicale à la Procréation 2012</w:t>
      </w:r>
      <w:r>
        <w:t xml:space="preserve">. </w:t>
      </w:r>
    </w:p>
    <w:p w14:paraId="02FC7F40" w14:textId="77777777" w:rsidR="0002630B" w:rsidRDefault="0002630B" w:rsidP="00F65651">
      <w:pPr>
        <w:spacing w:line="240" w:lineRule="auto"/>
        <w:ind w:firstLine="0"/>
      </w:pPr>
      <w:r w:rsidRPr="00E254F5">
        <w:rPr>
          <w:i/>
        </w:rPr>
        <w:t xml:space="preserve">Le rapport médical et scientifique de l'assistance médicale à la procréation et de la génétique humaines en France, </w:t>
      </w:r>
      <w:r>
        <w:rPr>
          <w:i/>
        </w:rPr>
        <w:t>Diagnostic Pr</w:t>
      </w:r>
      <w:r w:rsidRPr="00E254F5">
        <w:t>é</w:t>
      </w:r>
      <w:r>
        <w:rPr>
          <w:i/>
        </w:rPr>
        <w:t>implantatoire</w:t>
      </w:r>
      <w:r w:rsidRPr="00E254F5">
        <w:rPr>
          <w:i/>
        </w:rPr>
        <w:t xml:space="preserve"> 2012</w:t>
      </w:r>
      <w:r>
        <w:t xml:space="preserve">. </w:t>
      </w:r>
    </w:p>
    <w:p w14:paraId="44DC1653" w14:textId="77777777" w:rsidR="0002630B" w:rsidRPr="00477555" w:rsidRDefault="0002630B" w:rsidP="00F65651">
      <w:pPr>
        <w:spacing w:line="240" w:lineRule="auto"/>
        <w:ind w:firstLine="0"/>
      </w:pPr>
      <w:r>
        <w:rPr>
          <w:i/>
        </w:rPr>
        <w:t xml:space="preserve">Rapport annuel 2012. </w:t>
      </w:r>
    </w:p>
    <w:p w14:paraId="2D276D44" w14:textId="641FFF20" w:rsidR="0002630B" w:rsidRPr="00FD16B4" w:rsidRDefault="0002630B" w:rsidP="00F65651">
      <w:pPr>
        <w:spacing w:line="240" w:lineRule="auto"/>
        <w:ind w:firstLine="0"/>
      </w:pPr>
      <w:r w:rsidRPr="00D938AD">
        <w:rPr>
          <w:i/>
        </w:rPr>
        <w:t>AMP Vigilance: Dispositif de vigilance relatif à l’assistance médicale à la procréation</w:t>
      </w:r>
      <w:r>
        <w:t xml:space="preserve">. </w:t>
      </w:r>
    </w:p>
    <w:p w14:paraId="0B09AF79" w14:textId="2BAA6184" w:rsidR="0002630B" w:rsidRDefault="0002630B" w:rsidP="00F65651">
      <w:pPr>
        <w:spacing w:line="240" w:lineRule="auto"/>
        <w:ind w:firstLine="0"/>
      </w:pPr>
      <w:r w:rsidRPr="00D938AD">
        <w:rPr>
          <w:i/>
        </w:rPr>
        <w:t>Contrat d’objectifs et de performance 2012-2015</w:t>
      </w:r>
      <w:r>
        <w:t xml:space="preserve">. </w:t>
      </w:r>
    </w:p>
    <w:p w14:paraId="5C943C0D" w14:textId="1CFB6B52" w:rsidR="00960E75" w:rsidRPr="00E254F5" w:rsidRDefault="00960E75" w:rsidP="00F65651">
      <w:pPr>
        <w:spacing w:line="240" w:lineRule="auto"/>
        <w:ind w:firstLine="0"/>
      </w:pPr>
      <w:r w:rsidRPr="00960E75">
        <w:rPr>
          <w:rStyle w:val="FootnoteTextChar"/>
          <w:rFonts w:eastAsia="ＭＳ 明朝"/>
          <w:i/>
          <w:szCs w:val="20"/>
          <w:lang w:val="fr-FR"/>
        </w:rPr>
        <w:t>Listes des procédés biologiques régulièrement utilisés en AMP et des techniques visant à améliorer les procédés biologiques autorisés</w:t>
      </w:r>
      <w:r w:rsidRPr="00E254F5">
        <w:rPr>
          <w:rStyle w:val="FootnoteTextChar"/>
          <w:rFonts w:eastAsia="ＭＳ 明朝"/>
          <w:szCs w:val="20"/>
          <w:lang w:val="fr-FR"/>
        </w:rPr>
        <w:t>, Version du 6 novembre 2013</w:t>
      </w:r>
      <w:r>
        <w:rPr>
          <w:rStyle w:val="FootnoteTextChar"/>
          <w:rFonts w:eastAsia="ＭＳ 明朝"/>
          <w:szCs w:val="20"/>
          <w:lang w:val="fr-FR"/>
        </w:rPr>
        <w:t xml:space="preserve">. </w:t>
      </w:r>
      <w:r w:rsidRPr="00E254F5">
        <w:rPr>
          <w:rStyle w:val="FootnoteTextChar"/>
          <w:rFonts w:eastAsia="ＭＳ 明朝"/>
          <w:szCs w:val="20"/>
          <w:lang w:val="fr-FR"/>
        </w:rPr>
        <w:t xml:space="preserve"> </w:t>
      </w:r>
    </w:p>
    <w:p w14:paraId="647B3843" w14:textId="35987C01" w:rsidR="00D938AD" w:rsidRDefault="004A048B" w:rsidP="00F65651">
      <w:pPr>
        <w:spacing w:line="240" w:lineRule="auto"/>
        <w:ind w:firstLine="0"/>
      </w:pPr>
      <w:r w:rsidRPr="00317905">
        <w:rPr>
          <w:i/>
        </w:rPr>
        <w:t>Rapport d’information au Parlement et au Gouvernement sur le développement des connaissances et des techniques</w:t>
      </w:r>
      <w:r>
        <w:t xml:space="preserve">, επικαιροποίηση Σεπτέμβριος 2013. </w:t>
      </w:r>
    </w:p>
    <w:p w14:paraId="1B21A83F" w14:textId="426BBF53" w:rsidR="00D95DF2" w:rsidRDefault="00D95DF2" w:rsidP="00F65651">
      <w:pPr>
        <w:spacing w:line="240" w:lineRule="auto"/>
        <w:ind w:firstLine="0"/>
      </w:pPr>
      <w:r>
        <w:lastRenderedPageBreak/>
        <w:t>«Chiffres de l’Agence de la Biomédecine sur l’AMP et le don de gamètes en France en 2011», 11.7.2013.</w:t>
      </w:r>
    </w:p>
    <w:p w14:paraId="62B27028" w14:textId="07AD89A5" w:rsidR="00985580" w:rsidRDefault="00985580" w:rsidP="00F65651">
      <w:pPr>
        <w:pStyle w:val="Heading4"/>
        <w:numPr>
          <w:ilvl w:val="0"/>
          <w:numId w:val="18"/>
        </w:numPr>
        <w:ind w:hanging="294"/>
      </w:pPr>
      <w:bookmarkStart w:id="297" w:name="_Toc276148693"/>
      <w:bookmarkStart w:id="298" w:name="_Toc276237124"/>
      <w:bookmarkStart w:id="299" w:name="_Toc276574468"/>
      <w:r>
        <w:t>Συμβούλιο Προσανατολισμού</w:t>
      </w:r>
      <w:bookmarkEnd w:id="297"/>
      <w:bookmarkEnd w:id="298"/>
      <w:bookmarkEnd w:id="299"/>
      <w:r>
        <w:t xml:space="preserve"> </w:t>
      </w:r>
    </w:p>
    <w:p w14:paraId="5CBC310A" w14:textId="27862FCC" w:rsidR="00985580" w:rsidRPr="00E254F5" w:rsidRDefault="00985580" w:rsidP="00F65651">
      <w:pPr>
        <w:spacing w:line="240" w:lineRule="auto"/>
        <w:ind w:firstLine="0"/>
      </w:pPr>
      <w:r w:rsidRPr="00985580">
        <w:rPr>
          <w:i/>
        </w:rPr>
        <w:t>Avis sur l’autoconservation des gamètes de personnes transsexuelles souhaitant procéder à un traitement de réassignation sexuelle</w:t>
      </w:r>
      <w:r w:rsidRPr="00E254F5">
        <w:t>, Délibération du 26 juin 2014</w:t>
      </w:r>
      <w:r>
        <w:t xml:space="preserve">. </w:t>
      </w:r>
    </w:p>
    <w:p w14:paraId="3AB24199" w14:textId="61E46911" w:rsidR="00985580" w:rsidRPr="00E254F5" w:rsidRDefault="00985580" w:rsidP="00F65651">
      <w:pPr>
        <w:spacing w:line="240" w:lineRule="auto"/>
        <w:ind w:firstLine="0"/>
      </w:pPr>
      <w:r w:rsidRPr="00E254F5">
        <w:rPr>
          <w:i/>
        </w:rPr>
        <w:t>Réflexions sur l’ouverture de l’assistance médicale à la procréation aux couples de femmes</w:t>
      </w:r>
      <w:r w:rsidRPr="00E254F5">
        <w:t>, Délibération n</w:t>
      </w:r>
      <w:r w:rsidRPr="00E254F5">
        <w:rPr>
          <w:vertAlign w:val="superscript"/>
        </w:rPr>
        <w:t>o</w:t>
      </w:r>
      <w:r>
        <w:t xml:space="preserve"> 2013-CO-13, du 18 april 2013. </w:t>
      </w:r>
      <w:r w:rsidRPr="00E254F5">
        <w:t xml:space="preserve"> </w:t>
      </w:r>
    </w:p>
    <w:p w14:paraId="638B52D0" w14:textId="129FA7B7" w:rsidR="00985580" w:rsidRPr="00E254F5" w:rsidRDefault="00985580" w:rsidP="00F65651">
      <w:pPr>
        <w:spacing w:line="240" w:lineRule="auto"/>
        <w:ind w:firstLine="0"/>
      </w:pPr>
      <w:r w:rsidRPr="00E254F5">
        <w:rPr>
          <w:i/>
        </w:rPr>
        <w:t>Avis sur l’autoconservation de gamètes</w:t>
      </w:r>
      <w:r w:rsidRPr="00E254F5">
        <w:t>, Délibération n</w:t>
      </w:r>
      <w:r w:rsidRPr="00E254F5">
        <w:rPr>
          <w:vertAlign w:val="superscript"/>
        </w:rPr>
        <w:t>o</w:t>
      </w:r>
      <w:r w:rsidRPr="00E254F5">
        <w:t xml:space="preserve"> 2012-CO-29, du 6 juillet 2012</w:t>
      </w:r>
      <w:r>
        <w:t xml:space="preserve">. </w:t>
      </w:r>
      <w:r w:rsidRPr="00E254F5">
        <w:t xml:space="preserve"> </w:t>
      </w:r>
    </w:p>
    <w:p w14:paraId="72F4D34C" w14:textId="11F1D899" w:rsidR="00985580" w:rsidRPr="00E254F5" w:rsidRDefault="00985580" w:rsidP="00F65651">
      <w:pPr>
        <w:spacing w:line="240" w:lineRule="auto"/>
        <w:ind w:firstLine="0"/>
      </w:pPr>
      <w:r w:rsidRPr="00E254F5">
        <w:rPr>
          <w:i/>
        </w:rPr>
        <w:t>Avis sur la liste des procédés biologiques régulièrement utilisés en AMP et des techniques visant à améliorer les procédés biologiques autorisés</w:t>
      </w:r>
      <w:r w:rsidRPr="00E254F5">
        <w:t>, Délibération n</w:t>
      </w:r>
      <w:r w:rsidRPr="00E254F5">
        <w:rPr>
          <w:vertAlign w:val="superscript"/>
        </w:rPr>
        <w:t>o</w:t>
      </w:r>
      <w:r>
        <w:t xml:space="preserve"> 2012-CO-22, du 4 mai 2012. </w:t>
      </w:r>
      <w:r w:rsidRPr="00E254F5">
        <w:t xml:space="preserve"> </w:t>
      </w:r>
    </w:p>
    <w:p w14:paraId="355AED5E" w14:textId="16DCB0E1" w:rsidR="00985580" w:rsidRDefault="00985580" w:rsidP="00F65651">
      <w:pPr>
        <w:spacing w:line="240" w:lineRule="auto"/>
        <w:ind w:firstLine="0"/>
      </w:pPr>
      <w:r w:rsidRPr="00E254F5">
        <w:rPr>
          <w:i/>
        </w:rPr>
        <w:t>Modèles de recueil de consentement au don d’embryons pour la recherche</w:t>
      </w:r>
      <w:r w:rsidRPr="00E254F5">
        <w:t>, Délibération n</w:t>
      </w:r>
      <w:r w:rsidRPr="00E254F5">
        <w:rPr>
          <w:vertAlign w:val="superscript"/>
        </w:rPr>
        <w:t>o</w:t>
      </w:r>
      <w:r w:rsidRPr="00E254F5">
        <w:t xml:space="preserve"> 2</w:t>
      </w:r>
      <w:r>
        <w:t xml:space="preserve">010-CO-56, du 17 décembre 2010. </w:t>
      </w:r>
      <w:r w:rsidRPr="00E254F5">
        <w:t xml:space="preserve"> </w:t>
      </w:r>
    </w:p>
    <w:p w14:paraId="19052B15" w14:textId="0D42CA2B" w:rsidR="0053223E" w:rsidRPr="00E254F5" w:rsidRDefault="0053223E" w:rsidP="00F65651">
      <w:pPr>
        <w:spacing w:line="240" w:lineRule="auto"/>
        <w:ind w:firstLine="0"/>
      </w:pPr>
      <w:r w:rsidRPr="0053223E">
        <w:rPr>
          <w:i/>
        </w:rPr>
        <w:t>Avis sur la liste des procédés biologiques régulièrement utilisés en AMP et des techniques visant à améliorer les procédés biologiques autorisés</w:t>
      </w:r>
      <w:r w:rsidRPr="00E254F5">
        <w:t>, Délibération n</w:t>
      </w:r>
      <w:r w:rsidRPr="00E254F5">
        <w:rPr>
          <w:vertAlign w:val="superscript"/>
        </w:rPr>
        <w:t>o</w:t>
      </w:r>
      <w:r>
        <w:t xml:space="preserve"> 2012-CO-22, du 4 mai 2012. </w:t>
      </w:r>
    </w:p>
    <w:p w14:paraId="7C50F235" w14:textId="2EAD5794" w:rsidR="00985580" w:rsidRPr="00E254F5" w:rsidRDefault="00985580" w:rsidP="00F65651">
      <w:pPr>
        <w:spacing w:line="240" w:lineRule="auto"/>
        <w:ind w:firstLine="0"/>
      </w:pPr>
      <w:r w:rsidRPr="00E254F5">
        <w:rPr>
          <w:i/>
        </w:rPr>
        <w:t>Recommandations des bonnes pratiques en matière d’accueil d’embryons</w:t>
      </w:r>
      <w:r w:rsidRPr="00E254F5">
        <w:t>, Délibération n</w:t>
      </w:r>
      <w:r w:rsidRPr="00E254F5">
        <w:rPr>
          <w:vertAlign w:val="superscript"/>
        </w:rPr>
        <w:t>o</w:t>
      </w:r>
      <w:r w:rsidRPr="00E254F5">
        <w:t xml:space="preserve"> 2</w:t>
      </w:r>
      <w:r>
        <w:t xml:space="preserve">010-CO-57, du 17 décembre 2010. </w:t>
      </w:r>
      <w:r w:rsidRPr="00E254F5">
        <w:t xml:space="preserve"> </w:t>
      </w:r>
    </w:p>
    <w:p w14:paraId="4868CAE6" w14:textId="6246B6AF" w:rsidR="00985580" w:rsidRPr="00E254F5" w:rsidRDefault="00985580" w:rsidP="00F65651">
      <w:pPr>
        <w:spacing w:line="240" w:lineRule="auto"/>
        <w:ind w:firstLine="0"/>
      </w:pPr>
      <w:r w:rsidRPr="00E254F5">
        <w:rPr>
          <w:i/>
        </w:rPr>
        <w:t>Avis sur</w:t>
      </w:r>
      <w:r w:rsidRPr="00E254F5">
        <w:t xml:space="preserve"> </w:t>
      </w:r>
      <w:r w:rsidRPr="00E254F5">
        <w:rPr>
          <w:i/>
        </w:rPr>
        <w:t>La gestation pour autrui</w:t>
      </w:r>
      <w:r w:rsidRPr="00E254F5">
        <w:t>, Délibération n</w:t>
      </w:r>
      <w:r w:rsidRPr="00E254F5">
        <w:rPr>
          <w:vertAlign w:val="superscript"/>
        </w:rPr>
        <w:t>o</w:t>
      </w:r>
      <w:r w:rsidRPr="00E254F5">
        <w:t xml:space="preserve"> 20</w:t>
      </w:r>
      <w:r>
        <w:t>09-CO-38, du 18 septembre 2009</w:t>
      </w:r>
      <w:r w:rsidRPr="00E254F5">
        <w:t>.</w:t>
      </w:r>
    </w:p>
    <w:p w14:paraId="773CA5E7" w14:textId="2681C99C" w:rsidR="00985580" w:rsidRPr="00E254F5" w:rsidRDefault="00985580" w:rsidP="00F65651">
      <w:pPr>
        <w:spacing w:line="240" w:lineRule="auto"/>
        <w:ind w:firstLine="0"/>
      </w:pPr>
      <w:r w:rsidRPr="00E254F5">
        <w:rPr>
          <w:i/>
        </w:rPr>
        <w:t>Contribution du conseil d’orientation de l’Agence de la biomédecine aux débats préparatoires à la révision de la loi de bioéthique</w:t>
      </w:r>
      <w:r>
        <w:t xml:space="preserve">, du 20 juin 2008. </w:t>
      </w:r>
    </w:p>
    <w:p w14:paraId="6CB592A4" w14:textId="0097DC2C" w:rsidR="00985580" w:rsidRPr="00E254F5" w:rsidRDefault="00985580" w:rsidP="00F65651">
      <w:pPr>
        <w:spacing w:line="240" w:lineRule="auto"/>
        <w:ind w:firstLine="0"/>
      </w:pPr>
      <w:r w:rsidRPr="00E254F5">
        <w:rPr>
          <w:i/>
        </w:rPr>
        <w:t>Pourquoi et comment promouvoir le don d’ovocytes</w:t>
      </w:r>
      <w:r w:rsidRPr="00E254F5">
        <w:t>, Délibération n</w:t>
      </w:r>
      <w:r w:rsidRPr="00E254F5">
        <w:rPr>
          <w:vertAlign w:val="superscript"/>
        </w:rPr>
        <w:t>o</w:t>
      </w:r>
      <w:r w:rsidRPr="00E254F5">
        <w:t xml:space="preserve"> 2007-CO-18, du 1</w:t>
      </w:r>
      <w:r w:rsidRPr="00E254F5">
        <w:rPr>
          <w:vertAlign w:val="superscript"/>
        </w:rPr>
        <w:t>er</w:t>
      </w:r>
      <w:r>
        <w:t xml:space="preserve"> juin 2007. </w:t>
      </w:r>
    </w:p>
    <w:p w14:paraId="0CC78402" w14:textId="539E5493" w:rsidR="00985580" w:rsidRPr="00E254F5" w:rsidRDefault="00985580" w:rsidP="00F65651">
      <w:pPr>
        <w:spacing w:line="240" w:lineRule="auto"/>
        <w:ind w:firstLine="0"/>
      </w:pPr>
      <w:r w:rsidRPr="00E254F5">
        <w:rPr>
          <w:i/>
        </w:rPr>
        <w:t>Bonnes pratiques cliniques et biologiques en AMP</w:t>
      </w:r>
      <w:r w:rsidRPr="00E254F5">
        <w:t>, Délibération n</w:t>
      </w:r>
      <w:r w:rsidRPr="00E254F5">
        <w:rPr>
          <w:vertAlign w:val="superscript"/>
        </w:rPr>
        <w:t>o</w:t>
      </w:r>
      <w:r w:rsidRPr="00E254F5">
        <w:t xml:space="preserve"> </w:t>
      </w:r>
      <w:r>
        <w:t xml:space="preserve">2006-CO-31, du 17 novembre 2006. </w:t>
      </w:r>
    </w:p>
    <w:p w14:paraId="5D1FFFE4" w14:textId="11A54BD9" w:rsidR="00985580" w:rsidRPr="00E254F5" w:rsidRDefault="00985580" w:rsidP="00F65651">
      <w:pPr>
        <w:spacing w:line="240" w:lineRule="auto"/>
        <w:ind w:firstLine="0"/>
      </w:pPr>
      <w:r w:rsidRPr="00E254F5">
        <w:rPr>
          <w:i/>
        </w:rPr>
        <w:t xml:space="preserve">Stratégie de l’Agence de la Biomédecine en matière d’évaluation des activités et des résultats de l’assistance médicale à la procréation: </w:t>
      </w:r>
      <w:r>
        <w:rPr>
          <w:i/>
        </w:rPr>
        <w:t>«</w:t>
      </w:r>
      <w:r w:rsidRPr="00E254F5">
        <w:rPr>
          <w:i/>
        </w:rPr>
        <w:t>registre national des tentatives de FIV</w:t>
      </w:r>
      <w:r>
        <w:rPr>
          <w:i/>
        </w:rPr>
        <w:t>»</w:t>
      </w:r>
      <w:r w:rsidRPr="00E254F5">
        <w:t>, Délibération n</w:t>
      </w:r>
      <w:r w:rsidRPr="00E254F5">
        <w:rPr>
          <w:vertAlign w:val="superscript"/>
        </w:rPr>
        <w:t>o</w:t>
      </w:r>
      <w:r w:rsidRPr="00E254F5">
        <w:t xml:space="preserve"> 2006-CO-11, du 9 juin 2006</w:t>
      </w:r>
      <w:r>
        <w:t xml:space="preserve">. </w:t>
      </w:r>
    </w:p>
    <w:p w14:paraId="2FA8AC64" w14:textId="4D314842" w:rsidR="00985580" w:rsidRPr="00E254F5" w:rsidRDefault="00985580" w:rsidP="00F65651">
      <w:pPr>
        <w:spacing w:line="240" w:lineRule="auto"/>
        <w:ind w:firstLine="0"/>
      </w:pPr>
      <w:r w:rsidRPr="00E254F5">
        <w:rPr>
          <w:i/>
        </w:rPr>
        <w:t>Avis sur les aspects éthiques du clonage non reproductif</w:t>
      </w:r>
      <w:r>
        <w:t xml:space="preserve">, du 6 juin 2006. </w:t>
      </w:r>
    </w:p>
    <w:p w14:paraId="76E8D18E" w14:textId="78D3F367" w:rsidR="00985580" w:rsidRDefault="004E6982" w:rsidP="00F65651">
      <w:pPr>
        <w:pStyle w:val="Heading4"/>
        <w:numPr>
          <w:ilvl w:val="0"/>
          <w:numId w:val="18"/>
        </w:numPr>
        <w:ind w:hanging="294"/>
      </w:pPr>
      <w:bookmarkStart w:id="300" w:name="_Toc276148694"/>
      <w:bookmarkStart w:id="301" w:name="_Toc276237125"/>
      <w:bookmarkStart w:id="302" w:name="_Toc276574469"/>
      <w:r>
        <w:t>Αποφάσεις Γενικής Διευθύντριας</w:t>
      </w:r>
      <w:bookmarkEnd w:id="300"/>
      <w:bookmarkEnd w:id="301"/>
      <w:bookmarkEnd w:id="302"/>
    </w:p>
    <w:p w14:paraId="762D9CB1" w14:textId="07B003EE" w:rsidR="004E6982" w:rsidRPr="009A7368" w:rsidRDefault="003151F6" w:rsidP="00F65651">
      <w:pPr>
        <w:pStyle w:val="FootnoteText"/>
        <w:rPr>
          <w:lang w:val="el-GR"/>
        </w:rPr>
      </w:pPr>
      <w:hyperlink r:id="rId26" w:history="1">
        <w:r w:rsidR="004E6982" w:rsidRPr="00A86DCF">
          <w:rPr>
            <w:rStyle w:val="Hyperlink"/>
          </w:rPr>
          <w:t>http://www.juridique-biomedecine.fr/themes.html</w:t>
        </w:r>
      </w:hyperlink>
      <w:r w:rsidR="004E6982">
        <w:rPr>
          <w:lang w:val="el-GR"/>
        </w:rPr>
        <w:t>.</w:t>
      </w:r>
    </w:p>
    <w:p w14:paraId="6B10A698" w14:textId="6864177A" w:rsidR="004E6982" w:rsidRDefault="0068786B" w:rsidP="00F65651">
      <w:pPr>
        <w:spacing w:line="240" w:lineRule="auto"/>
        <w:ind w:firstLine="0"/>
      </w:pPr>
      <w:r>
        <w:t>D</w:t>
      </w:r>
      <w:r w:rsidRPr="00F61AE7">
        <w:t>é</w:t>
      </w:r>
      <w:r>
        <w:t>cision n</w:t>
      </w:r>
      <w:r w:rsidRPr="00B37D9F">
        <w:rPr>
          <w:vertAlign w:val="superscript"/>
        </w:rPr>
        <w:t>o</w:t>
      </w:r>
      <w:r>
        <w:t xml:space="preserve"> 2012-03 de la Directrice G</w:t>
      </w:r>
      <w:r w:rsidRPr="00F61AE7">
        <w:t>é</w:t>
      </w:r>
      <w:r>
        <w:t>n</w:t>
      </w:r>
      <w:r w:rsidRPr="00F61AE7">
        <w:t>é</w:t>
      </w:r>
      <w:r>
        <w:t>rale de l’Agence de la Biom</w:t>
      </w:r>
      <w:r w:rsidRPr="00F61AE7">
        <w:t>é</w:t>
      </w:r>
      <w:r>
        <w:t>decine. Du 18 janvier 2012 fixant la composition du dossier pr</w:t>
      </w:r>
      <w:r w:rsidRPr="00F61AE7">
        <w:t>é</w:t>
      </w:r>
      <w:r>
        <w:t>vu à l’article R. 2131-26-2 du Code de la Sant</w:t>
      </w:r>
      <w:r w:rsidRPr="00F61AE7">
        <w:t>é</w:t>
      </w:r>
      <w:r>
        <w:t xml:space="preserve"> Publique à produire à l’appui d’une demande d’autorisation pour la r</w:t>
      </w:r>
      <w:r w:rsidRPr="00F61AE7">
        <w:t>é</w:t>
      </w:r>
      <w:r>
        <w:t>alisation du diagnostic pr</w:t>
      </w:r>
      <w:r w:rsidRPr="00F61AE7">
        <w:t>é</w:t>
      </w:r>
      <w:r>
        <w:t>implantatoire assioci</w:t>
      </w:r>
      <w:r w:rsidRPr="00F61AE7">
        <w:t>é</w:t>
      </w:r>
      <w:r>
        <w:t xml:space="preserve"> à un typage HLA</w:t>
      </w:r>
      <w:r w:rsidR="0002630B">
        <w:t xml:space="preserve">. </w:t>
      </w:r>
    </w:p>
    <w:p w14:paraId="4A5C73CA" w14:textId="5C07BA8C" w:rsidR="003D03F5" w:rsidRDefault="003D03F5" w:rsidP="003D03F5">
      <w:pPr>
        <w:pStyle w:val="Heading3"/>
      </w:pPr>
      <w:bookmarkStart w:id="303" w:name="_Toc276148695"/>
      <w:bookmarkStart w:id="304" w:name="_Toc276237126"/>
      <w:bookmarkStart w:id="305" w:name="_Toc276574470"/>
      <w:r>
        <w:t>Εθνική Συμβουλευτική Επιτροπή Ηθικής</w:t>
      </w:r>
      <w:bookmarkEnd w:id="303"/>
      <w:bookmarkEnd w:id="304"/>
      <w:bookmarkEnd w:id="305"/>
      <w:r>
        <w:t xml:space="preserve"> </w:t>
      </w:r>
    </w:p>
    <w:p w14:paraId="6A374A55" w14:textId="2B728F1B" w:rsidR="0067139F" w:rsidRPr="00E254F5" w:rsidRDefault="0002630B" w:rsidP="00F65651">
      <w:pPr>
        <w:spacing w:line="240" w:lineRule="auto"/>
        <w:ind w:firstLine="0"/>
      </w:pPr>
      <w:r w:rsidRPr="00E254F5">
        <w:t>Avis n</w:t>
      </w:r>
      <w:r w:rsidRPr="00E254F5">
        <w:rPr>
          <w:vertAlign w:val="superscript"/>
        </w:rPr>
        <w:t>o</w:t>
      </w:r>
      <w:r>
        <w:t xml:space="preserve"> 113, </w:t>
      </w:r>
      <w:r w:rsidR="0067139F" w:rsidRPr="00E254F5">
        <w:rPr>
          <w:i/>
        </w:rPr>
        <w:t>La demande d'assistance médicale à la procréation après le décès de l'homme faisant partie du couple</w:t>
      </w:r>
      <w:r w:rsidR="0067139F" w:rsidRPr="00E254F5">
        <w:t xml:space="preserve">, </w:t>
      </w:r>
      <w:r w:rsidR="0067139F">
        <w:t xml:space="preserve">10 février 2011. </w:t>
      </w:r>
    </w:p>
    <w:p w14:paraId="662B9CFB" w14:textId="3280EB3F" w:rsidR="0067139F" w:rsidRPr="00E254F5" w:rsidRDefault="0067139F" w:rsidP="00F65651">
      <w:pPr>
        <w:spacing w:line="240" w:lineRule="auto"/>
        <w:ind w:firstLine="0"/>
      </w:pPr>
      <w:r w:rsidRPr="00E254F5">
        <w:rPr>
          <w:i/>
        </w:rPr>
        <w:lastRenderedPageBreak/>
        <w:t>Avis n° 112 du 21 octobre 2010 sur Une réflexion éthique sur la recherche sur les cellules d’origine embryonnaire humaine, et la recherche sur l’embryon humain in vitro</w:t>
      </w:r>
      <w:r>
        <w:t xml:space="preserve">. </w:t>
      </w:r>
    </w:p>
    <w:p w14:paraId="32323DEC" w14:textId="6C5C6AC1" w:rsidR="0067139F" w:rsidRPr="00E254F5" w:rsidRDefault="0067139F" w:rsidP="00F65651">
      <w:pPr>
        <w:spacing w:line="240" w:lineRule="auto"/>
        <w:ind w:firstLine="0"/>
      </w:pPr>
      <w:r w:rsidRPr="00E254F5">
        <w:rPr>
          <w:i/>
        </w:rPr>
        <w:t>Avis n° 110 du 1</w:t>
      </w:r>
      <w:r w:rsidRPr="00E254F5">
        <w:rPr>
          <w:i/>
          <w:vertAlign w:val="superscript"/>
        </w:rPr>
        <w:t>er</w:t>
      </w:r>
      <w:r w:rsidRPr="00E254F5">
        <w:rPr>
          <w:i/>
        </w:rPr>
        <w:t xml:space="preserve"> avril 2010 sur les Problèmes éthiques soulevés par la gestation pour autrui (GPA)</w:t>
      </w:r>
      <w:r>
        <w:t xml:space="preserve">. </w:t>
      </w:r>
    </w:p>
    <w:p w14:paraId="4C7E606C" w14:textId="3A851851" w:rsidR="0067139F" w:rsidRPr="00E56290" w:rsidRDefault="0067139F" w:rsidP="00F65651">
      <w:pPr>
        <w:spacing w:line="240" w:lineRule="auto"/>
        <w:ind w:firstLine="0"/>
      </w:pPr>
      <w:r w:rsidRPr="00E56290">
        <w:rPr>
          <w:i/>
        </w:rPr>
        <w:t>Avis n</w:t>
      </w:r>
      <w:r w:rsidRPr="00E56290">
        <w:rPr>
          <w:i/>
          <w:vertAlign w:val="superscript"/>
        </w:rPr>
        <w:t>o</w:t>
      </w:r>
      <w:r w:rsidRPr="00E56290">
        <w:rPr>
          <w:i/>
        </w:rPr>
        <w:t xml:space="preserve"> 107</w:t>
      </w:r>
      <w:r>
        <w:t xml:space="preserve"> du </w:t>
      </w:r>
      <w:r w:rsidRPr="00E254F5">
        <w:t xml:space="preserve">15 octobre 2009 </w:t>
      </w:r>
      <w:r w:rsidRPr="00E56290">
        <w:rPr>
          <w:i/>
        </w:rPr>
        <w:t>sur les problèmes éthiques li</w:t>
      </w:r>
      <w:r>
        <w:rPr>
          <w:i/>
        </w:rPr>
        <w:t>és aux diagnostics anténatals</w:t>
      </w:r>
      <w:r w:rsidRPr="00E56290">
        <w:rPr>
          <w:i/>
        </w:rPr>
        <w:t>: le diagnostic prénatal (DPN) et le diagnostic préimplantatoire (DPI)</w:t>
      </w:r>
      <w:r>
        <w:t xml:space="preserve">. </w:t>
      </w:r>
    </w:p>
    <w:p w14:paraId="2745F956" w14:textId="00E3870F" w:rsidR="0067139F" w:rsidRPr="00E254F5" w:rsidRDefault="0067139F" w:rsidP="00F65651">
      <w:pPr>
        <w:spacing w:line="240" w:lineRule="auto"/>
        <w:ind w:firstLine="0"/>
      </w:pPr>
      <w:r w:rsidRPr="00E254F5">
        <w:rPr>
          <w:i/>
        </w:rPr>
        <w:t>Avis n° 105 du 9 octobre 2008 sur les Questionnements pour les Etats Généraux de la bioéthique</w:t>
      </w:r>
      <w:r>
        <w:t xml:space="preserve">. </w:t>
      </w:r>
    </w:p>
    <w:p w14:paraId="427B1383" w14:textId="659FCB5E" w:rsidR="0067139F" w:rsidRPr="00E254F5" w:rsidRDefault="0067139F" w:rsidP="00F65651">
      <w:pPr>
        <w:spacing w:line="240" w:lineRule="auto"/>
        <w:ind w:firstLine="0"/>
      </w:pPr>
      <w:r w:rsidRPr="00E254F5">
        <w:rPr>
          <w:i/>
        </w:rPr>
        <w:t>Avis n° 90 du 24 novembre 2005 sur l’Accès aux origines, anonymat et secret de la filiation</w:t>
      </w:r>
      <w:r>
        <w:t xml:space="preserve">. </w:t>
      </w:r>
    </w:p>
    <w:p w14:paraId="66965040" w14:textId="36B57144" w:rsidR="0053223E" w:rsidRPr="00E254F5" w:rsidRDefault="0002630B" w:rsidP="00F65651">
      <w:pPr>
        <w:spacing w:line="240" w:lineRule="auto"/>
        <w:ind w:firstLine="0"/>
      </w:pPr>
      <w:r w:rsidRPr="0002630B">
        <w:rPr>
          <w:i/>
        </w:rPr>
        <w:t>Avis n</w:t>
      </w:r>
      <w:r w:rsidRPr="0002630B">
        <w:rPr>
          <w:i/>
          <w:vertAlign w:val="superscript"/>
        </w:rPr>
        <w:t>o</w:t>
      </w:r>
      <w:r w:rsidRPr="0002630B">
        <w:rPr>
          <w:i/>
        </w:rPr>
        <w:t xml:space="preserve"> 75, </w:t>
      </w:r>
      <w:r w:rsidR="0053223E" w:rsidRPr="00E254F5">
        <w:rPr>
          <w:i/>
        </w:rPr>
        <w:t>Questions éthiques soulevées par le développement de l'ICSI</w:t>
      </w:r>
      <w:r w:rsidR="0053223E" w:rsidRPr="00E254F5">
        <w:t>, 12 décembre 2002</w:t>
      </w:r>
      <w:r w:rsidR="0053223E">
        <w:t xml:space="preserve">. </w:t>
      </w:r>
    </w:p>
    <w:p w14:paraId="06A85612" w14:textId="19275D59" w:rsidR="0067139F" w:rsidRPr="00ED4612" w:rsidRDefault="0067139F" w:rsidP="00F65651">
      <w:pPr>
        <w:spacing w:line="240" w:lineRule="auto"/>
        <w:ind w:firstLine="0"/>
      </w:pPr>
      <w:r w:rsidRPr="00E254F5">
        <w:rPr>
          <w:i/>
        </w:rPr>
        <w:t xml:space="preserve">Avis n° </w:t>
      </w:r>
      <w:r>
        <w:rPr>
          <w:i/>
        </w:rPr>
        <w:t xml:space="preserve">72 du </w:t>
      </w:r>
      <w:r w:rsidRPr="00E254F5">
        <w:rPr>
          <w:i/>
        </w:rPr>
        <w:t xml:space="preserve">4 </w:t>
      </w:r>
      <w:r>
        <w:rPr>
          <w:i/>
        </w:rPr>
        <w:t>juillet 2002</w:t>
      </w:r>
      <w:r w:rsidRPr="00E254F5">
        <w:rPr>
          <w:i/>
        </w:rPr>
        <w:t xml:space="preserve"> sur </w:t>
      </w:r>
      <w:r>
        <w:rPr>
          <w:i/>
        </w:rPr>
        <w:t>les Réflexions sur l’extension du diagnostic pré-implantoire</w:t>
      </w:r>
      <w:r>
        <w:t xml:space="preserve">. </w:t>
      </w:r>
    </w:p>
    <w:p w14:paraId="02FA9CFA" w14:textId="78BFF3BA" w:rsidR="0067139F" w:rsidRPr="00903564" w:rsidRDefault="0067139F" w:rsidP="00F65651">
      <w:pPr>
        <w:spacing w:line="240" w:lineRule="auto"/>
        <w:ind w:firstLine="0"/>
      </w:pPr>
      <w:r w:rsidRPr="00E254F5">
        <w:rPr>
          <w:i/>
        </w:rPr>
        <w:t>Avis n° 67 du 27 janvier 2000 sur l’avant-projet des lois de bioéthique</w:t>
      </w:r>
      <w:r>
        <w:t xml:space="preserve">. </w:t>
      </w:r>
    </w:p>
    <w:p w14:paraId="6364CB48" w14:textId="2DEBCE2D" w:rsidR="0067139F" w:rsidRPr="00E254F5" w:rsidRDefault="0067139F" w:rsidP="00F65651">
      <w:pPr>
        <w:spacing w:line="240" w:lineRule="auto"/>
        <w:ind w:firstLine="0"/>
      </w:pPr>
      <w:r w:rsidRPr="00E254F5">
        <w:rPr>
          <w:i/>
        </w:rPr>
        <w:t>Avis n° 60 du 25 juin 1998 sur le réexamen des lois bioéthique</w:t>
      </w:r>
      <w:r>
        <w:t xml:space="preserve">. </w:t>
      </w:r>
    </w:p>
    <w:p w14:paraId="2CD7664C" w14:textId="2225C304" w:rsidR="0067139F" w:rsidRPr="00E254F5" w:rsidRDefault="0067139F" w:rsidP="00F65651">
      <w:pPr>
        <w:spacing w:line="240" w:lineRule="auto"/>
        <w:ind w:firstLine="0"/>
      </w:pPr>
      <w:r w:rsidRPr="00E254F5">
        <w:rPr>
          <w:i/>
        </w:rPr>
        <w:t>Avis n° 40 du 17 décembre 1993 sur le transfert d'embryons après décès du conjoint (ou du concubin)</w:t>
      </w:r>
      <w:r>
        <w:t xml:space="preserve">. </w:t>
      </w:r>
    </w:p>
    <w:p w14:paraId="297896A4" w14:textId="69C704F5" w:rsidR="00B019DA" w:rsidRDefault="0067139F" w:rsidP="00F65651">
      <w:pPr>
        <w:spacing w:line="240" w:lineRule="auto"/>
        <w:ind w:firstLine="0"/>
      </w:pPr>
      <w:r w:rsidRPr="00E254F5">
        <w:rPr>
          <w:i/>
        </w:rPr>
        <w:t>Avis n° 18 du 15 décembre 1989 sur l’Etat des études conduites par le Comité concernant les dons de gamètes et d'embryons</w:t>
      </w:r>
      <w:r>
        <w:t xml:space="preserve">. </w:t>
      </w:r>
    </w:p>
    <w:p w14:paraId="3F26F7B7" w14:textId="4AB4CA83" w:rsidR="00815829" w:rsidRDefault="00815829" w:rsidP="00815829">
      <w:pPr>
        <w:pStyle w:val="Heading3"/>
      </w:pPr>
      <w:bookmarkStart w:id="306" w:name="_Toc276148696"/>
      <w:bookmarkStart w:id="307" w:name="_Toc276237127"/>
      <w:bookmarkStart w:id="308" w:name="_Toc276574471"/>
      <w:r>
        <w:t>Εθνική Συνέλευση</w:t>
      </w:r>
      <w:bookmarkEnd w:id="306"/>
      <w:bookmarkEnd w:id="307"/>
      <w:bookmarkEnd w:id="308"/>
      <w:r>
        <w:t xml:space="preserve"> </w:t>
      </w:r>
    </w:p>
    <w:p w14:paraId="40DA87A4" w14:textId="1D7F040A" w:rsidR="00815829" w:rsidRPr="001C6698" w:rsidRDefault="00815829" w:rsidP="00F65651">
      <w:pPr>
        <w:spacing w:line="240" w:lineRule="auto"/>
        <w:ind w:firstLine="0"/>
      </w:pPr>
      <w:r w:rsidRPr="00FA1928">
        <w:rPr>
          <w:i/>
        </w:rPr>
        <w:t>Projet de loi relatif au corps humain et modifiant le code civil</w:t>
      </w:r>
      <w:r>
        <w:t xml:space="preserve">, n° 2599, déposé le 25 mars 1992 </w:t>
      </w:r>
      <w:r>
        <w:rPr>
          <w:szCs w:val="20"/>
        </w:rPr>
        <w:t xml:space="preserve">et renvoyé à </w:t>
      </w:r>
      <w:hyperlink r:id="rId27" w:history="1">
        <w:r w:rsidRPr="00FA1928">
          <w:t>une commission spéciale chargée d'examiner les trois projets de loi sur la "bioéthique"</w:t>
        </w:r>
      </w:hyperlink>
      <w:r>
        <w:t xml:space="preserve">. </w:t>
      </w:r>
    </w:p>
    <w:p w14:paraId="1A927E6A" w14:textId="011F0C0F" w:rsidR="00815829" w:rsidRPr="005259A2" w:rsidRDefault="00815829" w:rsidP="00F65651">
      <w:pPr>
        <w:spacing w:line="240" w:lineRule="auto"/>
        <w:ind w:firstLine="0"/>
      </w:pPr>
      <w:r w:rsidRPr="00945A4E">
        <w:rPr>
          <w:rStyle w:val="FootnoteTextChar"/>
          <w:i/>
        </w:rPr>
        <w:t xml:space="preserve">Projet de loi relatif au don et </w:t>
      </w:r>
      <w:r w:rsidRPr="00945A4E">
        <w:rPr>
          <w:szCs w:val="20"/>
        </w:rPr>
        <w:t xml:space="preserve">à </w:t>
      </w:r>
      <w:r w:rsidRPr="00945A4E">
        <w:rPr>
          <w:rStyle w:val="FootnoteTextChar"/>
          <w:i/>
        </w:rPr>
        <w:t xml:space="preserve">l'utilisation des </w:t>
      </w:r>
      <w:r w:rsidRPr="00945A4E">
        <w:rPr>
          <w:szCs w:val="20"/>
        </w:rPr>
        <w:t>é</w:t>
      </w:r>
      <w:r w:rsidRPr="00945A4E">
        <w:rPr>
          <w:rStyle w:val="FootnoteTextChar"/>
          <w:i/>
        </w:rPr>
        <w:t>l</w:t>
      </w:r>
      <w:r w:rsidRPr="00945A4E">
        <w:rPr>
          <w:szCs w:val="20"/>
        </w:rPr>
        <w:t>é</w:t>
      </w:r>
      <w:r w:rsidRPr="00945A4E">
        <w:rPr>
          <w:rStyle w:val="FootnoteTextChar"/>
          <w:i/>
        </w:rPr>
        <w:t xml:space="preserve">ments et produits du corps humain et </w:t>
      </w:r>
      <w:r w:rsidRPr="00945A4E">
        <w:rPr>
          <w:szCs w:val="20"/>
        </w:rPr>
        <w:t>à</w:t>
      </w:r>
      <w:r w:rsidRPr="00945A4E">
        <w:rPr>
          <w:rStyle w:val="FootnoteTextChar"/>
          <w:i/>
        </w:rPr>
        <w:t xml:space="preserve"> la procr</w:t>
      </w:r>
      <w:r w:rsidRPr="00945A4E">
        <w:rPr>
          <w:szCs w:val="20"/>
        </w:rPr>
        <w:t>é</w:t>
      </w:r>
      <w:r w:rsidRPr="00945A4E">
        <w:rPr>
          <w:rStyle w:val="FootnoteTextChar"/>
          <w:i/>
        </w:rPr>
        <w:t>ation medicalement assistee, et modifiant le code de la sant</w:t>
      </w:r>
      <w:r w:rsidRPr="00945A4E">
        <w:rPr>
          <w:szCs w:val="20"/>
        </w:rPr>
        <w:t>é</w:t>
      </w:r>
      <w:r w:rsidRPr="00945A4E">
        <w:rPr>
          <w:rStyle w:val="FootnoteTextChar"/>
          <w:i/>
        </w:rPr>
        <w:t xml:space="preserve"> publique</w:t>
      </w:r>
      <w:r w:rsidRPr="00FA1928">
        <w:rPr>
          <w:rStyle w:val="FootnoteTextChar"/>
        </w:rPr>
        <w:t>, n° 2600, déposé le 25 mars 1992</w:t>
      </w:r>
      <w:r>
        <w:rPr>
          <w:rStyle w:val="FootnoteTextChar"/>
        </w:rPr>
        <w:t xml:space="preserve"> </w:t>
      </w:r>
      <w:r w:rsidRPr="00FA1928">
        <w:t xml:space="preserve">et renvoyé à </w:t>
      </w:r>
      <w:hyperlink r:id="rId28" w:history="1">
        <w:r w:rsidRPr="00FA1928">
          <w:t>une commission spéciale chargée d'examiner les trois projets de loi sur la "bioéthique"</w:t>
        </w:r>
      </w:hyperlink>
      <w:r>
        <w:t xml:space="preserve">. </w:t>
      </w:r>
    </w:p>
    <w:p w14:paraId="01086833" w14:textId="05455D3E" w:rsidR="00815829" w:rsidRPr="00945A4E" w:rsidRDefault="00815829" w:rsidP="00F65651">
      <w:pPr>
        <w:spacing w:line="240" w:lineRule="auto"/>
        <w:ind w:firstLine="0"/>
      </w:pPr>
      <w:r w:rsidRPr="00945A4E">
        <w:t>Projet de loi relatif au traitement de données nominatives ayant pour fin la recherche en vue de la protection ou l'amelioration de la santé et modifiant la loi n</w:t>
      </w:r>
      <w:r w:rsidRPr="00945A4E">
        <w:rPr>
          <w:vertAlign w:val="superscript"/>
        </w:rPr>
        <w:t>o</w:t>
      </w:r>
      <w:r w:rsidRPr="00945A4E">
        <w:t xml:space="preserve"> 78-17 du 6 janvier 1978 relative </w:t>
      </w:r>
      <w:r w:rsidRPr="00945A4E">
        <w:rPr>
          <w:szCs w:val="20"/>
        </w:rPr>
        <w:t>à</w:t>
      </w:r>
      <w:r w:rsidRPr="00945A4E">
        <w:t xml:space="preserve"> l'informatique, aux fichiers et aux libertés</w:t>
      </w:r>
      <w:r>
        <w:t xml:space="preserve">, n° 2601, déposé le 25 mars 1992 et renvoyé </w:t>
      </w:r>
      <w:r w:rsidRPr="00945A4E">
        <w:t xml:space="preserve">à </w:t>
      </w:r>
      <w:hyperlink r:id="rId29" w:history="1">
        <w:r w:rsidRPr="00945A4E">
          <w:t>une commission spéciale chargée d'examiner les trois projets de loi sur la "bioéthique"</w:t>
        </w:r>
      </w:hyperlink>
      <w:r>
        <w:t xml:space="preserve">. </w:t>
      </w:r>
    </w:p>
    <w:p w14:paraId="3FFBC6F9" w14:textId="77777777" w:rsidR="00A8644A" w:rsidRDefault="00A8644A" w:rsidP="00F65651">
      <w:pPr>
        <w:spacing w:line="240" w:lineRule="auto"/>
        <w:ind w:firstLine="0"/>
      </w:pPr>
      <w:r w:rsidRPr="00E254F5">
        <w:rPr>
          <w:i/>
        </w:rPr>
        <w:t>Mission d’information sur l</w:t>
      </w:r>
      <w:r>
        <w:rPr>
          <w:i/>
        </w:rPr>
        <w:t>a révision des lois bioéthiques</w:t>
      </w:r>
      <w:r w:rsidRPr="00E254F5">
        <w:rPr>
          <w:i/>
        </w:rPr>
        <w:t>: Rapport de Jean Leonetti - mercredi 20 janvier 2010</w:t>
      </w:r>
      <w:r w:rsidRPr="00E254F5">
        <w:t>.</w:t>
      </w:r>
    </w:p>
    <w:p w14:paraId="43DA91DE" w14:textId="36CFED03" w:rsidR="00523070" w:rsidRDefault="00E40D2B" w:rsidP="00F65651">
      <w:pPr>
        <w:spacing w:line="240" w:lineRule="auto"/>
        <w:ind w:firstLine="0"/>
      </w:pPr>
      <w:r w:rsidRPr="00E254F5">
        <w:t>Doc. AN n</w:t>
      </w:r>
      <w:r w:rsidRPr="00E254F5">
        <w:rPr>
          <w:vertAlign w:val="superscript"/>
        </w:rPr>
        <w:t>o</w:t>
      </w:r>
      <w:r w:rsidRPr="00E254F5">
        <w:t xml:space="preserve"> 3111, </w:t>
      </w:r>
      <w:r w:rsidRPr="00E254F5">
        <w:rPr>
          <w:i/>
        </w:rPr>
        <w:t>Rapport de la mission d’information</w:t>
      </w:r>
      <w:r w:rsidRPr="00E254F5">
        <w:t>, 26 jan</w:t>
      </w:r>
      <w:r>
        <w:t xml:space="preserve">vier 2011. </w:t>
      </w:r>
    </w:p>
    <w:p w14:paraId="650ACB5A" w14:textId="31B9BCC0" w:rsidR="00961CC1" w:rsidRDefault="00961CC1" w:rsidP="00F65651">
      <w:pPr>
        <w:spacing w:line="240" w:lineRule="auto"/>
        <w:ind w:firstLine="0"/>
      </w:pPr>
      <w:r w:rsidRPr="00E254F5">
        <w:t>Assemblée Nationale, 3</w:t>
      </w:r>
      <w:r w:rsidRPr="00E254F5">
        <w:rPr>
          <w:vertAlign w:val="superscript"/>
        </w:rPr>
        <w:t>e</w:t>
      </w:r>
      <w:r w:rsidRPr="00E254F5">
        <w:t xml:space="preserve"> Séance, 10 Φεβρουαρίου 2011, </w:t>
      </w:r>
      <w:r w:rsidRPr="00E254F5">
        <w:rPr>
          <w:i/>
        </w:rPr>
        <w:t>JOAN CR</w:t>
      </w:r>
      <w:r w:rsidR="00263B8B">
        <w:t>, 11 Φεβρουαρίου 2011</w:t>
      </w:r>
      <w:r w:rsidRPr="00E254F5">
        <w:t>.</w:t>
      </w:r>
    </w:p>
    <w:p w14:paraId="50D49D62" w14:textId="0CF36A80" w:rsidR="0001223C" w:rsidRDefault="0001223C" w:rsidP="00F65651">
      <w:pPr>
        <w:spacing w:line="240" w:lineRule="auto"/>
        <w:ind w:firstLine="0"/>
      </w:pPr>
      <w:r w:rsidRPr="00E254F5">
        <w:rPr>
          <w:i/>
        </w:rPr>
        <w:t>Rapport d’Information fait au nom de la Mission d’Information sur la Revision des Lois de Bioethique</w:t>
      </w:r>
      <w:r w:rsidRPr="00E254F5">
        <w:t>, n</w:t>
      </w:r>
      <w:r w:rsidRPr="00E254F5">
        <w:rPr>
          <w:vertAlign w:val="superscript"/>
        </w:rPr>
        <w:t>o</w:t>
      </w:r>
      <w:r w:rsidRPr="00E254F5">
        <w:t xml:space="preserve"> 2235, 20 janv</w:t>
      </w:r>
      <w:r>
        <w:t xml:space="preserve">ier 2010. </w:t>
      </w:r>
    </w:p>
    <w:p w14:paraId="14C9D8C9" w14:textId="504B122D" w:rsidR="00815829" w:rsidRPr="00E254F5" w:rsidRDefault="00815829" w:rsidP="00815829">
      <w:pPr>
        <w:pStyle w:val="Heading3"/>
      </w:pPr>
      <w:bookmarkStart w:id="309" w:name="_Toc276148697"/>
      <w:bookmarkStart w:id="310" w:name="_Toc276237128"/>
      <w:bookmarkStart w:id="311" w:name="_Toc276574472"/>
      <w:r>
        <w:lastRenderedPageBreak/>
        <w:t>Σύγκλητος</w:t>
      </w:r>
      <w:bookmarkEnd w:id="309"/>
      <w:bookmarkEnd w:id="310"/>
      <w:bookmarkEnd w:id="311"/>
      <w:r>
        <w:t xml:space="preserve"> </w:t>
      </w:r>
    </w:p>
    <w:p w14:paraId="43FFB708" w14:textId="6081F779" w:rsidR="00A8644A" w:rsidRPr="00E254F5" w:rsidRDefault="00A8644A" w:rsidP="00F65651">
      <w:pPr>
        <w:spacing w:line="240" w:lineRule="auto"/>
        <w:ind w:firstLine="0"/>
      </w:pPr>
      <w:r w:rsidRPr="00E254F5">
        <w:rPr>
          <w:rStyle w:val="hps"/>
          <w:b/>
          <w:szCs w:val="20"/>
          <w:lang w:val="fr-FR"/>
        </w:rPr>
        <w:t>«</w:t>
      </w:r>
      <w:r w:rsidRPr="00E254F5">
        <w:t>Accélérer l'appl</w:t>
      </w:r>
      <w:r>
        <w:t>ication de la loi de bioéthique</w:t>
      </w:r>
      <w:r w:rsidRPr="00E254F5">
        <w:t>: une nécessit</w:t>
      </w:r>
      <w:r>
        <w:t>é pour le progrès thérapeutique</w:t>
      </w:r>
      <w:r w:rsidRPr="00E254F5">
        <w:t>», Rapport d'information n° 309 (2005-2006) de M. Alain Milon, fait au nom de la commission des affaires sociales, déposé le 12 avril 2006.</w:t>
      </w:r>
    </w:p>
    <w:p w14:paraId="210B0CEE" w14:textId="2B189708" w:rsidR="00A8644A" w:rsidRDefault="00120F6E" w:rsidP="00F65651">
      <w:pPr>
        <w:spacing w:line="240" w:lineRule="auto"/>
        <w:ind w:firstLine="0"/>
      </w:pPr>
      <w:r w:rsidRPr="00E254F5">
        <w:rPr>
          <w:b/>
          <w:i/>
        </w:rPr>
        <w:t>S. Veil</w:t>
      </w:r>
      <w:r w:rsidRPr="00E254F5">
        <w:t xml:space="preserve">, </w:t>
      </w:r>
      <w:r w:rsidRPr="00E254F5">
        <w:rPr>
          <w:i/>
        </w:rPr>
        <w:t>JO Sénat</w:t>
      </w:r>
      <w:r w:rsidRPr="00E254F5">
        <w:t xml:space="preserve"> CR, 14 </w:t>
      </w:r>
      <w:r w:rsidR="00362FAA">
        <w:t xml:space="preserve">Ιανουαρίου 1994. </w:t>
      </w:r>
    </w:p>
    <w:p w14:paraId="0570CBFC" w14:textId="055E2C57" w:rsidR="00DB2A3E" w:rsidRDefault="00DB2A3E" w:rsidP="00DB2A3E">
      <w:pPr>
        <w:pStyle w:val="Heading3"/>
      </w:pPr>
      <w:bookmarkStart w:id="312" w:name="_Toc276148698"/>
      <w:bookmarkStart w:id="313" w:name="_Toc276237129"/>
      <w:bookmarkStart w:id="314" w:name="_Toc276574473"/>
      <w:r>
        <w:t>Συμβούλιο Επικρατείας</w:t>
      </w:r>
      <w:bookmarkEnd w:id="312"/>
      <w:bookmarkEnd w:id="313"/>
      <w:bookmarkEnd w:id="314"/>
      <w:r>
        <w:t xml:space="preserve"> </w:t>
      </w:r>
    </w:p>
    <w:p w14:paraId="0ACD69BD" w14:textId="6966D0AA" w:rsidR="00DB2A3E" w:rsidRDefault="00DB2A3E" w:rsidP="00F65651">
      <w:pPr>
        <w:spacing w:line="240" w:lineRule="auto"/>
        <w:ind w:firstLine="0"/>
      </w:pPr>
      <w:r w:rsidRPr="00E254F5">
        <w:t>La Revision des Lois de Bioéthique, Étude adoptée par l’Assemblée Générale Plénière, le 9 avril 2009, La Documentation Française.</w:t>
      </w:r>
      <w:r w:rsidRPr="00E254F5">
        <w:rPr>
          <w:rStyle w:val="hps"/>
          <w:b/>
          <w:szCs w:val="20"/>
          <w:lang w:val="fr-FR"/>
        </w:rPr>
        <w:t xml:space="preserve"> </w:t>
      </w:r>
    </w:p>
    <w:p w14:paraId="14847D14" w14:textId="16443729" w:rsidR="004E6982" w:rsidRDefault="004E6982" w:rsidP="004E6982">
      <w:pPr>
        <w:pStyle w:val="Heading3"/>
      </w:pPr>
      <w:bookmarkStart w:id="315" w:name="_Toc276148699"/>
      <w:bookmarkStart w:id="316" w:name="_Toc276237130"/>
      <w:bookmarkStart w:id="317" w:name="_Toc276574474"/>
      <w:r>
        <w:t>Εθνική Ακαδημία Ιατρικής</w:t>
      </w:r>
      <w:bookmarkEnd w:id="315"/>
      <w:bookmarkEnd w:id="316"/>
      <w:bookmarkEnd w:id="317"/>
      <w:r>
        <w:t xml:space="preserve"> </w:t>
      </w:r>
    </w:p>
    <w:p w14:paraId="5204EBDF" w14:textId="4C9C621C" w:rsidR="004E6982" w:rsidRPr="00E254F5" w:rsidRDefault="004E6982" w:rsidP="00F65651">
      <w:pPr>
        <w:spacing w:line="240" w:lineRule="auto"/>
        <w:ind w:firstLine="0"/>
      </w:pPr>
      <w:r w:rsidRPr="00E254F5">
        <w:rPr>
          <w:i/>
        </w:rPr>
        <w:t>Ouverture de l’Assistance médicale à la procréation avec</w:t>
      </w:r>
      <w:r>
        <w:rPr>
          <w:i/>
        </w:rPr>
        <w:t xml:space="preserve"> sperme de donneur (AMPD) à des</w:t>
      </w:r>
      <w:r w:rsidRPr="00E254F5">
        <w:rPr>
          <w:i/>
        </w:rPr>
        <w:t xml:space="preserve"> indications non-médicales</w:t>
      </w:r>
      <w:r>
        <w:t xml:space="preserve">, 27 mai 2014. </w:t>
      </w:r>
    </w:p>
    <w:p w14:paraId="21D9AAE5" w14:textId="4637F6EE" w:rsidR="004E6982" w:rsidRPr="00E254F5" w:rsidRDefault="004E6982" w:rsidP="00F65651">
      <w:pPr>
        <w:spacing w:line="240" w:lineRule="auto"/>
        <w:ind w:firstLine="0"/>
      </w:pPr>
      <w:r w:rsidRPr="00E254F5">
        <w:rPr>
          <w:i/>
        </w:rPr>
        <w:t>La Gestation pour autrui au regard du mariage entre personnes de même sexe</w:t>
      </w:r>
      <w:r>
        <w:t xml:space="preserve">, 27 mai 2014. </w:t>
      </w:r>
    </w:p>
    <w:p w14:paraId="367DE7B6" w14:textId="56FC328E" w:rsidR="004E6982" w:rsidRPr="00E254F5" w:rsidRDefault="004E6982" w:rsidP="00F65651">
      <w:pPr>
        <w:spacing w:line="240" w:lineRule="auto"/>
        <w:ind w:firstLine="0"/>
      </w:pPr>
      <w:r w:rsidRPr="00E254F5">
        <w:rPr>
          <w:i/>
        </w:rPr>
        <w:t>Autoconservation des gamètes de personnes transsexuelles et projet parental éventuel</w:t>
      </w:r>
      <w:r w:rsidRPr="00E254F5">
        <w:t>, 25 mars 2014</w:t>
      </w:r>
      <w:r>
        <w:t xml:space="preserve">. </w:t>
      </w:r>
      <w:r w:rsidRPr="00E254F5">
        <w:t xml:space="preserve"> </w:t>
      </w:r>
    </w:p>
    <w:p w14:paraId="172F06C3" w14:textId="6770F080" w:rsidR="004E6982" w:rsidRPr="00E254F5" w:rsidRDefault="004E6982" w:rsidP="00F65651">
      <w:pPr>
        <w:spacing w:line="240" w:lineRule="auto"/>
        <w:ind w:firstLine="0"/>
      </w:pPr>
      <w:r w:rsidRPr="00E254F5">
        <w:rPr>
          <w:i/>
        </w:rPr>
        <w:t>Assistance médicale à la procréation en prison</w:t>
      </w:r>
      <w:r w:rsidRPr="00E254F5">
        <w:t>, séance du 23 octobre 2012</w:t>
      </w:r>
      <w:r>
        <w:t xml:space="preserve">. </w:t>
      </w:r>
    </w:p>
    <w:p w14:paraId="022331EC" w14:textId="5C102986" w:rsidR="004E6982" w:rsidRPr="00E254F5" w:rsidRDefault="004E6982" w:rsidP="00F65651">
      <w:pPr>
        <w:spacing w:line="240" w:lineRule="auto"/>
        <w:ind w:firstLine="0"/>
      </w:pPr>
      <w:r w:rsidRPr="00E254F5">
        <w:rPr>
          <w:i/>
        </w:rPr>
        <w:t>Séance dédiée au diagnostic pré-implantatoire (DPI)</w:t>
      </w:r>
      <w:r w:rsidRPr="00E254F5">
        <w:t xml:space="preserve">, </w:t>
      </w:r>
      <w:r>
        <w:t xml:space="preserve">séance du 24 mai 2011. </w:t>
      </w:r>
    </w:p>
    <w:p w14:paraId="1B3EDE5D" w14:textId="7A9A95EF" w:rsidR="004E6982" w:rsidRPr="00E254F5" w:rsidRDefault="004E6982" w:rsidP="00F65651">
      <w:pPr>
        <w:spacing w:line="240" w:lineRule="auto"/>
        <w:ind w:firstLine="0"/>
      </w:pPr>
      <w:r w:rsidRPr="00E254F5">
        <w:rPr>
          <w:i/>
        </w:rPr>
        <w:t>Cellules souches et perspectives thérapeutiques</w:t>
      </w:r>
      <w:r w:rsidRPr="00E254F5">
        <w:t>, séance du 30 novembre 2010</w:t>
      </w:r>
      <w:r>
        <w:t xml:space="preserve">. </w:t>
      </w:r>
    </w:p>
    <w:p w14:paraId="55E54F08" w14:textId="2BFDD0E1" w:rsidR="004E6982" w:rsidRPr="00E254F5" w:rsidRDefault="004E6982" w:rsidP="00F65651">
      <w:pPr>
        <w:spacing w:line="240" w:lineRule="auto"/>
        <w:ind w:firstLine="0"/>
      </w:pPr>
      <w:r w:rsidRPr="00E254F5">
        <w:rPr>
          <w:i/>
        </w:rPr>
        <w:t>Réflexions relatives au rapport d’information n</w:t>
      </w:r>
      <w:r w:rsidRPr="00E734D8">
        <w:rPr>
          <w:i/>
          <w:vertAlign w:val="superscript"/>
        </w:rPr>
        <w:t>o</w:t>
      </w:r>
      <w:r w:rsidRPr="00E254F5">
        <w:rPr>
          <w:i/>
        </w:rPr>
        <w:t xml:space="preserve"> 2235 de la mission parlementaire sur la révision des lois de bioéthique</w:t>
      </w:r>
      <w:r w:rsidRPr="00E254F5">
        <w:t xml:space="preserve">, </w:t>
      </w:r>
      <w:r>
        <w:t xml:space="preserve">séance du 22 juin 2010. </w:t>
      </w:r>
    </w:p>
    <w:p w14:paraId="5915CE0E" w14:textId="6A16F899" w:rsidR="004E6982" w:rsidRPr="00E254F5" w:rsidRDefault="004E6982" w:rsidP="00F65651">
      <w:pPr>
        <w:spacing w:line="240" w:lineRule="auto"/>
        <w:ind w:firstLine="0"/>
      </w:pPr>
      <w:r>
        <w:rPr>
          <w:i/>
        </w:rPr>
        <w:t>La gestation pour autrui</w:t>
      </w:r>
      <w:r w:rsidRPr="00E254F5">
        <w:rPr>
          <w:i/>
        </w:rPr>
        <w:t>: Rapport 09-05</w:t>
      </w:r>
      <w:r w:rsidRPr="00E254F5">
        <w:t>, séance du</w:t>
      </w:r>
      <w:r>
        <w:t xml:space="preserve"> 10 mars 2009. </w:t>
      </w:r>
    </w:p>
    <w:p w14:paraId="0849408E" w14:textId="6B9A45A5" w:rsidR="00281636" w:rsidRDefault="004E6982" w:rsidP="00F65651">
      <w:pPr>
        <w:spacing w:line="240" w:lineRule="auto"/>
        <w:ind w:firstLine="0"/>
      </w:pPr>
      <w:r w:rsidRPr="00E254F5">
        <w:rPr>
          <w:i/>
        </w:rPr>
        <w:t>La procréation médicalisée en France, état des lieux et perspectives</w:t>
      </w:r>
      <w:r w:rsidRPr="00E254F5">
        <w:t>,</w:t>
      </w:r>
      <w:r w:rsidRPr="00E254F5">
        <w:rPr>
          <w:b/>
        </w:rPr>
        <w:t xml:space="preserve"> </w:t>
      </w:r>
      <w:r>
        <w:t xml:space="preserve">séance du 29 janvier 2008. </w:t>
      </w:r>
    </w:p>
    <w:p w14:paraId="47856B5D" w14:textId="6295415F" w:rsidR="007D2A00" w:rsidRDefault="007D2A00" w:rsidP="007D2A00">
      <w:pPr>
        <w:pStyle w:val="Heading3"/>
      </w:pPr>
      <w:bookmarkStart w:id="318" w:name="_Toc276148700"/>
      <w:bookmarkStart w:id="319" w:name="_Toc276237131"/>
      <w:bookmarkStart w:id="320" w:name="_Toc276574475"/>
      <w:r>
        <w:t>Εθνικό Συμβούλιο Εθνικού Ιατρικού Σύλλόγου</w:t>
      </w:r>
      <w:bookmarkEnd w:id="318"/>
      <w:bookmarkEnd w:id="319"/>
      <w:bookmarkEnd w:id="320"/>
    </w:p>
    <w:p w14:paraId="6AD902CB" w14:textId="541C2823" w:rsidR="007D2A00" w:rsidRPr="00E254F5" w:rsidRDefault="007D2A00" w:rsidP="00F65651">
      <w:pPr>
        <w:spacing w:line="240" w:lineRule="auto"/>
        <w:ind w:firstLine="0"/>
      </w:pPr>
      <w:r w:rsidRPr="00E254F5">
        <w:rPr>
          <w:i/>
        </w:rPr>
        <w:t>La PMA à l’étranger – Don d’ovocytes</w:t>
      </w:r>
      <w:r w:rsidRPr="00E254F5">
        <w:t>, Communi</w:t>
      </w:r>
      <w:r>
        <w:t xml:space="preserve">qué de presse du 2 février 2013. </w:t>
      </w:r>
    </w:p>
    <w:p w14:paraId="224D1B63" w14:textId="573CAE1D" w:rsidR="007D2A00" w:rsidRPr="00E254F5" w:rsidRDefault="007D2A00" w:rsidP="00F65651">
      <w:pPr>
        <w:spacing w:line="240" w:lineRule="auto"/>
        <w:ind w:firstLine="0"/>
      </w:pPr>
      <w:r w:rsidRPr="00E254F5">
        <w:rPr>
          <w:i/>
        </w:rPr>
        <w:t>Commentaire de l’article 17 du Code de déontologie médicale – Assistance médicale à la procréation</w:t>
      </w:r>
      <w:r w:rsidRPr="00E254F5">
        <w:t>, 11 octobre 2012</w:t>
      </w:r>
      <w:r>
        <w:t xml:space="preserve">. </w:t>
      </w:r>
    </w:p>
    <w:p w14:paraId="03205F57" w14:textId="77DA9D4B" w:rsidR="007D2A00" w:rsidRDefault="007D2A00" w:rsidP="00F65651">
      <w:pPr>
        <w:spacing w:line="240" w:lineRule="auto"/>
        <w:ind w:firstLine="0"/>
      </w:pPr>
      <w:r w:rsidRPr="00E254F5">
        <w:rPr>
          <w:i/>
        </w:rPr>
        <w:t>La gestation pour autrui</w:t>
      </w:r>
      <w:r w:rsidRPr="00E254F5">
        <w:t>, Rapport adopté lors de la session du Conseil national de l’Ordre des médecins du 4 février 2010</w:t>
      </w:r>
      <w:r>
        <w:t xml:space="preserve">. </w:t>
      </w:r>
    </w:p>
    <w:p w14:paraId="18D1300C" w14:textId="70A7642A" w:rsidR="007D2A00" w:rsidRPr="00E254F5" w:rsidRDefault="007D2A00" w:rsidP="007D2A00">
      <w:pPr>
        <w:pStyle w:val="Heading3"/>
      </w:pPr>
      <w:bookmarkStart w:id="321" w:name="_Toc276148701"/>
      <w:bookmarkStart w:id="322" w:name="_Toc276237132"/>
      <w:bookmarkStart w:id="323" w:name="_Toc276574476"/>
      <w:r>
        <w:t>Εθνικός Σύλλογος Μαιών Γαλλίας</w:t>
      </w:r>
      <w:bookmarkEnd w:id="321"/>
      <w:bookmarkEnd w:id="322"/>
      <w:bookmarkEnd w:id="323"/>
    </w:p>
    <w:p w14:paraId="622A9287" w14:textId="186EAA54" w:rsidR="004E6982" w:rsidRDefault="007D2A00" w:rsidP="00F65651">
      <w:pPr>
        <w:spacing w:line="240" w:lineRule="auto"/>
        <w:ind w:firstLine="0"/>
      </w:pPr>
      <w:r w:rsidRPr="00E254F5">
        <w:rPr>
          <w:i/>
        </w:rPr>
        <w:t>Gestation pour autrui, une fausse bonne idée pour faire progresser le droit des femmes</w:t>
      </w:r>
      <w:r w:rsidRPr="00E254F5">
        <w:t>, Communiqué de presse du 8 mars 2010</w:t>
      </w:r>
      <w:r>
        <w:t xml:space="preserve">. </w:t>
      </w:r>
    </w:p>
    <w:p w14:paraId="01287E45" w14:textId="688914D5" w:rsidR="002C2688" w:rsidRDefault="002F1EAA" w:rsidP="00F65651">
      <w:pPr>
        <w:spacing w:line="240" w:lineRule="auto"/>
        <w:ind w:firstLine="0"/>
      </w:pPr>
      <w:r w:rsidRPr="001F372E">
        <w:rPr>
          <w:b/>
          <w:i/>
        </w:rPr>
        <w:t>N. Lenoir, B. Sturlèse (dir.)</w:t>
      </w:r>
      <w:r w:rsidRPr="001F372E">
        <w:rPr>
          <w:b/>
        </w:rPr>
        <w:t>,</w:t>
      </w:r>
      <w:r w:rsidRPr="001F372E">
        <w:t xml:space="preserve"> </w:t>
      </w:r>
      <w:r w:rsidRPr="001F372E">
        <w:rPr>
          <w:i/>
        </w:rPr>
        <w:t>Aux frontières de la vie: rapport au Premier ministre</w:t>
      </w:r>
      <w:r w:rsidRPr="001F372E">
        <w:t>, Éd. La Documentation française, Col. des rapports officiels, Paris, 1991</w:t>
      </w:r>
      <w:r>
        <w:t xml:space="preserve">. </w:t>
      </w:r>
    </w:p>
    <w:p w14:paraId="167F25DE" w14:textId="6174FB07" w:rsidR="00967DEE" w:rsidRDefault="00967DEE" w:rsidP="00967DEE">
      <w:pPr>
        <w:pStyle w:val="Heading3"/>
      </w:pPr>
      <w:bookmarkStart w:id="324" w:name="_Toc276574477"/>
      <w:r>
        <w:lastRenderedPageBreak/>
        <w:t>Γενική Επιθεώρηση Κοινωνικών Υποθέσεων</w:t>
      </w:r>
      <w:bookmarkEnd w:id="324"/>
    </w:p>
    <w:p w14:paraId="2CA33BD0" w14:textId="0D3A73F5" w:rsidR="00967DEE" w:rsidRDefault="00967DEE" w:rsidP="00F65651">
      <w:pPr>
        <w:spacing w:line="240" w:lineRule="auto"/>
        <w:ind w:firstLine="0"/>
      </w:pPr>
      <w:r w:rsidRPr="00ED1ECB">
        <w:t xml:space="preserve">Inspection </w:t>
      </w:r>
      <w:r>
        <w:t xml:space="preserve">Générale des Affaires Sociales (IGAS), </w:t>
      </w:r>
      <w:r>
        <w:rPr>
          <w:i/>
        </w:rPr>
        <w:t>É</w:t>
      </w:r>
      <w:r w:rsidRPr="00ED1ECB">
        <w:rPr>
          <w:i/>
        </w:rPr>
        <w:t>tat des lieux et perspectives du don d'ovocytes en France</w:t>
      </w:r>
      <w:r>
        <w:t xml:space="preserve">, Février 2011, διαθέσιμο σε: </w:t>
      </w:r>
      <w:hyperlink r:id="rId30" w:history="1">
        <w:r w:rsidRPr="00265D4D">
          <w:rPr>
            <w:rStyle w:val="Hyperlink"/>
          </w:rPr>
          <w:t>http://www.ladocumentationfrancaise.fr/var/storage/rapports-publics/114000113/0000.pdf</w:t>
        </w:r>
      </w:hyperlink>
      <w:r>
        <w:t>.</w:t>
      </w:r>
    </w:p>
    <w:p w14:paraId="0CA192BA" w14:textId="209617D3" w:rsidR="003D03F5" w:rsidRDefault="003D03F5" w:rsidP="003D03F5">
      <w:pPr>
        <w:pStyle w:val="Heading2"/>
      </w:pPr>
      <w:bookmarkStart w:id="325" w:name="_Toc276148702"/>
      <w:bookmarkStart w:id="326" w:name="_Toc276237133"/>
      <w:bookmarkStart w:id="327" w:name="_Toc276574478"/>
      <w:r>
        <w:t>Τύπος</w:t>
      </w:r>
      <w:bookmarkEnd w:id="325"/>
      <w:bookmarkEnd w:id="326"/>
      <w:bookmarkEnd w:id="327"/>
      <w:r>
        <w:t xml:space="preserve"> </w:t>
      </w:r>
    </w:p>
    <w:p w14:paraId="391CB3B9" w14:textId="2E435028" w:rsidR="003D03F5" w:rsidRPr="000C3D28" w:rsidRDefault="003D03F5" w:rsidP="00F65651">
      <w:pPr>
        <w:spacing w:line="240" w:lineRule="auto"/>
        <w:ind w:firstLine="0"/>
      </w:pPr>
      <w:r>
        <w:t xml:space="preserve">«Amandine, premier bébé-éprouvette français, donne naissance à une fille», </w:t>
      </w:r>
      <w:r w:rsidRPr="000C3D28">
        <w:rPr>
          <w:i/>
        </w:rPr>
        <w:t>Le Monde</w:t>
      </w:r>
      <w:r>
        <w:t xml:space="preserve">, 16.6.2013. </w:t>
      </w:r>
    </w:p>
    <w:p w14:paraId="1D279148" w14:textId="7DB71481" w:rsidR="003D03F5" w:rsidRPr="00111A26" w:rsidRDefault="003D03F5" w:rsidP="00F65651">
      <w:pPr>
        <w:spacing w:line="240" w:lineRule="auto"/>
        <w:ind w:firstLine="0"/>
      </w:pPr>
      <w:r>
        <w:t>«Le 1</w:t>
      </w:r>
      <w:r w:rsidRPr="000C3D28">
        <w:rPr>
          <w:vertAlign w:val="superscript"/>
        </w:rPr>
        <w:t>er</w:t>
      </w:r>
      <w:r>
        <w:t xml:space="preserve"> bébé éprouvette est maman», </w:t>
      </w:r>
      <w:r w:rsidRPr="00111A26">
        <w:rPr>
          <w:i/>
        </w:rPr>
        <w:t>Le Journal du Dimanche</w:t>
      </w:r>
      <w:r>
        <w:t xml:space="preserve">, 16.6.2013. </w:t>
      </w:r>
    </w:p>
    <w:p w14:paraId="3B6CF717" w14:textId="2016D0F8" w:rsidR="003D03F5" w:rsidRPr="00207E1E" w:rsidRDefault="003D03F5" w:rsidP="00F65651">
      <w:pPr>
        <w:spacing w:line="240" w:lineRule="auto"/>
        <w:ind w:firstLine="0"/>
      </w:pPr>
      <w:r w:rsidRPr="00207E1E">
        <w:rPr>
          <w:b/>
          <w:i/>
        </w:rPr>
        <w:t>G. Dupont</w:t>
      </w:r>
      <w:r>
        <w:t xml:space="preserve">, «Trente ans après la naissance d'Amandine, l'assistance à la procréation s'est banalisée», </w:t>
      </w:r>
      <w:r w:rsidRPr="00207E1E">
        <w:rPr>
          <w:i/>
        </w:rPr>
        <w:t>Le Monde</w:t>
      </w:r>
      <w:r>
        <w:t xml:space="preserve">, 23.2.2012. </w:t>
      </w:r>
    </w:p>
    <w:p w14:paraId="20F605E6" w14:textId="77777777" w:rsidR="00C604BE" w:rsidRPr="00191EE8" w:rsidRDefault="00C604BE" w:rsidP="00F65651">
      <w:pPr>
        <w:spacing w:line="240" w:lineRule="auto"/>
        <w:ind w:firstLine="0"/>
      </w:pPr>
      <w:r w:rsidRPr="00644A94">
        <w:rPr>
          <w:b/>
          <w:i/>
        </w:rPr>
        <w:t>R. Frydman</w:t>
      </w:r>
      <w:r>
        <w:t>, «Vive les bébés du double espoir</w:t>
      </w:r>
      <w:r w:rsidRPr="006018E1">
        <w:t>»</w:t>
      </w:r>
      <w:r>
        <w:t xml:space="preserve">, </w:t>
      </w:r>
      <w:r w:rsidRPr="005D50F1">
        <w:rPr>
          <w:rFonts w:cs="Helvetica"/>
          <w:i/>
          <w:color w:val="262626"/>
        </w:rPr>
        <w:t>Le Monde</w:t>
      </w:r>
      <w:r>
        <w:rPr>
          <w:rFonts w:cs="Helvetica"/>
          <w:color w:val="262626"/>
        </w:rPr>
        <w:t xml:space="preserve">, 28 Μαρτίου 2011. </w:t>
      </w:r>
    </w:p>
    <w:p w14:paraId="2FE0DCE9" w14:textId="77777777" w:rsidR="00C604BE" w:rsidRPr="00012CE7" w:rsidRDefault="00C604BE" w:rsidP="00F65651">
      <w:pPr>
        <w:spacing w:line="240" w:lineRule="auto"/>
        <w:ind w:firstLine="0"/>
        <w:rPr>
          <w:lang w:val="en-US"/>
        </w:rPr>
      </w:pPr>
      <w:r w:rsidRPr="00896C6D">
        <w:rPr>
          <w:b/>
          <w:i/>
        </w:rPr>
        <w:t>M. Onfray</w:t>
      </w:r>
      <w:r>
        <w:t>, «Obscurantisme laïque: lumières chrétiennes</w:t>
      </w:r>
      <w:r w:rsidRPr="006018E1">
        <w:t>»</w:t>
      </w:r>
      <w:r>
        <w:t xml:space="preserve">, </w:t>
      </w:r>
      <w:r w:rsidRPr="005D50F1">
        <w:rPr>
          <w:rFonts w:cs="Helvetica"/>
          <w:i/>
          <w:color w:val="262626"/>
        </w:rPr>
        <w:t>Le Monde</w:t>
      </w:r>
      <w:r>
        <w:rPr>
          <w:rFonts w:cs="Helvetica"/>
          <w:color w:val="262626"/>
        </w:rPr>
        <w:t xml:space="preserve">, 6-7 Μαρτίου 2011. </w:t>
      </w:r>
    </w:p>
    <w:p w14:paraId="0A2C7D6D" w14:textId="77777777" w:rsidR="00BE2CBB" w:rsidRPr="005D50F1" w:rsidRDefault="00BE2CBB" w:rsidP="00F65651">
      <w:pPr>
        <w:spacing w:line="240" w:lineRule="auto"/>
        <w:ind w:firstLine="0"/>
      </w:pPr>
      <w:r w:rsidRPr="00480291">
        <w:rPr>
          <w:b/>
          <w:i/>
        </w:rPr>
        <w:t>J.-R. Binet</w:t>
      </w:r>
      <w:r w:rsidRPr="00E254F5">
        <w:t>,</w:t>
      </w:r>
      <w:r>
        <w:t xml:space="preserve"> «B</w:t>
      </w:r>
      <w:r w:rsidRPr="00E254F5">
        <w:rPr>
          <w:rFonts w:cs="Helvetica"/>
          <w:color w:val="262626"/>
        </w:rPr>
        <w:t>ébé médicament</w:t>
      </w:r>
      <w:r>
        <w:rPr>
          <w:rFonts w:cs="Helvetica"/>
          <w:color w:val="262626"/>
        </w:rPr>
        <w:t>: l’équilibre périlleux d’une solution extrême</w:t>
      </w:r>
      <w:r w:rsidRPr="006018E1">
        <w:t>»</w:t>
      </w:r>
      <w:r>
        <w:rPr>
          <w:rFonts w:cs="Helvetica"/>
          <w:color w:val="262626"/>
        </w:rPr>
        <w:t xml:space="preserve">, </w:t>
      </w:r>
      <w:r w:rsidRPr="005D50F1">
        <w:rPr>
          <w:rFonts w:cs="Helvetica"/>
          <w:i/>
          <w:color w:val="262626"/>
        </w:rPr>
        <w:t>Le Monde</w:t>
      </w:r>
      <w:r>
        <w:rPr>
          <w:rFonts w:cs="Helvetica"/>
          <w:color w:val="262626"/>
        </w:rPr>
        <w:t xml:space="preserve">, 22 Φεβρουαρίου 2011. </w:t>
      </w:r>
    </w:p>
    <w:p w14:paraId="30BB681E" w14:textId="145651DF" w:rsidR="003D03F5" w:rsidRDefault="00535870" w:rsidP="00F65651">
      <w:pPr>
        <w:spacing w:line="240" w:lineRule="auto"/>
        <w:ind w:firstLine="0"/>
        <w:rPr>
          <w:rFonts w:cs="Helvetica"/>
          <w:color w:val="262626"/>
        </w:rPr>
      </w:pPr>
      <w:r>
        <w:t>«Le premier "bébé-médicament" français est né</w:t>
      </w:r>
      <w:r w:rsidRPr="006018E1">
        <w:t>»</w:t>
      </w:r>
      <w:r>
        <w:t xml:space="preserve">, </w:t>
      </w:r>
      <w:r w:rsidRPr="005D50F1">
        <w:rPr>
          <w:rFonts w:cs="Helvetica"/>
          <w:i/>
          <w:color w:val="262626"/>
        </w:rPr>
        <w:t>Le Monde</w:t>
      </w:r>
      <w:r>
        <w:rPr>
          <w:rFonts w:cs="Helvetica"/>
          <w:color w:val="262626"/>
        </w:rPr>
        <w:t>, 7 Φεβρουαρίου 2011.</w:t>
      </w:r>
    </w:p>
    <w:p w14:paraId="200A1AEB" w14:textId="5801402E" w:rsidR="00012CE7" w:rsidRDefault="00120F6E" w:rsidP="00F65651">
      <w:pPr>
        <w:spacing w:line="240" w:lineRule="auto"/>
        <w:ind w:firstLine="0"/>
      </w:pPr>
      <w:r w:rsidRPr="00E254F5">
        <w:rPr>
          <w:b/>
          <w:i/>
        </w:rPr>
        <w:t>A. Jouan</w:t>
      </w:r>
      <w:r w:rsidRPr="00E254F5">
        <w:t xml:space="preserve">, «Polemique autour de la congelation d’ovocytes», </w:t>
      </w:r>
      <w:r w:rsidRPr="00E254F5">
        <w:rPr>
          <w:i/>
        </w:rPr>
        <w:t>Le Figaro</w:t>
      </w:r>
      <w:r w:rsidRPr="00E254F5">
        <w:t>, 26 Μαρτίου 2010</w:t>
      </w:r>
      <w:r>
        <w:t xml:space="preserve">. </w:t>
      </w:r>
    </w:p>
    <w:p w14:paraId="1E903CCF" w14:textId="0956A6E3" w:rsidR="006E479F" w:rsidRDefault="006E479F" w:rsidP="006E479F">
      <w:pPr>
        <w:pStyle w:val="Heading2"/>
      </w:pPr>
      <w:bookmarkStart w:id="328" w:name="_Toc276148703"/>
      <w:bookmarkStart w:id="329" w:name="_Toc276237134"/>
      <w:bookmarkStart w:id="330" w:name="_Toc276574479"/>
      <w:r>
        <w:t>Διάφορα</w:t>
      </w:r>
      <w:bookmarkEnd w:id="328"/>
      <w:bookmarkEnd w:id="329"/>
      <w:bookmarkEnd w:id="330"/>
    </w:p>
    <w:p w14:paraId="13680F06" w14:textId="77777777" w:rsidR="006E479F" w:rsidRPr="001F372E" w:rsidRDefault="006E479F" w:rsidP="00F65651">
      <w:pPr>
        <w:spacing w:line="240" w:lineRule="auto"/>
        <w:ind w:firstLine="0"/>
      </w:pPr>
      <w:r w:rsidRPr="001F372E">
        <w:t xml:space="preserve">«La révision des lois de bioéthique», σε </w:t>
      </w:r>
      <w:r w:rsidRPr="001F372E">
        <w:rPr>
          <w:i/>
        </w:rPr>
        <w:t>Vie-Publique.fr</w:t>
      </w:r>
      <w:r w:rsidRPr="001F372E">
        <w:t xml:space="preserve">, διαθέσιμο σε: </w:t>
      </w:r>
      <w:hyperlink r:id="rId31" w:history="1">
        <w:r w:rsidRPr="001F372E">
          <w:rPr>
            <w:rStyle w:val="Hyperlink"/>
            <w:szCs w:val="20"/>
            <w:lang w:val="fr-FR"/>
          </w:rPr>
          <w:t>http</w:t>
        </w:r>
        <w:r w:rsidRPr="001F372E">
          <w:rPr>
            <w:rStyle w:val="Hyperlink"/>
            <w:szCs w:val="20"/>
          </w:rPr>
          <w:t>://</w:t>
        </w:r>
        <w:r w:rsidRPr="001F372E">
          <w:rPr>
            <w:rStyle w:val="Hyperlink"/>
            <w:szCs w:val="20"/>
            <w:lang w:val="fr-FR"/>
          </w:rPr>
          <w:t>www</w:t>
        </w:r>
        <w:r w:rsidRPr="001F372E">
          <w:rPr>
            <w:rStyle w:val="Hyperlink"/>
            <w:szCs w:val="20"/>
          </w:rPr>
          <w:t>.</w:t>
        </w:r>
        <w:r w:rsidRPr="001F372E">
          <w:rPr>
            <w:rStyle w:val="Hyperlink"/>
            <w:szCs w:val="20"/>
            <w:lang w:val="fr-FR"/>
          </w:rPr>
          <w:t>vie</w:t>
        </w:r>
        <w:r w:rsidRPr="001F372E">
          <w:rPr>
            <w:rStyle w:val="Hyperlink"/>
            <w:szCs w:val="20"/>
          </w:rPr>
          <w:t>-</w:t>
        </w:r>
        <w:r w:rsidRPr="001F372E">
          <w:rPr>
            <w:rStyle w:val="Hyperlink"/>
            <w:szCs w:val="20"/>
            <w:lang w:val="fr-FR"/>
          </w:rPr>
          <w:t>publique</w:t>
        </w:r>
        <w:r w:rsidRPr="001F372E">
          <w:rPr>
            <w:rStyle w:val="Hyperlink"/>
            <w:szCs w:val="20"/>
          </w:rPr>
          <w:t>.</w:t>
        </w:r>
        <w:r w:rsidRPr="001F372E">
          <w:rPr>
            <w:rStyle w:val="Hyperlink"/>
            <w:szCs w:val="20"/>
            <w:lang w:val="fr-FR"/>
          </w:rPr>
          <w:t>fr</w:t>
        </w:r>
        <w:r w:rsidRPr="001F372E">
          <w:rPr>
            <w:rStyle w:val="Hyperlink"/>
            <w:szCs w:val="20"/>
          </w:rPr>
          <w:t>/</w:t>
        </w:r>
        <w:r w:rsidRPr="001F372E">
          <w:rPr>
            <w:rStyle w:val="Hyperlink"/>
            <w:szCs w:val="20"/>
            <w:lang w:val="fr-FR"/>
          </w:rPr>
          <w:t>actualite</w:t>
        </w:r>
        <w:r w:rsidRPr="001F372E">
          <w:rPr>
            <w:rStyle w:val="Hyperlink"/>
            <w:szCs w:val="20"/>
          </w:rPr>
          <w:t>/</w:t>
        </w:r>
        <w:r w:rsidRPr="001F372E">
          <w:rPr>
            <w:rStyle w:val="Hyperlink"/>
            <w:szCs w:val="20"/>
            <w:lang w:val="fr-FR"/>
          </w:rPr>
          <w:t>faq</w:t>
        </w:r>
        <w:r w:rsidRPr="001F372E">
          <w:rPr>
            <w:rStyle w:val="Hyperlink"/>
            <w:szCs w:val="20"/>
          </w:rPr>
          <w:t>-</w:t>
        </w:r>
        <w:r w:rsidRPr="001F372E">
          <w:rPr>
            <w:rStyle w:val="Hyperlink"/>
            <w:szCs w:val="20"/>
            <w:lang w:val="fr-FR"/>
          </w:rPr>
          <w:t>citoyens</w:t>
        </w:r>
        <w:r w:rsidRPr="001F372E">
          <w:rPr>
            <w:rStyle w:val="Hyperlink"/>
            <w:szCs w:val="20"/>
          </w:rPr>
          <w:t>/</w:t>
        </w:r>
        <w:r w:rsidRPr="001F372E">
          <w:rPr>
            <w:rStyle w:val="Hyperlink"/>
            <w:szCs w:val="20"/>
            <w:lang w:val="fr-FR"/>
          </w:rPr>
          <w:t>bioethique</w:t>
        </w:r>
        <w:r w:rsidRPr="001F372E">
          <w:rPr>
            <w:rStyle w:val="Hyperlink"/>
            <w:szCs w:val="20"/>
          </w:rPr>
          <w:t>/</w:t>
        </w:r>
      </w:hyperlink>
      <w:r w:rsidRPr="001F372E">
        <w:t xml:space="preserve">.  </w:t>
      </w:r>
    </w:p>
    <w:p w14:paraId="389B4C47" w14:textId="4DD3710E" w:rsidR="006E479F" w:rsidRDefault="006E479F" w:rsidP="00F65651">
      <w:pPr>
        <w:spacing w:line="240" w:lineRule="auto"/>
        <w:ind w:firstLine="0"/>
      </w:pPr>
      <w:r w:rsidRPr="00E254F5">
        <w:t>Εθνική Ομοσπονδία των Βιολόγων των Εργαστηρίων Μελέτης της Γονιμοποίησης και της Συντήρησης του ωαρίου (</w:t>
      </w:r>
      <w:r w:rsidRPr="00E254F5">
        <w:rPr>
          <w:i/>
        </w:rPr>
        <w:t>Fédération Nationale de Biologistes des Laboratoires d'Etudes de la Fécondation et de la Conservation de l'œuf – BLEFCO</w:t>
      </w:r>
      <w:r>
        <w:t xml:space="preserve">), </w:t>
      </w:r>
      <w:r w:rsidRPr="000127DB">
        <w:t xml:space="preserve">επίσημη ιστοσελίδα της Ένωσης: </w:t>
      </w:r>
      <w:hyperlink r:id="rId32" w:history="1">
        <w:r w:rsidRPr="000127DB">
          <w:rPr>
            <w:rStyle w:val="Hyperlink"/>
            <w:szCs w:val="20"/>
          </w:rPr>
          <w:t>http://blefco.eu/</w:t>
        </w:r>
      </w:hyperlink>
      <w:r w:rsidRPr="000127DB">
        <w:t xml:space="preserve">.  </w:t>
      </w:r>
    </w:p>
    <w:p w14:paraId="58294153" w14:textId="77777777" w:rsidR="006E479F" w:rsidRDefault="006E479F" w:rsidP="00F65651">
      <w:pPr>
        <w:spacing w:line="240" w:lineRule="auto"/>
        <w:ind w:firstLine="0"/>
      </w:pPr>
      <w:r w:rsidRPr="00E254F5">
        <w:rPr>
          <w:i/>
        </w:rPr>
        <w:t>Etats généraux de la bioéthique</w:t>
      </w:r>
      <w:r w:rsidRPr="00E254F5">
        <w:t>, Rapport final, σε</w:t>
      </w:r>
      <w:r>
        <w:t xml:space="preserve">λ. 42, διαθέσιμo σε: </w:t>
      </w:r>
      <w:hyperlink r:id="rId33" w:history="1">
        <w:r w:rsidRPr="00E254F5">
          <w:rPr>
            <w:rStyle w:val="Hyperlink"/>
            <w:szCs w:val="20"/>
          </w:rPr>
          <w:t>http://www.etatsgenerauxdelabioethique.fr/uploads/rapport_final.pdf</w:t>
        </w:r>
      </w:hyperlink>
      <w:r w:rsidRPr="00E254F5">
        <w:t xml:space="preserve">. </w:t>
      </w:r>
    </w:p>
    <w:p w14:paraId="5C4D0FE8" w14:textId="77777777" w:rsidR="006E479F" w:rsidRPr="006E479F" w:rsidRDefault="006E479F" w:rsidP="006E479F"/>
    <w:p w14:paraId="16E3326C" w14:textId="77777777" w:rsidR="008B6E4A" w:rsidRDefault="00B820A3" w:rsidP="00B820A3">
      <w:pPr>
        <w:pStyle w:val="Heading1"/>
      </w:pPr>
      <w:bookmarkStart w:id="331" w:name="_Toc276574480"/>
      <w:r>
        <w:lastRenderedPageBreak/>
        <w:t>ΠΕΡΙΕΧΟΜΕΝΑ</w:t>
      </w:r>
      <w:bookmarkEnd w:id="331"/>
      <w:r>
        <w:t xml:space="preserve"> </w:t>
      </w:r>
    </w:p>
    <w:p w14:paraId="0CF440CC" w14:textId="77777777" w:rsidR="004450C9" w:rsidRDefault="00B820A3">
      <w:pPr>
        <w:pStyle w:val="TOC1"/>
        <w:rPr>
          <w:rFonts w:asciiTheme="minorHAnsi" w:eastAsiaTheme="minorEastAsia" w:hAnsiTheme="minorHAnsi" w:cstheme="minorBidi"/>
          <w:b w:val="0"/>
          <w:noProof/>
          <w:szCs w:val="24"/>
          <w:lang w:val="en-US" w:eastAsia="ja-JP"/>
        </w:rPr>
      </w:pPr>
      <w:r>
        <w:rPr>
          <w:lang w:val="en-US"/>
        </w:rPr>
        <w:fldChar w:fldCharType="begin"/>
      </w:r>
      <w:r>
        <w:rPr>
          <w:lang w:val="en-US"/>
        </w:rPr>
        <w:instrText xml:space="preserve"> TOC \o "1-4" </w:instrText>
      </w:r>
      <w:r>
        <w:rPr>
          <w:lang w:val="en-US"/>
        </w:rPr>
        <w:fldChar w:fldCharType="separate"/>
      </w:r>
      <w:r w:rsidR="004450C9">
        <w:rPr>
          <w:noProof/>
        </w:rPr>
        <w:t>ΔΙΑΓΡΑΜΜΑ</w:t>
      </w:r>
      <w:r w:rsidR="004450C9">
        <w:rPr>
          <w:noProof/>
        </w:rPr>
        <w:tab/>
      </w:r>
      <w:r w:rsidR="004450C9">
        <w:rPr>
          <w:noProof/>
        </w:rPr>
        <w:fldChar w:fldCharType="begin"/>
      </w:r>
      <w:r w:rsidR="004450C9">
        <w:rPr>
          <w:noProof/>
        </w:rPr>
        <w:instrText xml:space="preserve"> PAGEREF _Toc276574363 \h </w:instrText>
      </w:r>
      <w:r w:rsidR="004450C9">
        <w:rPr>
          <w:noProof/>
        </w:rPr>
      </w:r>
      <w:r w:rsidR="004450C9">
        <w:rPr>
          <w:noProof/>
        </w:rPr>
        <w:fldChar w:fldCharType="separate"/>
      </w:r>
      <w:r w:rsidR="004450C9">
        <w:rPr>
          <w:noProof/>
        </w:rPr>
        <w:t>2</w:t>
      </w:r>
      <w:r w:rsidR="004450C9">
        <w:rPr>
          <w:noProof/>
        </w:rPr>
        <w:fldChar w:fldCharType="end"/>
      </w:r>
    </w:p>
    <w:p w14:paraId="116695D9" w14:textId="77777777" w:rsidR="004450C9" w:rsidRDefault="004450C9">
      <w:pPr>
        <w:pStyle w:val="TOC1"/>
        <w:rPr>
          <w:rFonts w:asciiTheme="minorHAnsi" w:eastAsiaTheme="minorEastAsia" w:hAnsiTheme="minorHAnsi" w:cstheme="minorBidi"/>
          <w:b w:val="0"/>
          <w:noProof/>
          <w:szCs w:val="24"/>
          <w:lang w:val="en-US" w:eastAsia="ja-JP"/>
        </w:rPr>
      </w:pPr>
      <w:r w:rsidRPr="00C44D2F">
        <w:rPr>
          <w:noProof/>
        </w:rPr>
        <w:t>ΚΑΤΑΛΟΓΟΣ ΣΥΝΤΟΜΟΓΡΑΦΙΩΝ</w:t>
      </w:r>
      <w:r>
        <w:rPr>
          <w:noProof/>
        </w:rPr>
        <w:tab/>
      </w:r>
      <w:r>
        <w:rPr>
          <w:noProof/>
        </w:rPr>
        <w:fldChar w:fldCharType="begin"/>
      </w:r>
      <w:r>
        <w:rPr>
          <w:noProof/>
        </w:rPr>
        <w:instrText xml:space="preserve"> PAGEREF _Toc276574364 \h </w:instrText>
      </w:r>
      <w:r>
        <w:rPr>
          <w:noProof/>
        </w:rPr>
      </w:r>
      <w:r>
        <w:rPr>
          <w:noProof/>
        </w:rPr>
        <w:fldChar w:fldCharType="separate"/>
      </w:r>
      <w:r>
        <w:rPr>
          <w:noProof/>
        </w:rPr>
        <w:t>3</w:t>
      </w:r>
      <w:r>
        <w:rPr>
          <w:noProof/>
        </w:rPr>
        <w:fldChar w:fldCharType="end"/>
      </w:r>
    </w:p>
    <w:p w14:paraId="278F611A" w14:textId="77777777" w:rsidR="004450C9" w:rsidRDefault="004450C9">
      <w:pPr>
        <w:pStyle w:val="TOC1"/>
        <w:rPr>
          <w:rFonts w:asciiTheme="minorHAnsi" w:eastAsiaTheme="minorEastAsia" w:hAnsiTheme="minorHAnsi" w:cstheme="minorBidi"/>
          <w:b w:val="0"/>
          <w:noProof/>
          <w:szCs w:val="24"/>
          <w:lang w:val="en-US" w:eastAsia="ja-JP"/>
        </w:rPr>
      </w:pPr>
      <w:r>
        <w:rPr>
          <w:noProof/>
        </w:rPr>
        <w:t>ΕΙΣΑΓΩΓΗ</w:t>
      </w:r>
      <w:r>
        <w:rPr>
          <w:noProof/>
        </w:rPr>
        <w:tab/>
      </w:r>
      <w:r>
        <w:rPr>
          <w:noProof/>
        </w:rPr>
        <w:fldChar w:fldCharType="begin"/>
      </w:r>
      <w:r>
        <w:rPr>
          <w:noProof/>
        </w:rPr>
        <w:instrText xml:space="preserve"> PAGEREF _Toc276574365 \h </w:instrText>
      </w:r>
      <w:r>
        <w:rPr>
          <w:noProof/>
        </w:rPr>
      </w:r>
      <w:r>
        <w:rPr>
          <w:noProof/>
        </w:rPr>
        <w:fldChar w:fldCharType="separate"/>
      </w:r>
      <w:r>
        <w:rPr>
          <w:noProof/>
        </w:rPr>
        <w:t>4</w:t>
      </w:r>
      <w:r>
        <w:rPr>
          <w:noProof/>
        </w:rPr>
        <w:fldChar w:fldCharType="end"/>
      </w:r>
    </w:p>
    <w:p w14:paraId="428CEFEC" w14:textId="77777777" w:rsidR="004450C9" w:rsidRDefault="004450C9">
      <w:pPr>
        <w:pStyle w:val="TOC1"/>
        <w:rPr>
          <w:rFonts w:asciiTheme="minorHAnsi" w:eastAsiaTheme="minorEastAsia" w:hAnsiTheme="minorHAnsi" w:cstheme="minorBidi"/>
          <w:b w:val="0"/>
          <w:noProof/>
          <w:szCs w:val="24"/>
          <w:lang w:val="en-US" w:eastAsia="ja-JP"/>
        </w:rPr>
      </w:pPr>
      <w:r>
        <w:rPr>
          <w:noProof/>
        </w:rPr>
        <w:t>Ι. ΤΟ ΝΟΜΟΘΕΤΙΚΟ ΠΛΑΙΣΙΟ ΤΗΣ ΙΑΤΡΙΚΑ ΥΠΟΒΟΗΘΟΥΜΕΝΗΣ ΑΝΑΠΑΡΑΓΩΓΗΣ</w:t>
      </w:r>
      <w:r>
        <w:rPr>
          <w:noProof/>
        </w:rPr>
        <w:tab/>
      </w:r>
      <w:r>
        <w:rPr>
          <w:noProof/>
        </w:rPr>
        <w:fldChar w:fldCharType="begin"/>
      </w:r>
      <w:r>
        <w:rPr>
          <w:noProof/>
        </w:rPr>
        <w:instrText xml:space="preserve"> PAGEREF _Toc276574366 \h </w:instrText>
      </w:r>
      <w:r>
        <w:rPr>
          <w:noProof/>
        </w:rPr>
      </w:r>
      <w:r>
        <w:rPr>
          <w:noProof/>
        </w:rPr>
        <w:fldChar w:fldCharType="separate"/>
      </w:r>
      <w:r>
        <w:rPr>
          <w:noProof/>
        </w:rPr>
        <w:t>7</w:t>
      </w:r>
      <w:r>
        <w:rPr>
          <w:noProof/>
        </w:rPr>
        <w:fldChar w:fldCharType="end"/>
      </w:r>
    </w:p>
    <w:p w14:paraId="33DD0388" w14:textId="77777777" w:rsidR="004450C9" w:rsidRDefault="004450C9">
      <w:pPr>
        <w:pStyle w:val="TOC2"/>
        <w:rPr>
          <w:rFonts w:asciiTheme="minorHAnsi" w:eastAsiaTheme="minorEastAsia" w:hAnsiTheme="minorHAnsi" w:cstheme="minorBidi"/>
          <w:noProof/>
          <w:sz w:val="24"/>
          <w:szCs w:val="24"/>
          <w:lang w:val="en-US" w:eastAsia="ja-JP"/>
        </w:rPr>
      </w:pPr>
      <w:r>
        <w:rPr>
          <w:noProof/>
        </w:rPr>
        <w:t>Α. Η θέσπιση των Νόμων περί Βιοηθικής</w:t>
      </w:r>
      <w:r>
        <w:rPr>
          <w:noProof/>
        </w:rPr>
        <w:tab/>
      </w:r>
      <w:r>
        <w:rPr>
          <w:noProof/>
        </w:rPr>
        <w:fldChar w:fldCharType="begin"/>
      </w:r>
      <w:r>
        <w:rPr>
          <w:noProof/>
        </w:rPr>
        <w:instrText xml:space="preserve"> PAGEREF _Toc276574367 \h </w:instrText>
      </w:r>
      <w:r>
        <w:rPr>
          <w:noProof/>
        </w:rPr>
      </w:r>
      <w:r>
        <w:rPr>
          <w:noProof/>
        </w:rPr>
        <w:fldChar w:fldCharType="separate"/>
      </w:r>
      <w:r>
        <w:rPr>
          <w:noProof/>
        </w:rPr>
        <w:t>7</w:t>
      </w:r>
      <w:r>
        <w:rPr>
          <w:noProof/>
        </w:rPr>
        <w:fldChar w:fldCharType="end"/>
      </w:r>
    </w:p>
    <w:p w14:paraId="40DD473B" w14:textId="77777777" w:rsidR="004450C9" w:rsidRDefault="004450C9">
      <w:pPr>
        <w:pStyle w:val="TOC2"/>
        <w:rPr>
          <w:rFonts w:asciiTheme="minorHAnsi" w:eastAsiaTheme="minorEastAsia" w:hAnsiTheme="minorHAnsi" w:cstheme="minorBidi"/>
          <w:noProof/>
          <w:sz w:val="24"/>
          <w:szCs w:val="24"/>
          <w:lang w:val="en-US" w:eastAsia="ja-JP"/>
        </w:rPr>
      </w:pPr>
      <w:r w:rsidRPr="00C44D2F">
        <w:rPr>
          <w:noProof/>
        </w:rPr>
        <w:t>Β</w:t>
      </w:r>
      <w:r>
        <w:rPr>
          <w:noProof/>
        </w:rPr>
        <w:t>. Οι αναθεωρήσεις των Νόμων περί Βιοηθικής</w:t>
      </w:r>
      <w:r>
        <w:rPr>
          <w:noProof/>
        </w:rPr>
        <w:tab/>
      </w:r>
      <w:r>
        <w:rPr>
          <w:noProof/>
        </w:rPr>
        <w:fldChar w:fldCharType="begin"/>
      </w:r>
      <w:r>
        <w:rPr>
          <w:noProof/>
        </w:rPr>
        <w:instrText xml:space="preserve"> PAGEREF _Toc276574368 \h </w:instrText>
      </w:r>
      <w:r>
        <w:rPr>
          <w:noProof/>
        </w:rPr>
      </w:r>
      <w:r>
        <w:rPr>
          <w:noProof/>
        </w:rPr>
        <w:fldChar w:fldCharType="separate"/>
      </w:r>
      <w:r>
        <w:rPr>
          <w:noProof/>
        </w:rPr>
        <w:t>11</w:t>
      </w:r>
      <w:r>
        <w:rPr>
          <w:noProof/>
        </w:rPr>
        <w:fldChar w:fldCharType="end"/>
      </w:r>
    </w:p>
    <w:p w14:paraId="04027F93" w14:textId="77777777" w:rsidR="004450C9" w:rsidRDefault="004450C9">
      <w:pPr>
        <w:pStyle w:val="TOC2"/>
        <w:rPr>
          <w:rFonts w:asciiTheme="minorHAnsi" w:eastAsiaTheme="minorEastAsia" w:hAnsiTheme="minorHAnsi" w:cstheme="minorBidi"/>
          <w:noProof/>
          <w:sz w:val="24"/>
          <w:szCs w:val="24"/>
          <w:lang w:val="en-US" w:eastAsia="ja-JP"/>
        </w:rPr>
      </w:pPr>
      <w:r>
        <w:rPr>
          <w:noProof/>
        </w:rPr>
        <w:t>Γ. Γνωμοδοτήσεις και Κατευθυντήριες Οδηγίες που συμπληρώνουν τους Νόμους περί Βιοηθικής</w:t>
      </w:r>
      <w:r>
        <w:rPr>
          <w:noProof/>
        </w:rPr>
        <w:tab/>
      </w:r>
      <w:r>
        <w:rPr>
          <w:noProof/>
        </w:rPr>
        <w:fldChar w:fldCharType="begin"/>
      </w:r>
      <w:r>
        <w:rPr>
          <w:noProof/>
        </w:rPr>
        <w:instrText xml:space="preserve"> PAGEREF _Toc276574369 \h </w:instrText>
      </w:r>
      <w:r>
        <w:rPr>
          <w:noProof/>
        </w:rPr>
      </w:r>
      <w:r>
        <w:rPr>
          <w:noProof/>
        </w:rPr>
        <w:fldChar w:fldCharType="separate"/>
      </w:r>
      <w:r>
        <w:rPr>
          <w:noProof/>
        </w:rPr>
        <w:t>16</w:t>
      </w:r>
      <w:r>
        <w:rPr>
          <w:noProof/>
        </w:rPr>
        <w:fldChar w:fldCharType="end"/>
      </w:r>
    </w:p>
    <w:p w14:paraId="6EE4D569" w14:textId="77777777" w:rsidR="004450C9" w:rsidRDefault="004450C9">
      <w:pPr>
        <w:pStyle w:val="TOC2"/>
        <w:rPr>
          <w:rFonts w:asciiTheme="minorHAnsi" w:eastAsiaTheme="minorEastAsia" w:hAnsiTheme="minorHAnsi" w:cstheme="minorBidi"/>
          <w:noProof/>
          <w:sz w:val="24"/>
          <w:szCs w:val="24"/>
          <w:lang w:val="en-US" w:eastAsia="ja-JP"/>
        </w:rPr>
      </w:pPr>
      <w:r>
        <w:rPr>
          <w:noProof/>
        </w:rPr>
        <w:t>Δ. Η αρμόδια για την εποπτεία των Νόμων περί Βιοηθικής Αρχή</w:t>
      </w:r>
      <w:r>
        <w:rPr>
          <w:noProof/>
        </w:rPr>
        <w:tab/>
      </w:r>
      <w:r>
        <w:rPr>
          <w:noProof/>
        </w:rPr>
        <w:fldChar w:fldCharType="begin"/>
      </w:r>
      <w:r>
        <w:rPr>
          <w:noProof/>
        </w:rPr>
        <w:instrText xml:space="preserve"> PAGEREF _Toc276574370 \h </w:instrText>
      </w:r>
      <w:r>
        <w:rPr>
          <w:noProof/>
        </w:rPr>
      </w:r>
      <w:r>
        <w:rPr>
          <w:noProof/>
        </w:rPr>
        <w:fldChar w:fldCharType="separate"/>
      </w:r>
      <w:r>
        <w:rPr>
          <w:noProof/>
        </w:rPr>
        <w:t>24</w:t>
      </w:r>
      <w:r>
        <w:rPr>
          <w:noProof/>
        </w:rPr>
        <w:fldChar w:fldCharType="end"/>
      </w:r>
    </w:p>
    <w:p w14:paraId="5BDC0106" w14:textId="77777777" w:rsidR="004450C9" w:rsidRDefault="004450C9">
      <w:pPr>
        <w:pStyle w:val="TOC1"/>
        <w:rPr>
          <w:rFonts w:asciiTheme="minorHAnsi" w:eastAsiaTheme="minorEastAsia" w:hAnsiTheme="minorHAnsi" w:cstheme="minorBidi"/>
          <w:b w:val="0"/>
          <w:noProof/>
          <w:szCs w:val="24"/>
          <w:lang w:val="en-US" w:eastAsia="ja-JP"/>
        </w:rPr>
      </w:pPr>
      <w:r>
        <w:rPr>
          <w:noProof/>
        </w:rPr>
        <w:t>ΙΙ. Η ΙΑΤΡΙΚΑ ΥΠΟΒΟΗΘΟΥΜΕΝΗ ΑΝΑΠΑΡΑΓΩΓΗ ΣΕ ΖΕΥΓΑΡΙΑ</w:t>
      </w:r>
      <w:r>
        <w:rPr>
          <w:noProof/>
        </w:rPr>
        <w:tab/>
      </w:r>
      <w:r>
        <w:rPr>
          <w:noProof/>
        </w:rPr>
        <w:fldChar w:fldCharType="begin"/>
      </w:r>
      <w:r>
        <w:rPr>
          <w:noProof/>
        </w:rPr>
        <w:instrText xml:space="preserve"> PAGEREF _Toc276574371 \h </w:instrText>
      </w:r>
      <w:r>
        <w:rPr>
          <w:noProof/>
        </w:rPr>
      </w:r>
      <w:r>
        <w:rPr>
          <w:noProof/>
        </w:rPr>
        <w:fldChar w:fldCharType="separate"/>
      </w:r>
      <w:r>
        <w:rPr>
          <w:noProof/>
        </w:rPr>
        <w:t>32</w:t>
      </w:r>
      <w:r>
        <w:rPr>
          <w:noProof/>
        </w:rPr>
        <w:fldChar w:fldCharType="end"/>
      </w:r>
    </w:p>
    <w:p w14:paraId="222021F7" w14:textId="77777777" w:rsidR="004450C9" w:rsidRDefault="004450C9">
      <w:pPr>
        <w:pStyle w:val="TOC2"/>
        <w:rPr>
          <w:rFonts w:asciiTheme="minorHAnsi" w:eastAsiaTheme="minorEastAsia" w:hAnsiTheme="minorHAnsi" w:cstheme="minorBidi"/>
          <w:noProof/>
          <w:sz w:val="24"/>
          <w:szCs w:val="24"/>
          <w:lang w:val="en-US" w:eastAsia="ja-JP"/>
        </w:rPr>
      </w:pPr>
      <w:r>
        <w:rPr>
          <w:noProof/>
        </w:rPr>
        <w:t>Α. Όροι πρόσβασης στην Ιατρικά Υποβοηθούμενη Αναπαραγωγή</w:t>
      </w:r>
      <w:r>
        <w:rPr>
          <w:noProof/>
        </w:rPr>
        <w:tab/>
      </w:r>
      <w:r>
        <w:rPr>
          <w:noProof/>
        </w:rPr>
        <w:fldChar w:fldCharType="begin"/>
      </w:r>
      <w:r>
        <w:rPr>
          <w:noProof/>
        </w:rPr>
        <w:instrText xml:space="preserve"> PAGEREF _Toc276574372 \h </w:instrText>
      </w:r>
      <w:r>
        <w:rPr>
          <w:noProof/>
        </w:rPr>
      </w:r>
      <w:r>
        <w:rPr>
          <w:noProof/>
        </w:rPr>
        <w:fldChar w:fldCharType="separate"/>
      </w:r>
      <w:r>
        <w:rPr>
          <w:noProof/>
        </w:rPr>
        <w:t>32</w:t>
      </w:r>
      <w:r>
        <w:rPr>
          <w:noProof/>
        </w:rPr>
        <w:fldChar w:fldCharType="end"/>
      </w:r>
    </w:p>
    <w:p w14:paraId="45C3D1F4"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α. Αδυναμία απόκτησης τέκνων με φυσικό τρόπο</w:t>
      </w:r>
      <w:r>
        <w:rPr>
          <w:noProof/>
        </w:rPr>
        <w:tab/>
      </w:r>
      <w:r>
        <w:rPr>
          <w:noProof/>
        </w:rPr>
        <w:fldChar w:fldCharType="begin"/>
      </w:r>
      <w:r>
        <w:rPr>
          <w:noProof/>
        </w:rPr>
        <w:instrText xml:space="preserve"> PAGEREF _Toc276574373 \h </w:instrText>
      </w:r>
      <w:r>
        <w:rPr>
          <w:noProof/>
        </w:rPr>
      </w:r>
      <w:r>
        <w:rPr>
          <w:noProof/>
        </w:rPr>
        <w:fldChar w:fldCharType="separate"/>
      </w:r>
      <w:r>
        <w:rPr>
          <w:noProof/>
        </w:rPr>
        <w:t>33</w:t>
      </w:r>
      <w:r>
        <w:rPr>
          <w:noProof/>
        </w:rPr>
        <w:fldChar w:fldCharType="end"/>
      </w:r>
    </w:p>
    <w:p w14:paraId="045A5396"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Μια ιατρική απάντηση σε ένα ιατρικό πρόβλημα</w:t>
      </w:r>
      <w:r>
        <w:rPr>
          <w:noProof/>
        </w:rPr>
        <w:tab/>
      </w:r>
      <w:r>
        <w:rPr>
          <w:noProof/>
        </w:rPr>
        <w:fldChar w:fldCharType="begin"/>
      </w:r>
      <w:r>
        <w:rPr>
          <w:noProof/>
        </w:rPr>
        <w:instrText xml:space="preserve"> PAGEREF _Toc276574374 \h </w:instrText>
      </w:r>
      <w:r>
        <w:rPr>
          <w:noProof/>
        </w:rPr>
      </w:r>
      <w:r>
        <w:rPr>
          <w:noProof/>
        </w:rPr>
        <w:fldChar w:fldCharType="separate"/>
      </w:r>
      <w:r>
        <w:rPr>
          <w:noProof/>
        </w:rPr>
        <w:t>33</w:t>
      </w:r>
      <w:r>
        <w:rPr>
          <w:noProof/>
        </w:rPr>
        <w:fldChar w:fldCharType="end"/>
      </w:r>
    </w:p>
    <w:p w14:paraId="18456215"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Η πιστοποίηση της συνδρομής της ιατρικής αδυναμίας τεκνοποίησης</w:t>
      </w:r>
      <w:r>
        <w:rPr>
          <w:noProof/>
        </w:rPr>
        <w:tab/>
      </w:r>
      <w:r>
        <w:rPr>
          <w:noProof/>
        </w:rPr>
        <w:fldChar w:fldCharType="begin"/>
      </w:r>
      <w:r>
        <w:rPr>
          <w:noProof/>
        </w:rPr>
        <w:instrText xml:space="preserve"> PAGEREF _Toc276574375 \h </w:instrText>
      </w:r>
      <w:r>
        <w:rPr>
          <w:noProof/>
        </w:rPr>
      </w:r>
      <w:r>
        <w:rPr>
          <w:noProof/>
        </w:rPr>
        <w:fldChar w:fldCharType="separate"/>
      </w:r>
      <w:r>
        <w:rPr>
          <w:noProof/>
        </w:rPr>
        <w:t>35</w:t>
      </w:r>
      <w:r>
        <w:rPr>
          <w:noProof/>
        </w:rPr>
        <w:fldChar w:fldCharType="end"/>
      </w:r>
    </w:p>
    <w:p w14:paraId="38D08922"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§3. Συνέπειες μη συμμόρφωσης με τις νομοθετικές προσταγές</w:t>
      </w:r>
      <w:r>
        <w:rPr>
          <w:noProof/>
        </w:rPr>
        <w:tab/>
      </w:r>
      <w:r>
        <w:rPr>
          <w:noProof/>
        </w:rPr>
        <w:fldChar w:fldCharType="begin"/>
      </w:r>
      <w:r>
        <w:rPr>
          <w:noProof/>
        </w:rPr>
        <w:instrText xml:space="preserve"> PAGEREF _Toc276574376 \h </w:instrText>
      </w:r>
      <w:r>
        <w:rPr>
          <w:noProof/>
        </w:rPr>
      </w:r>
      <w:r>
        <w:rPr>
          <w:noProof/>
        </w:rPr>
        <w:fldChar w:fldCharType="separate"/>
      </w:r>
      <w:r>
        <w:rPr>
          <w:noProof/>
        </w:rPr>
        <w:t>38</w:t>
      </w:r>
      <w:r>
        <w:rPr>
          <w:noProof/>
        </w:rPr>
        <w:fldChar w:fldCharType="end"/>
      </w:r>
    </w:p>
    <w:p w14:paraId="3329BE76"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β. Αποφυγή μετάδοσης σοβαρής ασθένειας στο τέκνο</w:t>
      </w:r>
      <w:r>
        <w:rPr>
          <w:noProof/>
        </w:rPr>
        <w:tab/>
      </w:r>
      <w:r>
        <w:rPr>
          <w:noProof/>
        </w:rPr>
        <w:fldChar w:fldCharType="begin"/>
      </w:r>
      <w:r>
        <w:rPr>
          <w:noProof/>
        </w:rPr>
        <w:instrText xml:space="preserve"> PAGEREF _Toc276574377 \h </w:instrText>
      </w:r>
      <w:r>
        <w:rPr>
          <w:noProof/>
        </w:rPr>
      </w:r>
      <w:r>
        <w:rPr>
          <w:noProof/>
        </w:rPr>
        <w:fldChar w:fldCharType="separate"/>
      </w:r>
      <w:r>
        <w:rPr>
          <w:noProof/>
        </w:rPr>
        <w:t>40</w:t>
      </w:r>
      <w:r>
        <w:rPr>
          <w:noProof/>
        </w:rPr>
        <w:fldChar w:fldCharType="end"/>
      </w:r>
    </w:p>
    <w:p w14:paraId="637C77ED"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Η έννοια της «ασθένειας ενός ορισμένου βαθμού σοβαρότητας»</w:t>
      </w:r>
      <w:r>
        <w:rPr>
          <w:noProof/>
        </w:rPr>
        <w:tab/>
      </w:r>
      <w:r>
        <w:rPr>
          <w:noProof/>
        </w:rPr>
        <w:fldChar w:fldCharType="begin"/>
      </w:r>
      <w:r>
        <w:rPr>
          <w:noProof/>
        </w:rPr>
        <w:instrText xml:space="preserve"> PAGEREF _Toc276574378 \h </w:instrText>
      </w:r>
      <w:r>
        <w:rPr>
          <w:noProof/>
        </w:rPr>
      </w:r>
      <w:r>
        <w:rPr>
          <w:noProof/>
        </w:rPr>
        <w:fldChar w:fldCharType="separate"/>
      </w:r>
      <w:r>
        <w:rPr>
          <w:noProof/>
        </w:rPr>
        <w:t>41</w:t>
      </w:r>
      <w:r>
        <w:rPr>
          <w:noProof/>
        </w:rPr>
        <w:fldChar w:fldCharType="end"/>
      </w:r>
    </w:p>
    <w:p w14:paraId="3911AEBE"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Η πιστοποίηση της συνδρομής του όρου της ύπαρξης κινδύνου μετάδοσης σοβαρής ασθένειας στο τέκνο</w:t>
      </w:r>
      <w:r>
        <w:rPr>
          <w:noProof/>
        </w:rPr>
        <w:tab/>
      </w:r>
      <w:r>
        <w:rPr>
          <w:noProof/>
        </w:rPr>
        <w:fldChar w:fldCharType="begin"/>
      </w:r>
      <w:r>
        <w:rPr>
          <w:noProof/>
        </w:rPr>
        <w:instrText xml:space="preserve"> PAGEREF _Toc276574379 \h </w:instrText>
      </w:r>
      <w:r>
        <w:rPr>
          <w:noProof/>
        </w:rPr>
      </w:r>
      <w:r>
        <w:rPr>
          <w:noProof/>
        </w:rPr>
        <w:fldChar w:fldCharType="separate"/>
      </w:r>
      <w:r>
        <w:rPr>
          <w:noProof/>
        </w:rPr>
        <w:t>42</w:t>
      </w:r>
      <w:r>
        <w:rPr>
          <w:noProof/>
        </w:rPr>
        <w:fldChar w:fldCharType="end"/>
      </w:r>
    </w:p>
    <w:p w14:paraId="76697B39"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§3. Συνέπειες μη συμμόρφωσης με τις νομοθετικές προσταγές</w:t>
      </w:r>
      <w:r>
        <w:rPr>
          <w:noProof/>
        </w:rPr>
        <w:tab/>
      </w:r>
      <w:r>
        <w:rPr>
          <w:noProof/>
        </w:rPr>
        <w:fldChar w:fldCharType="begin"/>
      </w:r>
      <w:r>
        <w:rPr>
          <w:noProof/>
        </w:rPr>
        <w:instrText xml:space="preserve"> PAGEREF _Toc276574380 \h </w:instrText>
      </w:r>
      <w:r>
        <w:rPr>
          <w:noProof/>
        </w:rPr>
      </w:r>
      <w:r>
        <w:rPr>
          <w:noProof/>
        </w:rPr>
        <w:fldChar w:fldCharType="separate"/>
      </w:r>
      <w:r>
        <w:rPr>
          <w:noProof/>
        </w:rPr>
        <w:t>43</w:t>
      </w:r>
      <w:r>
        <w:rPr>
          <w:noProof/>
        </w:rPr>
        <w:fldChar w:fldCharType="end"/>
      </w:r>
    </w:p>
    <w:p w14:paraId="47A92F7F"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γ. Αποφυγή μετάδοσης σοβαρής ασθένειας σε ένα από τα δύο υποβοηθούμενα πρόσωπα</w:t>
      </w:r>
      <w:r>
        <w:rPr>
          <w:noProof/>
        </w:rPr>
        <w:tab/>
      </w:r>
      <w:r>
        <w:rPr>
          <w:noProof/>
        </w:rPr>
        <w:fldChar w:fldCharType="begin"/>
      </w:r>
      <w:r>
        <w:rPr>
          <w:noProof/>
        </w:rPr>
        <w:instrText xml:space="preserve"> PAGEREF _Toc276574381 \h </w:instrText>
      </w:r>
      <w:r>
        <w:rPr>
          <w:noProof/>
        </w:rPr>
      </w:r>
      <w:r>
        <w:rPr>
          <w:noProof/>
        </w:rPr>
        <w:fldChar w:fldCharType="separate"/>
      </w:r>
      <w:r>
        <w:rPr>
          <w:noProof/>
        </w:rPr>
        <w:t>44</w:t>
      </w:r>
      <w:r>
        <w:rPr>
          <w:noProof/>
        </w:rPr>
        <w:fldChar w:fldCharType="end"/>
      </w:r>
    </w:p>
    <w:p w14:paraId="408FE34B"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 xml:space="preserve">δ. </w:t>
      </w:r>
      <w:r w:rsidRPr="00C44D2F">
        <w:rPr>
          <w:i/>
          <w:noProof/>
          <w:lang w:val="en-US"/>
        </w:rPr>
        <w:t>B</w:t>
      </w:r>
      <w:r w:rsidRPr="00C44D2F">
        <w:rPr>
          <w:i/>
          <w:noProof/>
          <w:lang w:val="fr-FR"/>
        </w:rPr>
        <w:t>é</w:t>
      </w:r>
      <w:r w:rsidRPr="00C44D2F">
        <w:rPr>
          <w:i/>
          <w:noProof/>
          <w:lang w:val="en-US"/>
        </w:rPr>
        <w:t>bé médicament</w:t>
      </w:r>
      <w:r>
        <w:rPr>
          <w:noProof/>
        </w:rPr>
        <w:t xml:space="preserve"> (μωρό φάρμακο) ή </w:t>
      </w:r>
      <w:r w:rsidRPr="00C44D2F">
        <w:rPr>
          <w:i/>
          <w:noProof/>
        </w:rPr>
        <w:t>bébé du douple espoir</w:t>
      </w:r>
      <w:r>
        <w:rPr>
          <w:noProof/>
        </w:rPr>
        <w:t xml:space="preserve"> (μωρό της διπλής ελπίδας) ή αλλιώς «αδελφός</w:t>
      </w:r>
      <w:r>
        <w:rPr>
          <w:rFonts w:hint="eastAsia"/>
          <w:noProof/>
        </w:rPr>
        <w:t>‐σωτήρας»</w:t>
      </w:r>
      <w:r>
        <w:rPr>
          <w:noProof/>
        </w:rPr>
        <w:t xml:space="preserve"> ή «σχεδιασμένο παιδί»</w:t>
      </w:r>
      <w:r>
        <w:rPr>
          <w:noProof/>
        </w:rPr>
        <w:tab/>
      </w:r>
      <w:r>
        <w:rPr>
          <w:noProof/>
        </w:rPr>
        <w:fldChar w:fldCharType="begin"/>
      </w:r>
      <w:r>
        <w:rPr>
          <w:noProof/>
        </w:rPr>
        <w:instrText xml:space="preserve"> PAGEREF </w:instrText>
      </w:r>
      <w:r>
        <w:rPr>
          <w:rFonts w:hint="eastAsia"/>
          <w:noProof/>
        </w:rPr>
        <w:instrText>_Toc276574382 \h</w:instrText>
      </w:r>
      <w:r>
        <w:rPr>
          <w:noProof/>
        </w:rPr>
        <w:instrText xml:space="preserve"> </w:instrText>
      </w:r>
      <w:r>
        <w:rPr>
          <w:noProof/>
        </w:rPr>
      </w:r>
      <w:r>
        <w:rPr>
          <w:noProof/>
        </w:rPr>
        <w:fldChar w:fldCharType="separate"/>
      </w:r>
      <w:r>
        <w:rPr>
          <w:noProof/>
        </w:rPr>
        <w:t>45</w:t>
      </w:r>
      <w:r>
        <w:rPr>
          <w:noProof/>
        </w:rPr>
        <w:fldChar w:fldCharType="end"/>
      </w:r>
    </w:p>
    <w:p w14:paraId="6B0F8B03"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sidRPr="00C44D2F">
        <w:rPr>
          <w:noProof/>
        </w:rPr>
        <w:t>ε</w:t>
      </w:r>
      <w:r>
        <w:rPr>
          <w:noProof/>
        </w:rPr>
        <w:t>. Άλλοι όροι πρόσβασης στην υποβοηθούμενη αναπαραγωγή που αφορούν ειδικότερα στο ζευγάρι</w:t>
      </w:r>
      <w:r>
        <w:rPr>
          <w:noProof/>
        </w:rPr>
        <w:tab/>
      </w:r>
      <w:r>
        <w:rPr>
          <w:noProof/>
        </w:rPr>
        <w:fldChar w:fldCharType="begin"/>
      </w:r>
      <w:r>
        <w:rPr>
          <w:noProof/>
        </w:rPr>
        <w:instrText xml:space="preserve"> PAGEREF _Toc276574383 \h </w:instrText>
      </w:r>
      <w:r>
        <w:rPr>
          <w:noProof/>
        </w:rPr>
      </w:r>
      <w:r>
        <w:rPr>
          <w:noProof/>
        </w:rPr>
        <w:fldChar w:fldCharType="separate"/>
      </w:r>
      <w:r>
        <w:rPr>
          <w:noProof/>
        </w:rPr>
        <w:t>50</w:t>
      </w:r>
      <w:r>
        <w:rPr>
          <w:noProof/>
        </w:rPr>
        <w:fldChar w:fldCharType="end"/>
      </w:r>
    </w:p>
    <w:p w14:paraId="4E54D8F7"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Τα υποψήφια υποβοηθούμενα πρόσωπα πρέπει να είναι ζευγάρι, έγγαμο ή όχι</w:t>
      </w:r>
      <w:r>
        <w:rPr>
          <w:noProof/>
        </w:rPr>
        <w:tab/>
      </w:r>
      <w:r>
        <w:rPr>
          <w:noProof/>
        </w:rPr>
        <w:fldChar w:fldCharType="begin"/>
      </w:r>
      <w:r>
        <w:rPr>
          <w:noProof/>
        </w:rPr>
        <w:instrText xml:space="preserve"> PAGEREF _Toc276574384 \h </w:instrText>
      </w:r>
      <w:r>
        <w:rPr>
          <w:noProof/>
        </w:rPr>
      </w:r>
      <w:r>
        <w:rPr>
          <w:noProof/>
        </w:rPr>
        <w:fldChar w:fldCharType="separate"/>
      </w:r>
      <w:r>
        <w:rPr>
          <w:noProof/>
        </w:rPr>
        <w:t>50</w:t>
      </w:r>
      <w:r>
        <w:rPr>
          <w:noProof/>
        </w:rPr>
        <w:fldChar w:fldCharType="end"/>
      </w:r>
    </w:p>
    <w:p w14:paraId="281464B5"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Τα υποψήφια υποβοηθούμενα πρόσωπα πρέπει να είναι διαφορετικού φύλου</w:t>
      </w:r>
      <w:r>
        <w:rPr>
          <w:noProof/>
        </w:rPr>
        <w:tab/>
      </w:r>
      <w:r>
        <w:rPr>
          <w:noProof/>
        </w:rPr>
        <w:fldChar w:fldCharType="begin"/>
      </w:r>
      <w:r>
        <w:rPr>
          <w:noProof/>
        </w:rPr>
        <w:instrText xml:space="preserve"> PAGEREF _Toc276574385 \h </w:instrText>
      </w:r>
      <w:r>
        <w:rPr>
          <w:noProof/>
        </w:rPr>
      </w:r>
      <w:r>
        <w:rPr>
          <w:noProof/>
        </w:rPr>
        <w:fldChar w:fldCharType="separate"/>
      </w:r>
      <w:r>
        <w:rPr>
          <w:noProof/>
        </w:rPr>
        <w:t>52</w:t>
      </w:r>
      <w:r>
        <w:rPr>
          <w:noProof/>
        </w:rPr>
        <w:fldChar w:fldCharType="end"/>
      </w:r>
    </w:p>
    <w:p w14:paraId="31683997"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§3. Τα υποψήφια υποβοηθούμενα πρόσωπα πρέπει να είναι εν ζωή</w:t>
      </w:r>
      <w:r>
        <w:rPr>
          <w:noProof/>
        </w:rPr>
        <w:tab/>
      </w:r>
      <w:r>
        <w:rPr>
          <w:noProof/>
        </w:rPr>
        <w:fldChar w:fldCharType="begin"/>
      </w:r>
      <w:r>
        <w:rPr>
          <w:noProof/>
        </w:rPr>
        <w:instrText xml:space="preserve"> PAGEREF _Toc276574386 \h </w:instrText>
      </w:r>
      <w:r>
        <w:rPr>
          <w:noProof/>
        </w:rPr>
      </w:r>
      <w:r>
        <w:rPr>
          <w:noProof/>
        </w:rPr>
        <w:fldChar w:fldCharType="separate"/>
      </w:r>
      <w:r>
        <w:rPr>
          <w:noProof/>
        </w:rPr>
        <w:t>53</w:t>
      </w:r>
      <w:r>
        <w:rPr>
          <w:noProof/>
        </w:rPr>
        <w:fldChar w:fldCharType="end"/>
      </w:r>
    </w:p>
    <w:p w14:paraId="0676146D" w14:textId="77777777" w:rsidR="004450C9" w:rsidRDefault="004450C9">
      <w:pPr>
        <w:pStyle w:val="TOC2"/>
        <w:rPr>
          <w:rFonts w:asciiTheme="minorHAnsi" w:eastAsiaTheme="minorEastAsia" w:hAnsiTheme="minorHAnsi" w:cstheme="minorBidi"/>
          <w:noProof/>
          <w:sz w:val="24"/>
          <w:szCs w:val="24"/>
          <w:lang w:val="en-US" w:eastAsia="ja-JP"/>
        </w:rPr>
      </w:pPr>
      <w:r>
        <w:rPr>
          <w:noProof/>
        </w:rPr>
        <w:t xml:space="preserve">Β. Γενικές προϋποθέσεις εφαρμογής μεθόδων </w:t>
      </w:r>
      <w:r w:rsidRPr="00C44D2F">
        <w:rPr>
          <w:noProof/>
          <w:lang w:val="en-US"/>
        </w:rPr>
        <w:t>Ιατρικά Υποβοηθούμενης Αναπαραγωγής</w:t>
      </w:r>
      <w:r>
        <w:rPr>
          <w:noProof/>
        </w:rPr>
        <w:tab/>
      </w:r>
      <w:r>
        <w:rPr>
          <w:noProof/>
        </w:rPr>
        <w:fldChar w:fldCharType="begin"/>
      </w:r>
      <w:r>
        <w:rPr>
          <w:noProof/>
        </w:rPr>
        <w:instrText xml:space="preserve"> PAGEREF _Toc276574387 \h </w:instrText>
      </w:r>
      <w:r>
        <w:rPr>
          <w:noProof/>
        </w:rPr>
      </w:r>
      <w:r>
        <w:rPr>
          <w:noProof/>
        </w:rPr>
        <w:fldChar w:fldCharType="separate"/>
      </w:r>
      <w:r>
        <w:rPr>
          <w:noProof/>
        </w:rPr>
        <w:t>53</w:t>
      </w:r>
      <w:r>
        <w:rPr>
          <w:noProof/>
        </w:rPr>
        <w:fldChar w:fldCharType="end"/>
      </w:r>
    </w:p>
    <w:p w14:paraId="7AFA4068"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α. Ηλικία υποψηφίων υποβοηθούμενων προσώπων</w:t>
      </w:r>
      <w:r>
        <w:rPr>
          <w:noProof/>
        </w:rPr>
        <w:tab/>
      </w:r>
      <w:r>
        <w:rPr>
          <w:noProof/>
        </w:rPr>
        <w:fldChar w:fldCharType="begin"/>
      </w:r>
      <w:r>
        <w:rPr>
          <w:noProof/>
        </w:rPr>
        <w:instrText xml:space="preserve"> PAGEREF _Toc276574388 \h </w:instrText>
      </w:r>
      <w:r>
        <w:rPr>
          <w:noProof/>
        </w:rPr>
      </w:r>
      <w:r>
        <w:rPr>
          <w:noProof/>
        </w:rPr>
        <w:fldChar w:fldCharType="separate"/>
      </w:r>
      <w:r>
        <w:rPr>
          <w:noProof/>
        </w:rPr>
        <w:t>53</w:t>
      </w:r>
      <w:r>
        <w:rPr>
          <w:noProof/>
        </w:rPr>
        <w:fldChar w:fldCharType="end"/>
      </w:r>
    </w:p>
    <w:p w14:paraId="6D85D96E"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Ανώτατα ηλικιακά όρια</w:t>
      </w:r>
      <w:r>
        <w:rPr>
          <w:noProof/>
        </w:rPr>
        <w:tab/>
      </w:r>
      <w:r>
        <w:rPr>
          <w:noProof/>
        </w:rPr>
        <w:fldChar w:fldCharType="begin"/>
      </w:r>
      <w:r>
        <w:rPr>
          <w:noProof/>
        </w:rPr>
        <w:instrText xml:space="preserve"> PAGEREF _Toc276574389 \h </w:instrText>
      </w:r>
      <w:r>
        <w:rPr>
          <w:noProof/>
        </w:rPr>
      </w:r>
      <w:r>
        <w:rPr>
          <w:noProof/>
        </w:rPr>
        <w:fldChar w:fldCharType="separate"/>
      </w:r>
      <w:r>
        <w:rPr>
          <w:noProof/>
        </w:rPr>
        <w:t>54</w:t>
      </w:r>
      <w:r>
        <w:rPr>
          <w:noProof/>
        </w:rPr>
        <w:fldChar w:fldCharType="end"/>
      </w:r>
    </w:p>
    <w:p w14:paraId="42F33058"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Κατώτατα ηλικιακά όρια</w:t>
      </w:r>
      <w:r>
        <w:rPr>
          <w:noProof/>
        </w:rPr>
        <w:tab/>
      </w:r>
      <w:r>
        <w:rPr>
          <w:noProof/>
        </w:rPr>
        <w:fldChar w:fldCharType="begin"/>
      </w:r>
      <w:r>
        <w:rPr>
          <w:noProof/>
        </w:rPr>
        <w:instrText xml:space="preserve"> PAGEREF _Toc276574390 \h </w:instrText>
      </w:r>
      <w:r>
        <w:rPr>
          <w:noProof/>
        </w:rPr>
      </w:r>
      <w:r>
        <w:rPr>
          <w:noProof/>
        </w:rPr>
        <w:fldChar w:fldCharType="separate"/>
      </w:r>
      <w:r>
        <w:rPr>
          <w:noProof/>
        </w:rPr>
        <w:t>55</w:t>
      </w:r>
      <w:r>
        <w:rPr>
          <w:noProof/>
        </w:rPr>
        <w:fldChar w:fldCharType="end"/>
      </w:r>
    </w:p>
    <w:p w14:paraId="069282A7"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§3. Ο έλεγχος της συνδρομής της ιατρικής αδυναμίας τεκνοποίησης</w:t>
      </w:r>
      <w:r>
        <w:rPr>
          <w:noProof/>
        </w:rPr>
        <w:tab/>
      </w:r>
      <w:r>
        <w:rPr>
          <w:noProof/>
        </w:rPr>
        <w:fldChar w:fldCharType="begin"/>
      </w:r>
      <w:r>
        <w:rPr>
          <w:noProof/>
        </w:rPr>
        <w:instrText xml:space="preserve"> PAGEREF _Toc276574391 \h </w:instrText>
      </w:r>
      <w:r>
        <w:rPr>
          <w:noProof/>
        </w:rPr>
      </w:r>
      <w:r>
        <w:rPr>
          <w:noProof/>
        </w:rPr>
        <w:fldChar w:fldCharType="separate"/>
      </w:r>
      <w:r>
        <w:rPr>
          <w:noProof/>
        </w:rPr>
        <w:t>56</w:t>
      </w:r>
      <w:r>
        <w:rPr>
          <w:noProof/>
        </w:rPr>
        <w:fldChar w:fldCharType="end"/>
      </w:r>
    </w:p>
    <w:p w14:paraId="3DAAFC9C"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§4. Απουσία δυνατότητας δικαστικής επέκτασης των ηλικιακών ορίων</w:t>
      </w:r>
      <w:r>
        <w:rPr>
          <w:noProof/>
        </w:rPr>
        <w:tab/>
      </w:r>
      <w:r>
        <w:rPr>
          <w:noProof/>
        </w:rPr>
        <w:fldChar w:fldCharType="begin"/>
      </w:r>
      <w:r>
        <w:rPr>
          <w:noProof/>
        </w:rPr>
        <w:instrText xml:space="preserve"> PAGEREF _Toc276574392 \h </w:instrText>
      </w:r>
      <w:r>
        <w:rPr>
          <w:noProof/>
        </w:rPr>
      </w:r>
      <w:r>
        <w:rPr>
          <w:noProof/>
        </w:rPr>
        <w:fldChar w:fldCharType="separate"/>
      </w:r>
      <w:r>
        <w:rPr>
          <w:noProof/>
        </w:rPr>
        <w:t>57</w:t>
      </w:r>
      <w:r>
        <w:rPr>
          <w:noProof/>
        </w:rPr>
        <w:fldChar w:fldCharType="end"/>
      </w:r>
    </w:p>
    <w:p w14:paraId="63A9D27F"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§5. Συνέπειες μη συμμόρφωσης με τα ηλικιακά όρια</w:t>
      </w:r>
      <w:r>
        <w:rPr>
          <w:noProof/>
        </w:rPr>
        <w:tab/>
      </w:r>
      <w:r>
        <w:rPr>
          <w:noProof/>
        </w:rPr>
        <w:fldChar w:fldCharType="begin"/>
      </w:r>
      <w:r>
        <w:rPr>
          <w:noProof/>
        </w:rPr>
        <w:instrText xml:space="preserve"> PAGEREF _Toc276574393 \h </w:instrText>
      </w:r>
      <w:r>
        <w:rPr>
          <w:noProof/>
        </w:rPr>
      </w:r>
      <w:r>
        <w:rPr>
          <w:noProof/>
        </w:rPr>
        <w:fldChar w:fldCharType="separate"/>
      </w:r>
      <w:r>
        <w:rPr>
          <w:noProof/>
        </w:rPr>
        <w:t>58</w:t>
      </w:r>
      <w:r>
        <w:rPr>
          <w:noProof/>
        </w:rPr>
        <w:fldChar w:fldCharType="end"/>
      </w:r>
    </w:p>
    <w:p w14:paraId="04FD4C93"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β. Υγεία υποψηφίων υποβοηθούμενων προσώπων</w:t>
      </w:r>
      <w:r>
        <w:rPr>
          <w:noProof/>
        </w:rPr>
        <w:tab/>
      </w:r>
      <w:r>
        <w:rPr>
          <w:noProof/>
        </w:rPr>
        <w:fldChar w:fldCharType="begin"/>
      </w:r>
      <w:r>
        <w:rPr>
          <w:noProof/>
        </w:rPr>
        <w:instrText xml:space="preserve"> PAGEREF _Toc276574394 \h </w:instrText>
      </w:r>
      <w:r>
        <w:rPr>
          <w:noProof/>
        </w:rPr>
      </w:r>
      <w:r>
        <w:rPr>
          <w:noProof/>
        </w:rPr>
        <w:fldChar w:fldCharType="separate"/>
      </w:r>
      <w:r>
        <w:rPr>
          <w:noProof/>
        </w:rPr>
        <w:t>59</w:t>
      </w:r>
      <w:r>
        <w:rPr>
          <w:noProof/>
        </w:rPr>
        <w:fldChar w:fldCharType="end"/>
      </w:r>
    </w:p>
    <w:p w14:paraId="046F4F3D"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lastRenderedPageBreak/>
        <w:t>§1. Διερεύνηση της κατάστασης της υγείας των υποψηφίων υποβοηθούμενων προσώπων</w:t>
      </w:r>
      <w:r>
        <w:rPr>
          <w:noProof/>
        </w:rPr>
        <w:tab/>
      </w:r>
      <w:r>
        <w:rPr>
          <w:noProof/>
        </w:rPr>
        <w:fldChar w:fldCharType="begin"/>
      </w:r>
      <w:r>
        <w:rPr>
          <w:noProof/>
        </w:rPr>
        <w:instrText xml:space="preserve"> PAGEREF _Toc276574395 \h </w:instrText>
      </w:r>
      <w:r>
        <w:rPr>
          <w:noProof/>
        </w:rPr>
      </w:r>
      <w:r>
        <w:rPr>
          <w:noProof/>
        </w:rPr>
        <w:fldChar w:fldCharType="separate"/>
      </w:r>
      <w:r>
        <w:rPr>
          <w:noProof/>
        </w:rPr>
        <w:t>59</w:t>
      </w:r>
      <w:r>
        <w:rPr>
          <w:noProof/>
        </w:rPr>
        <w:fldChar w:fldCharType="end"/>
      </w:r>
    </w:p>
    <w:p w14:paraId="3D3F949A"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προϋποθέσεις σχετικά με την υγεία του υποβοηθούμενου ζευγαριού</w:t>
      </w:r>
      <w:r>
        <w:rPr>
          <w:noProof/>
        </w:rPr>
        <w:tab/>
      </w:r>
      <w:r>
        <w:rPr>
          <w:noProof/>
        </w:rPr>
        <w:fldChar w:fldCharType="begin"/>
      </w:r>
      <w:r>
        <w:rPr>
          <w:noProof/>
        </w:rPr>
        <w:instrText xml:space="preserve"> PAGEREF _Toc276574396 \h </w:instrText>
      </w:r>
      <w:r>
        <w:rPr>
          <w:noProof/>
        </w:rPr>
      </w:r>
      <w:r>
        <w:rPr>
          <w:noProof/>
        </w:rPr>
        <w:fldChar w:fldCharType="separate"/>
      </w:r>
      <w:r>
        <w:rPr>
          <w:noProof/>
        </w:rPr>
        <w:t>65</w:t>
      </w:r>
      <w:r>
        <w:rPr>
          <w:noProof/>
        </w:rPr>
        <w:fldChar w:fldCharType="end"/>
      </w:r>
    </w:p>
    <w:p w14:paraId="4B34AFB0"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γ. Ενημέρωση υποψηφίων υποβοηθούμενων προσώπων</w:t>
      </w:r>
      <w:r>
        <w:rPr>
          <w:noProof/>
        </w:rPr>
        <w:tab/>
      </w:r>
      <w:r>
        <w:rPr>
          <w:noProof/>
        </w:rPr>
        <w:fldChar w:fldCharType="begin"/>
      </w:r>
      <w:r>
        <w:rPr>
          <w:noProof/>
        </w:rPr>
        <w:instrText xml:space="preserve"> PAGEREF _Toc276574397 \h </w:instrText>
      </w:r>
      <w:r>
        <w:rPr>
          <w:noProof/>
        </w:rPr>
      </w:r>
      <w:r>
        <w:rPr>
          <w:noProof/>
        </w:rPr>
        <w:fldChar w:fldCharType="separate"/>
      </w:r>
      <w:r>
        <w:rPr>
          <w:noProof/>
        </w:rPr>
        <w:t>66</w:t>
      </w:r>
      <w:r>
        <w:rPr>
          <w:noProof/>
        </w:rPr>
        <w:fldChar w:fldCharType="end"/>
      </w:r>
    </w:p>
    <w:p w14:paraId="3F44C150"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Περιεχόμενο ενημέρωσης υποψηφίων υποβοηθούμενων προσώπων σε ενδο-συζυγική αναπαραγωγή</w:t>
      </w:r>
      <w:r>
        <w:rPr>
          <w:noProof/>
        </w:rPr>
        <w:tab/>
      </w:r>
      <w:r>
        <w:rPr>
          <w:noProof/>
        </w:rPr>
        <w:fldChar w:fldCharType="begin"/>
      </w:r>
      <w:r>
        <w:rPr>
          <w:noProof/>
        </w:rPr>
        <w:instrText xml:space="preserve"> PAGEREF _Toc276574398 \h </w:instrText>
      </w:r>
      <w:r>
        <w:rPr>
          <w:noProof/>
        </w:rPr>
      </w:r>
      <w:r>
        <w:rPr>
          <w:noProof/>
        </w:rPr>
        <w:fldChar w:fldCharType="separate"/>
      </w:r>
      <w:r>
        <w:rPr>
          <w:noProof/>
        </w:rPr>
        <w:t>67</w:t>
      </w:r>
      <w:r>
        <w:rPr>
          <w:noProof/>
        </w:rPr>
        <w:fldChar w:fldCharType="end"/>
      </w:r>
    </w:p>
    <w:p w14:paraId="4BB8F3C0"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Περιεχόμενο ενημέρωσης υποψηφίων υποβοηθούμενων προσώπων σε αναπαραγωγή με τρίτο δότη ή λήψη εμβρύων</w:t>
      </w:r>
      <w:r>
        <w:rPr>
          <w:noProof/>
        </w:rPr>
        <w:tab/>
      </w:r>
      <w:r>
        <w:rPr>
          <w:noProof/>
        </w:rPr>
        <w:fldChar w:fldCharType="begin"/>
      </w:r>
      <w:r>
        <w:rPr>
          <w:noProof/>
        </w:rPr>
        <w:instrText xml:space="preserve"> PAGEREF _Toc276574399 \h </w:instrText>
      </w:r>
      <w:r>
        <w:rPr>
          <w:noProof/>
        </w:rPr>
      </w:r>
      <w:r>
        <w:rPr>
          <w:noProof/>
        </w:rPr>
        <w:fldChar w:fldCharType="separate"/>
      </w:r>
      <w:r>
        <w:rPr>
          <w:noProof/>
        </w:rPr>
        <w:t>69</w:t>
      </w:r>
      <w:r>
        <w:rPr>
          <w:noProof/>
        </w:rPr>
        <w:fldChar w:fldCharType="end"/>
      </w:r>
    </w:p>
    <w:p w14:paraId="116BF6DA"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§3. Συνέπειες μη συμμόρφωσης με την υποχρέωση ενημέρωσης</w:t>
      </w:r>
      <w:r>
        <w:rPr>
          <w:noProof/>
        </w:rPr>
        <w:tab/>
      </w:r>
      <w:r>
        <w:rPr>
          <w:noProof/>
        </w:rPr>
        <w:fldChar w:fldCharType="begin"/>
      </w:r>
      <w:r>
        <w:rPr>
          <w:noProof/>
        </w:rPr>
        <w:instrText xml:space="preserve"> PAGEREF _Toc276574400 \h </w:instrText>
      </w:r>
      <w:r>
        <w:rPr>
          <w:noProof/>
        </w:rPr>
      </w:r>
      <w:r>
        <w:rPr>
          <w:noProof/>
        </w:rPr>
        <w:fldChar w:fldCharType="separate"/>
      </w:r>
      <w:r>
        <w:rPr>
          <w:noProof/>
        </w:rPr>
        <w:t>70</w:t>
      </w:r>
      <w:r>
        <w:rPr>
          <w:noProof/>
        </w:rPr>
        <w:fldChar w:fldCharType="end"/>
      </w:r>
    </w:p>
    <w:p w14:paraId="75E9C476" w14:textId="77777777" w:rsidR="004450C9" w:rsidRDefault="004450C9">
      <w:pPr>
        <w:pStyle w:val="TOC4"/>
        <w:rPr>
          <w:rFonts w:asciiTheme="minorHAnsi" w:eastAsiaTheme="minorEastAsia" w:hAnsiTheme="minorHAnsi" w:cstheme="minorBidi"/>
          <w:i w:val="0"/>
          <w:noProof/>
          <w:sz w:val="24"/>
          <w:szCs w:val="24"/>
          <w:lang w:val="en-US" w:eastAsia="ja-JP"/>
        </w:rPr>
      </w:pPr>
      <w:r w:rsidRPr="00C44D2F">
        <w:rPr>
          <w:rFonts w:eastAsia="Calibri"/>
          <w:noProof/>
        </w:rPr>
        <w:t>§4. Δικαίωμα άρνησης του ιατρού να προβεί σε ιατρική υποβοήθηση στην αναπαραγωγή</w:t>
      </w:r>
      <w:r>
        <w:rPr>
          <w:noProof/>
        </w:rPr>
        <w:tab/>
      </w:r>
      <w:r>
        <w:rPr>
          <w:noProof/>
        </w:rPr>
        <w:fldChar w:fldCharType="begin"/>
      </w:r>
      <w:r>
        <w:rPr>
          <w:noProof/>
        </w:rPr>
        <w:instrText xml:space="preserve"> PAGEREF _Toc276574401 \h </w:instrText>
      </w:r>
      <w:r>
        <w:rPr>
          <w:noProof/>
        </w:rPr>
      </w:r>
      <w:r>
        <w:rPr>
          <w:noProof/>
        </w:rPr>
        <w:fldChar w:fldCharType="separate"/>
      </w:r>
      <w:r>
        <w:rPr>
          <w:noProof/>
        </w:rPr>
        <w:t>72</w:t>
      </w:r>
      <w:r>
        <w:rPr>
          <w:noProof/>
        </w:rPr>
        <w:fldChar w:fldCharType="end"/>
      </w:r>
    </w:p>
    <w:p w14:paraId="2422D6B5"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sidRPr="00C44D2F">
        <w:rPr>
          <w:noProof/>
        </w:rPr>
        <w:t>δ</w:t>
      </w:r>
      <w:r>
        <w:rPr>
          <w:noProof/>
        </w:rPr>
        <w:t>. Συναίνεση υποψηφίων υποβοηθούμενων προσώπων</w:t>
      </w:r>
      <w:r>
        <w:rPr>
          <w:noProof/>
        </w:rPr>
        <w:tab/>
      </w:r>
      <w:r>
        <w:rPr>
          <w:noProof/>
        </w:rPr>
        <w:fldChar w:fldCharType="begin"/>
      </w:r>
      <w:r>
        <w:rPr>
          <w:noProof/>
        </w:rPr>
        <w:instrText xml:space="preserve"> PAGEREF _Toc276574402 \h </w:instrText>
      </w:r>
      <w:r>
        <w:rPr>
          <w:noProof/>
        </w:rPr>
      </w:r>
      <w:r>
        <w:rPr>
          <w:noProof/>
        </w:rPr>
        <w:fldChar w:fldCharType="separate"/>
      </w:r>
      <w:r>
        <w:rPr>
          <w:noProof/>
        </w:rPr>
        <w:t>73</w:t>
      </w:r>
      <w:r>
        <w:rPr>
          <w:noProof/>
        </w:rPr>
        <w:fldChar w:fldCharType="end"/>
      </w:r>
    </w:p>
    <w:p w14:paraId="6793B0B3"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Η έκφραση της συναίνεσης των υποψηφίων υποβοηθούμενων προσώπων</w:t>
      </w:r>
      <w:r>
        <w:rPr>
          <w:noProof/>
        </w:rPr>
        <w:tab/>
      </w:r>
      <w:r>
        <w:rPr>
          <w:noProof/>
        </w:rPr>
        <w:fldChar w:fldCharType="begin"/>
      </w:r>
      <w:r>
        <w:rPr>
          <w:noProof/>
        </w:rPr>
        <w:instrText xml:space="preserve"> PAGEREF _Toc276574403 \h </w:instrText>
      </w:r>
      <w:r>
        <w:rPr>
          <w:noProof/>
        </w:rPr>
      </w:r>
      <w:r>
        <w:rPr>
          <w:noProof/>
        </w:rPr>
        <w:fldChar w:fldCharType="separate"/>
      </w:r>
      <w:r>
        <w:rPr>
          <w:noProof/>
        </w:rPr>
        <w:t>73</w:t>
      </w:r>
      <w:r>
        <w:rPr>
          <w:noProof/>
        </w:rPr>
        <w:fldChar w:fldCharType="end"/>
      </w:r>
    </w:p>
    <w:p w14:paraId="27EE9FCA"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Η διατήρηση της συναίνεσης των υποψηφίων υποβοηθούμενων προσώπων</w:t>
      </w:r>
      <w:r>
        <w:rPr>
          <w:noProof/>
        </w:rPr>
        <w:tab/>
      </w:r>
      <w:r>
        <w:rPr>
          <w:noProof/>
        </w:rPr>
        <w:fldChar w:fldCharType="begin"/>
      </w:r>
      <w:r>
        <w:rPr>
          <w:noProof/>
        </w:rPr>
        <w:instrText xml:space="preserve"> PAGEREF _Toc276574404 \h </w:instrText>
      </w:r>
      <w:r>
        <w:rPr>
          <w:noProof/>
        </w:rPr>
      </w:r>
      <w:r>
        <w:rPr>
          <w:noProof/>
        </w:rPr>
        <w:fldChar w:fldCharType="separate"/>
      </w:r>
      <w:r>
        <w:rPr>
          <w:noProof/>
        </w:rPr>
        <w:t>78</w:t>
      </w:r>
      <w:r>
        <w:rPr>
          <w:noProof/>
        </w:rPr>
        <w:fldChar w:fldCharType="end"/>
      </w:r>
    </w:p>
    <w:p w14:paraId="0874DD48"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§3. Συνέπειες μη συμμόρφωσης με τη γενική προϋπόθεση της συναίνεσης των υποψηφίων υποβοηθούμενων προσώπων</w:t>
      </w:r>
      <w:r>
        <w:rPr>
          <w:noProof/>
        </w:rPr>
        <w:tab/>
      </w:r>
      <w:r>
        <w:rPr>
          <w:noProof/>
        </w:rPr>
        <w:fldChar w:fldCharType="begin"/>
      </w:r>
      <w:r>
        <w:rPr>
          <w:noProof/>
        </w:rPr>
        <w:instrText xml:space="preserve"> PAGEREF _Toc276574405 \h </w:instrText>
      </w:r>
      <w:r>
        <w:rPr>
          <w:noProof/>
        </w:rPr>
      </w:r>
      <w:r>
        <w:rPr>
          <w:noProof/>
        </w:rPr>
        <w:fldChar w:fldCharType="separate"/>
      </w:r>
      <w:r>
        <w:rPr>
          <w:noProof/>
        </w:rPr>
        <w:t>82</w:t>
      </w:r>
      <w:r>
        <w:rPr>
          <w:noProof/>
        </w:rPr>
        <w:fldChar w:fldCharType="end"/>
      </w:r>
    </w:p>
    <w:p w14:paraId="0659BEEB" w14:textId="77777777" w:rsidR="004450C9" w:rsidRDefault="004450C9">
      <w:pPr>
        <w:pStyle w:val="TOC2"/>
        <w:rPr>
          <w:rFonts w:asciiTheme="minorHAnsi" w:eastAsiaTheme="minorEastAsia" w:hAnsiTheme="minorHAnsi" w:cstheme="minorBidi"/>
          <w:noProof/>
          <w:sz w:val="24"/>
          <w:szCs w:val="24"/>
          <w:lang w:val="en-US" w:eastAsia="ja-JP"/>
        </w:rPr>
      </w:pPr>
      <w:r>
        <w:rPr>
          <w:noProof/>
        </w:rPr>
        <w:t>Γ. Επιτρεπτές μορφές Ιατρικά Υποβοηθούμενης Αναπαραγωγής</w:t>
      </w:r>
      <w:r>
        <w:rPr>
          <w:noProof/>
        </w:rPr>
        <w:tab/>
      </w:r>
      <w:r>
        <w:rPr>
          <w:noProof/>
        </w:rPr>
        <w:fldChar w:fldCharType="begin"/>
      </w:r>
      <w:r>
        <w:rPr>
          <w:noProof/>
        </w:rPr>
        <w:instrText xml:space="preserve"> PAGEREF _Toc276574406 \h </w:instrText>
      </w:r>
      <w:r>
        <w:rPr>
          <w:noProof/>
        </w:rPr>
      </w:r>
      <w:r>
        <w:rPr>
          <w:noProof/>
        </w:rPr>
        <w:fldChar w:fldCharType="separate"/>
      </w:r>
      <w:r>
        <w:rPr>
          <w:noProof/>
        </w:rPr>
        <w:t>87</w:t>
      </w:r>
      <w:r>
        <w:rPr>
          <w:noProof/>
        </w:rPr>
        <w:fldChar w:fldCharType="end"/>
      </w:r>
    </w:p>
    <w:p w14:paraId="3BFDF3D8"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 xml:space="preserve">α. </w:t>
      </w:r>
      <w:r w:rsidRPr="00C44D2F">
        <w:rPr>
          <w:noProof/>
        </w:rPr>
        <w:t>«</w:t>
      </w:r>
      <w:r>
        <w:rPr>
          <w:noProof/>
        </w:rPr>
        <w:t>Ενδο-συζυγική</w:t>
      </w:r>
      <w:r>
        <w:rPr>
          <w:noProof/>
          <w:lang w:eastAsia="en-US"/>
        </w:rPr>
        <w:t>»</w:t>
      </w:r>
      <w:r>
        <w:rPr>
          <w:noProof/>
        </w:rPr>
        <w:t xml:space="preserve"> (ομόλογη) ιατρικά υποβοηθούμενη αναπαραγωγή</w:t>
      </w:r>
      <w:r>
        <w:rPr>
          <w:noProof/>
        </w:rPr>
        <w:tab/>
      </w:r>
      <w:r>
        <w:rPr>
          <w:noProof/>
        </w:rPr>
        <w:fldChar w:fldCharType="begin"/>
      </w:r>
      <w:r>
        <w:rPr>
          <w:noProof/>
        </w:rPr>
        <w:instrText xml:space="preserve"> PAGEREF _Toc276574407 \h </w:instrText>
      </w:r>
      <w:r>
        <w:rPr>
          <w:noProof/>
        </w:rPr>
      </w:r>
      <w:r>
        <w:rPr>
          <w:noProof/>
        </w:rPr>
        <w:fldChar w:fldCharType="separate"/>
      </w:r>
      <w:r>
        <w:rPr>
          <w:noProof/>
        </w:rPr>
        <w:t>91</w:t>
      </w:r>
      <w:r>
        <w:rPr>
          <w:noProof/>
        </w:rPr>
        <w:fldChar w:fldCharType="end"/>
      </w:r>
    </w:p>
    <w:p w14:paraId="18808155"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Έννοια «ενδο-συζυγικής</w:t>
      </w:r>
      <w:r>
        <w:rPr>
          <w:noProof/>
          <w:lang w:eastAsia="en-US"/>
        </w:rPr>
        <w:t>»</w:t>
      </w:r>
      <w:r>
        <w:rPr>
          <w:noProof/>
        </w:rPr>
        <w:t xml:space="preserve"> (ομόλογης) ιατρικά υποβοηθούμενης αναπαραγωγής</w:t>
      </w:r>
      <w:r>
        <w:rPr>
          <w:noProof/>
        </w:rPr>
        <w:tab/>
      </w:r>
      <w:r>
        <w:rPr>
          <w:noProof/>
        </w:rPr>
        <w:fldChar w:fldCharType="begin"/>
      </w:r>
      <w:r>
        <w:rPr>
          <w:noProof/>
        </w:rPr>
        <w:instrText xml:space="preserve"> PAGEREF _Toc276574408 \h </w:instrText>
      </w:r>
      <w:r>
        <w:rPr>
          <w:noProof/>
        </w:rPr>
      </w:r>
      <w:r>
        <w:rPr>
          <w:noProof/>
        </w:rPr>
        <w:fldChar w:fldCharType="separate"/>
      </w:r>
      <w:r>
        <w:rPr>
          <w:noProof/>
        </w:rPr>
        <w:t>91</w:t>
      </w:r>
      <w:r>
        <w:rPr>
          <w:noProof/>
        </w:rPr>
        <w:fldChar w:fldCharType="end"/>
      </w:r>
    </w:p>
    <w:p w14:paraId="14EE67E2"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τις νομοθετικές προσταγές</w:t>
      </w:r>
      <w:r>
        <w:rPr>
          <w:noProof/>
        </w:rPr>
        <w:tab/>
      </w:r>
      <w:r>
        <w:rPr>
          <w:noProof/>
        </w:rPr>
        <w:fldChar w:fldCharType="begin"/>
      </w:r>
      <w:r>
        <w:rPr>
          <w:noProof/>
        </w:rPr>
        <w:instrText xml:space="preserve"> PAGEREF _Toc276574409 \h </w:instrText>
      </w:r>
      <w:r>
        <w:rPr>
          <w:noProof/>
        </w:rPr>
      </w:r>
      <w:r>
        <w:rPr>
          <w:noProof/>
        </w:rPr>
        <w:fldChar w:fldCharType="separate"/>
      </w:r>
      <w:r>
        <w:rPr>
          <w:noProof/>
        </w:rPr>
        <w:t>93</w:t>
      </w:r>
      <w:r>
        <w:rPr>
          <w:noProof/>
        </w:rPr>
        <w:fldChar w:fldCharType="end"/>
      </w:r>
    </w:p>
    <w:p w14:paraId="1913FFF4"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β. Ιατρικά υποβοηθούμενη αναπαραγωγή με τρίτο δότη</w:t>
      </w:r>
      <w:r>
        <w:rPr>
          <w:noProof/>
        </w:rPr>
        <w:tab/>
      </w:r>
      <w:r>
        <w:rPr>
          <w:noProof/>
        </w:rPr>
        <w:fldChar w:fldCharType="begin"/>
      </w:r>
      <w:r>
        <w:rPr>
          <w:noProof/>
        </w:rPr>
        <w:instrText xml:space="preserve"> PAGEREF _Toc276574410 \h </w:instrText>
      </w:r>
      <w:r>
        <w:rPr>
          <w:noProof/>
        </w:rPr>
      </w:r>
      <w:r>
        <w:rPr>
          <w:noProof/>
        </w:rPr>
        <w:fldChar w:fldCharType="separate"/>
      </w:r>
      <w:r>
        <w:rPr>
          <w:noProof/>
        </w:rPr>
        <w:t>95</w:t>
      </w:r>
      <w:r>
        <w:rPr>
          <w:noProof/>
        </w:rPr>
        <w:fldChar w:fldCharType="end"/>
      </w:r>
    </w:p>
    <w:p w14:paraId="2F4EE59F"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Έννοια Ιατρικά υποβοηθούμενης αναπαραγωγής με τρίτο δότη</w:t>
      </w:r>
      <w:r>
        <w:rPr>
          <w:noProof/>
        </w:rPr>
        <w:tab/>
      </w:r>
      <w:r>
        <w:rPr>
          <w:noProof/>
        </w:rPr>
        <w:fldChar w:fldCharType="begin"/>
      </w:r>
      <w:r>
        <w:rPr>
          <w:noProof/>
        </w:rPr>
        <w:instrText xml:space="preserve"> PAGEREF _Toc276574411 \h </w:instrText>
      </w:r>
      <w:r>
        <w:rPr>
          <w:noProof/>
        </w:rPr>
      </w:r>
      <w:r>
        <w:rPr>
          <w:noProof/>
        </w:rPr>
        <w:fldChar w:fldCharType="separate"/>
      </w:r>
      <w:r>
        <w:rPr>
          <w:noProof/>
        </w:rPr>
        <w:t>95</w:t>
      </w:r>
      <w:r>
        <w:rPr>
          <w:noProof/>
        </w:rPr>
        <w:fldChar w:fldCharType="end"/>
      </w:r>
    </w:p>
    <w:p w14:paraId="00CBBE29"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τις νομοθετικές προσταγές</w:t>
      </w:r>
      <w:r>
        <w:rPr>
          <w:noProof/>
        </w:rPr>
        <w:tab/>
      </w:r>
      <w:r>
        <w:rPr>
          <w:noProof/>
        </w:rPr>
        <w:fldChar w:fldCharType="begin"/>
      </w:r>
      <w:r>
        <w:rPr>
          <w:noProof/>
        </w:rPr>
        <w:instrText xml:space="preserve"> PAGEREF _Toc276574412 \h </w:instrText>
      </w:r>
      <w:r>
        <w:rPr>
          <w:noProof/>
        </w:rPr>
      </w:r>
      <w:r>
        <w:rPr>
          <w:noProof/>
        </w:rPr>
        <w:fldChar w:fldCharType="separate"/>
      </w:r>
      <w:r>
        <w:rPr>
          <w:noProof/>
        </w:rPr>
        <w:t>108</w:t>
      </w:r>
      <w:r>
        <w:rPr>
          <w:noProof/>
        </w:rPr>
        <w:fldChar w:fldCharType="end"/>
      </w:r>
    </w:p>
    <w:p w14:paraId="234AE39E" w14:textId="77777777" w:rsidR="004450C9" w:rsidRDefault="004450C9">
      <w:pPr>
        <w:pStyle w:val="TOC2"/>
        <w:rPr>
          <w:rFonts w:asciiTheme="minorHAnsi" w:eastAsiaTheme="minorEastAsia" w:hAnsiTheme="minorHAnsi" w:cstheme="minorBidi"/>
          <w:noProof/>
          <w:sz w:val="24"/>
          <w:szCs w:val="24"/>
          <w:lang w:val="en-US" w:eastAsia="ja-JP"/>
        </w:rPr>
      </w:pPr>
      <w:r>
        <w:rPr>
          <w:noProof/>
        </w:rPr>
        <w:t>Δ. Ζητήματα σχετιζόμενα με το γεννητικό υλικο στο πλαίσιο της Ιατρικά Υποβοηθούμενης Αναπαραγωγής</w:t>
      </w:r>
      <w:r>
        <w:rPr>
          <w:noProof/>
        </w:rPr>
        <w:tab/>
      </w:r>
      <w:r>
        <w:rPr>
          <w:noProof/>
        </w:rPr>
        <w:fldChar w:fldCharType="begin"/>
      </w:r>
      <w:r>
        <w:rPr>
          <w:noProof/>
        </w:rPr>
        <w:instrText xml:space="preserve"> PAGEREF _Toc276574413 \h </w:instrText>
      </w:r>
      <w:r>
        <w:rPr>
          <w:noProof/>
        </w:rPr>
      </w:r>
      <w:r>
        <w:rPr>
          <w:noProof/>
        </w:rPr>
        <w:fldChar w:fldCharType="separate"/>
      </w:r>
      <w:r>
        <w:rPr>
          <w:noProof/>
        </w:rPr>
        <w:t>110</w:t>
      </w:r>
      <w:r>
        <w:rPr>
          <w:noProof/>
        </w:rPr>
        <w:fldChar w:fldCharType="end"/>
      </w:r>
    </w:p>
    <w:p w14:paraId="0B0AEB23"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α. Επιτρεπτός αριθμός μεταφερόμενων γονιμοποιημένων ωαρίων</w:t>
      </w:r>
      <w:r>
        <w:rPr>
          <w:noProof/>
        </w:rPr>
        <w:tab/>
      </w:r>
      <w:r>
        <w:rPr>
          <w:noProof/>
        </w:rPr>
        <w:fldChar w:fldCharType="begin"/>
      </w:r>
      <w:r>
        <w:rPr>
          <w:noProof/>
        </w:rPr>
        <w:instrText xml:space="preserve"> PAGEREF _Toc276574414 \h </w:instrText>
      </w:r>
      <w:r>
        <w:rPr>
          <w:noProof/>
        </w:rPr>
      </w:r>
      <w:r>
        <w:rPr>
          <w:noProof/>
        </w:rPr>
        <w:fldChar w:fldCharType="separate"/>
      </w:r>
      <w:r>
        <w:rPr>
          <w:noProof/>
        </w:rPr>
        <w:t>111</w:t>
      </w:r>
      <w:r>
        <w:rPr>
          <w:noProof/>
        </w:rPr>
        <w:fldChar w:fldCharType="end"/>
      </w:r>
    </w:p>
    <w:p w14:paraId="3CEB4850"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β. Κρυοσυντήρηση γεννητικού υλικού</w:t>
      </w:r>
      <w:r>
        <w:rPr>
          <w:noProof/>
        </w:rPr>
        <w:tab/>
      </w:r>
      <w:r>
        <w:rPr>
          <w:noProof/>
        </w:rPr>
        <w:fldChar w:fldCharType="begin"/>
      </w:r>
      <w:r>
        <w:rPr>
          <w:noProof/>
        </w:rPr>
        <w:instrText xml:space="preserve"> PAGEREF _Toc276574415 \h </w:instrText>
      </w:r>
      <w:r>
        <w:rPr>
          <w:noProof/>
        </w:rPr>
      </w:r>
      <w:r>
        <w:rPr>
          <w:noProof/>
        </w:rPr>
        <w:fldChar w:fldCharType="separate"/>
      </w:r>
      <w:r>
        <w:rPr>
          <w:noProof/>
        </w:rPr>
        <w:t>118</w:t>
      </w:r>
      <w:r>
        <w:rPr>
          <w:noProof/>
        </w:rPr>
        <w:fldChar w:fldCharType="end"/>
      </w:r>
    </w:p>
    <w:p w14:paraId="2941F5CD"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Έννοια κρυοσυντήρησης γεννητικού υλικού</w:t>
      </w:r>
      <w:r>
        <w:rPr>
          <w:noProof/>
        </w:rPr>
        <w:tab/>
      </w:r>
      <w:r>
        <w:rPr>
          <w:noProof/>
        </w:rPr>
        <w:fldChar w:fldCharType="begin"/>
      </w:r>
      <w:r>
        <w:rPr>
          <w:noProof/>
        </w:rPr>
        <w:instrText xml:space="preserve"> PAGEREF _Toc276574416 \h </w:instrText>
      </w:r>
      <w:r>
        <w:rPr>
          <w:noProof/>
        </w:rPr>
      </w:r>
      <w:r>
        <w:rPr>
          <w:noProof/>
        </w:rPr>
        <w:fldChar w:fldCharType="separate"/>
      </w:r>
      <w:r>
        <w:rPr>
          <w:noProof/>
        </w:rPr>
        <w:t>118</w:t>
      </w:r>
      <w:r>
        <w:rPr>
          <w:noProof/>
        </w:rPr>
        <w:fldChar w:fldCharType="end"/>
      </w:r>
    </w:p>
    <w:p w14:paraId="627F7543"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τα προβλεπόμενα χρονικά όρια κρυοσυντήρησης του γεννητικού υλικού</w:t>
      </w:r>
      <w:r>
        <w:rPr>
          <w:noProof/>
        </w:rPr>
        <w:tab/>
      </w:r>
      <w:r>
        <w:rPr>
          <w:noProof/>
        </w:rPr>
        <w:fldChar w:fldCharType="begin"/>
      </w:r>
      <w:r>
        <w:rPr>
          <w:noProof/>
        </w:rPr>
        <w:instrText xml:space="preserve"> PAGEREF _Toc276574417 \h </w:instrText>
      </w:r>
      <w:r>
        <w:rPr>
          <w:noProof/>
        </w:rPr>
      </w:r>
      <w:r>
        <w:rPr>
          <w:noProof/>
        </w:rPr>
        <w:fldChar w:fldCharType="separate"/>
      </w:r>
      <w:r>
        <w:rPr>
          <w:noProof/>
        </w:rPr>
        <w:t>131</w:t>
      </w:r>
      <w:r>
        <w:rPr>
          <w:noProof/>
        </w:rPr>
        <w:fldChar w:fldCharType="end"/>
      </w:r>
    </w:p>
    <w:p w14:paraId="4EC28998"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γ. Χρόνος διατήρησης μη-κρυοσυντηρημένου γεννητικού υλικού</w:t>
      </w:r>
      <w:r>
        <w:rPr>
          <w:noProof/>
        </w:rPr>
        <w:tab/>
      </w:r>
      <w:r>
        <w:rPr>
          <w:noProof/>
        </w:rPr>
        <w:fldChar w:fldCharType="begin"/>
      </w:r>
      <w:r>
        <w:rPr>
          <w:noProof/>
        </w:rPr>
        <w:instrText xml:space="preserve"> PAGEREF _Toc276574418 \h </w:instrText>
      </w:r>
      <w:r>
        <w:rPr>
          <w:noProof/>
        </w:rPr>
      </w:r>
      <w:r>
        <w:rPr>
          <w:noProof/>
        </w:rPr>
        <w:fldChar w:fldCharType="separate"/>
      </w:r>
      <w:r>
        <w:rPr>
          <w:noProof/>
        </w:rPr>
        <w:t>132</w:t>
      </w:r>
      <w:r>
        <w:rPr>
          <w:noProof/>
        </w:rPr>
        <w:fldChar w:fldCharType="end"/>
      </w:r>
    </w:p>
    <w:p w14:paraId="18256888"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δ. Πλεονάζον γεννητικό υλικό</w:t>
      </w:r>
      <w:r>
        <w:rPr>
          <w:noProof/>
        </w:rPr>
        <w:tab/>
      </w:r>
      <w:r>
        <w:rPr>
          <w:noProof/>
        </w:rPr>
        <w:fldChar w:fldCharType="begin"/>
      </w:r>
      <w:r>
        <w:rPr>
          <w:noProof/>
        </w:rPr>
        <w:instrText xml:space="preserve"> PAGEREF _Toc276574419 \h </w:instrText>
      </w:r>
      <w:r>
        <w:rPr>
          <w:noProof/>
        </w:rPr>
      </w:r>
      <w:r>
        <w:rPr>
          <w:noProof/>
        </w:rPr>
        <w:fldChar w:fldCharType="separate"/>
      </w:r>
      <w:r>
        <w:rPr>
          <w:noProof/>
        </w:rPr>
        <w:t>132</w:t>
      </w:r>
      <w:r>
        <w:rPr>
          <w:noProof/>
        </w:rPr>
        <w:fldChar w:fldCharType="end"/>
      </w:r>
    </w:p>
    <w:p w14:paraId="6E27FADA" w14:textId="77777777" w:rsidR="004450C9" w:rsidRDefault="004450C9">
      <w:pPr>
        <w:pStyle w:val="TOC4"/>
        <w:rPr>
          <w:rFonts w:asciiTheme="minorHAnsi" w:eastAsiaTheme="minorEastAsia" w:hAnsiTheme="minorHAnsi" w:cstheme="minorBidi"/>
          <w:i w:val="0"/>
          <w:noProof/>
          <w:sz w:val="24"/>
          <w:szCs w:val="24"/>
          <w:lang w:val="en-US" w:eastAsia="ja-JP"/>
        </w:rPr>
      </w:pPr>
      <w:r w:rsidRPr="00C44D2F">
        <w:rPr>
          <w:noProof/>
          <w:lang w:val="en-US"/>
        </w:rPr>
        <w:t xml:space="preserve">§1. Διάθεση πλεοναζόντων εμβρύων: εναλλακτικές </w:t>
      </w:r>
      <w:r>
        <w:rPr>
          <w:noProof/>
        </w:rPr>
        <w:t xml:space="preserve">επιλογές του </w:t>
      </w:r>
      <w:r w:rsidRPr="00C44D2F">
        <w:rPr>
          <w:noProof/>
          <w:lang w:val="en-US"/>
        </w:rPr>
        <w:t>υποβοηθούμενου ζευγαριού</w:t>
      </w:r>
      <w:r>
        <w:rPr>
          <w:noProof/>
        </w:rPr>
        <w:tab/>
      </w:r>
      <w:r>
        <w:rPr>
          <w:noProof/>
        </w:rPr>
        <w:fldChar w:fldCharType="begin"/>
      </w:r>
      <w:r>
        <w:rPr>
          <w:noProof/>
        </w:rPr>
        <w:instrText xml:space="preserve"> PAGEREF _Toc276574420 \h </w:instrText>
      </w:r>
      <w:r>
        <w:rPr>
          <w:noProof/>
        </w:rPr>
      </w:r>
      <w:r>
        <w:rPr>
          <w:noProof/>
        </w:rPr>
        <w:fldChar w:fldCharType="separate"/>
      </w:r>
      <w:r>
        <w:rPr>
          <w:noProof/>
        </w:rPr>
        <w:t>134</w:t>
      </w:r>
      <w:r>
        <w:rPr>
          <w:noProof/>
        </w:rPr>
        <w:fldChar w:fldCharType="end"/>
      </w:r>
    </w:p>
    <w:p w14:paraId="0ECF680C" w14:textId="77777777" w:rsidR="004450C9" w:rsidRDefault="004450C9">
      <w:pPr>
        <w:pStyle w:val="TOC4"/>
        <w:rPr>
          <w:rFonts w:asciiTheme="minorHAnsi" w:eastAsiaTheme="minorEastAsia" w:hAnsiTheme="minorHAnsi" w:cstheme="minorBidi"/>
          <w:i w:val="0"/>
          <w:noProof/>
          <w:sz w:val="24"/>
          <w:szCs w:val="24"/>
          <w:lang w:val="en-US" w:eastAsia="ja-JP"/>
        </w:rPr>
      </w:pPr>
      <w:r w:rsidRPr="00C44D2F">
        <w:rPr>
          <w:noProof/>
          <w:u w:val="dash"/>
        </w:rPr>
        <w:t xml:space="preserve">§2. Συνέπειες μη συμμόρφωσης με </w:t>
      </w:r>
      <w:r>
        <w:rPr>
          <w:noProof/>
        </w:rPr>
        <w:t>τις διατάξεις του άρθρου L. 2141-4 ΚΔΥ</w:t>
      </w:r>
      <w:r w:rsidRPr="00C44D2F">
        <w:rPr>
          <w:noProof/>
          <w:u w:val="dash"/>
        </w:rPr>
        <w:t>:</w:t>
      </w:r>
      <w:r>
        <w:rPr>
          <w:noProof/>
        </w:rPr>
        <w:tab/>
      </w:r>
      <w:r>
        <w:rPr>
          <w:noProof/>
        </w:rPr>
        <w:fldChar w:fldCharType="begin"/>
      </w:r>
      <w:r>
        <w:rPr>
          <w:noProof/>
        </w:rPr>
        <w:instrText xml:space="preserve"> PAGEREF _Toc276574421 \h </w:instrText>
      </w:r>
      <w:r>
        <w:rPr>
          <w:noProof/>
        </w:rPr>
      </w:r>
      <w:r>
        <w:rPr>
          <w:noProof/>
        </w:rPr>
        <w:fldChar w:fldCharType="separate"/>
      </w:r>
      <w:r>
        <w:rPr>
          <w:noProof/>
        </w:rPr>
        <w:t>140</w:t>
      </w:r>
      <w:r>
        <w:rPr>
          <w:noProof/>
        </w:rPr>
        <w:fldChar w:fldCharType="end"/>
      </w:r>
    </w:p>
    <w:p w14:paraId="45D748BC" w14:textId="77777777" w:rsidR="004450C9" w:rsidRDefault="004450C9">
      <w:pPr>
        <w:pStyle w:val="TOC4"/>
        <w:rPr>
          <w:rFonts w:asciiTheme="minorHAnsi" w:eastAsiaTheme="minorEastAsia" w:hAnsiTheme="minorHAnsi" w:cstheme="minorBidi"/>
          <w:i w:val="0"/>
          <w:noProof/>
          <w:sz w:val="24"/>
          <w:szCs w:val="24"/>
          <w:lang w:val="en-US" w:eastAsia="ja-JP"/>
        </w:rPr>
      </w:pPr>
      <w:r w:rsidRPr="00C44D2F">
        <w:rPr>
          <w:noProof/>
          <w:lang w:val="en-US"/>
        </w:rPr>
        <w:t xml:space="preserve">§3. </w:t>
      </w:r>
      <w:r>
        <w:rPr>
          <w:noProof/>
        </w:rPr>
        <w:t>Ορισμένα στατιστικά στοιχεία</w:t>
      </w:r>
      <w:r>
        <w:rPr>
          <w:noProof/>
        </w:rPr>
        <w:tab/>
      </w:r>
      <w:r>
        <w:rPr>
          <w:noProof/>
        </w:rPr>
        <w:fldChar w:fldCharType="begin"/>
      </w:r>
      <w:r>
        <w:rPr>
          <w:noProof/>
        </w:rPr>
        <w:instrText xml:space="preserve"> PAGEREF _Toc276574422 \h </w:instrText>
      </w:r>
      <w:r>
        <w:rPr>
          <w:noProof/>
        </w:rPr>
      </w:r>
      <w:r>
        <w:rPr>
          <w:noProof/>
        </w:rPr>
        <w:fldChar w:fldCharType="separate"/>
      </w:r>
      <w:r>
        <w:rPr>
          <w:noProof/>
        </w:rPr>
        <w:t>142</w:t>
      </w:r>
      <w:r>
        <w:rPr>
          <w:noProof/>
        </w:rPr>
        <w:fldChar w:fldCharType="end"/>
      </w:r>
    </w:p>
    <w:p w14:paraId="6F0E2CDC" w14:textId="77777777" w:rsidR="004450C9" w:rsidRDefault="004450C9">
      <w:pPr>
        <w:pStyle w:val="TOC2"/>
        <w:rPr>
          <w:rFonts w:asciiTheme="minorHAnsi" w:eastAsiaTheme="minorEastAsia" w:hAnsiTheme="minorHAnsi" w:cstheme="minorBidi"/>
          <w:noProof/>
          <w:sz w:val="24"/>
          <w:szCs w:val="24"/>
          <w:lang w:val="en-US" w:eastAsia="ja-JP"/>
        </w:rPr>
      </w:pPr>
      <w:r>
        <w:rPr>
          <w:noProof/>
        </w:rPr>
        <w:t>Ε. Γενετικοί χειρισμοί στην Ιατρικά Υποβοηθούμενη Αναπαραγωγή</w:t>
      </w:r>
      <w:r>
        <w:rPr>
          <w:noProof/>
        </w:rPr>
        <w:tab/>
      </w:r>
      <w:r>
        <w:rPr>
          <w:noProof/>
        </w:rPr>
        <w:fldChar w:fldCharType="begin"/>
      </w:r>
      <w:r>
        <w:rPr>
          <w:noProof/>
        </w:rPr>
        <w:instrText xml:space="preserve"> PAGEREF _Toc276574423 \h </w:instrText>
      </w:r>
      <w:r>
        <w:rPr>
          <w:noProof/>
        </w:rPr>
      </w:r>
      <w:r>
        <w:rPr>
          <w:noProof/>
        </w:rPr>
        <w:fldChar w:fldCharType="separate"/>
      </w:r>
      <w:r>
        <w:rPr>
          <w:noProof/>
        </w:rPr>
        <w:t>143</w:t>
      </w:r>
      <w:r>
        <w:rPr>
          <w:noProof/>
        </w:rPr>
        <w:fldChar w:fldCharType="end"/>
      </w:r>
    </w:p>
    <w:p w14:paraId="0DDBE897"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α. Προεμφυτευτική γενετική διάγνωση</w:t>
      </w:r>
      <w:r>
        <w:rPr>
          <w:noProof/>
        </w:rPr>
        <w:tab/>
      </w:r>
      <w:r>
        <w:rPr>
          <w:noProof/>
        </w:rPr>
        <w:fldChar w:fldCharType="begin"/>
      </w:r>
      <w:r>
        <w:rPr>
          <w:noProof/>
        </w:rPr>
        <w:instrText xml:space="preserve"> PAGEREF _Toc276574424 \h </w:instrText>
      </w:r>
      <w:r>
        <w:rPr>
          <w:noProof/>
        </w:rPr>
      </w:r>
      <w:r>
        <w:rPr>
          <w:noProof/>
        </w:rPr>
        <w:fldChar w:fldCharType="separate"/>
      </w:r>
      <w:r>
        <w:rPr>
          <w:noProof/>
        </w:rPr>
        <w:t>143</w:t>
      </w:r>
      <w:r>
        <w:rPr>
          <w:noProof/>
        </w:rPr>
        <w:fldChar w:fldCharType="end"/>
      </w:r>
    </w:p>
    <w:p w14:paraId="4876954A"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Προϋποθέσεις διενέργειας προεμφυτευτικής γενετικής διάγνωσης</w:t>
      </w:r>
      <w:r>
        <w:rPr>
          <w:noProof/>
        </w:rPr>
        <w:tab/>
      </w:r>
      <w:r>
        <w:rPr>
          <w:noProof/>
        </w:rPr>
        <w:fldChar w:fldCharType="begin"/>
      </w:r>
      <w:r>
        <w:rPr>
          <w:noProof/>
        </w:rPr>
        <w:instrText xml:space="preserve"> PAGEREF _Toc276574425 \h </w:instrText>
      </w:r>
      <w:r>
        <w:rPr>
          <w:noProof/>
        </w:rPr>
      </w:r>
      <w:r>
        <w:rPr>
          <w:noProof/>
        </w:rPr>
        <w:fldChar w:fldCharType="separate"/>
      </w:r>
      <w:r>
        <w:rPr>
          <w:noProof/>
        </w:rPr>
        <w:t>143</w:t>
      </w:r>
      <w:r>
        <w:rPr>
          <w:noProof/>
        </w:rPr>
        <w:fldChar w:fldCharType="end"/>
      </w:r>
    </w:p>
    <w:p w14:paraId="084A06B6"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τις νομοθετικές προσταγές</w:t>
      </w:r>
      <w:r>
        <w:rPr>
          <w:noProof/>
        </w:rPr>
        <w:tab/>
      </w:r>
      <w:r>
        <w:rPr>
          <w:noProof/>
        </w:rPr>
        <w:fldChar w:fldCharType="begin"/>
      </w:r>
      <w:r>
        <w:rPr>
          <w:noProof/>
        </w:rPr>
        <w:instrText xml:space="preserve"> PAGEREF _Toc276574426 \h </w:instrText>
      </w:r>
      <w:r>
        <w:rPr>
          <w:noProof/>
        </w:rPr>
      </w:r>
      <w:r>
        <w:rPr>
          <w:noProof/>
        </w:rPr>
        <w:fldChar w:fldCharType="separate"/>
      </w:r>
      <w:r>
        <w:rPr>
          <w:noProof/>
        </w:rPr>
        <w:t>151</w:t>
      </w:r>
      <w:r>
        <w:rPr>
          <w:noProof/>
        </w:rPr>
        <w:fldChar w:fldCharType="end"/>
      </w:r>
    </w:p>
    <w:p w14:paraId="1AF02AE4"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lastRenderedPageBreak/>
        <w:t>β. Διπλή Προεμφυτευτική Διάγγνωση ή Προέκταση της Προεμφυτευτικής Διάγγνωσης ή, αλλιώς, «αδελφός</w:t>
      </w:r>
      <w:r>
        <w:rPr>
          <w:rFonts w:hint="eastAsia"/>
          <w:noProof/>
        </w:rPr>
        <w:t>‐σωτήρας»</w:t>
      </w:r>
      <w:r>
        <w:rPr>
          <w:noProof/>
        </w:rPr>
        <w:t xml:space="preserve"> ή «σχεδιασμένο παιδί» (</w:t>
      </w:r>
      <w:r w:rsidRPr="00C44D2F">
        <w:rPr>
          <w:i/>
          <w:noProof/>
          <w:lang w:val="en-US"/>
        </w:rPr>
        <w:t>b</w:t>
      </w:r>
      <w:r w:rsidRPr="00C44D2F">
        <w:rPr>
          <w:rFonts w:hint="eastAsia"/>
          <w:i/>
          <w:noProof/>
          <w:lang w:val="fr-FR"/>
        </w:rPr>
        <w:t>é</w:t>
      </w:r>
      <w:r w:rsidRPr="00C44D2F">
        <w:rPr>
          <w:i/>
          <w:noProof/>
          <w:lang w:val="en-US"/>
        </w:rPr>
        <w:t>bé médicament</w:t>
      </w:r>
      <w:r>
        <w:rPr>
          <w:noProof/>
        </w:rPr>
        <w:t>-</w:t>
      </w:r>
      <w:r>
        <w:rPr>
          <w:rFonts w:hint="eastAsia"/>
          <w:noProof/>
        </w:rPr>
        <w:t>μωρό</w:t>
      </w:r>
      <w:r>
        <w:rPr>
          <w:noProof/>
        </w:rPr>
        <w:t xml:space="preserve"> φάρμακο </w:t>
      </w:r>
      <w:r>
        <w:rPr>
          <w:rFonts w:hint="eastAsia"/>
          <w:noProof/>
        </w:rPr>
        <w:t>ή</w:t>
      </w:r>
      <w:r>
        <w:rPr>
          <w:noProof/>
        </w:rPr>
        <w:t xml:space="preserve"> </w:t>
      </w:r>
      <w:r w:rsidRPr="00C44D2F">
        <w:rPr>
          <w:i/>
          <w:noProof/>
        </w:rPr>
        <w:t>bébé du douple espoir</w:t>
      </w:r>
      <w:r>
        <w:rPr>
          <w:noProof/>
        </w:rPr>
        <w:t>-</w:t>
      </w:r>
      <w:r>
        <w:rPr>
          <w:rFonts w:hint="eastAsia"/>
          <w:noProof/>
        </w:rPr>
        <w:t>μωρό</w:t>
      </w:r>
      <w:r>
        <w:rPr>
          <w:noProof/>
        </w:rPr>
        <w:t xml:space="preserve"> της διπλής ελπίδας)</w:t>
      </w:r>
      <w:r>
        <w:rPr>
          <w:noProof/>
        </w:rPr>
        <w:tab/>
      </w:r>
      <w:r>
        <w:rPr>
          <w:noProof/>
        </w:rPr>
        <w:fldChar w:fldCharType="begin"/>
      </w:r>
      <w:r>
        <w:rPr>
          <w:noProof/>
        </w:rPr>
        <w:instrText xml:space="preserve"> PAGEREF </w:instrText>
      </w:r>
      <w:r>
        <w:rPr>
          <w:rFonts w:hint="eastAsia"/>
          <w:noProof/>
        </w:rPr>
        <w:instrText>_Toc276574427 \h</w:instrText>
      </w:r>
      <w:r>
        <w:rPr>
          <w:noProof/>
        </w:rPr>
        <w:instrText xml:space="preserve"> </w:instrText>
      </w:r>
      <w:r>
        <w:rPr>
          <w:noProof/>
        </w:rPr>
      </w:r>
      <w:r>
        <w:rPr>
          <w:noProof/>
        </w:rPr>
        <w:fldChar w:fldCharType="separate"/>
      </w:r>
      <w:r>
        <w:rPr>
          <w:noProof/>
        </w:rPr>
        <w:t>152</w:t>
      </w:r>
      <w:r>
        <w:rPr>
          <w:noProof/>
        </w:rPr>
        <w:fldChar w:fldCharType="end"/>
      </w:r>
    </w:p>
    <w:p w14:paraId="0AAA3E34"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sidRPr="00C44D2F">
        <w:rPr>
          <w:noProof/>
        </w:rPr>
        <w:t>γ</w:t>
      </w:r>
      <w:r>
        <w:rPr>
          <w:noProof/>
        </w:rPr>
        <w:t>. Επιλογή φύλου</w:t>
      </w:r>
      <w:r>
        <w:rPr>
          <w:noProof/>
        </w:rPr>
        <w:tab/>
      </w:r>
      <w:r>
        <w:rPr>
          <w:noProof/>
        </w:rPr>
        <w:fldChar w:fldCharType="begin"/>
      </w:r>
      <w:r>
        <w:rPr>
          <w:noProof/>
        </w:rPr>
        <w:instrText xml:space="preserve"> PAGEREF _Toc276574428 \h </w:instrText>
      </w:r>
      <w:r>
        <w:rPr>
          <w:noProof/>
        </w:rPr>
      </w:r>
      <w:r>
        <w:rPr>
          <w:noProof/>
        </w:rPr>
        <w:fldChar w:fldCharType="separate"/>
      </w:r>
      <w:r>
        <w:rPr>
          <w:noProof/>
        </w:rPr>
        <w:t>153</w:t>
      </w:r>
      <w:r>
        <w:rPr>
          <w:noProof/>
        </w:rPr>
        <w:fldChar w:fldCharType="end"/>
      </w:r>
    </w:p>
    <w:p w14:paraId="40210E68"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Νομοθετική απαγόρευση επιλογής φύλου</w:t>
      </w:r>
      <w:r>
        <w:rPr>
          <w:noProof/>
        </w:rPr>
        <w:tab/>
      </w:r>
      <w:r>
        <w:rPr>
          <w:noProof/>
        </w:rPr>
        <w:fldChar w:fldCharType="begin"/>
      </w:r>
      <w:r>
        <w:rPr>
          <w:noProof/>
        </w:rPr>
        <w:instrText xml:space="preserve"> PAGEREF _Toc276574429 \h </w:instrText>
      </w:r>
      <w:r>
        <w:rPr>
          <w:noProof/>
        </w:rPr>
      </w:r>
      <w:r>
        <w:rPr>
          <w:noProof/>
        </w:rPr>
        <w:fldChar w:fldCharType="separate"/>
      </w:r>
      <w:r>
        <w:rPr>
          <w:noProof/>
        </w:rPr>
        <w:t>153</w:t>
      </w:r>
      <w:r>
        <w:rPr>
          <w:noProof/>
        </w:rPr>
        <w:fldChar w:fldCharType="end"/>
      </w:r>
    </w:p>
    <w:p w14:paraId="4F328A7D"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τις νομοθετικές προσταγές</w:t>
      </w:r>
      <w:r>
        <w:rPr>
          <w:noProof/>
        </w:rPr>
        <w:tab/>
      </w:r>
      <w:r>
        <w:rPr>
          <w:noProof/>
        </w:rPr>
        <w:fldChar w:fldCharType="begin"/>
      </w:r>
      <w:r>
        <w:rPr>
          <w:noProof/>
        </w:rPr>
        <w:instrText xml:space="preserve"> PAGEREF _Toc276574430 \h </w:instrText>
      </w:r>
      <w:r>
        <w:rPr>
          <w:noProof/>
        </w:rPr>
      </w:r>
      <w:r>
        <w:rPr>
          <w:noProof/>
        </w:rPr>
        <w:fldChar w:fldCharType="separate"/>
      </w:r>
      <w:r>
        <w:rPr>
          <w:noProof/>
        </w:rPr>
        <w:t>155</w:t>
      </w:r>
      <w:r>
        <w:rPr>
          <w:noProof/>
        </w:rPr>
        <w:fldChar w:fldCharType="end"/>
      </w:r>
    </w:p>
    <w:p w14:paraId="60F7CE07"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sidRPr="00C44D2F">
        <w:rPr>
          <w:noProof/>
        </w:rPr>
        <w:t>δ</w:t>
      </w:r>
      <w:r>
        <w:rPr>
          <w:noProof/>
        </w:rPr>
        <w:t>. Επεμβάσεις «βελτίωσης» του γενετικού υλικού</w:t>
      </w:r>
      <w:r>
        <w:rPr>
          <w:noProof/>
        </w:rPr>
        <w:tab/>
      </w:r>
      <w:r>
        <w:rPr>
          <w:noProof/>
        </w:rPr>
        <w:fldChar w:fldCharType="begin"/>
      </w:r>
      <w:r>
        <w:rPr>
          <w:noProof/>
        </w:rPr>
        <w:instrText xml:space="preserve"> PAGEREF _Toc276574431 \h </w:instrText>
      </w:r>
      <w:r>
        <w:rPr>
          <w:noProof/>
        </w:rPr>
      </w:r>
      <w:r>
        <w:rPr>
          <w:noProof/>
        </w:rPr>
        <w:fldChar w:fldCharType="separate"/>
      </w:r>
      <w:r>
        <w:rPr>
          <w:noProof/>
        </w:rPr>
        <w:t>156</w:t>
      </w:r>
      <w:r>
        <w:rPr>
          <w:noProof/>
        </w:rPr>
        <w:fldChar w:fldCharType="end"/>
      </w:r>
    </w:p>
    <w:p w14:paraId="1DA7BC9C"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Νομοθετική απαγόρευση «οργάνωσης επιλογής προσώπων»</w:t>
      </w:r>
      <w:r>
        <w:rPr>
          <w:noProof/>
        </w:rPr>
        <w:tab/>
      </w:r>
      <w:r>
        <w:rPr>
          <w:noProof/>
        </w:rPr>
        <w:fldChar w:fldCharType="begin"/>
      </w:r>
      <w:r>
        <w:rPr>
          <w:noProof/>
        </w:rPr>
        <w:instrText xml:space="preserve"> PAGEREF _Toc276574432 \h </w:instrText>
      </w:r>
      <w:r>
        <w:rPr>
          <w:noProof/>
        </w:rPr>
      </w:r>
      <w:r>
        <w:rPr>
          <w:noProof/>
        </w:rPr>
        <w:fldChar w:fldCharType="separate"/>
      </w:r>
      <w:r>
        <w:rPr>
          <w:noProof/>
        </w:rPr>
        <w:t>156</w:t>
      </w:r>
      <w:r>
        <w:rPr>
          <w:noProof/>
        </w:rPr>
        <w:fldChar w:fldCharType="end"/>
      </w:r>
    </w:p>
    <w:p w14:paraId="46FB6CE3"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Συνέπειες μη συμμόρφωσης με τις νομοθετικές προσταγές</w:t>
      </w:r>
      <w:r>
        <w:rPr>
          <w:noProof/>
        </w:rPr>
        <w:tab/>
      </w:r>
      <w:r>
        <w:rPr>
          <w:noProof/>
        </w:rPr>
        <w:fldChar w:fldCharType="begin"/>
      </w:r>
      <w:r>
        <w:rPr>
          <w:noProof/>
        </w:rPr>
        <w:instrText xml:space="preserve"> PAGEREF _Toc276574433 \h </w:instrText>
      </w:r>
      <w:r>
        <w:rPr>
          <w:noProof/>
        </w:rPr>
      </w:r>
      <w:r>
        <w:rPr>
          <w:noProof/>
        </w:rPr>
        <w:fldChar w:fldCharType="separate"/>
      </w:r>
      <w:r>
        <w:rPr>
          <w:noProof/>
        </w:rPr>
        <w:t>158</w:t>
      </w:r>
      <w:r>
        <w:rPr>
          <w:noProof/>
        </w:rPr>
        <w:fldChar w:fldCharType="end"/>
      </w:r>
    </w:p>
    <w:p w14:paraId="368D0D7E" w14:textId="77777777" w:rsidR="004450C9" w:rsidRDefault="004450C9">
      <w:pPr>
        <w:pStyle w:val="TOC1"/>
        <w:rPr>
          <w:rFonts w:asciiTheme="minorHAnsi" w:eastAsiaTheme="minorEastAsia" w:hAnsiTheme="minorHAnsi" w:cstheme="minorBidi"/>
          <w:b w:val="0"/>
          <w:noProof/>
          <w:szCs w:val="24"/>
          <w:lang w:val="en-US" w:eastAsia="ja-JP"/>
        </w:rPr>
      </w:pPr>
      <w:r>
        <w:rPr>
          <w:noProof/>
        </w:rPr>
        <w:t>ΙΙΙ. ΕΙΔΙΚΕΣ ΜΟΡΦΕΣ ΤΗΣ ΙΑΤΡΙΚΑ ΥΠΟΒΟΗΘΟΥΜΕΝΗΣ ΑΝΑΠΑΡΑΓΩΓΗΣ</w:t>
      </w:r>
      <w:r>
        <w:rPr>
          <w:noProof/>
        </w:rPr>
        <w:tab/>
      </w:r>
      <w:r>
        <w:rPr>
          <w:noProof/>
        </w:rPr>
        <w:fldChar w:fldCharType="begin"/>
      </w:r>
      <w:r>
        <w:rPr>
          <w:noProof/>
        </w:rPr>
        <w:instrText xml:space="preserve"> PAGEREF _Toc276574434 \h </w:instrText>
      </w:r>
      <w:r>
        <w:rPr>
          <w:noProof/>
        </w:rPr>
      </w:r>
      <w:r>
        <w:rPr>
          <w:noProof/>
        </w:rPr>
        <w:fldChar w:fldCharType="separate"/>
      </w:r>
      <w:r>
        <w:rPr>
          <w:noProof/>
        </w:rPr>
        <w:t>160</w:t>
      </w:r>
      <w:r>
        <w:rPr>
          <w:noProof/>
        </w:rPr>
        <w:fldChar w:fldCharType="end"/>
      </w:r>
    </w:p>
    <w:p w14:paraId="5C4B6A1F" w14:textId="77777777" w:rsidR="004450C9" w:rsidRDefault="004450C9">
      <w:pPr>
        <w:pStyle w:val="TOC2"/>
        <w:rPr>
          <w:rFonts w:asciiTheme="minorHAnsi" w:eastAsiaTheme="minorEastAsia" w:hAnsiTheme="minorHAnsi" w:cstheme="minorBidi"/>
          <w:noProof/>
          <w:sz w:val="24"/>
          <w:szCs w:val="24"/>
          <w:lang w:val="en-US" w:eastAsia="ja-JP"/>
        </w:rPr>
      </w:pPr>
      <w:r w:rsidRPr="00C44D2F">
        <w:rPr>
          <w:noProof/>
        </w:rPr>
        <w:t>Α</w:t>
      </w:r>
      <w:r>
        <w:rPr>
          <w:noProof/>
        </w:rPr>
        <w:t>. Μεταθανάτια Ιατρικά Υποβοηθούμενη Αναπαραγωγή</w:t>
      </w:r>
      <w:r>
        <w:rPr>
          <w:noProof/>
        </w:rPr>
        <w:tab/>
      </w:r>
      <w:r>
        <w:rPr>
          <w:noProof/>
        </w:rPr>
        <w:fldChar w:fldCharType="begin"/>
      </w:r>
      <w:r>
        <w:rPr>
          <w:noProof/>
        </w:rPr>
        <w:instrText xml:space="preserve"> PAGEREF _Toc276574435 \h </w:instrText>
      </w:r>
      <w:r>
        <w:rPr>
          <w:noProof/>
        </w:rPr>
      </w:r>
      <w:r>
        <w:rPr>
          <w:noProof/>
        </w:rPr>
        <w:fldChar w:fldCharType="separate"/>
      </w:r>
      <w:r>
        <w:rPr>
          <w:noProof/>
        </w:rPr>
        <w:t>160</w:t>
      </w:r>
      <w:r>
        <w:rPr>
          <w:noProof/>
        </w:rPr>
        <w:fldChar w:fldCharType="end"/>
      </w:r>
    </w:p>
    <w:p w14:paraId="54330ED0"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α. Η νομοθετική απαγόρευση της μεταθανάτιας ιατρικά υποβοηθούμενης αναπαραγωγής: από τις νομολογιακές εξελίξεις στην αναγκαία διάκριση μεταξύ μεταθανάτιας γονιμοποίησης και μεταθανάτιας μεταφοράς εμβρύων</w:t>
      </w:r>
      <w:r>
        <w:rPr>
          <w:noProof/>
        </w:rPr>
        <w:tab/>
      </w:r>
      <w:r>
        <w:rPr>
          <w:noProof/>
        </w:rPr>
        <w:fldChar w:fldCharType="begin"/>
      </w:r>
      <w:r>
        <w:rPr>
          <w:noProof/>
        </w:rPr>
        <w:instrText xml:space="preserve"> PAGEREF _Toc276574436 \h </w:instrText>
      </w:r>
      <w:r>
        <w:rPr>
          <w:noProof/>
        </w:rPr>
      </w:r>
      <w:r>
        <w:rPr>
          <w:noProof/>
        </w:rPr>
        <w:fldChar w:fldCharType="separate"/>
      </w:r>
      <w:r>
        <w:rPr>
          <w:noProof/>
        </w:rPr>
        <w:t>160</w:t>
      </w:r>
      <w:r>
        <w:rPr>
          <w:noProof/>
        </w:rPr>
        <w:fldChar w:fldCharType="end"/>
      </w:r>
    </w:p>
    <w:p w14:paraId="45CC1C73"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§1. Η διαμορφωθείσα νομολογία πριν τη ρητή νομοθετική απαγόρευση της μεταθανάτιας ιατρικά υποβοηθούμενης αναπαραγωγής</w:t>
      </w:r>
      <w:r>
        <w:rPr>
          <w:noProof/>
        </w:rPr>
        <w:tab/>
      </w:r>
      <w:r>
        <w:rPr>
          <w:noProof/>
        </w:rPr>
        <w:fldChar w:fldCharType="begin"/>
      </w:r>
      <w:r>
        <w:rPr>
          <w:noProof/>
        </w:rPr>
        <w:instrText xml:space="preserve"> PAGEREF _Toc276574437 \h </w:instrText>
      </w:r>
      <w:r>
        <w:rPr>
          <w:noProof/>
        </w:rPr>
      </w:r>
      <w:r>
        <w:rPr>
          <w:noProof/>
        </w:rPr>
        <w:fldChar w:fldCharType="separate"/>
      </w:r>
      <w:r>
        <w:rPr>
          <w:noProof/>
        </w:rPr>
        <w:t>160</w:t>
      </w:r>
      <w:r>
        <w:rPr>
          <w:noProof/>
        </w:rPr>
        <w:fldChar w:fldCharType="end"/>
      </w:r>
    </w:p>
    <w:p w14:paraId="426C4E48" w14:textId="77777777" w:rsidR="004450C9" w:rsidRDefault="004450C9">
      <w:pPr>
        <w:pStyle w:val="TOC4"/>
        <w:rPr>
          <w:rFonts w:asciiTheme="minorHAnsi" w:eastAsiaTheme="minorEastAsia" w:hAnsiTheme="minorHAnsi" w:cstheme="minorBidi"/>
          <w:i w:val="0"/>
          <w:noProof/>
          <w:sz w:val="24"/>
          <w:szCs w:val="24"/>
          <w:lang w:val="en-US" w:eastAsia="ja-JP"/>
        </w:rPr>
      </w:pPr>
      <w:r>
        <w:rPr>
          <w:noProof/>
        </w:rPr>
        <w:t>§2. Η ρητή νομοθετική απαγόρευση της μεταθανάτιας ιατρικά υποβοηθούμενης αναπαραγωγής</w:t>
      </w:r>
      <w:r>
        <w:rPr>
          <w:noProof/>
        </w:rPr>
        <w:tab/>
      </w:r>
      <w:r>
        <w:rPr>
          <w:noProof/>
        </w:rPr>
        <w:fldChar w:fldCharType="begin"/>
      </w:r>
      <w:r>
        <w:rPr>
          <w:noProof/>
        </w:rPr>
        <w:instrText xml:space="preserve"> PAGEREF _Toc276574438 \h </w:instrText>
      </w:r>
      <w:r>
        <w:rPr>
          <w:noProof/>
        </w:rPr>
      </w:r>
      <w:r>
        <w:rPr>
          <w:noProof/>
        </w:rPr>
        <w:fldChar w:fldCharType="separate"/>
      </w:r>
      <w:r>
        <w:rPr>
          <w:noProof/>
        </w:rPr>
        <w:t>164</w:t>
      </w:r>
      <w:r>
        <w:rPr>
          <w:noProof/>
        </w:rPr>
        <w:fldChar w:fldCharType="end"/>
      </w:r>
    </w:p>
    <w:p w14:paraId="5003E637" w14:textId="77777777" w:rsidR="004450C9" w:rsidRDefault="004450C9">
      <w:pPr>
        <w:pStyle w:val="TOC3"/>
        <w:tabs>
          <w:tab w:val="right" w:leader="underscore" w:pos="9204"/>
        </w:tabs>
        <w:rPr>
          <w:rFonts w:asciiTheme="minorHAnsi" w:eastAsiaTheme="minorEastAsia" w:hAnsiTheme="minorHAnsi" w:cstheme="minorBidi"/>
          <w:noProof/>
          <w:sz w:val="24"/>
          <w:szCs w:val="24"/>
          <w:lang w:val="en-US" w:eastAsia="ja-JP"/>
        </w:rPr>
      </w:pPr>
      <w:r>
        <w:rPr>
          <w:noProof/>
        </w:rPr>
        <w:t>β. Μη συμμόρφωση με τις νομοθετικές προσταγές</w:t>
      </w:r>
      <w:r>
        <w:rPr>
          <w:noProof/>
        </w:rPr>
        <w:tab/>
      </w:r>
      <w:r>
        <w:rPr>
          <w:noProof/>
        </w:rPr>
        <w:fldChar w:fldCharType="begin"/>
      </w:r>
      <w:r>
        <w:rPr>
          <w:noProof/>
        </w:rPr>
        <w:instrText xml:space="preserve"> PAGEREF _Toc276574439 \h </w:instrText>
      </w:r>
      <w:r>
        <w:rPr>
          <w:noProof/>
        </w:rPr>
      </w:r>
      <w:r>
        <w:rPr>
          <w:noProof/>
        </w:rPr>
        <w:fldChar w:fldCharType="separate"/>
      </w:r>
      <w:r>
        <w:rPr>
          <w:noProof/>
        </w:rPr>
        <w:t>176</w:t>
      </w:r>
      <w:r>
        <w:rPr>
          <w:noProof/>
        </w:rPr>
        <w:fldChar w:fldCharType="end"/>
      </w:r>
    </w:p>
    <w:p w14:paraId="40A39F73" w14:textId="77777777" w:rsidR="004450C9" w:rsidRDefault="004450C9">
      <w:pPr>
        <w:pStyle w:val="TOC2"/>
        <w:rPr>
          <w:rFonts w:asciiTheme="minorHAnsi" w:eastAsiaTheme="minorEastAsia" w:hAnsiTheme="minorHAnsi" w:cstheme="minorBidi"/>
          <w:noProof/>
          <w:sz w:val="24"/>
          <w:szCs w:val="24"/>
          <w:lang w:val="en-US" w:eastAsia="ja-JP"/>
        </w:rPr>
      </w:pPr>
      <w:r>
        <w:rPr>
          <w:noProof/>
        </w:rPr>
        <w:t>Β. Παρένθετη Μητρότητα</w:t>
      </w:r>
      <w:r>
        <w:rPr>
          <w:noProof/>
        </w:rPr>
        <w:tab/>
      </w:r>
      <w:r>
        <w:rPr>
          <w:noProof/>
        </w:rPr>
        <w:fldChar w:fldCharType="begin"/>
      </w:r>
      <w:r>
        <w:rPr>
          <w:noProof/>
        </w:rPr>
        <w:instrText xml:space="preserve"> PAGEREF _Toc276574440 \h </w:instrText>
      </w:r>
      <w:r>
        <w:rPr>
          <w:noProof/>
        </w:rPr>
      </w:r>
      <w:r>
        <w:rPr>
          <w:noProof/>
        </w:rPr>
        <w:fldChar w:fldCharType="separate"/>
      </w:r>
      <w:r>
        <w:rPr>
          <w:noProof/>
        </w:rPr>
        <w:t>178</w:t>
      </w:r>
      <w:r>
        <w:rPr>
          <w:noProof/>
        </w:rPr>
        <w:fldChar w:fldCharType="end"/>
      </w:r>
    </w:p>
    <w:p w14:paraId="6028E5F4" w14:textId="77777777" w:rsidR="004450C9" w:rsidRDefault="004450C9">
      <w:pPr>
        <w:pStyle w:val="TOC2"/>
        <w:rPr>
          <w:rFonts w:asciiTheme="minorHAnsi" w:eastAsiaTheme="minorEastAsia" w:hAnsiTheme="minorHAnsi" w:cstheme="minorBidi"/>
          <w:noProof/>
          <w:sz w:val="24"/>
          <w:szCs w:val="24"/>
          <w:lang w:val="en-US" w:eastAsia="ja-JP"/>
        </w:rPr>
      </w:pPr>
      <w:r>
        <w:rPr>
          <w:noProof/>
        </w:rPr>
        <w:t>Γ. Κλωνοποίηση</w:t>
      </w:r>
      <w:r>
        <w:rPr>
          <w:noProof/>
        </w:rPr>
        <w:tab/>
      </w:r>
      <w:r>
        <w:rPr>
          <w:noProof/>
        </w:rPr>
        <w:fldChar w:fldCharType="begin"/>
      </w:r>
      <w:r>
        <w:rPr>
          <w:noProof/>
        </w:rPr>
        <w:instrText xml:space="preserve"> PAGEREF _Toc276574441 \h </w:instrText>
      </w:r>
      <w:r>
        <w:rPr>
          <w:noProof/>
        </w:rPr>
      </w:r>
      <w:r>
        <w:rPr>
          <w:noProof/>
        </w:rPr>
        <w:fldChar w:fldCharType="separate"/>
      </w:r>
      <w:r>
        <w:rPr>
          <w:noProof/>
        </w:rPr>
        <w:t>179</w:t>
      </w:r>
      <w:r>
        <w:rPr>
          <w:noProof/>
        </w:rPr>
        <w:fldChar w:fldCharType="end"/>
      </w:r>
    </w:p>
    <w:p w14:paraId="1C0AA00E" w14:textId="77777777" w:rsidR="004450C9" w:rsidRDefault="004450C9">
      <w:pPr>
        <w:pStyle w:val="TOC1"/>
        <w:rPr>
          <w:rFonts w:asciiTheme="minorHAnsi" w:eastAsiaTheme="minorEastAsia" w:hAnsiTheme="minorHAnsi" w:cstheme="minorBidi"/>
          <w:b w:val="0"/>
          <w:noProof/>
          <w:szCs w:val="24"/>
          <w:lang w:val="en-US" w:eastAsia="ja-JP"/>
        </w:rPr>
      </w:pPr>
      <w:r>
        <w:rPr>
          <w:noProof/>
        </w:rPr>
        <w:t>Ι</w:t>
      </w:r>
      <w:r w:rsidRPr="00C44D2F">
        <w:rPr>
          <w:noProof/>
          <w:lang w:val="en-US"/>
        </w:rPr>
        <w:t>V</w:t>
      </w:r>
      <w:r>
        <w:rPr>
          <w:noProof/>
        </w:rPr>
        <w:t xml:space="preserve">. ΥΠΟΒΟΗΘΟΥΜΕΝΗ ΑΝΑΠΑΡΑΓΩΓΗ </w:t>
      </w:r>
      <w:r w:rsidRPr="00C44D2F">
        <w:rPr>
          <w:noProof/>
        </w:rPr>
        <w:t>ΚΑΙ</w:t>
      </w:r>
      <w:r>
        <w:rPr>
          <w:noProof/>
        </w:rPr>
        <w:t xml:space="preserve"> ΕΝΑΛΛΑΚΤΙΚΑ ΟΙΚΟΓΕΝΕΙΑΚΑ ΣΧΗΜΑΤΑ</w:t>
      </w:r>
      <w:r>
        <w:rPr>
          <w:noProof/>
        </w:rPr>
        <w:tab/>
      </w:r>
      <w:r>
        <w:rPr>
          <w:noProof/>
        </w:rPr>
        <w:fldChar w:fldCharType="begin"/>
      </w:r>
      <w:r>
        <w:rPr>
          <w:noProof/>
        </w:rPr>
        <w:instrText xml:space="preserve"> PAGEREF _Toc276574442 \h </w:instrText>
      </w:r>
      <w:r>
        <w:rPr>
          <w:noProof/>
        </w:rPr>
      </w:r>
      <w:r>
        <w:rPr>
          <w:noProof/>
        </w:rPr>
        <w:fldChar w:fldCharType="separate"/>
      </w:r>
      <w:r>
        <w:rPr>
          <w:noProof/>
        </w:rPr>
        <w:t>183</w:t>
      </w:r>
      <w:r>
        <w:rPr>
          <w:noProof/>
        </w:rPr>
        <w:fldChar w:fldCharType="end"/>
      </w:r>
    </w:p>
    <w:p w14:paraId="5EAAE777" w14:textId="77777777" w:rsidR="004450C9" w:rsidRDefault="004450C9">
      <w:pPr>
        <w:pStyle w:val="TOC2"/>
        <w:rPr>
          <w:rFonts w:asciiTheme="minorHAnsi" w:eastAsiaTheme="minorEastAsia" w:hAnsiTheme="minorHAnsi" w:cstheme="minorBidi"/>
          <w:noProof/>
          <w:sz w:val="24"/>
          <w:szCs w:val="24"/>
          <w:lang w:val="en-US" w:eastAsia="ja-JP"/>
        </w:rPr>
      </w:pPr>
      <w:r>
        <w:rPr>
          <w:noProof/>
        </w:rPr>
        <w:t>Α. Μοναχικές γυναίκες</w:t>
      </w:r>
      <w:r>
        <w:rPr>
          <w:noProof/>
        </w:rPr>
        <w:tab/>
      </w:r>
      <w:r>
        <w:rPr>
          <w:noProof/>
        </w:rPr>
        <w:fldChar w:fldCharType="begin"/>
      </w:r>
      <w:r>
        <w:rPr>
          <w:noProof/>
        </w:rPr>
        <w:instrText xml:space="preserve"> PAGEREF _Toc276574443 \h </w:instrText>
      </w:r>
      <w:r>
        <w:rPr>
          <w:noProof/>
        </w:rPr>
      </w:r>
      <w:r>
        <w:rPr>
          <w:noProof/>
        </w:rPr>
        <w:fldChar w:fldCharType="separate"/>
      </w:r>
      <w:r>
        <w:rPr>
          <w:noProof/>
        </w:rPr>
        <w:t>183</w:t>
      </w:r>
      <w:r>
        <w:rPr>
          <w:noProof/>
        </w:rPr>
        <w:fldChar w:fldCharType="end"/>
      </w:r>
    </w:p>
    <w:p w14:paraId="5D7EAAC7" w14:textId="77777777" w:rsidR="004450C9" w:rsidRDefault="004450C9">
      <w:pPr>
        <w:pStyle w:val="TOC2"/>
        <w:rPr>
          <w:rFonts w:asciiTheme="minorHAnsi" w:eastAsiaTheme="minorEastAsia" w:hAnsiTheme="minorHAnsi" w:cstheme="minorBidi"/>
          <w:noProof/>
          <w:sz w:val="24"/>
          <w:szCs w:val="24"/>
          <w:lang w:val="en-US" w:eastAsia="ja-JP"/>
        </w:rPr>
      </w:pPr>
      <w:r>
        <w:rPr>
          <w:noProof/>
        </w:rPr>
        <w:t>Β. Μοναχικός άνδρας</w:t>
      </w:r>
      <w:r>
        <w:rPr>
          <w:noProof/>
        </w:rPr>
        <w:tab/>
      </w:r>
      <w:r>
        <w:rPr>
          <w:noProof/>
        </w:rPr>
        <w:fldChar w:fldCharType="begin"/>
      </w:r>
      <w:r>
        <w:rPr>
          <w:noProof/>
        </w:rPr>
        <w:instrText xml:space="preserve"> PAGEREF _Toc276574444 \h </w:instrText>
      </w:r>
      <w:r>
        <w:rPr>
          <w:noProof/>
        </w:rPr>
      </w:r>
      <w:r>
        <w:rPr>
          <w:noProof/>
        </w:rPr>
        <w:fldChar w:fldCharType="separate"/>
      </w:r>
      <w:r>
        <w:rPr>
          <w:noProof/>
        </w:rPr>
        <w:t>183</w:t>
      </w:r>
      <w:r>
        <w:rPr>
          <w:noProof/>
        </w:rPr>
        <w:fldChar w:fldCharType="end"/>
      </w:r>
    </w:p>
    <w:p w14:paraId="5F6A795F" w14:textId="77777777" w:rsidR="004450C9" w:rsidRDefault="004450C9">
      <w:pPr>
        <w:pStyle w:val="TOC2"/>
        <w:rPr>
          <w:rFonts w:asciiTheme="minorHAnsi" w:eastAsiaTheme="minorEastAsia" w:hAnsiTheme="minorHAnsi" w:cstheme="minorBidi"/>
          <w:noProof/>
          <w:sz w:val="24"/>
          <w:szCs w:val="24"/>
          <w:lang w:val="en-US" w:eastAsia="ja-JP"/>
        </w:rPr>
      </w:pPr>
      <w:r>
        <w:rPr>
          <w:noProof/>
        </w:rPr>
        <w:t>Γ. Ομόφυλα ζευγάρια</w:t>
      </w:r>
      <w:r>
        <w:rPr>
          <w:noProof/>
        </w:rPr>
        <w:tab/>
      </w:r>
      <w:r>
        <w:rPr>
          <w:noProof/>
        </w:rPr>
        <w:fldChar w:fldCharType="begin"/>
      </w:r>
      <w:r>
        <w:rPr>
          <w:noProof/>
        </w:rPr>
        <w:instrText xml:space="preserve"> PAGEREF _Toc276574445 \h </w:instrText>
      </w:r>
      <w:r>
        <w:rPr>
          <w:noProof/>
        </w:rPr>
      </w:r>
      <w:r>
        <w:rPr>
          <w:noProof/>
        </w:rPr>
        <w:fldChar w:fldCharType="separate"/>
      </w:r>
      <w:r>
        <w:rPr>
          <w:noProof/>
        </w:rPr>
        <w:t>183</w:t>
      </w:r>
      <w:r>
        <w:rPr>
          <w:noProof/>
        </w:rPr>
        <w:fldChar w:fldCharType="end"/>
      </w:r>
    </w:p>
    <w:p w14:paraId="648600BC" w14:textId="231023F6" w:rsidR="004450C9" w:rsidRPr="004450C9" w:rsidRDefault="004450C9" w:rsidP="004450C9">
      <w:pPr>
        <w:pStyle w:val="TOC1"/>
        <w:rPr>
          <w:rFonts w:asciiTheme="minorHAnsi" w:eastAsiaTheme="minorEastAsia" w:hAnsiTheme="minorHAnsi" w:cstheme="minorBidi"/>
          <w:b w:val="0"/>
          <w:noProof/>
          <w:szCs w:val="24"/>
          <w:lang w:val="en-US" w:eastAsia="ja-JP"/>
        </w:rPr>
      </w:pPr>
      <w:r w:rsidRPr="00C44D2F">
        <w:rPr>
          <w:noProof/>
          <w:lang w:val="en-GB"/>
        </w:rPr>
        <w:t>V</w:t>
      </w:r>
      <w:r>
        <w:rPr>
          <w:noProof/>
        </w:rPr>
        <w:t>Ι. ΘΕΜΑΤΑ ΒΙΟΗΘΙΚΗΣ ΣΤΗΝ ΥΠΟΒΟΗΘΟΥΜΕΝΗ ΑΝΑΠΑΡΑΓΩΓΗ</w:t>
      </w:r>
      <w:r>
        <w:rPr>
          <w:noProof/>
        </w:rPr>
        <w:tab/>
      </w:r>
      <w:r>
        <w:rPr>
          <w:noProof/>
        </w:rPr>
        <w:fldChar w:fldCharType="begin"/>
      </w:r>
      <w:r>
        <w:rPr>
          <w:noProof/>
        </w:rPr>
        <w:instrText xml:space="preserve"> PAGEREF _Toc276574446 \h </w:instrText>
      </w:r>
      <w:r>
        <w:rPr>
          <w:noProof/>
        </w:rPr>
      </w:r>
      <w:r>
        <w:rPr>
          <w:noProof/>
        </w:rPr>
        <w:fldChar w:fldCharType="separate"/>
      </w:r>
      <w:r>
        <w:rPr>
          <w:noProof/>
        </w:rPr>
        <w:t>184</w:t>
      </w:r>
      <w:r>
        <w:rPr>
          <w:noProof/>
        </w:rPr>
        <w:fldChar w:fldCharType="end"/>
      </w:r>
    </w:p>
    <w:p w14:paraId="03D706AA" w14:textId="77777777" w:rsidR="004450C9" w:rsidRDefault="004450C9">
      <w:pPr>
        <w:pStyle w:val="TOC1"/>
        <w:rPr>
          <w:rFonts w:asciiTheme="minorHAnsi" w:eastAsiaTheme="minorEastAsia" w:hAnsiTheme="minorHAnsi" w:cstheme="minorBidi"/>
          <w:b w:val="0"/>
          <w:noProof/>
          <w:szCs w:val="24"/>
          <w:lang w:val="en-US" w:eastAsia="ja-JP"/>
        </w:rPr>
      </w:pPr>
      <w:r w:rsidRPr="00C44D2F">
        <w:rPr>
          <w:noProof/>
          <w:lang w:val="en-US"/>
        </w:rPr>
        <w:t xml:space="preserve">VII. </w:t>
      </w:r>
      <w:r>
        <w:rPr>
          <w:noProof/>
        </w:rPr>
        <w:t>ΤΑ «ΟΙΚΟΝΟΜΙΚΑ» ΤΗΣ ΙΑΤΡΙΚΑ ΥΠΟΟΒΟΗΘΟΥΜΕΝΗΣ ΑΝΑΠΑΡΑΓΩΓΗΣ</w:t>
      </w:r>
      <w:r>
        <w:rPr>
          <w:noProof/>
        </w:rPr>
        <w:tab/>
      </w:r>
      <w:r>
        <w:rPr>
          <w:noProof/>
        </w:rPr>
        <w:fldChar w:fldCharType="begin"/>
      </w:r>
      <w:r>
        <w:rPr>
          <w:noProof/>
        </w:rPr>
        <w:instrText xml:space="preserve"> PAGEREF _Toc276574452 \h </w:instrText>
      </w:r>
      <w:r>
        <w:rPr>
          <w:noProof/>
        </w:rPr>
      </w:r>
      <w:r>
        <w:rPr>
          <w:noProof/>
        </w:rPr>
        <w:fldChar w:fldCharType="separate"/>
      </w:r>
      <w:r>
        <w:rPr>
          <w:noProof/>
        </w:rPr>
        <w:t>186</w:t>
      </w:r>
      <w:r>
        <w:rPr>
          <w:noProof/>
        </w:rPr>
        <w:fldChar w:fldCharType="end"/>
      </w:r>
    </w:p>
    <w:p w14:paraId="6B275D7B" w14:textId="77777777" w:rsidR="004450C9" w:rsidRDefault="004450C9">
      <w:pPr>
        <w:pStyle w:val="TOC1"/>
        <w:rPr>
          <w:rFonts w:asciiTheme="minorHAnsi" w:eastAsiaTheme="minorEastAsia" w:hAnsiTheme="minorHAnsi" w:cstheme="minorBidi"/>
          <w:b w:val="0"/>
          <w:noProof/>
          <w:szCs w:val="24"/>
          <w:lang w:val="en-US" w:eastAsia="ja-JP"/>
        </w:rPr>
      </w:pPr>
      <w:r w:rsidRPr="00C44D2F">
        <w:rPr>
          <w:noProof/>
          <w:lang w:val="en-US"/>
        </w:rPr>
        <w:t xml:space="preserve">IX.  </w:t>
      </w:r>
      <w:r>
        <w:rPr>
          <w:noProof/>
        </w:rPr>
        <w:t>ΖΗΤΗΜΑΤΑ ΙΔΙΩΤΙΚΟΥ ΔΙΕΘΝΟΥΣ ΔΙΚΑΙΟΥ ΣΤΗΝ ΥΠΟΒΟΗΘΟΥΜΕΝΗ ΑΝΑΠΑΡΑΓΩΓΗ</w:t>
      </w:r>
      <w:r>
        <w:rPr>
          <w:noProof/>
        </w:rPr>
        <w:tab/>
      </w:r>
      <w:r>
        <w:rPr>
          <w:noProof/>
        </w:rPr>
        <w:fldChar w:fldCharType="begin"/>
      </w:r>
      <w:r>
        <w:rPr>
          <w:noProof/>
        </w:rPr>
        <w:instrText xml:space="preserve"> PAGEREF _Toc276574453 \h </w:instrText>
      </w:r>
      <w:r>
        <w:rPr>
          <w:noProof/>
        </w:rPr>
      </w:r>
      <w:r>
        <w:rPr>
          <w:noProof/>
        </w:rPr>
        <w:fldChar w:fldCharType="separate"/>
      </w:r>
      <w:r>
        <w:rPr>
          <w:noProof/>
        </w:rPr>
        <w:t>187</w:t>
      </w:r>
      <w:r>
        <w:rPr>
          <w:noProof/>
        </w:rPr>
        <w:fldChar w:fldCharType="end"/>
      </w:r>
    </w:p>
    <w:p w14:paraId="603A1A96" w14:textId="77777777" w:rsidR="004450C9" w:rsidRDefault="004450C9">
      <w:pPr>
        <w:pStyle w:val="TOC1"/>
        <w:rPr>
          <w:rFonts w:asciiTheme="minorHAnsi" w:eastAsiaTheme="minorEastAsia" w:hAnsiTheme="minorHAnsi" w:cstheme="minorBidi"/>
          <w:b w:val="0"/>
          <w:noProof/>
          <w:szCs w:val="24"/>
          <w:lang w:val="en-US" w:eastAsia="ja-JP"/>
        </w:rPr>
      </w:pPr>
      <w:r>
        <w:rPr>
          <w:noProof/>
        </w:rPr>
        <w:t>ΣΥΜΠΕΡΑΣΜΑΤΙΚΕΣ ΠΑΡΑΤΗΡΗΣΕΙΣ</w:t>
      </w:r>
      <w:r>
        <w:rPr>
          <w:noProof/>
        </w:rPr>
        <w:tab/>
      </w:r>
      <w:r>
        <w:rPr>
          <w:noProof/>
        </w:rPr>
        <w:fldChar w:fldCharType="begin"/>
      </w:r>
      <w:r>
        <w:rPr>
          <w:noProof/>
        </w:rPr>
        <w:instrText xml:space="preserve"> PAGEREF _Toc276574454 \h </w:instrText>
      </w:r>
      <w:r>
        <w:rPr>
          <w:noProof/>
        </w:rPr>
      </w:r>
      <w:r>
        <w:rPr>
          <w:noProof/>
        </w:rPr>
        <w:fldChar w:fldCharType="separate"/>
      </w:r>
      <w:r>
        <w:rPr>
          <w:noProof/>
        </w:rPr>
        <w:t>188</w:t>
      </w:r>
      <w:r>
        <w:rPr>
          <w:noProof/>
        </w:rPr>
        <w:fldChar w:fldCharType="end"/>
      </w:r>
    </w:p>
    <w:p w14:paraId="301AE3B4" w14:textId="77777777" w:rsidR="004450C9" w:rsidRDefault="004450C9">
      <w:pPr>
        <w:pStyle w:val="TOC1"/>
        <w:rPr>
          <w:rFonts w:asciiTheme="minorHAnsi" w:eastAsiaTheme="minorEastAsia" w:hAnsiTheme="minorHAnsi" w:cstheme="minorBidi"/>
          <w:b w:val="0"/>
          <w:noProof/>
          <w:szCs w:val="24"/>
          <w:lang w:val="en-US" w:eastAsia="ja-JP"/>
        </w:rPr>
      </w:pPr>
      <w:r>
        <w:rPr>
          <w:noProof/>
        </w:rPr>
        <w:t>ΒΙΒΛΙΟΓΡΑΦΙΑ</w:t>
      </w:r>
      <w:r>
        <w:rPr>
          <w:noProof/>
        </w:rPr>
        <w:tab/>
      </w:r>
      <w:r>
        <w:rPr>
          <w:noProof/>
        </w:rPr>
        <w:fldChar w:fldCharType="begin"/>
      </w:r>
      <w:r>
        <w:rPr>
          <w:noProof/>
        </w:rPr>
        <w:instrText xml:space="preserve"> PAGEREF _Toc276574455 \h </w:instrText>
      </w:r>
      <w:r>
        <w:rPr>
          <w:noProof/>
        </w:rPr>
      </w:r>
      <w:r>
        <w:rPr>
          <w:noProof/>
        </w:rPr>
        <w:fldChar w:fldCharType="separate"/>
      </w:r>
      <w:r>
        <w:rPr>
          <w:noProof/>
        </w:rPr>
        <w:t>189</w:t>
      </w:r>
      <w:r>
        <w:rPr>
          <w:noProof/>
        </w:rPr>
        <w:fldChar w:fldCharType="end"/>
      </w:r>
    </w:p>
    <w:p w14:paraId="7009020F" w14:textId="77777777" w:rsidR="004450C9" w:rsidRDefault="004450C9">
      <w:pPr>
        <w:pStyle w:val="TOC1"/>
        <w:rPr>
          <w:rFonts w:asciiTheme="minorHAnsi" w:eastAsiaTheme="minorEastAsia" w:hAnsiTheme="minorHAnsi" w:cstheme="minorBidi"/>
          <w:b w:val="0"/>
          <w:noProof/>
          <w:szCs w:val="24"/>
          <w:lang w:val="en-US" w:eastAsia="ja-JP"/>
        </w:rPr>
      </w:pPr>
      <w:r>
        <w:rPr>
          <w:noProof/>
        </w:rPr>
        <w:t>ΠΕΡΙΕΧΟΜΕΝΑ</w:t>
      </w:r>
      <w:r>
        <w:rPr>
          <w:noProof/>
        </w:rPr>
        <w:tab/>
      </w:r>
      <w:r>
        <w:rPr>
          <w:noProof/>
        </w:rPr>
        <w:fldChar w:fldCharType="begin"/>
      </w:r>
      <w:r>
        <w:rPr>
          <w:noProof/>
        </w:rPr>
        <w:instrText xml:space="preserve"> PAGEREF _Toc276574480 \h </w:instrText>
      </w:r>
      <w:r>
        <w:rPr>
          <w:noProof/>
        </w:rPr>
      </w:r>
      <w:r>
        <w:rPr>
          <w:noProof/>
        </w:rPr>
        <w:fldChar w:fldCharType="separate"/>
      </w:r>
      <w:r>
        <w:rPr>
          <w:noProof/>
        </w:rPr>
        <w:t>197</w:t>
      </w:r>
      <w:r>
        <w:rPr>
          <w:noProof/>
        </w:rPr>
        <w:fldChar w:fldCharType="end"/>
      </w:r>
    </w:p>
    <w:p w14:paraId="0AD05062" w14:textId="77777777" w:rsidR="00B820A3" w:rsidRPr="00353ACB" w:rsidRDefault="00B820A3" w:rsidP="00463C6E">
      <w:pPr>
        <w:rPr>
          <w:lang w:val="en-US"/>
        </w:rPr>
      </w:pPr>
      <w:r>
        <w:rPr>
          <w:lang w:val="en-US"/>
        </w:rPr>
        <w:fldChar w:fldCharType="end"/>
      </w:r>
    </w:p>
    <w:sectPr w:rsidR="00B820A3" w:rsidRPr="00353ACB" w:rsidSect="00F21821">
      <w:footerReference w:type="even" r:id="rId34"/>
      <w:footerReference w:type="default" r:id="rId35"/>
      <w:pgSz w:w="11906" w:h="16838"/>
      <w:pgMar w:top="1134" w:right="1416" w:bottom="851" w:left="1276"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B6FA7" w14:textId="77777777" w:rsidR="00E47260" w:rsidRDefault="00E47260">
      <w:r>
        <w:separator/>
      </w:r>
    </w:p>
  </w:endnote>
  <w:endnote w:type="continuationSeparator" w:id="0">
    <w:p w14:paraId="40630063" w14:textId="77777777" w:rsidR="00E47260" w:rsidRDefault="00E47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55"/>
    <w:family w:val="auto"/>
    <w:pitch w:val="variable"/>
    <w:sig w:usb0="00000081" w:usb1="00000000" w:usb2="00000000" w:usb3="00000000" w:csb0="00000008" w:csb1="00000000"/>
  </w:font>
  <w:font w:name="Courier New">
    <w:panose1 w:val="02070309020205020404"/>
    <w:charset w:val="55"/>
    <w:family w:val="auto"/>
    <w:pitch w:val="variable"/>
    <w:sig w:usb0="00000081" w:usb1="00000000" w:usb2="00000000" w:usb3="00000000" w:csb0="00000008"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55"/>
    <w:family w:val="auto"/>
    <w:pitch w:val="variable"/>
    <w:sig w:usb0="00000081" w:usb1="00000000" w:usb2="00000000" w:usb3="00000000" w:csb0="00000008" w:csb1="00000000"/>
  </w:font>
  <w:font w:name="Century Schoolbook">
    <w:panose1 w:val="02040604050505020304"/>
    <w:charset w:val="55"/>
    <w:family w:val="auto"/>
    <w:pitch w:val="variable"/>
    <w:sig w:usb0="00000083" w:usb1="00000000" w:usb2="00000000" w:usb3="00000000" w:csb0="00000009"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55"/>
    <w:family w:val="auto"/>
    <w:pitch w:val="variable"/>
    <w:sig w:usb0="00000081" w:usb1="00000000" w:usb2="00000000" w:usb3="00000000" w:csb0="00000008" w:csb1="00000000"/>
  </w:font>
  <w:font w:name="Cambria">
    <w:panose1 w:val="02040503050406030204"/>
    <w:charset w:val="55"/>
    <w:family w:val="auto"/>
    <w:pitch w:val="variable"/>
    <w:sig w:usb0="00000081" w:usb1="00000000" w:usb2="00000000" w:usb3="00000000" w:csb0="00000008" w:csb1="00000000"/>
  </w:font>
  <w:font w:name="BLIOCK+Arial,Bold">
    <w:altName w:val="Arial"/>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55"/>
    <w:family w:val="auto"/>
    <w:pitch w:val="variable"/>
    <w:sig w:usb0="00000081" w:usb1="00000000" w:usb2="00000000" w:usb3="00000000" w:csb0="00000008"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0000000000000000000"/>
    <w:charset w:val="55"/>
    <w:family w:val="auto"/>
    <w:pitch w:val="variable"/>
    <w:sig w:usb0="00000081" w:usb1="00000000" w:usb2="00000000" w:usb3="00000000" w:csb0="00000008" w:csb1="00000000"/>
  </w:font>
  <w:font w:name="CCBFOG+TimesNewRoman">
    <w:altName w:val="Times New Roman"/>
    <w:panose1 w:val="00000000000000000000"/>
    <w:charset w:val="00"/>
    <w:family w:val="roman"/>
    <w:notTrueType/>
    <w:pitch w:val="default"/>
    <w:sig w:usb0="00000083" w:usb1="00000000" w:usb2="00000000" w:usb3="00000000" w:csb0="00000009"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90763" w14:textId="77777777" w:rsidR="00E47260" w:rsidRDefault="00E47260" w:rsidP="00D0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BD42E5" w14:textId="77777777" w:rsidR="00E47260" w:rsidRDefault="00E47260" w:rsidP="00D06D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87AF6" w14:textId="77777777" w:rsidR="00E47260" w:rsidRPr="00930867" w:rsidRDefault="00E47260" w:rsidP="00D06D9F">
    <w:pPr>
      <w:pStyle w:val="Footer"/>
      <w:framePr w:wrap="around" w:vAnchor="text" w:hAnchor="margin" w:xAlign="right" w:y="1"/>
      <w:rPr>
        <w:rStyle w:val="PageNumber"/>
        <w:sz w:val="22"/>
        <w:szCs w:val="22"/>
      </w:rPr>
    </w:pPr>
    <w:r w:rsidRPr="00930867">
      <w:rPr>
        <w:rStyle w:val="PageNumber"/>
        <w:sz w:val="22"/>
        <w:szCs w:val="22"/>
      </w:rPr>
      <w:fldChar w:fldCharType="begin"/>
    </w:r>
    <w:r w:rsidRPr="00930867">
      <w:rPr>
        <w:rStyle w:val="PageNumber"/>
        <w:sz w:val="22"/>
        <w:szCs w:val="22"/>
      </w:rPr>
      <w:instrText xml:space="preserve">PAGE  </w:instrText>
    </w:r>
    <w:r w:rsidRPr="00930867">
      <w:rPr>
        <w:rStyle w:val="PageNumber"/>
        <w:sz w:val="22"/>
        <w:szCs w:val="22"/>
      </w:rPr>
      <w:fldChar w:fldCharType="separate"/>
    </w:r>
    <w:r w:rsidR="003151F6">
      <w:rPr>
        <w:rStyle w:val="PageNumber"/>
        <w:noProof/>
        <w:sz w:val="22"/>
        <w:szCs w:val="22"/>
      </w:rPr>
      <w:t>199</w:t>
    </w:r>
    <w:r w:rsidRPr="00930867">
      <w:rPr>
        <w:rStyle w:val="PageNumber"/>
        <w:sz w:val="22"/>
        <w:szCs w:val="22"/>
      </w:rPr>
      <w:fldChar w:fldCharType="end"/>
    </w:r>
  </w:p>
  <w:p w14:paraId="54D1E743" w14:textId="77777777" w:rsidR="00E47260" w:rsidRDefault="00E47260" w:rsidP="00D06D9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87C97" w14:textId="77777777" w:rsidR="00E47260" w:rsidRDefault="00E47260">
      <w:r>
        <w:separator/>
      </w:r>
    </w:p>
  </w:footnote>
  <w:footnote w:type="continuationSeparator" w:id="0">
    <w:p w14:paraId="3FE733C4" w14:textId="77777777" w:rsidR="00E47260" w:rsidRDefault="00E47260">
      <w:r>
        <w:continuationSeparator/>
      </w:r>
    </w:p>
  </w:footnote>
  <w:footnote w:id="1">
    <w:p w14:paraId="521DE5C8" w14:textId="77777777" w:rsidR="00E47260" w:rsidRPr="000C3D28" w:rsidRDefault="00E47260" w:rsidP="00207E1E">
      <w:pPr>
        <w:pStyle w:val="FootnoteText"/>
        <w:tabs>
          <w:tab w:val="left" w:pos="284"/>
        </w:tabs>
        <w:rPr>
          <w:lang w:val="el-GR"/>
        </w:rPr>
      </w:pPr>
      <w:bookmarkStart w:id="5" w:name="_Ref276048777"/>
      <w:r>
        <w:rPr>
          <w:rStyle w:val="FootnoteReference"/>
        </w:rPr>
        <w:footnoteRef/>
      </w:r>
      <w:r>
        <w:t xml:space="preserve"> «Amandine, premier bébé-éprouvette français, donne naissance à une fille», </w:t>
      </w:r>
      <w:r w:rsidRPr="000C3D28">
        <w:rPr>
          <w:i/>
        </w:rPr>
        <w:t>Le Monde</w:t>
      </w:r>
      <w:r>
        <w:t xml:space="preserve">, 16.6.2013, </w:t>
      </w:r>
      <w:r>
        <w:rPr>
          <w:lang w:val="el-GR"/>
        </w:rPr>
        <w:t xml:space="preserve">διαθέσιμο σε: </w:t>
      </w:r>
      <w:hyperlink r:id="rId1" w:history="1">
        <w:r w:rsidRPr="00294514">
          <w:rPr>
            <w:rStyle w:val="Hyperlink"/>
            <w:spacing w:val="-26"/>
            <w:szCs w:val="20"/>
            <w:lang w:val="el-GR"/>
          </w:rPr>
          <w:t>http://www.lemonde.fr/sante/article/2013/06/16/amandine-premier-bebe-eprouvette-francais-donne-naissance-a-une-fille_3430992_1651302.html</w:t>
        </w:r>
      </w:hyperlink>
      <w:r w:rsidRPr="00294514">
        <w:rPr>
          <w:spacing w:val="-26"/>
          <w:szCs w:val="20"/>
          <w:lang w:val="el-GR"/>
        </w:rPr>
        <w:t>.</w:t>
      </w:r>
      <w:r>
        <w:rPr>
          <w:lang w:val="el-GR"/>
        </w:rPr>
        <w:t xml:space="preserve"> </w:t>
      </w:r>
      <w:bookmarkEnd w:id="5"/>
    </w:p>
  </w:footnote>
  <w:footnote w:id="2">
    <w:p w14:paraId="60050BD0" w14:textId="77777777" w:rsidR="00E47260" w:rsidRPr="00111A26" w:rsidRDefault="00E47260" w:rsidP="000C3D28">
      <w:pPr>
        <w:pStyle w:val="FootnoteText"/>
        <w:rPr>
          <w:lang w:val="el-GR"/>
        </w:rPr>
      </w:pPr>
      <w:r>
        <w:rPr>
          <w:rStyle w:val="FootnoteReference"/>
        </w:rPr>
        <w:footnoteRef/>
      </w:r>
      <w:r>
        <w:t xml:space="preserve"> «Le 1</w:t>
      </w:r>
      <w:r w:rsidRPr="000C3D28">
        <w:rPr>
          <w:vertAlign w:val="superscript"/>
        </w:rPr>
        <w:t>er</w:t>
      </w:r>
      <w:r>
        <w:t xml:space="preserve"> bébé éprouvette est maman», </w:t>
      </w:r>
      <w:r w:rsidRPr="00111A26">
        <w:rPr>
          <w:i/>
        </w:rPr>
        <w:t>Le Journal du Dimanche</w:t>
      </w:r>
      <w:r>
        <w:t xml:space="preserve">, 16.6.2013, </w:t>
      </w:r>
      <w:r>
        <w:rPr>
          <w:lang w:val="el-GR"/>
        </w:rPr>
        <w:t xml:space="preserve">διαθέσιμο σε: </w:t>
      </w:r>
      <w:hyperlink r:id="rId2" w:history="1">
        <w:r w:rsidRPr="006F3EEE">
          <w:rPr>
            <w:rStyle w:val="Hyperlink"/>
            <w:lang w:val="el-GR"/>
          </w:rPr>
          <w:t>http://www.lejdd.fr/Societe/Depeches/Le-1er-bebe-eprouvette-est-maman-613787</w:t>
        </w:r>
      </w:hyperlink>
      <w:r>
        <w:rPr>
          <w:lang w:val="el-GR"/>
        </w:rPr>
        <w:t xml:space="preserve">. </w:t>
      </w:r>
    </w:p>
  </w:footnote>
  <w:footnote w:id="3">
    <w:p w14:paraId="62C448AA" w14:textId="4E12FE8E" w:rsidR="00E47260" w:rsidRPr="00ED1ECB" w:rsidRDefault="00E47260" w:rsidP="00ED1ECB">
      <w:pPr>
        <w:pStyle w:val="FootnoteText"/>
        <w:rPr>
          <w:rFonts w:ascii="Times" w:hAnsi="Times"/>
          <w:szCs w:val="20"/>
          <w:lang w:val="el-GR"/>
        </w:rPr>
      </w:pPr>
      <w:r>
        <w:rPr>
          <w:rStyle w:val="FootnoteReference"/>
        </w:rPr>
        <w:footnoteRef/>
      </w:r>
      <w:r>
        <w:t xml:space="preserve"> </w:t>
      </w:r>
      <w:r w:rsidRPr="00ED1ECB">
        <w:t xml:space="preserve">Inspection </w:t>
      </w:r>
      <w:r>
        <w:t xml:space="preserve">Générale des Affaires Sociales (IGAS), </w:t>
      </w:r>
      <w:r>
        <w:rPr>
          <w:i/>
        </w:rPr>
        <w:t>É</w:t>
      </w:r>
      <w:r w:rsidRPr="00ED1ECB">
        <w:rPr>
          <w:i/>
        </w:rPr>
        <w:t>tat des lieux et perspectives du don d'ovocytes en France</w:t>
      </w:r>
      <w:r>
        <w:t xml:space="preserve">, Février 2011, </w:t>
      </w:r>
      <w:r>
        <w:rPr>
          <w:lang w:val="el-GR"/>
        </w:rPr>
        <w:t xml:space="preserve">διαθέσιμο σε: </w:t>
      </w:r>
      <w:hyperlink r:id="rId3" w:history="1">
        <w:r w:rsidRPr="00265D4D">
          <w:rPr>
            <w:rStyle w:val="Hyperlink"/>
            <w:lang w:val="el-GR"/>
          </w:rPr>
          <w:t>http://www.ladocumentationfrancaise.fr/var/storage/rapports-publics/114000113/0000.pdf</w:t>
        </w:r>
      </w:hyperlink>
      <w:r>
        <w:rPr>
          <w:lang w:val="el-GR"/>
        </w:rPr>
        <w:t xml:space="preserve">. </w:t>
      </w:r>
    </w:p>
  </w:footnote>
  <w:footnote w:id="4">
    <w:p w14:paraId="3CA30274" w14:textId="77777777" w:rsidR="00E47260" w:rsidRPr="00E73584" w:rsidRDefault="00E47260" w:rsidP="00E73584">
      <w:pPr>
        <w:pStyle w:val="FootnoteText"/>
        <w:rPr>
          <w:lang w:val="el-GR"/>
        </w:rPr>
      </w:pPr>
      <w:r>
        <w:rPr>
          <w:rStyle w:val="FootnoteReference"/>
        </w:rPr>
        <w:footnoteRef/>
      </w:r>
      <w:r>
        <w:t xml:space="preserve"> Agence de la Biomédecine, «Chiffres de l’Agence de la Biomédecine sur l’AMP et le don de gamètes en France en 2011», 11.7.2013, διαθέσιμο σε: </w:t>
      </w:r>
      <w:hyperlink r:id="rId4" w:history="1">
        <w:r w:rsidRPr="00E82B5B">
          <w:rPr>
            <w:rStyle w:val="Hyperlink"/>
          </w:rPr>
          <w:t>http://www.agence-biomedecine.fr/Chiffres-de-l-Agence-de-la</w:t>
        </w:r>
      </w:hyperlink>
      <w:r>
        <w:t xml:space="preserve">. </w:t>
      </w:r>
    </w:p>
  </w:footnote>
  <w:footnote w:id="5">
    <w:p w14:paraId="54A1F874" w14:textId="77777777" w:rsidR="00E47260" w:rsidRPr="00207E1E" w:rsidRDefault="00E47260" w:rsidP="00666508">
      <w:pPr>
        <w:pStyle w:val="FootnoteText"/>
        <w:rPr>
          <w:lang w:val="el-GR"/>
        </w:rPr>
      </w:pPr>
      <w:r>
        <w:rPr>
          <w:rStyle w:val="FootnoteReference"/>
        </w:rPr>
        <w:footnoteRef/>
      </w:r>
      <w:r>
        <w:t xml:space="preserve"> Βλ. σχετικά </w:t>
      </w:r>
      <w:r w:rsidRPr="00207E1E">
        <w:rPr>
          <w:b/>
          <w:i/>
        </w:rPr>
        <w:t>G. Dupont</w:t>
      </w:r>
      <w:r>
        <w:t xml:space="preserve">, «Trente ans après la naissance d'Amandine, l'assistance à la procréation s'est banalisée», </w:t>
      </w:r>
      <w:r w:rsidRPr="00207E1E">
        <w:rPr>
          <w:i/>
        </w:rPr>
        <w:t>Le Monde</w:t>
      </w:r>
      <w:r>
        <w:t xml:space="preserve">, 23.2.2012, διαθέσιμο σε: </w:t>
      </w:r>
      <w:hyperlink r:id="rId5" w:history="1">
        <w:r w:rsidRPr="00E82B5B">
          <w:rPr>
            <w:rStyle w:val="Hyperlink"/>
          </w:rPr>
          <w:t>http://www.lemonde.fr/societe/article/2012/02/23/trente-ans-apres-la-naissance-d-amandine-l-assistance-a-la-procreation-s-est-banalisee_1647314_3224.html</w:t>
        </w:r>
      </w:hyperlink>
      <w:r>
        <w:t xml:space="preserve">. </w:t>
      </w:r>
    </w:p>
  </w:footnote>
  <w:footnote w:id="6">
    <w:p w14:paraId="64C54B96" w14:textId="77777777" w:rsidR="00E47260" w:rsidRPr="00E254F5" w:rsidRDefault="00E47260" w:rsidP="00CB7D04">
      <w:pPr>
        <w:pStyle w:val="FootnoteText"/>
      </w:pPr>
      <w:bookmarkStart w:id="11" w:name="_Ref397445962"/>
      <w:r w:rsidRPr="00E254F5">
        <w:rPr>
          <w:rStyle w:val="FootnoteReference"/>
          <w:szCs w:val="20"/>
        </w:rPr>
        <w:footnoteRef/>
      </w:r>
      <w:r w:rsidRPr="00E254F5">
        <w:t xml:space="preserve"> </w:t>
      </w:r>
      <w:r w:rsidRPr="00560981">
        <w:rPr>
          <w:rStyle w:val="Strong"/>
          <w:b w:val="0"/>
          <w:bCs w:val="0"/>
          <w:szCs w:val="20"/>
          <w:lang w:val="fr-FR"/>
        </w:rPr>
        <w:t xml:space="preserve">Loi n° 94-653 du 29 juillet 1994 relative au respect du corps humain, διαθέσιμος σε : </w:t>
      </w:r>
      <w:hyperlink r:id="rId6" w:history="1">
        <w:r w:rsidRPr="00560981">
          <w:rPr>
            <w:rStyle w:val="Hyperlink"/>
            <w:bCs/>
            <w:szCs w:val="20"/>
            <w:lang w:val="fr-FR"/>
          </w:rPr>
          <w:t>http://legifrance.gouv.fr/affichTexte.do?cidTexte=JORFTEXT000000549619</w:t>
        </w:r>
      </w:hyperlink>
      <w:r w:rsidRPr="00560981">
        <w:rPr>
          <w:rStyle w:val="Strong"/>
          <w:b w:val="0"/>
          <w:bCs w:val="0"/>
          <w:szCs w:val="20"/>
          <w:lang w:val="fr-FR"/>
        </w:rPr>
        <w:t>.</w:t>
      </w:r>
      <w:r w:rsidRPr="00E254F5">
        <w:rPr>
          <w:rStyle w:val="Strong"/>
          <w:szCs w:val="20"/>
          <w:lang w:val="fr-FR"/>
        </w:rPr>
        <w:t xml:space="preserve"> </w:t>
      </w:r>
      <w:bookmarkEnd w:id="11"/>
    </w:p>
  </w:footnote>
  <w:footnote w:id="7">
    <w:p w14:paraId="7FF1A456" w14:textId="77777777" w:rsidR="00E47260" w:rsidRPr="00E254F5" w:rsidRDefault="00E47260" w:rsidP="00A44BD3">
      <w:pPr>
        <w:pStyle w:val="FootnoteText"/>
        <w:rPr>
          <w:spacing w:val="-20"/>
        </w:rPr>
      </w:pPr>
      <w:bookmarkStart w:id="13" w:name="_Ref276564416"/>
      <w:r w:rsidRPr="00E254F5">
        <w:rPr>
          <w:rStyle w:val="FootnoteReference"/>
          <w:szCs w:val="20"/>
        </w:rPr>
        <w:footnoteRef/>
      </w:r>
      <w:r w:rsidRPr="00E254F5">
        <w:t xml:space="preserve"> </w:t>
      </w:r>
      <w:r w:rsidRPr="00560981">
        <w:rPr>
          <w:rStyle w:val="Strong"/>
          <w:b w:val="0"/>
          <w:bCs w:val="0"/>
          <w:szCs w:val="20"/>
          <w:lang w:val="fr-FR"/>
        </w:rPr>
        <w:t xml:space="preserve">Loi n° 94-654 du 29 juillet 1994 relative au don et à l'utilisation des éléments et produits du corps humain, à l'assistance médicale à la procréation et au diagnostic prénatal, διαθέσιμος σε : </w:t>
      </w:r>
      <w:hyperlink r:id="rId7" w:history="1">
        <w:r w:rsidRPr="00560981">
          <w:rPr>
            <w:rStyle w:val="Hyperlink"/>
            <w:bCs/>
            <w:szCs w:val="20"/>
            <w:lang w:val="fr-FR"/>
          </w:rPr>
          <w:t>http://www.legifrance.gouv.fr/affichTexte.do?cidTexte=JORFTEXT000000549618</w:t>
        </w:r>
      </w:hyperlink>
      <w:r w:rsidRPr="00560981">
        <w:rPr>
          <w:rStyle w:val="Strong"/>
          <w:b w:val="0"/>
          <w:bCs w:val="0"/>
          <w:szCs w:val="20"/>
          <w:lang w:val="fr-FR"/>
        </w:rPr>
        <w:t xml:space="preserve">. </w:t>
      </w:r>
      <w:bookmarkEnd w:id="13"/>
    </w:p>
  </w:footnote>
  <w:footnote w:id="8">
    <w:p w14:paraId="743A7831" w14:textId="77777777" w:rsidR="00E47260" w:rsidRPr="001F372E" w:rsidRDefault="00E47260" w:rsidP="00CB7D04">
      <w:pPr>
        <w:pStyle w:val="FootnoteText"/>
      </w:pPr>
      <w:r w:rsidRPr="00E254F5">
        <w:rPr>
          <w:rStyle w:val="FootnoteReference"/>
          <w:szCs w:val="20"/>
        </w:rPr>
        <w:footnoteRef/>
      </w:r>
      <w:r w:rsidRPr="00E254F5">
        <w:t xml:space="preserve"> Βλ. σχετικά την από 23 Ιουνίου 2014 συνέντευξη του Pierre </w:t>
      </w:r>
      <w:r w:rsidRPr="001F372E">
        <w:t xml:space="preserve">Jouannet, Παράρτημα [I], Eρωτηματολόγιο [3.4], σημ. Ι, 1.2, σελ. 3. </w:t>
      </w:r>
    </w:p>
  </w:footnote>
  <w:footnote w:id="9">
    <w:p w14:paraId="0221E0DF" w14:textId="77777777" w:rsidR="00E47260" w:rsidRPr="001F372E" w:rsidRDefault="00E47260" w:rsidP="00CB7D04">
      <w:pPr>
        <w:pStyle w:val="FootnoteText"/>
        <w:rPr>
          <w:b/>
        </w:rPr>
      </w:pPr>
      <w:r w:rsidRPr="001F372E">
        <w:rPr>
          <w:rStyle w:val="FootnoteReference"/>
          <w:szCs w:val="20"/>
        </w:rPr>
        <w:footnoteRef/>
      </w:r>
      <w:r w:rsidRPr="001F372E">
        <w:t xml:space="preserve"> </w:t>
      </w:r>
      <w:r w:rsidRPr="001F372E">
        <w:rPr>
          <w:b/>
          <w:i/>
        </w:rPr>
        <w:t>N. Lenoir, B. Sturlèse (dir.)</w:t>
      </w:r>
      <w:r w:rsidRPr="001F372E">
        <w:rPr>
          <w:b/>
        </w:rPr>
        <w:t>,</w:t>
      </w:r>
      <w:r w:rsidRPr="001F372E">
        <w:t xml:space="preserve"> </w:t>
      </w:r>
      <w:r w:rsidRPr="001F372E">
        <w:rPr>
          <w:i/>
        </w:rPr>
        <w:t>Aux frontières de la vie: rapport au Premier ministre</w:t>
      </w:r>
      <w:r w:rsidRPr="001F372E">
        <w:t>, Éd. La Documentation française, Col. des rapports officiels, Paris, 1991.</w:t>
      </w:r>
      <w:r w:rsidRPr="001F372E">
        <w:rPr>
          <w:b/>
        </w:rPr>
        <w:t xml:space="preserve"> </w:t>
      </w:r>
    </w:p>
  </w:footnote>
  <w:footnote w:id="10">
    <w:p w14:paraId="68BC823B" w14:textId="2D00299B" w:rsidR="00E47260" w:rsidRPr="009A73D4" w:rsidRDefault="00E47260">
      <w:pPr>
        <w:pStyle w:val="FootnoteText"/>
        <w:rPr>
          <w:lang w:val="el-GR"/>
        </w:rPr>
      </w:pPr>
      <w:r>
        <w:rPr>
          <w:rStyle w:val="FootnoteReference"/>
        </w:rPr>
        <w:footnoteRef/>
      </w:r>
      <w:r>
        <w:t xml:space="preserve"> </w:t>
      </w:r>
      <w:r>
        <w:rPr>
          <w:lang w:val="el-GR"/>
        </w:rPr>
        <w:t xml:space="preserve">Βλ. σχειτκά </w:t>
      </w:r>
      <w:r w:rsidRPr="00976E6D">
        <w:rPr>
          <w:b/>
          <w:i/>
        </w:rPr>
        <w:t>J.-L. Baudouin, C. Larusse-Riou</w:t>
      </w:r>
      <w:r>
        <w:t xml:space="preserve">, </w:t>
      </w:r>
      <w:r w:rsidRPr="00976E6D">
        <w:rPr>
          <w:i/>
        </w:rPr>
        <w:t>Produire l’homme: de quel droit?</w:t>
      </w:r>
      <w:r>
        <w:t xml:space="preserve">, </w:t>
      </w:r>
      <w:r w:rsidRPr="001F372E">
        <w:t>Éd.</w:t>
      </w:r>
      <w:r>
        <w:t xml:space="preserve"> PUF, 1987 και </w:t>
      </w:r>
      <w:r w:rsidRPr="00E254F5">
        <w:rPr>
          <w:b/>
          <w:i/>
        </w:rPr>
        <w:t>Fr. Terré, D. Fenouillet</w:t>
      </w:r>
      <w:r w:rsidRPr="00E254F5">
        <w:t xml:space="preserve">, </w:t>
      </w:r>
      <w:r w:rsidRPr="00E254F5">
        <w:rPr>
          <w:i/>
        </w:rPr>
        <w:t>Droit civil. La famille</w:t>
      </w:r>
      <w:r w:rsidRPr="00E254F5">
        <w:t xml:space="preserve">, </w:t>
      </w:r>
      <w:r>
        <w:t>Éd.</w:t>
      </w:r>
      <w:r w:rsidRPr="00E254F5">
        <w:t xml:space="preserve"> Dalloz, 2011, σελ.</w:t>
      </w:r>
      <w:r>
        <w:t xml:space="preserve"> 733-735. </w:t>
      </w:r>
    </w:p>
  </w:footnote>
  <w:footnote w:id="11">
    <w:p w14:paraId="22DD0C9F" w14:textId="77777777" w:rsidR="00E47260" w:rsidRPr="001C6698" w:rsidRDefault="00E47260" w:rsidP="00FA1928">
      <w:pPr>
        <w:pStyle w:val="FootnoteText"/>
        <w:rPr>
          <w:lang w:val="el-GR"/>
        </w:rPr>
      </w:pPr>
      <w:r>
        <w:rPr>
          <w:rStyle w:val="FootnoteReference"/>
        </w:rPr>
        <w:footnoteRef/>
      </w:r>
      <w:r>
        <w:t xml:space="preserve"> </w:t>
      </w:r>
      <w:r>
        <w:rPr>
          <w:lang w:val="el-GR"/>
        </w:rPr>
        <w:t xml:space="preserve">Βλ. σχετικά </w:t>
      </w:r>
      <w:r w:rsidRPr="00FA1928">
        <w:t>Assemblée nationale</w:t>
      </w:r>
      <w:r>
        <w:t xml:space="preserve">, </w:t>
      </w:r>
      <w:r w:rsidRPr="00FA1928">
        <w:rPr>
          <w:i/>
        </w:rPr>
        <w:t>Projet de loi relatif au corps humain et modifiant le code civil</w:t>
      </w:r>
      <w:r>
        <w:t xml:space="preserve">, n° 2599, déposé le 25 mars 1992 </w:t>
      </w:r>
      <w:r>
        <w:rPr>
          <w:szCs w:val="20"/>
        </w:rPr>
        <w:t xml:space="preserve">et renvoyé à </w:t>
      </w:r>
      <w:hyperlink r:id="rId8" w:history="1">
        <w:r w:rsidRPr="00FA1928">
          <w:t>une commission spéciale chargée d'examiner les trois projets de loi sur la "bioéthique"</w:t>
        </w:r>
      </w:hyperlink>
      <w:r>
        <w:t xml:space="preserve">, </w:t>
      </w:r>
      <w:r>
        <w:rPr>
          <w:lang w:val="el-GR"/>
        </w:rPr>
        <w:t xml:space="preserve">διαθέσιμο σε: </w:t>
      </w:r>
      <w:hyperlink r:id="rId9" w:history="1">
        <w:r w:rsidRPr="00254848">
          <w:rPr>
            <w:rStyle w:val="Hyperlink"/>
            <w:lang w:val="el-GR"/>
          </w:rPr>
          <w:t>http://www.assemblee-nationale.fr/9/dossiers/922599.asp</w:t>
        </w:r>
      </w:hyperlink>
      <w:r>
        <w:rPr>
          <w:lang w:val="el-GR"/>
        </w:rPr>
        <w:t xml:space="preserve">. </w:t>
      </w:r>
    </w:p>
  </w:footnote>
  <w:footnote w:id="12">
    <w:p w14:paraId="1539EB8F" w14:textId="77777777" w:rsidR="00E47260" w:rsidRPr="005259A2" w:rsidRDefault="00E47260" w:rsidP="00FA1928">
      <w:pPr>
        <w:pStyle w:val="FootnoteText"/>
        <w:rPr>
          <w:lang w:val="el-GR"/>
        </w:rPr>
      </w:pPr>
      <w:r>
        <w:rPr>
          <w:rStyle w:val="FootnoteReference"/>
        </w:rPr>
        <w:footnoteRef/>
      </w:r>
      <w:r>
        <w:t xml:space="preserve"> </w:t>
      </w:r>
      <w:r w:rsidRPr="00FA1928">
        <w:rPr>
          <w:rStyle w:val="FootnoteTextChar"/>
        </w:rPr>
        <w:t xml:space="preserve">Βλ. </w:t>
      </w:r>
      <w:r w:rsidRPr="00FA1928">
        <w:t>Assemblée nationale</w:t>
      </w:r>
      <w:r>
        <w:t xml:space="preserve">, </w:t>
      </w:r>
      <w:r w:rsidRPr="00945A4E">
        <w:rPr>
          <w:rStyle w:val="FootnoteTextChar"/>
          <w:i/>
        </w:rPr>
        <w:t xml:space="preserve">Projet de loi relatif au don et </w:t>
      </w:r>
      <w:r w:rsidRPr="00945A4E">
        <w:rPr>
          <w:i/>
          <w:szCs w:val="20"/>
        </w:rPr>
        <w:t xml:space="preserve">à </w:t>
      </w:r>
      <w:r w:rsidRPr="00945A4E">
        <w:rPr>
          <w:rStyle w:val="FootnoteTextChar"/>
          <w:i/>
        </w:rPr>
        <w:t xml:space="preserve">l'utilisation des </w:t>
      </w:r>
      <w:r w:rsidRPr="00945A4E">
        <w:rPr>
          <w:i/>
          <w:szCs w:val="20"/>
        </w:rPr>
        <w:t>é</w:t>
      </w:r>
      <w:r w:rsidRPr="00945A4E">
        <w:rPr>
          <w:rStyle w:val="FootnoteTextChar"/>
          <w:i/>
        </w:rPr>
        <w:t>l</w:t>
      </w:r>
      <w:r w:rsidRPr="00945A4E">
        <w:rPr>
          <w:i/>
          <w:szCs w:val="20"/>
        </w:rPr>
        <w:t>é</w:t>
      </w:r>
      <w:r w:rsidRPr="00945A4E">
        <w:rPr>
          <w:rStyle w:val="FootnoteTextChar"/>
          <w:i/>
        </w:rPr>
        <w:t xml:space="preserve">ments et produits du corps humain et </w:t>
      </w:r>
      <w:r w:rsidRPr="00945A4E">
        <w:rPr>
          <w:i/>
          <w:szCs w:val="20"/>
        </w:rPr>
        <w:t>à</w:t>
      </w:r>
      <w:r w:rsidRPr="00945A4E">
        <w:rPr>
          <w:rStyle w:val="FootnoteTextChar"/>
          <w:i/>
        </w:rPr>
        <w:t xml:space="preserve"> la procr</w:t>
      </w:r>
      <w:r w:rsidRPr="00945A4E">
        <w:rPr>
          <w:i/>
          <w:szCs w:val="20"/>
        </w:rPr>
        <w:t>é</w:t>
      </w:r>
      <w:r w:rsidRPr="00945A4E">
        <w:rPr>
          <w:rStyle w:val="FootnoteTextChar"/>
          <w:i/>
        </w:rPr>
        <w:t>ation medicalement assistee, et modifiant le code de la sant</w:t>
      </w:r>
      <w:r w:rsidRPr="00945A4E">
        <w:rPr>
          <w:i/>
          <w:szCs w:val="20"/>
        </w:rPr>
        <w:t>é</w:t>
      </w:r>
      <w:r w:rsidRPr="00945A4E">
        <w:rPr>
          <w:rStyle w:val="FootnoteTextChar"/>
          <w:i/>
        </w:rPr>
        <w:t xml:space="preserve"> publique</w:t>
      </w:r>
      <w:r w:rsidRPr="00FA1928">
        <w:rPr>
          <w:rStyle w:val="FootnoteTextChar"/>
        </w:rPr>
        <w:t>, n° 2600, déposé le 25 mars 1992</w:t>
      </w:r>
      <w:r>
        <w:rPr>
          <w:rStyle w:val="FootnoteTextChar"/>
        </w:rPr>
        <w:t xml:space="preserve"> </w:t>
      </w:r>
      <w:r w:rsidRPr="00FA1928">
        <w:t xml:space="preserve">et renvoyé à </w:t>
      </w:r>
      <w:hyperlink r:id="rId10" w:history="1">
        <w:r w:rsidRPr="00FA1928">
          <w:t>une commission spéciale chargée d'examiner les trois projets de loi sur la "bioéthique"</w:t>
        </w:r>
      </w:hyperlink>
      <w:r>
        <w:t>, διαθέσιμο σε</w:t>
      </w:r>
      <w:r>
        <w:rPr>
          <w:lang w:val="el-GR"/>
        </w:rPr>
        <w:t xml:space="preserve">: </w:t>
      </w:r>
      <w:hyperlink r:id="rId11" w:history="1">
        <w:r w:rsidRPr="00254848">
          <w:rPr>
            <w:rStyle w:val="Hyperlink"/>
            <w:lang w:val="el-GR"/>
          </w:rPr>
          <w:t>http://www.assemblee-nationale.fr/9/dossiers/922600.asp</w:t>
        </w:r>
      </w:hyperlink>
      <w:r>
        <w:rPr>
          <w:lang w:val="el-GR"/>
        </w:rPr>
        <w:t xml:space="preserve">. </w:t>
      </w:r>
    </w:p>
  </w:footnote>
  <w:footnote w:id="13">
    <w:p w14:paraId="6A0E7E79" w14:textId="77777777" w:rsidR="00E47260" w:rsidRPr="00945A4E" w:rsidRDefault="00E47260" w:rsidP="00945A4E">
      <w:pPr>
        <w:pStyle w:val="FootnoteText"/>
        <w:rPr>
          <w:lang w:val="el-GR"/>
        </w:rPr>
      </w:pPr>
      <w:r>
        <w:rPr>
          <w:rStyle w:val="FootnoteReference"/>
        </w:rPr>
        <w:footnoteRef/>
      </w:r>
      <w:r>
        <w:t xml:space="preserve"> </w:t>
      </w:r>
      <w:r w:rsidRPr="00FA1928">
        <w:t>Assemblée nationale</w:t>
      </w:r>
      <w:r>
        <w:t xml:space="preserve">, </w:t>
      </w:r>
      <w:r w:rsidRPr="00945A4E">
        <w:rPr>
          <w:i/>
        </w:rPr>
        <w:t>Projet de loi relatif au traitement de données nominatives ayant pour fin la recherche en vue de la protection ou l'amelioration de la santé et modifiant la loi n</w:t>
      </w:r>
      <w:r w:rsidRPr="00945A4E">
        <w:rPr>
          <w:i/>
          <w:vertAlign w:val="superscript"/>
        </w:rPr>
        <w:t>o</w:t>
      </w:r>
      <w:r w:rsidRPr="00945A4E">
        <w:rPr>
          <w:i/>
        </w:rPr>
        <w:t xml:space="preserve"> 78-17 du 6 janvier 1978 relative </w:t>
      </w:r>
      <w:r w:rsidRPr="00945A4E">
        <w:rPr>
          <w:i/>
          <w:szCs w:val="20"/>
        </w:rPr>
        <w:t>à</w:t>
      </w:r>
      <w:r w:rsidRPr="00945A4E">
        <w:rPr>
          <w:i/>
        </w:rPr>
        <w:t xml:space="preserve"> l'informatique, aux fichiers et aux libertés</w:t>
      </w:r>
      <w:r>
        <w:t xml:space="preserve">, n° 2601, déposé le 25 mars 1992 et renvoyé </w:t>
      </w:r>
      <w:r w:rsidRPr="00945A4E">
        <w:t xml:space="preserve">à </w:t>
      </w:r>
      <w:hyperlink r:id="rId12" w:history="1">
        <w:r w:rsidRPr="00945A4E">
          <w:t>une commission spéciale chargée d'examiner les trois projets de loi sur la "bioéthique"</w:t>
        </w:r>
      </w:hyperlink>
      <w:r>
        <w:t xml:space="preserve">, </w:t>
      </w:r>
      <w:r>
        <w:rPr>
          <w:lang w:val="el-GR"/>
        </w:rPr>
        <w:t xml:space="preserve">διαθέσιμο σε: </w:t>
      </w:r>
      <w:hyperlink r:id="rId13" w:history="1">
        <w:r w:rsidRPr="00A86DCF">
          <w:rPr>
            <w:rStyle w:val="Hyperlink"/>
            <w:lang w:val="el-GR"/>
          </w:rPr>
          <w:t>http://www.assemblee-nationale.fr/9/dossiers/922601.asp</w:t>
        </w:r>
      </w:hyperlink>
      <w:r>
        <w:rPr>
          <w:lang w:val="el-GR"/>
        </w:rPr>
        <w:t xml:space="preserve">. </w:t>
      </w:r>
    </w:p>
  </w:footnote>
  <w:footnote w:id="14">
    <w:p w14:paraId="0F341A4D" w14:textId="6382A52D" w:rsidR="00E47260" w:rsidRPr="001F372E" w:rsidRDefault="00E47260" w:rsidP="00CB7D04">
      <w:pPr>
        <w:pStyle w:val="FootnoteText"/>
      </w:pPr>
      <w:r w:rsidRPr="001F372E">
        <w:rPr>
          <w:rStyle w:val="FootnoteReference"/>
          <w:szCs w:val="20"/>
        </w:rPr>
        <w:footnoteRef/>
      </w:r>
      <w:r w:rsidRPr="001F372E">
        <w:t xml:space="preserve"> </w:t>
      </w:r>
      <w:r>
        <w:rPr>
          <w:rStyle w:val="Strong"/>
          <w:b w:val="0"/>
          <w:szCs w:val="20"/>
        </w:rPr>
        <w:t>Βλ. υποσημειώσεις</w:t>
      </w:r>
      <w:r w:rsidRPr="001F372E">
        <w:rPr>
          <w:rStyle w:val="Strong"/>
          <w:b w:val="0"/>
          <w:szCs w:val="20"/>
        </w:rPr>
        <w:t xml:space="preserve"> αριθ.</w:t>
      </w:r>
      <w:r>
        <w:rPr>
          <w:rStyle w:val="Strong"/>
          <w:b w:val="0"/>
          <w:szCs w:val="20"/>
        </w:rPr>
        <w:t xml:space="preserve"> </w:t>
      </w:r>
      <w:r>
        <w:rPr>
          <w:rStyle w:val="Strong"/>
          <w:b w:val="0"/>
          <w:szCs w:val="20"/>
        </w:rPr>
        <w:fldChar w:fldCharType="begin"/>
      </w:r>
      <w:r>
        <w:rPr>
          <w:rStyle w:val="Strong"/>
          <w:b w:val="0"/>
          <w:szCs w:val="20"/>
        </w:rPr>
        <w:instrText xml:space="preserve"> NOTEREF _Ref397445952 \h </w:instrText>
      </w:r>
      <w:r>
        <w:rPr>
          <w:rStyle w:val="Strong"/>
          <w:b w:val="0"/>
          <w:szCs w:val="20"/>
        </w:rPr>
      </w:r>
      <w:r>
        <w:rPr>
          <w:rStyle w:val="Strong"/>
          <w:b w:val="0"/>
          <w:szCs w:val="20"/>
        </w:rPr>
        <w:fldChar w:fldCharType="separate"/>
      </w:r>
      <w:r w:rsidR="00B822F0">
        <w:rPr>
          <w:rStyle w:val="Strong"/>
          <w:b w:val="0"/>
          <w:szCs w:val="20"/>
        </w:rPr>
        <w:t>6</w:t>
      </w:r>
      <w:r>
        <w:rPr>
          <w:rStyle w:val="Strong"/>
          <w:b w:val="0"/>
          <w:szCs w:val="20"/>
        </w:rPr>
        <w:fldChar w:fldCharType="end"/>
      </w:r>
      <w:r>
        <w:rPr>
          <w:rStyle w:val="Strong"/>
          <w:b w:val="0"/>
          <w:szCs w:val="20"/>
        </w:rPr>
        <w:t xml:space="preserve"> και</w:t>
      </w:r>
      <w:r w:rsidRPr="001F372E">
        <w:rPr>
          <w:rStyle w:val="Strong"/>
          <w:b w:val="0"/>
          <w:szCs w:val="20"/>
        </w:rPr>
        <w:t xml:space="preserve"> </w:t>
      </w:r>
      <w:r w:rsidRPr="001F372E">
        <w:rPr>
          <w:rStyle w:val="Strong"/>
          <w:b w:val="0"/>
          <w:szCs w:val="20"/>
        </w:rPr>
        <w:fldChar w:fldCharType="begin"/>
      </w:r>
      <w:r w:rsidRPr="001F372E">
        <w:rPr>
          <w:rStyle w:val="Strong"/>
          <w:b w:val="0"/>
          <w:szCs w:val="20"/>
        </w:rPr>
        <w:instrText xml:space="preserve"> NOTEREF _Ref397445985 \h  \* MERGEFORMAT </w:instrText>
      </w:r>
      <w:r w:rsidRPr="001F372E">
        <w:rPr>
          <w:rStyle w:val="Strong"/>
          <w:b w:val="0"/>
          <w:szCs w:val="20"/>
        </w:rPr>
      </w:r>
      <w:r w:rsidRPr="001F372E">
        <w:rPr>
          <w:rStyle w:val="Strong"/>
          <w:b w:val="0"/>
          <w:szCs w:val="20"/>
        </w:rPr>
        <w:fldChar w:fldCharType="separate"/>
      </w:r>
      <w:r w:rsidR="00B822F0">
        <w:rPr>
          <w:rStyle w:val="Strong"/>
          <w:b w:val="0"/>
          <w:szCs w:val="20"/>
        </w:rPr>
        <w:t>7</w:t>
      </w:r>
      <w:r w:rsidRPr="001F372E">
        <w:rPr>
          <w:rStyle w:val="Strong"/>
          <w:b w:val="0"/>
          <w:szCs w:val="20"/>
        </w:rPr>
        <w:fldChar w:fldCharType="end"/>
      </w:r>
      <w:r w:rsidRPr="001F372E">
        <w:rPr>
          <w:rStyle w:val="Strong"/>
          <w:b w:val="0"/>
          <w:szCs w:val="20"/>
        </w:rPr>
        <w:t xml:space="preserve">, σελ. </w:t>
      </w:r>
      <w:r>
        <w:rPr>
          <w:rStyle w:val="Strong"/>
          <w:b w:val="0"/>
          <w:szCs w:val="20"/>
        </w:rPr>
        <w:fldChar w:fldCharType="begin"/>
      </w:r>
      <w:r>
        <w:rPr>
          <w:rStyle w:val="Strong"/>
          <w:b w:val="0"/>
          <w:szCs w:val="20"/>
        </w:rPr>
        <w:instrText xml:space="preserve"> PAGEREF _Ref276564416 \h </w:instrText>
      </w:r>
      <w:r>
        <w:rPr>
          <w:rStyle w:val="Strong"/>
          <w:b w:val="0"/>
          <w:szCs w:val="20"/>
        </w:rPr>
      </w:r>
      <w:r>
        <w:rPr>
          <w:rStyle w:val="Strong"/>
          <w:b w:val="0"/>
          <w:szCs w:val="20"/>
        </w:rPr>
        <w:fldChar w:fldCharType="separate"/>
      </w:r>
      <w:r w:rsidR="00B822F0">
        <w:rPr>
          <w:rStyle w:val="Strong"/>
          <w:b w:val="0"/>
          <w:noProof/>
          <w:szCs w:val="20"/>
        </w:rPr>
        <w:t>7</w:t>
      </w:r>
      <w:r>
        <w:rPr>
          <w:rStyle w:val="Strong"/>
          <w:b w:val="0"/>
          <w:szCs w:val="20"/>
        </w:rPr>
        <w:fldChar w:fldCharType="end"/>
      </w:r>
      <w:r>
        <w:rPr>
          <w:rStyle w:val="Strong"/>
          <w:b w:val="0"/>
          <w:szCs w:val="20"/>
        </w:rPr>
        <w:t xml:space="preserve">. </w:t>
      </w:r>
    </w:p>
  </w:footnote>
  <w:footnote w:id="15">
    <w:p w14:paraId="5CE1C075" w14:textId="77777777" w:rsidR="00E47260" w:rsidRPr="001F372E" w:rsidRDefault="00E47260" w:rsidP="00CB7D04">
      <w:pPr>
        <w:pStyle w:val="FootnoteText"/>
      </w:pPr>
      <w:r w:rsidRPr="001F372E">
        <w:rPr>
          <w:rStyle w:val="FootnoteReference"/>
          <w:szCs w:val="20"/>
        </w:rPr>
        <w:footnoteRef/>
      </w:r>
      <w:r w:rsidRPr="001F372E">
        <w:t xml:space="preserve"> Βλ. σχετικά «La révision des lois de bioéthique», σε </w:t>
      </w:r>
      <w:r w:rsidRPr="001F372E">
        <w:rPr>
          <w:i/>
        </w:rPr>
        <w:t>Vie-Publique.fr</w:t>
      </w:r>
      <w:r w:rsidRPr="001F372E">
        <w:t xml:space="preserve">, διαθέσιμο σε: </w:t>
      </w:r>
      <w:hyperlink r:id="rId14" w:history="1">
        <w:r w:rsidRPr="001F372E">
          <w:rPr>
            <w:rStyle w:val="Hyperlink"/>
            <w:szCs w:val="20"/>
            <w:lang w:val="fr-FR"/>
          </w:rPr>
          <w:t>http</w:t>
        </w:r>
        <w:r w:rsidRPr="001F372E">
          <w:rPr>
            <w:rStyle w:val="Hyperlink"/>
            <w:szCs w:val="20"/>
          </w:rPr>
          <w:t>://</w:t>
        </w:r>
        <w:r w:rsidRPr="001F372E">
          <w:rPr>
            <w:rStyle w:val="Hyperlink"/>
            <w:szCs w:val="20"/>
            <w:lang w:val="fr-FR"/>
          </w:rPr>
          <w:t>www</w:t>
        </w:r>
        <w:r w:rsidRPr="001F372E">
          <w:rPr>
            <w:rStyle w:val="Hyperlink"/>
            <w:szCs w:val="20"/>
          </w:rPr>
          <w:t>.</w:t>
        </w:r>
        <w:r w:rsidRPr="001F372E">
          <w:rPr>
            <w:rStyle w:val="Hyperlink"/>
            <w:szCs w:val="20"/>
            <w:lang w:val="fr-FR"/>
          </w:rPr>
          <w:t>vie</w:t>
        </w:r>
        <w:r w:rsidRPr="001F372E">
          <w:rPr>
            <w:rStyle w:val="Hyperlink"/>
            <w:szCs w:val="20"/>
          </w:rPr>
          <w:t>-</w:t>
        </w:r>
        <w:r w:rsidRPr="001F372E">
          <w:rPr>
            <w:rStyle w:val="Hyperlink"/>
            <w:szCs w:val="20"/>
            <w:lang w:val="fr-FR"/>
          </w:rPr>
          <w:t>publique</w:t>
        </w:r>
        <w:r w:rsidRPr="001F372E">
          <w:rPr>
            <w:rStyle w:val="Hyperlink"/>
            <w:szCs w:val="20"/>
          </w:rPr>
          <w:t>.</w:t>
        </w:r>
        <w:r w:rsidRPr="001F372E">
          <w:rPr>
            <w:rStyle w:val="Hyperlink"/>
            <w:szCs w:val="20"/>
            <w:lang w:val="fr-FR"/>
          </w:rPr>
          <w:t>fr</w:t>
        </w:r>
        <w:r w:rsidRPr="001F372E">
          <w:rPr>
            <w:rStyle w:val="Hyperlink"/>
            <w:szCs w:val="20"/>
          </w:rPr>
          <w:t>/</w:t>
        </w:r>
        <w:r w:rsidRPr="001F372E">
          <w:rPr>
            <w:rStyle w:val="Hyperlink"/>
            <w:szCs w:val="20"/>
            <w:lang w:val="fr-FR"/>
          </w:rPr>
          <w:t>actualite</w:t>
        </w:r>
        <w:r w:rsidRPr="001F372E">
          <w:rPr>
            <w:rStyle w:val="Hyperlink"/>
            <w:szCs w:val="20"/>
          </w:rPr>
          <w:t>/</w:t>
        </w:r>
        <w:r w:rsidRPr="001F372E">
          <w:rPr>
            <w:rStyle w:val="Hyperlink"/>
            <w:szCs w:val="20"/>
            <w:lang w:val="fr-FR"/>
          </w:rPr>
          <w:t>faq</w:t>
        </w:r>
        <w:r w:rsidRPr="001F372E">
          <w:rPr>
            <w:rStyle w:val="Hyperlink"/>
            <w:szCs w:val="20"/>
          </w:rPr>
          <w:t>-</w:t>
        </w:r>
        <w:r w:rsidRPr="001F372E">
          <w:rPr>
            <w:rStyle w:val="Hyperlink"/>
            <w:szCs w:val="20"/>
            <w:lang w:val="fr-FR"/>
          </w:rPr>
          <w:t>citoyens</w:t>
        </w:r>
        <w:r w:rsidRPr="001F372E">
          <w:rPr>
            <w:rStyle w:val="Hyperlink"/>
            <w:szCs w:val="20"/>
          </w:rPr>
          <w:t>/</w:t>
        </w:r>
        <w:r w:rsidRPr="001F372E">
          <w:rPr>
            <w:rStyle w:val="Hyperlink"/>
            <w:szCs w:val="20"/>
            <w:lang w:val="fr-FR"/>
          </w:rPr>
          <w:t>bioethique</w:t>
        </w:r>
        <w:r w:rsidRPr="001F372E">
          <w:rPr>
            <w:rStyle w:val="Hyperlink"/>
            <w:szCs w:val="20"/>
          </w:rPr>
          <w:t>/</w:t>
        </w:r>
      </w:hyperlink>
      <w:r w:rsidRPr="001F372E">
        <w:t xml:space="preserve">.  </w:t>
      </w:r>
    </w:p>
  </w:footnote>
  <w:footnote w:id="16">
    <w:p w14:paraId="5BA12317" w14:textId="77777777" w:rsidR="00E47260" w:rsidRPr="00E254F5" w:rsidRDefault="00E47260" w:rsidP="00CB7D04">
      <w:pPr>
        <w:pStyle w:val="FootnoteText"/>
      </w:pPr>
      <w:r w:rsidRPr="001F372E">
        <w:rPr>
          <w:rStyle w:val="FootnoteReference"/>
          <w:b/>
          <w:szCs w:val="20"/>
        </w:rPr>
        <w:footnoteRef/>
      </w:r>
      <w:r w:rsidRPr="001F372E">
        <w:t xml:space="preserve"> Βλ. σχετικά </w:t>
      </w:r>
      <w:r w:rsidRPr="000127DB">
        <w:t>την από 26 Ιουνίου 2014 συνέντευξη του Jean-Francois Guerin, Παράρτημα [I], Eρωτηματολόγιο [3.3],</w:t>
      </w:r>
      <w:r w:rsidRPr="001F372E">
        <w:t xml:space="preserve"> σημ. Ι, 1.2, σελ. 3.</w:t>
      </w:r>
    </w:p>
  </w:footnote>
  <w:footnote w:id="17">
    <w:p w14:paraId="4FCC1A59" w14:textId="77777777" w:rsidR="00E47260" w:rsidRPr="00E254F5" w:rsidRDefault="00E47260" w:rsidP="00CB7D04">
      <w:pPr>
        <w:pStyle w:val="FootnoteText"/>
      </w:pPr>
      <w:r w:rsidRPr="00E254F5">
        <w:rPr>
          <w:rStyle w:val="FootnoteReference"/>
          <w:szCs w:val="20"/>
        </w:rPr>
        <w:footnoteRef/>
      </w:r>
      <w:r w:rsidRPr="00E254F5">
        <w:t xml:space="preserve"> Σχετικά βλ. και </w:t>
      </w:r>
      <w:r w:rsidRPr="00E254F5">
        <w:rPr>
          <w:b/>
          <w:i/>
        </w:rPr>
        <w:t>Fr. Terré, D. Fenouillet</w:t>
      </w:r>
      <w:r w:rsidRPr="00E254F5">
        <w:t xml:space="preserve">, </w:t>
      </w:r>
      <w:r w:rsidRPr="00E254F5">
        <w:rPr>
          <w:i/>
        </w:rPr>
        <w:t>Droit civil. La famille</w:t>
      </w:r>
      <w:r w:rsidRPr="00E254F5">
        <w:t xml:space="preserve">, </w:t>
      </w:r>
      <w:r w:rsidRPr="00DE0707">
        <w:rPr>
          <w:i/>
        </w:rPr>
        <w:t>op.cit.</w:t>
      </w:r>
      <w:r>
        <w:t>,</w:t>
      </w:r>
      <w:r w:rsidRPr="00E254F5">
        <w:t xml:space="preserve"> σελ. 734-735. </w:t>
      </w:r>
    </w:p>
  </w:footnote>
  <w:footnote w:id="18">
    <w:p w14:paraId="641B9EDF" w14:textId="77777777" w:rsidR="00E47260" w:rsidRPr="000127DB" w:rsidRDefault="00E47260" w:rsidP="00CB7D04">
      <w:pPr>
        <w:pStyle w:val="FootnoteText"/>
      </w:pPr>
      <w:r w:rsidRPr="00E254F5">
        <w:rPr>
          <w:rStyle w:val="FootnoteReference"/>
          <w:b/>
          <w:szCs w:val="20"/>
        </w:rPr>
        <w:footnoteRef/>
      </w:r>
      <w:r w:rsidRPr="00E254F5">
        <w:t xml:space="preserve"> Εθνική Ομοσπονδία των Βιολόγων των Εργαστηρίων Μελέτης της Γονιμοποίησης και της Συντήρησης του ωαρίου (</w:t>
      </w:r>
      <w:r w:rsidRPr="00E254F5">
        <w:rPr>
          <w:i/>
        </w:rPr>
        <w:t>Fédération Nationale de Biologistes des Laboratoires d'Etudes de la Fécondation et de la Conservation de l'œuf – BLEFCO</w:t>
      </w:r>
      <w:r w:rsidRPr="00E254F5">
        <w:t xml:space="preserve">). Για </w:t>
      </w:r>
      <w:r w:rsidRPr="000127DB">
        <w:t xml:space="preserve">περισσότερες πληροφορίες βλ. την επίσημη ιστοσελίδα της Ένωσης: </w:t>
      </w:r>
      <w:hyperlink r:id="rId15" w:history="1">
        <w:r w:rsidRPr="000127DB">
          <w:rPr>
            <w:rStyle w:val="Hyperlink"/>
            <w:szCs w:val="20"/>
          </w:rPr>
          <w:t>http://blefco.eu/</w:t>
        </w:r>
      </w:hyperlink>
      <w:r w:rsidRPr="000127DB">
        <w:t xml:space="preserve">.  </w:t>
      </w:r>
    </w:p>
  </w:footnote>
  <w:footnote w:id="19">
    <w:p w14:paraId="12AAC95A" w14:textId="77777777" w:rsidR="00E47260" w:rsidRPr="000127DB" w:rsidRDefault="00E47260" w:rsidP="00CB7D04">
      <w:pPr>
        <w:pStyle w:val="FootnoteText"/>
      </w:pPr>
      <w:r w:rsidRPr="000127DB">
        <w:rPr>
          <w:rStyle w:val="FootnoteReference"/>
          <w:szCs w:val="20"/>
        </w:rPr>
        <w:footnoteRef/>
      </w:r>
      <w:r w:rsidRPr="000127DB">
        <w:t xml:space="preserve"> Βλ. σχετικά Eρωτηματολόγιο [3.3], </w:t>
      </w:r>
      <w:r w:rsidRPr="00E84E55">
        <w:rPr>
          <w:i/>
        </w:rPr>
        <w:t>op.cit.</w:t>
      </w:r>
      <w:r>
        <w:t xml:space="preserve">, </w:t>
      </w:r>
      <w:r w:rsidRPr="000127DB">
        <w:t>σημ. Ι, 1.2, σελ. 3.</w:t>
      </w:r>
    </w:p>
  </w:footnote>
  <w:footnote w:id="20">
    <w:p w14:paraId="3CFB2A3B" w14:textId="77777777" w:rsidR="00E47260" w:rsidRPr="00E254F5" w:rsidRDefault="00E47260" w:rsidP="00CB7D04">
      <w:pPr>
        <w:pStyle w:val="FootnoteText"/>
      </w:pPr>
      <w:r w:rsidRPr="000127DB">
        <w:rPr>
          <w:rStyle w:val="FootnoteReference"/>
          <w:szCs w:val="20"/>
        </w:rPr>
        <w:footnoteRef/>
      </w:r>
      <w:r w:rsidRPr="000127DB">
        <w:t xml:space="preserve"> Βλ. σχετικά την από 23 Ιουνίου 2014 συνέντευξη της Simone Bateman, Παράρτημα [I], Eρωτηματολόγιο [3.6], σημ. Ι, 1.2, σελ. 3.</w:t>
      </w:r>
      <w:r w:rsidRPr="00E254F5">
        <w:t xml:space="preserve"> </w:t>
      </w:r>
    </w:p>
  </w:footnote>
  <w:footnote w:id="21">
    <w:p w14:paraId="0A8FFD8B" w14:textId="77777777" w:rsidR="00E47260" w:rsidRPr="00E254F5" w:rsidRDefault="00E47260" w:rsidP="00CB7D04">
      <w:pPr>
        <w:pStyle w:val="FootnoteText"/>
      </w:pPr>
      <w:r w:rsidRPr="00E254F5">
        <w:rPr>
          <w:rStyle w:val="FootnoteReference"/>
          <w:szCs w:val="20"/>
        </w:rPr>
        <w:footnoteRef/>
      </w:r>
      <w:r w:rsidRPr="00E254F5">
        <w:t xml:space="preserve"> Βλ. σχετικά την από 27 Ιουνίου 2014 συνέντευξη της </w:t>
      </w:r>
      <w:r w:rsidRPr="00E254F5">
        <w:rPr>
          <w:rStyle w:val="st"/>
          <w:szCs w:val="20"/>
        </w:rPr>
        <w:t xml:space="preserve">Aude </w:t>
      </w:r>
      <w:r w:rsidRPr="00AC4E53">
        <w:rPr>
          <w:rStyle w:val="Emphasis"/>
          <w:i w:val="0"/>
          <w:iCs w:val="0"/>
          <w:szCs w:val="20"/>
        </w:rPr>
        <w:t>Mirkovic</w:t>
      </w:r>
      <w:r w:rsidRPr="00AC4E53">
        <w:t>, Παράρτημα [I], Eρωτηματολόγιο [3.7],</w:t>
      </w:r>
      <w:r w:rsidRPr="00E254F5">
        <w:t xml:space="preserve"> σημ. Ι, 1.2, σελ. 3. </w:t>
      </w:r>
    </w:p>
  </w:footnote>
  <w:footnote w:id="22">
    <w:p w14:paraId="50FE6462" w14:textId="77777777" w:rsidR="00E47260" w:rsidRPr="004D78B1" w:rsidRDefault="00E47260" w:rsidP="00CB7D04">
      <w:pPr>
        <w:pStyle w:val="FootnoteText"/>
      </w:pPr>
      <w:r w:rsidRPr="00E254F5">
        <w:rPr>
          <w:rStyle w:val="FootnoteReference"/>
          <w:szCs w:val="20"/>
        </w:rPr>
        <w:footnoteRef/>
      </w:r>
      <w:r w:rsidRPr="00E254F5">
        <w:t xml:space="preserve"> Βλ. </w:t>
      </w:r>
      <w:r w:rsidRPr="004D78B1">
        <w:t xml:space="preserve">σχετικά Eρωτηματολόγιο [3.6], </w:t>
      </w:r>
      <w:r w:rsidRPr="004D78B1">
        <w:rPr>
          <w:i/>
        </w:rPr>
        <w:t>op.cit.</w:t>
      </w:r>
      <w:r w:rsidRPr="004D78B1">
        <w:t xml:space="preserve">, σημ. Ι, 1.2, σελ. 3. </w:t>
      </w:r>
    </w:p>
    <w:p w14:paraId="4A5DE7DB" w14:textId="77777777" w:rsidR="00E47260" w:rsidRPr="00E254F5" w:rsidRDefault="00E47260" w:rsidP="00CB7D04">
      <w:pPr>
        <w:pStyle w:val="FootnoteText"/>
      </w:pPr>
      <w:r w:rsidRPr="004D78B1">
        <w:rPr>
          <w:rStyle w:val="FootnoteReference"/>
          <w:szCs w:val="20"/>
        </w:rPr>
        <w:footnoteRef/>
      </w:r>
      <w:r w:rsidRPr="004D78B1">
        <w:t xml:space="preserve"> Βλ. σχετικά Eρωτηματολόγιο [3.</w:t>
      </w:r>
      <w:r w:rsidRPr="00E254F5">
        <w:t xml:space="preserve">7], </w:t>
      </w:r>
      <w:r w:rsidRPr="00E84E55">
        <w:rPr>
          <w:i/>
        </w:rPr>
        <w:t>op.cit.</w:t>
      </w:r>
      <w:r>
        <w:t xml:space="preserve">, </w:t>
      </w:r>
      <w:r w:rsidRPr="00E254F5">
        <w:t xml:space="preserve">σημ. Ι, 1.2, σελ. 3. </w:t>
      </w:r>
    </w:p>
  </w:footnote>
  <w:footnote w:id="23">
    <w:p w14:paraId="0F9497C0" w14:textId="77777777" w:rsidR="00E47260" w:rsidRPr="00E254F5" w:rsidRDefault="00E47260" w:rsidP="00CB7D04">
      <w:pPr>
        <w:pStyle w:val="FootnoteText"/>
      </w:pPr>
      <w:r w:rsidRPr="00E254F5">
        <w:rPr>
          <w:rStyle w:val="FootnoteReference"/>
          <w:szCs w:val="20"/>
        </w:rPr>
        <w:footnoteRef/>
      </w:r>
      <w:r w:rsidRPr="00E254F5">
        <w:t xml:space="preserve"> Σχετικά βλ. και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734-735. </w:t>
      </w:r>
    </w:p>
  </w:footnote>
  <w:footnote w:id="24">
    <w:p w14:paraId="528E5666" w14:textId="77777777" w:rsidR="00E47260" w:rsidRPr="00276A3E" w:rsidRDefault="00E47260" w:rsidP="00CB7D04">
      <w:pPr>
        <w:pStyle w:val="FootnoteText"/>
        <w:rPr>
          <w:szCs w:val="20"/>
        </w:rPr>
      </w:pPr>
      <w:r w:rsidRPr="00276A3E">
        <w:rPr>
          <w:rStyle w:val="FootnoteReference"/>
          <w:b/>
          <w:szCs w:val="20"/>
        </w:rPr>
        <w:footnoteRef/>
      </w:r>
      <w:r w:rsidRPr="00276A3E">
        <w:rPr>
          <w:szCs w:val="20"/>
        </w:rPr>
        <w:t xml:space="preserve"> Loi n° 2004-800 du 6 août 2004 relative à la bioéthique, </w:t>
      </w:r>
      <w:r w:rsidRPr="00276A3E">
        <w:rPr>
          <w:szCs w:val="20"/>
          <w:lang w:val="el-GR"/>
        </w:rPr>
        <w:t xml:space="preserve">διαθέσιμος σε: </w:t>
      </w:r>
      <w:hyperlink r:id="rId16" w:history="1">
        <w:r w:rsidRPr="00276A3E">
          <w:rPr>
            <w:rStyle w:val="Hyperlink"/>
            <w:szCs w:val="20"/>
            <w:lang w:val="fr-FR"/>
          </w:rPr>
          <w:t>http://www.legifrance.gouv.fr/affichTexte.do?cidTexte=JORFTEXT000000441469</w:t>
        </w:r>
      </w:hyperlink>
      <w:r w:rsidRPr="00276A3E">
        <w:rPr>
          <w:rStyle w:val="Strong"/>
          <w:b w:val="0"/>
          <w:szCs w:val="20"/>
          <w:lang w:val="fr-FR"/>
        </w:rPr>
        <w:t>.</w:t>
      </w:r>
      <w:r w:rsidRPr="00276A3E">
        <w:rPr>
          <w:rStyle w:val="Strong"/>
          <w:b w:val="0"/>
          <w:bCs w:val="0"/>
          <w:szCs w:val="20"/>
          <w:lang w:val="fr-FR"/>
        </w:rPr>
        <w:t xml:space="preserve"> </w:t>
      </w:r>
    </w:p>
  </w:footnote>
  <w:footnote w:id="25">
    <w:p w14:paraId="399562FE" w14:textId="77777777" w:rsidR="00E47260" w:rsidRPr="00E254F5" w:rsidRDefault="00E47260" w:rsidP="00CB7D04">
      <w:pPr>
        <w:pStyle w:val="FootnoteText"/>
      </w:pPr>
      <w:r w:rsidRPr="00E254F5">
        <w:rPr>
          <w:rStyle w:val="FootnoteReference"/>
          <w:b/>
          <w:szCs w:val="20"/>
        </w:rPr>
        <w:footnoteRef/>
      </w:r>
      <w:r w:rsidRPr="00E254F5">
        <w:t xml:space="preserve"> Για περισσότερες πληροφορίες σχετικά με την αναθεώρηση των </w:t>
      </w:r>
      <w:r w:rsidRPr="009D7286">
        <w:rPr>
          <w:i/>
        </w:rPr>
        <w:t>Νόμων περί βιοηθικής</w:t>
      </w:r>
      <w:r w:rsidRPr="00E254F5">
        <w:t xml:space="preserve"> βλ.</w:t>
      </w:r>
      <w:r w:rsidRPr="00E254F5">
        <w:rPr>
          <w:rStyle w:val="hps"/>
          <w:b/>
          <w:szCs w:val="20"/>
        </w:rPr>
        <w:t xml:space="preserve"> </w:t>
      </w:r>
      <w:r w:rsidRPr="00E254F5">
        <w:rPr>
          <w:rStyle w:val="hps"/>
          <w:szCs w:val="20"/>
          <w:lang w:val="fr-FR"/>
        </w:rPr>
        <w:t>Sénat</w:t>
      </w:r>
      <w:r w:rsidRPr="00E254F5">
        <w:rPr>
          <w:rStyle w:val="hps"/>
          <w:b/>
          <w:szCs w:val="20"/>
          <w:lang w:val="fr-FR"/>
        </w:rPr>
        <w:t>, «</w:t>
      </w:r>
      <w:r w:rsidRPr="00E254F5">
        <w:t>Accélérer l'appl</w:t>
      </w:r>
      <w:r>
        <w:t>ication de la loi de bioéthique</w:t>
      </w:r>
      <w:r w:rsidRPr="00E254F5">
        <w:t>: une nécessit</w:t>
      </w:r>
      <w:r>
        <w:t>é pour le progrès thérapeutique</w:t>
      </w:r>
      <w:r w:rsidRPr="00E254F5">
        <w:t xml:space="preserve">», Rapport d'information n° 309 (2005-2006) de M. Alain Milon, fait au nom de la commission des affaires sociales, déposé le 12 avril 2006, διαθέσιμο σε: </w:t>
      </w:r>
      <w:hyperlink r:id="rId17" w:history="1">
        <w:r w:rsidRPr="00E254F5">
          <w:rPr>
            <w:rStyle w:val="Hyperlink"/>
            <w:szCs w:val="20"/>
            <w:lang w:val="fr-FR"/>
          </w:rPr>
          <w:t>http://www.senat.fr/rap/r05-309/r05-309.html</w:t>
        </w:r>
      </w:hyperlink>
      <w:r w:rsidRPr="00E254F5">
        <w:t>.</w:t>
      </w:r>
    </w:p>
  </w:footnote>
  <w:footnote w:id="26">
    <w:p w14:paraId="33037F3E" w14:textId="77777777" w:rsidR="00E47260" w:rsidRPr="00E254F5" w:rsidRDefault="00E47260" w:rsidP="00CB7D04">
      <w:pPr>
        <w:pStyle w:val="FootnoteText"/>
      </w:pPr>
      <w:r w:rsidRPr="00E254F5">
        <w:rPr>
          <w:rStyle w:val="FootnoteReference"/>
          <w:b/>
          <w:szCs w:val="20"/>
        </w:rPr>
        <w:footnoteRef/>
      </w:r>
      <w:r w:rsidRPr="00E254F5">
        <w:t xml:space="preserve"> Για περισσότερες πληροφορίες σχετικά βλ. Assemblée Nationale, </w:t>
      </w:r>
      <w:r w:rsidRPr="00E254F5">
        <w:rPr>
          <w:i/>
        </w:rPr>
        <w:t>Mission d’information sur l</w:t>
      </w:r>
      <w:r>
        <w:rPr>
          <w:i/>
        </w:rPr>
        <w:t>a révision des lois bioéthiques</w:t>
      </w:r>
      <w:r w:rsidRPr="00E254F5">
        <w:rPr>
          <w:i/>
        </w:rPr>
        <w:t>: Rapport de Jean Leonetti - mercredi 20 janvier 2010</w:t>
      </w:r>
      <w:r w:rsidRPr="00E254F5">
        <w:t xml:space="preserve">, διαθέσιμο σε: </w:t>
      </w:r>
      <w:hyperlink r:id="rId18" w:history="1">
        <w:r w:rsidRPr="00E254F5">
          <w:rPr>
            <w:rStyle w:val="Hyperlink"/>
            <w:szCs w:val="20"/>
            <w:lang w:val="fr-FR"/>
          </w:rPr>
          <w:t>http://www.assemblee-nationale.fr/presse/communiques/20100120-02.asp</w:t>
        </w:r>
      </w:hyperlink>
      <w:r w:rsidRPr="00E254F5">
        <w:t xml:space="preserve">. </w:t>
      </w:r>
    </w:p>
  </w:footnote>
  <w:footnote w:id="27">
    <w:p w14:paraId="2835469D" w14:textId="77777777" w:rsidR="00E47260" w:rsidRPr="00E254F5" w:rsidRDefault="00E47260" w:rsidP="00CB7D04">
      <w:pPr>
        <w:pStyle w:val="FootnoteText"/>
      </w:pPr>
      <w:r w:rsidRPr="00E254F5">
        <w:rPr>
          <w:rStyle w:val="FootnoteReference"/>
          <w:b/>
          <w:szCs w:val="20"/>
        </w:rPr>
        <w:footnoteRef/>
      </w:r>
      <w:r w:rsidRPr="00E254F5">
        <w:t xml:space="preserve"> Για περισσότερες πληροφορίες σχετικά με τις Γενικές Τάξεις της Βιοηθικής βλ. την επίσημη ιστοσελίδα τους, διαθέσιμη σε: </w:t>
      </w:r>
      <w:hyperlink r:id="rId19" w:history="1">
        <w:r w:rsidRPr="00E254F5">
          <w:rPr>
            <w:rStyle w:val="Hyperlink"/>
            <w:szCs w:val="20"/>
          </w:rPr>
          <w:t>http://www.etatsgenerauxdelabioethique.fr/</w:t>
        </w:r>
      </w:hyperlink>
      <w:r w:rsidRPr="00E254F5">
        <w:t xml:space="preserve">. Βλ. επίσης </w:t>
      </w:r>
      <w:r w:rsidRPr="00E254F5">
        <w:rPr>
          <w:b/>
          <w:i/>
        </w:rPr>
        <w:t>Cl. Bergoignan Esper</w:t>
      </w:r>
      <w:r w:rsidRPr="00E254F5">
        <w:t xml:space="preserve">, </w:t>
      </w:r>
      <w:r>
        <w:t>«</w:t>
      </w:r>
      <w:r w:rsidRPr="00E254F5">
        <w:t xml:space="preserve">Les états généraux de la bioéthique, un tournant dans la réflexion», </w:t>
      </w:r>
      <w:r w:rsidRPr="00E254F5">
        <w:rPr>
          <w:i/>
        </w:rPr>
        <w:t>Recueil Dalloz Sirey</w:t>
      </w:r>
      <w:r w:rsidRPr="00E254F5">
        <w:t xml:space="preserve">, 2009, σελ. 1837; </w:t>
      </w:r>
      <w:r w:rsidRPr="00E254F5">
        <w:rPr>
          <w:b/>
          <w:i/>
        </w:rPr>
        <w:t>B. Mathieu</w:t>
      </w:r>
      <w:r w:rsidRPr="00E254F5">
        <w:t xml:space="preserve">, «Une refondation de la bioéthique?», </w:t>
      </w:r>
      <w:r w:rsidRPr="00E254F5">
        <w:rPr>
          <w:i/>
        </w:rPr>
        <w:t>JCP G Semaine juridique,</w:t>
      </w:r>
      <w:r w:rsidRPr="00E254F5">
        <w:t xml:space="preserve"> 2009, σελ. 208; </w:t>
      </w:r>
      <w:r w:rsidRPr="00E254F5">
        <w:rPr>
          <w:b/>
          <w:i/>
        </w:rPr>
        <w:t>O. Roy</w:t>
      </w:r>
      <w:r w:rsidRPr="00E254F5">
        <w:rPr>
          <w:b/>
        </w:rPr>
        <w:t>,</w:t>
      </w:r>
      <w:r w:rsidRPr="00E254F5">
        <w:t xml:space="preserve"> </w:t>
      </w:r>
      <w:r>
        <w:t>«</w:t>
      </w:r>
      <w:r w:rsidRPr="00E254F5">
        <w:t>Procréation Médicalement assistée et révision des lois bioéthiques françaises. Le montagne a accouché d’une souris</w:t>
      </w:r>
      <w:r>
        <w:t>»</w:t>
      </w:r>
      <w:r w:rsidRPr="00E254F5">
        <w:t xml:space="preserve">, in </w:t>
      </w:r>
      <w:r w:rsidRPr="00972D4D">
        <w:rPr>
          <w:b/>
          <w:i/>
        </w:rPr>
        <w:t>N. Gallus</w:t>
      </w:r>
      <w:r w:rsidRPr="00972D4D">
        <w:rPr>
          <w:b/>
        </w:rPr>
        <w:t xml:space="preserve"> (dir.)</w:t>
      </w:r>
      <w:r w:rsidRPr="00E254F5">
        <w:t xml:space="preserve">, </w:t>
      </w:r>
      <w:r w:rsidRPr="00E254F5">
        <w:rPr>
          <w:i/>
        </w:rPr>
        <w:t>Droit des familles: Genre et sexualité</w:t>
      </w:r>
      <w:r w:rsidRPr="00E254F5">
        <w:t xml:space="preserve">, </w:t>
      </w:r>
      <w:r>
        <w:t>Éd.</w:t>
      </w:r>
      <w:r w:rsidRPr="00E254F5">
        <w:t xml:space="preserve"> Anthemis, 2012, σελ. 13</w:t>
      </w:r>
      <w:r>
        <w:t>9-141</w:t>
      </w:r>
      <w:r w:rsidRPr="00E254F5">
        <w:t xml:space="preserve">; </w:t>
      </w:r>
      <w:r w:rsidRPr="00E254F5">
        <w:rPr>
          <w:b/>
          <w:i/>
        </w:rPr>
        <w:t>P. Muzny</w:t>
      </w:r>
      <w:r w:rsidRPr="00E254F5">
        <w:t xml:space="preserve">, </w:t>
      </w:r>
      <w:r w:rsidRPr="00E254F5">
        <w:rPr>
          <w:i/>
        </w:rPr>
        <w:t>La liberté de la personne sur son corps</w:t>
      </w:r>
      <w:r w:rsidRPr="00E254F5">
        <w:t xml:space="preserve">, </w:t>
      </w:r>
      <w:r>
        <w:t>Éd.</w:t>
      </w:r>
      <w:r w:rsidRPr="00E254F5">
        <w:t xml:space="preserve"> Dalloz, Thèmes et commentaires, 2010. </w:t>
      </w:r>
    </w:p>
  </w:footnote>
  <w:footnote w:id="28">
    <w:p w14:paraId="1EE2CDC1" w14:textId="77777777" w:rsidR="00E47260" w:rsidRPr="00B4555F" w:rsidRDefault="00E47260">
      <w:pPr>
        <w:pStyle w:val="FootnoteText"/>
        <w:rPr>
          <w:lang w:val="el-GR"/>
        </w:rPr>
      </w:pPr>
      <w:r>
        <w:rPr>
          <w:rStyle w:val="FootnoteReference"/>
        </w:rPr>
        <w:footnoteRef/>
      </w:r>
      <w:r>
        <w:t xml:space="preserve"> </w:t>
      </w:r>
      <w:r>
        <w:rPr>
          <w:lang w:val="el-GR"/>
        </w:rPr>
        <w:t xml:space="preserve">Θα ακολουθήσει αναφορά στις εν λόγω εκθέσεις στις αντίστοιχες θεματικές ενότητες. </w:t>
      </w:r>
    </w:p>
  </w:footnote>
  <w:footnote w:id="29">
    <w:p w14:paraId="7DFC1AFC" w14:textId="77777777" w:rsidR="00E47260" w:rsidRPr="00E254F5" w:rsidRDefault="00E47260" w:rsidP="00CB7D04">
      <w:pPr>
        <w:pStyle w:val="FootnoteText"/>
      </w:pPr>
      <w:r w:rsidRPr="00E254F5">
        <w:rPr>
          <w:rStyle w:val="FootnoteReference"/>
          <w:b/>
          <w:szCs w:val="20"/>
        </w:rPr>
        <w:footnoteRef/>
      </w:r>
      <w:r w:rsidRPr="00E254F5">
        <w:t xml:space="preserve"> Βλ. Conseil d’État, </w:t>
      </w:r>
      <w:r w:rsidRPr="00E254F5">
        <w:rPr>
          <w:i/>
        </w:rPr>
        <w:t>La Revision des Lois de Bioéthique, Étude adoptée par l’Assemblée Générale Plénière</w:t>
      </w:r>
      <w:r w:rsidRPr="00E254F5">
        <w:t>, le 9 avril 2009, La Documentation Française.</w:t>
      </w:r>
      <w:r w:rsidRPr="00E254F5">
        <w:rPr>
          <w:rStyle w:val="hps"/>
          <w:b/>
          <w:szCs w:val="20"/>
          <w:lang w:val="fr-FR"/>
        </w:rPr>
        <w:t xml:space="preserve"> </w:t>
      </w:r>
    </w:p>
  </w:footnote>
  <w:footnote w:id="30">
    <w:p w14:paraId="4BA42663" w14:textId="77777777" w:rsidR="00E47260" w:rsidRPr="00E254F5" w:rsidRDefault="00E47260" w:rsidP="00CB7D04">
      <w:pPr>
        <w:pStyle w:val="FootnoteText"/>
      </w:pPr>
      <w:r w:rsidRPr="00E254F5">
        <w:rPr>
          <w:rStyle w:val="FootnoteReference"/>
          <w:b/>
          <w:szCs w:val="20"/>
        </w:rPr>
        <w:footnoteRef/>
      </w:r>
      <w:r w:rsidRPr="00E254F5">
        <w:t xml:space="preserve"> </w:t>
      </w:r>
      <w:r w:rsidRPr="00AF38EF">
        <w:rPr>
          <w:szCs w:val="20"/>
        </w:rPr>
        <w:t xml:space="preserve">Loi n° 2011-814 du 7 juillet 2011 relative à la bioéthique, διαθέσιμος σε: </w:t>
      </w:r>
      <w:hyperlink r:id="rId20" w:history="1">
        <w:r w:rsidRPr="00AF38EF">
          <w:rPr>
            <w:rStyle w:val="Hyperlink"/>
            <w:szCs w:val="20"/>
            <w:lang w:val="fr-FR"/>
          </w:rPr>
          <w:t>http://www.legifrance.gouv.fr/affichTexte.do?cidTexte=JORFTEXT000024323102</w:t>
        </w:r>
      </w:hyperlink>
      <w:r w:rsidRPr="00AF38EF">
        <w:rPr>
          <w:rStyle w:val="Strong"/>
          <w:b w:val="0"/>
          <w:szCs w:val="20"/>
          <w:lang w:val="fr-FR"/>
        </w:rPr>
        <w:t>.</w:t>
      </w:r>
      <w:r w:rsidRPr="00AF38EF">
        <w:rPr>
          <w:rStyle w:val="Strong"/>
          <w:b w:val="0"/>
          <w:bCs w:val="0"/>
          <w:szCs w:val="20"/>
          <w:lang w:val="fr-FR"/>
        </w:rPr>
        <w:t xml:space="preserve"> </w:t>
      </w:r>
    </w:p>
  </w:footnote>
  <w:footnote w:id="31">
    <w:p w14:paraId="73619315" w14:textId="77777777" w:rsidR="00E47260" w:rsidRPr="00E254F5" w:rsidRDefault="00E47260" w:rsidP="00CB7D04">
      <w:pPr>
        <w:pStyle w:val="FootnoteText"/>
      </w:pPr>
      <w:r w:rsidRPr="00E254F5">
        <w:rPr>
          <w:rStyle w:val="FootnoteReference"/>
          <w:b/>
          <w:szCs w:val="20"/>
        </w:rPr>
        <w:footnoteRef/>
      </w:r>
      <w:r w:rsidRPr="00E254F5">
        <w:rPr>
          <w:b/>
        </w:rPr>
        <w:t xml:space="preserve"> </w:t>
      </w:r>
      <w:r w:rsidRPr="00E254F5">
        <w:t xml:space="preserve">Για περισσότερες λεπτομέρειες σχετικά βλ. </w:t>
      </w:r>
      <w:r w:rsidRPr="00B81688">
        <w:rPr>
          <w:i/>
        </w:rPr>
        <w:t>infra</w:t>
      </w:r>
      <w:r w:rsidRPr="00E254F5">
        <w:t xml:space="preserve">, </w:t>
      </w:r>
      <w:r>
        <w:rPr>
          <w:lang w:val="el-GR"/>
        </w:rPr>
        <w:t xml:space="preserve">σελ. </w:t>
      </w:r>
      <w:r>
        <w:rPr>
          <w:lang w:val="el-GR"/>
        </w:rPr>
        <w:fldChar w:fldCharType="begin"/>
      </w:r>
      <w:r>
        <w:rPr>
          <w:lang w:val="el-GR"/>
        </w:rPr>
        <w:instrText xml:space="preserve"> PAGEREF _Ref274675140 \h </w:instrText>
      </w:r>
      <w:r>
        <w:rPr>
          <w:lang w:val="el-GR"/>
        </w:rPr>
      </w:r>
      <w:r>
        <w:rPr>
          <w:lang w:val="el-GR"/>
        </w:rPr>
        <w:fldChar w:fldCharType="separate"/>
      </w:r>
      <w:r w:rsidR="00B822F0">
        <w:rPr>
          <w:noProof/>
          <w:lang w:val="el-GR"/>
        </w:rPr>
        <w:t>184</w:t>
      </w:r>
      <w:r>
        <w:rPr>
          <w:lang w:val="el-GR"/>
        </w:rPr>
        <w:fldChar w:fldCharType="end"/>
      </w:r>
      <w:r>
        <w:rPr>
          <w:lang w:val="el-GR"/>
        </w:rPr>
        <w:t>επ</w:t>
      </w:r>
      <w:r w:rsidRPr="00E254F5">
        <w:t xml:space="preserve">. </w:t>
      </w:r>
    </w:p>
  </w:footnote>
  <w:footnote w:id="32">
    <w:p w14:paraId="015474C9"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b/>
          <w:i/>
        </w:rPr>
        <w:t>J.-R. Binet,</w:t>
      </w:r>
      <w:r w:rsidRPr="00E254F5">
        <w:rPr>
          <w:i/>
        </w:rPr>
        <w:t xml:space="preserve"> La reforme de la loi bioéthique. Commentaire et analyse de la loi n</w:t>
      </w:r>
      <w:r w:rsidRPr="00E254F5">
        <w:rPr>
          <w:i/>
          <w:vertAlign w:val="superscript"/>
        </w:rPr>
        <w:t>o</w:t>
      </w:r>
      <w:r w:rsidRPr="00E254F5">
        <w:rPr>
          <w:i/>
        </w:rPr>
        <w:t xml:space="preserve"> 2011-814 du 7 juillet 2011 relative à la bioéthique</w:t>
      </w:r>
      <w:r w:rsidRPr="00E254F5">
        <w:t>, Éd. Lexis Nexis, 2012, σελ. 46.</w:t>
      </w:r>
      <w:r w:rsidRPr="00E254F5">
        <w:rPr>
          <w:b/>
        </w:rPr>
        <w:t xml:space="preserve"> </w:t>
      </w:r>
    </w:p>
  </w:footnote>
  <w:footnote w:id="33">
    <w:p w14:paraId="2010E2B7" w14:textId="77777777" w:rsidR="00E47260" w:rsidRPr="00E254F5" w:rsidRDefault="00E47260" w:rsidP="00CB7D04">
      <w:pPr>
        <w:pStyle w:val="FootnoteText"/>
      </w:pPr>
      <w:r w:rsidRPr="00E254F5">
        <w:rPr>
          <w:rStyle w:val="FootnoteReference"/>
          <w:szCs w:val="20"/>
        </w:rPr>
        <w:footnoteRef/>
      </w:r>
      <w:r w:rsidRPr="00E254F5">
        <w:t xml:space="preserve"> </w:t>
      </w:r>
      <w:r>
        <w:t xml:space="preserve">Βλ. </w:t>
      </w:r>
      <w:r w:rsidRPr="00E254F5">
        <w:rPr>
          <w:rStyle w:val="hps"/>
          <w:szCs w:val="20"/>
        </w:rPr>
        <w:t xml:space="preserve">Νομοθετικό Τμήμα, Πρώτο Μέρος, Βιβλίο ΙΙ, Τίτλος IV, Κεφάλαιο IV: </w:t>
      </w:r>
      <w:r w:rsidRPr="00FC78CB">
        <w:rPr>
          <w:rStyle w:val="hps"/>
          <w:i/>
          <w:szCs w:val="20"/>
        </w:rPr>
        <w:t>Δωρεά και χρήση γαμετών</w:t>
      </w:r>
      <w:r w:rsidRPr="00E254F5">
        <w:rPr>
          <w:rStyle w:val="hps"/>
          <w:szCs w:val="20"/>
        </w:rPr>
        <w:t xml:space="preserve"> και Δεύτερο Μέρος, Βιβλίο Ι, Τίτλος ΙΙΙ: </w:t>
      </w:r>
      <w:r w:rsidRPr="00FC78CB">
        <w:rPr>
          <w:rStyle w:val="hps"/>
          <w:i/>
          <w:szCs w:val="20"/>
        </w:rPr>
        <w:t>Προληπτική δράση σχετικά με το παιδί</w:t>
      </w:r>
      <w:r w:rsidRPr="00E254F5">
        <w:rPr>
          <w:rStyle w:val="hps"/>
          <w:szCs w:val="20"/>
        </w:rPr>
        <w:t xml:space="preserve">, Τίτλος IV: </w:t>
      </w:r>
      <w:r w:rsidRPr="00FC78CB">
        <w:rPr>
          <w:rStyle w:val="hps"/>
          <w:i/>
          <w:szCs w:val="20"/>
        </w:rPr>
        <w:t>Ιατρικά Υποβοηθούμενη Αναπαραγωγή</w:t>
      </w:r>
      <w:r w:rsidRPr="00E254F5">
        <w:rPr>
          <w:rStyle w:val="hps"/>
          <w:szCs w:val="20"/>
        </w:rPr>
        <w:t xml:space="preserve">, Τίτλος </w:t>
      </w:r>
      <w:r w:rsidRPr="00E254F5">
        <w:rPr>
          <w:rStyle w:val="hps"/>
          <w:szCs w:val="20"/>
          <w:lang w:val="fr-FR"/>
        </w:rPr>
        <w:t>V</w:t>
      </w:r>
      <w:r w:rsidRPr="00E254F5">
        <w:rPr>
          <w:rStyle w:val="hps"/>
          <w:szCs w:val="20"/>
        </w:rPr>
        <w:t xml:space="preserve">: </w:t>
      </w:r>
      <w:r w:rsidRPr="00FC78CB">
        <w:rPr>
          <w:rStyle w:val="hps"/>
          <w:i/>
          <w:szCs w:val="20"/>
        </w:rPr>
        <w:t>Έρευνα στο έμβρυο και τα εμβρυικά βλαστοκύτταρα</w:t>
      </w:r>
      <w:r w:rsidRPr="00E254F5">
        <w:rPr>
          <w:rStyle w:val="hps"/>
          <w:szCs w:val="20"/>
        </w:rPr>
        <w:t xml:space="preserve">, Τίτλος VΙ: </w:t>
      </w:r>
      <w:r w:rsidRPr="00FC78CB">
        <w:rPr>
          <w:rStyle w:val="hps"/>
          <w:i/>
          <w:szCs w:val="20"/>
        </w:rPr>
        <w:t>Ποινικές Διατάξεις</w:t>
      </w:r>
      <w:r w:rsidRPr="00E254F5">
        <w:rPr>
          <w:rStyle w:val="hps"/>
          <w:szCs w:val="20"/>
        </w:rPr>
        <w:t xml:space="preserve">. Επίσης, </w:t>
      </w:r>
      <w:r>
        <w:rPr>
          <w:rStyle w:val="hps"/>
          <w:szCs w:val="20"/>
        </w:rPr>
        <w:t xml:space="preserve">σχετικές διατάξεις βρίσκουμε στο </w:t>
      </w:r>
      <w:r w:rsidRPr="00E254F5">
        <w:rPr>
          <w:rStyle w:val="hps"/>
          <w:szCs w:val="20"/>
        </w:rPr>
        <w:t>Κανονιστικό Τμήμα</w:t>
      </w:r>
      <w:r>
        <w:rPr>
          <w:rStyle w:val="hps"/>
          <w:szCs w:val="20"/>
        </w:rPr>
        <w:t xml:space="preserve"> του Κώδικα Δημόσιας Υγείας</w:t>
      </w:r>
      <w:r w:rsidRPr="00E254F5">
        <w:rPr>
          <w:rStyle w:val="hps"/>
          <w:szCs w:val="20"/>
        </w:rPr>
        <w:t xml:space="preserve">, Δεύτερο Μέρος, Βιβλίο Ι, Τίτλοι IV: </w:t>
      </w:r>
      <w:r w:rsidRPr="00FC78CB">
        <w:rPr>
          <w:rStyle w:val="hps"/>
          <w:i/>
          <w:szCs w:val="20"/>
        </w:rPr>
        <w:t>Ιατρικά Υποβοηθούμενη αναπαραγωγή</w:t>
      </w:r>
      <w:r w:rsidRPr="00E254F5">
        <w:rPr>
          <w:rStyle w:val="hps"/>
          <w:szCs w:val="20"/>
        </w:rPr>
        <w:t xml:space="preserve"> και V: </w:t>
      </w:r>
      <w:r w:rsidRPr="00FC78CB">
        <w:rPr>
          <w:rStyle w:val="hps"/>
          <w:i/>
          <w:szCs w:val="20"/>
        </w:rPr>
        <w:t>Έρευνα στο έμβρυο και τα εμβρυικά βλαστοκύτταρα</w:t>
      </w:r>
      <w:r w:rsidRPr="00E254F5">
        <w:rPr>
          <w:rStyle w:val="hps"/>
          <w:szCs w:val="20"/>
        </w:rPr>
        <w:t xml:space="preserve">. </w:t>
      </w:r>
    </w:p>
  </w:footnote>
  <w:footnote w:id="34">
    <w:p w14:paraId="42D659F4" w14:textId="77777777" w:rsidR="00E47260" w:rsidRPr="00E254F5" w:rsidRDefault="00E47260" w:rsidP="00CB7D04">
      <w:pPr>
        <w:pStyle w:val="FootnoteText"/>
      </w:pPr>
      <w:r w:rsidRPr="00E254F5">
        <w:rPr>
          <w:rStyle w:val="FootnoteReference"/>
          <w:szCs w:val="20"/>
        </w:rPr>
        <w:footnoteRef/>
      </w:r>
      <w:r w:rsidRPr="00E254F5">
        <w:t xml:space="preserve"> </w:t>
      </w:r>
      <w:r>
        <w:t xml:space="preserve">Βλ. </w:t>
      </w:r>
      <w:r w:rsidRPr="00E254F5">
        <w:rPr>
          <w:rStyle w:val="hps"/>
          <w:szCs w:val="20"/>
        </w:rPr>
        <w:t xml:space="preserve">Βιβλίο Ι, Τίτλος Ι, Κεφάλαιο ΙΙ: </w:t>
      </w:r>
      <w:r w:rsidRPr="00FC78CB">
        <w:rPr>
          <w:rStyle w:val="hps"/>
          <w:i/>
          <w:szCs w:val="20"/>
        </w:rPr>
        <w:t>Περί σεβασμού του ανθρωπίνου σώματος</w:t>
      </w:r>
      <w:r>
        <w:rPr>
          <w:rStyle w:val="hps"/>
          <w:szCs w:val="20"/>
        </w:rPr>
        <w:t xml:space="preserve"> (</w:t>
      </w:r>
      <w:r w:rsidRPr="00E254F5">
        <w:rPr>
          <w:rStyle w:val="hps"/>
          <w:szCs w:val="20"/>
        </w:rPr>
        <w:t>άρθρα 16 έως 16-9</w:t>
      </w:r>
      <w:r>
        <w:rPr>
          <w:rStyle w:val="hps"/>
          <w:szCs w:val="20"/>
        </w:rPr>
        <w:t>)</w:t>
      </w:r>
      <w:r w:rsidRPr="00E254F5">
        <w:rPr>
          <w:rStyle w:val="hps"/>
          <w:szCs w:val="20"/>
        </w:rPr>
        <w:t xml:space="preserve"> και Βιβλίο Ι, Τίτλος </w:t>
      </w:r>
      <w:r w:rsidRPr="00E254F5">
        <w:rPr>
          <w:rStyle w:val="hps"/>
          <w:szCs w:val="20"/>
          <w:lang w:val="fr-FR"/>
        </w:rPr>
        <w:t>VII</w:t>
      </w:r>
      <w:r w:rsidRPr="00E254F5">
        <w:rPr>
          <w:rStyle w:val="hps"/>
          <w:szCs w:val="20"/>
        </w:rPr>
        <w:t xml:space="preserve">, Κεφάλαιο Ι, Ενότητα 3: </w:t>
      </w:r>
      <w:r w:rsidRPr="00FC78CB">
        <w:rPr>
          <w:rStyle w:val="hps"/>
          <w:i/>
          <w:szCs w:val="20"/>
        </w:rPr>
        <w:t>Περί της ιατρικά υποβοηθούμενης αναπαραγωγής</w:t>
      </w:r>
      <w:r>
        <w:rPr>
          <w:rStyle w:val="hps"/>
          <w:szCs w:val="20"/>
        </w:rPr>
        <w:t xml:space="preserve"> (</w:t>
      </w:r>
      <w:r w:rsidRPr="00E254F5">
        <w:rPr>
          <w:rStyle w:val="hps"/>
          <w:szCs w:val="20"/>
        </w:rPr>
        <w:t>άρθρα 311-19 και 311-20</w:t>
      </w:r>
      <w:r>
        <w:rPr>
          <w:rStyle w:val="hps"/>
          <w:szCs w:val="20"/>
        </w:rPr>
        <w:t>)</w:t>
      </w:r>
      <w:r w:rsidRPr="00E254F5">
        <w:rPr>
          <w:rStyle w:val="hps"/>
          <w:szCs w:val="20"/>
        </w:rPr>
        <w:t>. Σημειώνεται, δε, ότι η νέα κωδικοποί</w:t>
      </w:r>
      <w:r>
        <w:rPr>
          <w:rStyle w:val="hps"/>
          <w:szCs w:val="20"/>
        </w:rPr>
        <w:t>ηση που επιχειρήθηκε με την Υ</w:t>
      </w:r>
      <w:r w:rsidRPr="00E254F5">
        <w:rPr>
          <w:rStyle w:val="hps"/>
          <w:szCs w:val="20"/>
        </w:rPr>
        <w:t>πουργική απόφαση (</w:t>
      </w:r>
      <w:r w:rsidRPr="00E254F5">
        <w:rPr>
          <w:rStyle w:val="hps"/>
          <w:i/>
          <w:szCs w:val="20"/>
          <w:lang w:val="fr-FR"/>
        </w:rPr>
        <w:t>ordonnance</w:t>
      </w:r>
      <w:r w:rsidRPr="00E254F5">
        <w:rPr>
          <w:rStyle w:val="hps"/>
          <w:szCs w:val="20"/>
        </w:rPr>
        <w:t>) της 6</w:t>
      </w:r>
      <w:r w:rsidRPr="00E254F5">
        <w:rPr>
          <w:rStyle w:val="hps"/>
          <w:szCs w:val="20"/>
          <w:vertAlign w:val="superscript"/>
        </w:rPr>
        <w:t>ης</w:t>
      </w:r>
      <w:r w:rsidRPr="00E254F5">
        <w:rPr>
          <w:rStyle w:val="hps"/>
          <w:szCs w:val="20"/>
        </w:rPr>
        <w:t xml:space="preserve"> Ιουνίου 2000 τροποποίησε την αρίθμηση των άρθρων του Αστικού Κώδικα. </w:t>
      </w:r>
    </w:p>
  </w:footnote>
  <w:footnote w:id="35">
    <w:p w14:paraId="3445B1F5" w14:textId="77777777" w:rsidR="00E47260" w:rsidRPr="00E254F5" w:rsidRDefault="00E47260" w:rsidP="00CB7D04">
      <w:pPr>
        <w:pStyle w:val="FootnoteText"/>
      </w:pPr>
      <w:r w:rsidRPr="00E254F5">
        <w:rPr>
          <w:rStyle w:val="FootnoteReference"/>
          <w:szCs w:val="20"/>
        </w:rPr>
        <w:footnoteRef/>
      </w:r>
      <w:r w:rsidRPr="00E254F5">
        <w:t xml:space="preserve"> Σχετικά με την κριτική της νομοθεσίας αυτής βλ. </w:t>
      </w:r>
      <w:r w:rsidRPr="00FC78CB">
        <w:rPr>
          <w:b/>
          <w:i/>
        </w:rPr>
        <w:t>F. Dekeuwer-Défossez</w:t>
      </w:r>
      <w:r w:rsidRPr="00E254F5">
        <w:t xml:space="preserve">, «Réflexions sur les mythes fondateurs du droit contemporain de la famille», </w:t>
      </w:r>
      <w:r w:rsidRPr="00E254F5">
        <w:rPr>
          <w:i/>
        </w:rPr>
        <w:t>RDD civ.,</w:t>
      </w:r>
      <w:r w:rsidRPr="00E254F5">
        <w:t xml:space="preserve"> 1995, </w:t>
      </w:r>
      <w:r>
        <w:t>n</w:t>
      </w:r>
      <w:r w:rsidRPr="00FC78CB">
        <w:rPr>
          <w:vertAlign w:val="superscript"/>
        </w:rPr>
        <w:t>o</w:t>
      </w:r>
      <w:r>
        <w:t xml:space="preserve"> 2, σελ. 249</w:t>
      </w:r>
      <w:r>
        <w:rPr>
          <w:lang w:val="el-GR"/>
        </w:rPr>
        <w:t>επ.</w:t>
      </w:r>
      <w:r w:rsidRPr="00E254F5">
        <w:t xml:space="preserve"> </w:t>
      </w:r>
    </w:p>
  </w:footnote>
  <w:footnote w:id="36">
    <w:p w14:paraId="70C8CABC" w14:textId="77777777" w:rsidR="00E47260" w:rsidRPr="00E254F5" w:rsidRDefault="00E47260" w:rsidP="00CB7D04">
      <w:pPr>
        <w:pStyle w:val="FootnoteText"/>
        <w:rPr>
          <w:b/>
        </w:rPr>
      </w:pPr>
      <w:r w:rsidRPr="00E254F5">
        <w:rPr>
          <w:rStyle w:val="FootnoteReference"/>
          <w:szCs w:val="20"/>
        </w:rPr>
        <w:footnoteRef/>
      </w:r>
      <w:r w:rsidRPr="00E254F5">
        <w:t xml:space="preserve"> Arrêté du 12 janvier 1999 relatif aux règles de bonnes pratiques cliniques et biologiques en assistance médicale à la procréation</w:t>
      </w:r>
      <w:r>
        <w:t>, διαθέσιμο σε:</w:t>
      </w:r>
      <w:r w:rsidRPr="00E254F5">
        <w:t xml:space="preserve"> </w:t>
      </w:r>
      <w:hyperlink r:id="rId21" w:history="1">
        <w:r w:rsidRPr="00E254F5">
          <w:rPr>
            <w:rStyle w:val="Hyperlink"/>
            <w:szCs w:val="20"/>
            <w:lang w:val="fr-FR"/>
          </w:rPr>
          <w:t>http://legifrance.gouv.fr/affichTexte.do;jsessionid=112119A73C773B6E0E287C667783D434.tpdjo04v_1?cidTexte=JORFTEXT000000759334&amp;categorieLien=id</w:t>
        </w:r>
      </w:hyperlink>
      <w:r w:rsidRPr="00E254F5">
        <w:rPr>
          <w:rStyle w:val="Strong"/>
          <w:b w:val="0"/>
          <w:bCs w:val="0"/>
          <w:szCs w:val="20"/>
          <w:lang w:val="fr-FR"/>
        </w:rPr>
        <w:t xml:space="preserve">. </w:t>
      </w:r>
    </w:p>
  </w:footnote>
  <w:footnote w:id="37">
    <w:p w14:paraId="62167A1E" w14:textId="77777777" w:rsidR="00E47260" w:rsidRPr="00E254F5" w:rsidRDefault="00E47260" w:rsidP="00CB7D04">
      <w:pPr>
        <w:pStyle w:val="FootnoteText"/>
      </w:pPr>
      <w:r w:rsidRPr="00E254F5">
        <w:rPr>
          <w:rStyle w:val="FootnoteReference"/>
          <w:szCs w:val="20"/>
        </w:rPr>
        <w:footnoteRef/>
      </w:r>
      <w:r w:rsidRPr="00E254F5">
        <w:t xml:space="preserve"> Arrêté du 11 avril 2008 relatif aux règles de bonnes pratiques cliniques et biologiques d’assis</w:t>
      </w:r>
      <w:r>
        <w:t>tance médicale à la procréation, διαθέσιμ</w:t>
      </w:r>
      <w:r>
        <w:rPr>
          <w:lang w:val="el-GR"/>
        </w:rPr>
        <w:t>ο</w:t>
      </w:r>
      <w:r>
        <w:t xml:space="preserve"> σε: </w:t>
      </w:r>
      <w:hyperlink r:id="rId22" w:history="1">
        <w:r w:rsidRPr="00E254F5">
          <w:rPr>
            <w:rStyle w:val="Hyperlink"/>
            <w:szCs w:val="20"/>
            <w:lang w:val="fr-FR"/>
          </w:rPr>
          <w:t>http://www.juridique-biomedecine.fr/uploads/documents/arrt-du-11-avril-2008-relatif-aux-rgles-de-bonnes-pratiques-cliniques-et-biologiques-d-assistance-mdicale--la-procration-modifi-arrt-du-3-aot-2010.pdf</w:t>
        </w:r>
      </w:hyperlink>
      <w:r w:rsidRPr="00E254F5">
        <w:t xml:space="preserve">. </w:t>
      </w:r>
    </w:p>
  </w:footnote>
  <w:footnote w:id="38">
    <w:p w14:paraId="1357B96D" w14:textId="77777777" w:rsidR="00E47260" w:rsidRPr="00E254F5" w:rsidRDefault="00E47260" w:rsidP="00CB7D04">
      <w:pPr>
        <w:pStyle w:val="FootnoteText"/>
      </w:pPr>
      <w:r w:rsidRPr="00E254F5">
        <w:rPr>
          <w:rStyle w:val="FootnoteReference"/>
          <w:szCs w:val="20"/>
        </w:rPr>
        <w:footnoteRef/>
      </w:r>
      <w:r w:rsidRPr="00E254F5">
        <w:t xml:space="preserve"> Επισημαίνεται στο σημείο αυτό ότι εδώ θα γίνεται απλή αναφορά των Γνωμοδοτήσεων και άλλων Οδηγιών σχετικών με την ιατρικά υποβοηθούμενη αναπαραγωγή, ενώ πιο λεπτομερής παρουσίασή τους θα ακολουθήσει κατά θεματικό τρόπο στην αντίστοιχη ενότητα της παρούσας Έκθεσης. </w:t>
      </w:r>
    </w:p>
  </w:footnote>
  <w:footnote w:id="39">
    <w:p w14:paraId="27714CFC"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Avis sur l’autoconservation des gamètes de personnes transsexuelles souhaitant procéder à un traitement de réassignation sexuelle</w:t>
      </w:r>
      <w:r w:rsidRPr="00E254F5">
        <w:t>, Délibération du 26 juin 2014</w:t>
      </w:r>
      <w:r>
        <w:t xml:space="preserve">, διαθέσιμη σε: </w:t>
      </w:r>
      <w:hyperlink r:id="rId23" w:history="1">
        <w:r w:rsidRPr="00E254F5">
          <w:rPr>
            <w:rStyle w:val="Hyperlink"/>
            <w:szCs w:val="20"/>
            <w:lang w:val="fr-FR"/>
          </w:rPr>
          <w:t>http://www.agence-biomedecine.fr/IMG/pdf/avisco_autoconservationgametes_juin2014.pdf</w:t>
        </w:r>
      </w:hyperlink>
      <w:r w:rsidRPr="00E254F5">
        <w:t xml:space="preserve">. </w:t>
      </w:r>
    </w:p>
  </w:footnote>
  <w:footnote w:id="40">
    <w:p w14:paraId="40A336D7"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Réflexions sur l’ouverture de l’assistance médicale à la procréation aux couples de femmes</w:t>
      </w:r>
      <w:r w:rsidRPr="00E254F5">
        <w:t>, Délibération n</w:t>
      </w:r>
      <w:r w:rsidRPr="00E254F5">
        <w:rPr>
          <w:vertAlign w:val="superscript"/>
        </w:rPr>
        <w:t>o</w:t>
      </w:r>
      <w:r>
        <w:t xml:space="preserve"> 2013-CO-13, du 18 april 2013, διαθέσιμο σε: </w:t>
      </w:r>
      <w:hyperlink r:id="rId24" w:history="1">
        <w:r w:rsidRPr="00E254F5">
          <w:rPr>
            <w:rStyle w:val="Hyperlink"/>
            <w:szCs w:val="20"/>
            <w:lang w:val="fr-FR"/>
          </w:rPr>
          <w:t>http://www.agence-biomedecine.fr/IMG/pdf/deliberation2013_co_13.pdf</w:t>
        </w:r>
      </w:hyperlink>
      <w:r w:rsidRPr="00E254F5">
        <w:t xml:space="preserve">. </w:t>
      </w:r>
    </w:p>
  </w:footnote>
  <w:footnote w:id="41">
    <w:p w14:paraId="507BA108"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Avis sur l’autoconservation de gamètes</w:t>
      </w:r>
      <w:r w:rsidRPr="00E254F5">
        <w:t>, Délibération n</w:t>
      </w:r>
      <w:r w:rsidRPr="00E254F5">
        <w:rPr>
          <w:vertAlign w:val="superscript"/>
        </w:rPr>
        <w:t>o</w:t>
      </w:r>
      <w:r w:rsidRPr="00E254F5">
        <w:t xml:space="preserve"> 2012-CO-29, du 6 juillet 2012</w:t>
      </w:r>
      <w:r>
        <w:t xml:space="preserve">, διαθέσιμη σε: </w:t>
      </w:r>
      <w:hyperlink r:id="rId25" w:history="1">
        <w:r w:rsidRPr="00E254F5">
          <w:rPr>
            <w:rStyle w:val="Hyperlink"/>
            <w:szCs w:val="20"/>
            <w:lang w:val="fr-FR"/>
          </w:rPr>
          <w:t>http://www.agence-biomedecine.fr/IMG/pdf/deliberation_co_12072012_autoconservation_gametes.pdf</w:t>
        </w:r>
      </w:hyperlink>
      <w:r w:rsidRPr="00E254F5">
        <w:t xml:space="preserve">. </w:t>
      </w:r>
    </w:p>
  </w:footnote>
  <w:footnote w:id="42">
    <w:p w14:paraId="31DDA253"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Avis sur la liste des procédés biologiques régulièrement utilisés en AMP et des techniques visant à améliorer les procédés biologiques autorisés</w:t>
      </w:r>
      <w:r w:rsidRPr="00E254F5">
        <w:t>, Délibération n</w:t>
      </w:r>
      <w:r w:rsidRPr="00E254F5">
        <w:rPr>
          <w:vertAlign w:val="superscript"/>
        </w:rPr>
        <w:t>o</w:t>
      </w:r>
      <w:r>
        <w:t xml:space="preserve"> 2012-CO-22, du 4 mai 2012, διαθέσιμη σε: </w:t>
      </w:r>
      <w:hyperlink r:id="rId26" w:history="1">
        <w:r w:rsidRPr="00E254F5">
          <w:rPr>
            <w:rStyle w:val="Hyperlink"/>
            <w:szCs w:val="20"/>
            <w:lang w:val="fr-FR"/>
          </w:rPr>
          <w:t>http://www.agence-biomedecine.fr/IMG/pdf/deliberation_04052012.pdf</w:t>
        </w:r>
      </w:hyperlink>
      <w:r w:rsidRPr="00E254F5">
        <w:t xml:space="preserve">. </w:t>
      </w:r>
    </w:p>
  </w:footnote>
  <w:footnote w:id="43">
    <w:p w14:paraId="1EA90BA4"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Modèles de recueil de consentement au don d’embryons pour la recherche</w:t>
      </w:r>
      <w:r w:rsidRPr="00E254F5">
        <w:t>, Délibération n</w:t>
      </w:r>
      <w:r w:rsidRPr="00E254F5">
        <w:rPr>
          <w:vertAlign w:val="superscript"/>
        </w:rPr>
        <w:t>o</w:t>
      </w:r>
      <w:r w:rsidRPr="00E254F5">
        <w:t xml:space="preserve"> 2</w:t>
      </w:r>
      <w:r>
        <w:t xml:space="preserve">010-CO-56, du 17 décembre 2010, διαθέσιμο σε: </w:t>
      </w:r>
      <w:hyperlink r:id="rId27" w:history="1">
        <w:r w:rsidRPr="00E254F5">
          <w:rPr>
            <w:rStyle w:val="Hyperlink"/>
            <w:szCs w:val="20"/>
            <w:lang w:val="fr-FR"/>
          </w:rPr>
          <w:t>http://www.agence-biomedecine.fr/IMG/pdf/deliberation_17122010.pdf</w:t>
        </w:r>
      </w:hyperlink>
      <w:r w:rsidRPr="00E254F5">
        <w:t xml:space="preserve">. </w:t>
      </w:r>
    </w:p>
  </w:footnote>
  <w:footnote w:id="44">
    <w:p w14:paraId="563062FA"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Recommandations des bonnes pratiques en matière d’accueil d’embryons</w:t>
      </w:r>
      <w:r w:rsidRPr="00E254F5">
        <w:t>, Délibération n</w:t>
      </w:r>
      <w:r w:rsidRPr="00E254F5">
        <w:rPr>
          <w:vertAlign w:val="superscript"/>
        </w:rPr>
        <w:t>o</w:t>
      </w:r>
      <w:r w:rsidRPr="00E254F5">
        <w:t xml:space="preserve"> 2</w:t>
      </w:r>
      <w:r>
        <w:t xml:space="preserve">010-CO-57, du 17 décembre 2010, διαθέσιμες σε: </w:t>
      </w:r>
      <w:hyperlink r:id="rId28" w:history="1">
        <w:r w:rsidRPr="00E254F5">
          <w:rPr>
            <w:rStyle w:val="Hyperlink"/>
            <w:szCs w:val="20"/>
            <w:lang w:val="fr-FR"/>
          </w:rPr>
          <w:t>http://www.agence-biomedecine.fr/IMG/pdf/deliberation_2010_57.pdf</w:t>
        </w:r>
      </w:hyperlink>
      <w:r w:rsidRPr="00E254F5">
        <w:t xml:space="preserve">. </w:t>
      </w:r>
    </w:p>
  </w:footnote>
  <w:footnote w:id="45">
    <w:p w14:paraId="1951E6D7"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Avis sur</w:t>
      </w:r>
      <w:r w:rsidRPr="00E254F5">
        <w:t xml:space="preserve"> </w:t>
      </w:r>
      <w:r w:rsidRPr="00E254F5">
        <w:rPr>
          <w:i/>
        </w:rPr>
        <w:t>La gestation pour autrui</w:t>
      </w:r>
      <w:r w:rsidRPr="00E254F5">
        <w:t>, Délibération n</w:t>
      </w:r>
      <w:r w:rsidRPr="00E254F5">
        <w:rPr>
          <w:vertAlign w:val="superscript"/>
        </w:rPr>
        <w:t>o</w:t>
      </w:r>
      <w:r w:rsidRPr="00E254F5">
        <w:t xml:space="preserve"> 20</w:t>
      </w:r>
      <w:r>
        <w:t xml:space="preserve">09-CO-38, du 18 septembre 2009, διαθέσιμη σε: </w:t>
      </w:r>
      <w:hyperlink r:id="rId29" w:history="1">
        <w:r w:rsidRPr="00E254F5">
          <w:rPr>
            <w:rStyle w:val="Hyperlink"/>
            <w:szCs w:val="20"/>
            <w:lang w:val="fr-FR"/>
          </w:rPr>
          <w:t>http://www.agence-biomedecine.fr/IMG/pdf/avis_21092009.pdf</w:t>
        </w:r>
      </w:hyperlink>
      <w:r w:rsidRPr="00E254F5">
        <w:t>.</w:t>
      </w:r>
    </w:p>
  </w:footnote>
  <w:footnote w:id="46">
    <w:p w14:paraId="76118DA9"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Contribution du conseil d’orientation de l’Agence de la biomédecine aux débats préparatoires à la révision de la loi de bioéthique</w:t>
      </w:r>
      <w:r>
        <w:t xml:space="preserve">, du 20 juin 2008, διαθέσιμη σε: </w:t>
      </w:r>
      <w:hyperlink r:id="rId30" w:history="1">
        <w:r w:rsidRPr="00E254F5">
          <w:rPr>
            <w:rStyle w:val="Hyperlink"/>
            <w:szCs w:val="20"/>
            <w:lang w:val="fr-FR"/>
          </w:rPr>
          <w:t>http://www.agence-biomedecine.fr/IMG/pdf/rapport2008-co-bioethique-2.pdf</w:t>
        </w:r>
      </w:hyperlink>
      <w:r w:rsidRPr="00E254F5">
        <w:t>.</w:t>
      </w:r>
    </w:p>
  </w:footnote>
  <w:footnote w:id="47">
    <w:p w14:paraId="1A747825"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Pourquoi et comment promouvoir le don d’ovocytes</w:t>
      </w:r>
      <w:r w:rsidRPr="00E254F5">
        <w:t>, Délibération n</w:t>
      </w:r>
      <w:r w:rsidRPr="00E254F5">
        <w:rPr>
          <w:vertAlign w:val="superscript"/>
        </w:rPr>
        <w:t>o</w:t>
      </w:r>
      <w:r w:rsidRPr="00E254F5">
        <w:t xml:space="preserve"> 2007-CO-18, du 1</w:t>
      </w:r>
      <w:r w:rsidRPr="00E254F5">
        <w:rPr>
          <w:vertAlign w:val="superscript"/>
        </w:rPr>
        <w:t>er</w:t>
      </w:r>
      <w:r>
        <w:t xml:space="preserve"> juin 2007, διαθέσιμο σε: </w:t>
      </w:r>
      <w:hyperlink r:id="rId31" w:history="1">
        <w:r w:rsidRPr="00E254F5">
          <w:rPr>
            <w:rStyle w:val="Hyperlink"/>
            <w:szCs w:val="20"/>
            <w:lang w:val="fr-FR"/>
          </w:rPr>
          <w:t>http://www.agence-biomedecine.fr/IMG/pdf/deliberation_01062007.pdf</w:t>
        </w:r>
      </w:hyperlink>
      <w:r w:rsidRPr="00E254F5">
        <w:t xml:space="preserve">. </w:t>
      </w:r>
    </w:p>
  </w:footnote>
  <w:footnote w:id="48">
    <w:p w14:paraId="0131DEB7"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Bonnes pratiques cliniques et biologiques en AMP</w:t>
      </w:r>
      <w:r w:rsidRPr="00E254F5">
        <w:t>, Délibération n</w:t>
      </w:r>
      <w:r w:rsidRPr="00E254F5">
        <w:rPr>
          <w:vertAlign w:val="superscript"/>
        </w:rPr>
        <w:t>o</w:t>
      </w:r>
      <w:r w:rsidRPr="00E254F5">
        <w:t xml:space="preserve"> </w:t>
      </w:r>
      <w:r>
        <w:t xml:space="preserve">2006-CO-31, du 17 novembre 2006, διαθέσιμο σε: </w:t>
      </w:r>
      <w:hyperlink r:id="rId32" w:history="1">
        <w:r w:rsidRPr="00E254F5">
          <w:rPr>
            <w:rStyle w:val="Hyperlink"/>
            <w:szCs w:val="20"/>
            <w:lang w:val="fr-FR"/>
          </w:rPr>
          <w:t>http://www.agence-biomedecine.fr/IMG/pdf/deliberation_17112006_-_pratiques_cliniques.pdf</w:t>
        </w:r>
      </w:hyperlink>
      <w:r w:rsidRPr="00E254F5">
        <w:t xml:space="preserve">. </w:t>
      </w:r>
    </w:p>
  </w:footnote>
  <w:footnote w:id="49">
    <w:p w14:paraId="7139B997"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 xml:space="preserve">Stratégie de l’Agence de la Biomédecine en matière d’évaluation des activités et des résultats de l’assistance médicale à la procréation: </w:t>
      </w:r>
      <w:r>
        <w:rPr>
          <w:i/>
        </w:rPr>
        <w:t>«</w:t>
      </w:r>
      <w:r w:rsidRPr="00E254F5">
        <w:rPr>
          <w:i/>
        </w:rPr>
        <w:t>registre national des tentatives de FIV</w:t>
      </w:r>
      <w:r>
        <w:rPr>
          <w:i/>
        </w:rPr>
        <w:t>»</w:t>
      </w:r>
      <w:r w:rsidRPr="00E254F5">
        <w:t>, Délibération n</w:t>
      </w:r>
      <w:r w:rsidRPr="00E254F5">
        <w:rPr>
          <w:vertAlign w:val="superscript"/>
        </w:rPr>
        <w:t>o</w:t>
      </w:r>
      <w:r w:rsidRPr="00E254F5">
        <w:t xml:space="preserve"> 2006-CO-11, du 9 juin 2006</w:t>
      </w:r>
      <w:r>
        <w:t xml:space="preserve">, διαθέσιμο σε: </w:t>
      </w:r>
      <w:hyperlink r:id="rId33" w:history="1">
        <w:r w:rsidRPr="00E254F5">
          <w:rPr>
            <w:rStyle w:val="Hyperlink"/>
            <w:szCs w:val="20"/>
            <w:lang w:val="fr-FR"/>
          </w:rPr>
          <w:t>http://www.agence-biomedecine.fr/IMG/pdf/deliberation_09062006.pdf</w:t>
        </w:r>
      </w:hyperlink>
      <w:r w:rsidRPr="00E254F5">
        <w:t xml:space="preserve">. </w:t>
      </w:r>
    </w:p>
  </w:footnote>
  <w:footnote w:id="50">
    <w:p w14:paraId="4E91CF04"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Avis sur les aspects éthiques du clonage non reproductif</w:t>
      </w:r>
      <w:r>
        <w:t xml:space="preserve">, du 6 juin 2006, διαθέσιμη σε: </w:t>
      </w:r>
      <w:hyperlink r:id="rId34" w:history="1">
        <w:r w:rsidRPr="00E254F5">
          <w:rPr>
            <w:rStyle w:val="Hyperlink"/>
            <w:szCs w:val="20"/>
            <w:lang w:val="fr-FR"/>
          </w:rPr>
          <w:t>http://www.agence-biomedecine.fr/IMG/pdf/clonage-060606.pdf</w:t>
        </w:r>
      </w:hyperlink>
      <w:r w:rsidRPr="00E254F5">
        <w:t>.</w:t>
      </w:r>
    </w:p>
  </w:footnote>
  <w:footnote w:id="51">
    <w:p w14:paraId="4ABFA6E4" w14:textId="77777777" w:rsidR="00E47260" w:rsidRPr="009A7368" w:rsidRDefault="00E47260">
      <w:pPr>
        <w:pStyle w:val="FootnoteText"/>
        <w:rPr>
          <w:lang w:val="el-GR"/>
        </w:rPr>
      </w:pPr>
      <w:r>
        <w:rPr>
          <w:rStyle w:val="FootnoteReference"/>
        </w:rPr>
        <w:footnoteRef/>
      </w:r>
      <w:r>
        <w:t xml:space="preserve"> </w:t>
      </w:r>
      <w:r>
        <w:rPr>
          <w:lang w:val="el-GR"/>
        </w:rPr>
        <w:t xml:space="preserve">Για το σύνολο των αποφάσεων της Γενικής Διευθύντριας του Οργανισμού Βιοϊατρικής βλ. την ιστοσελίδα του Οργανισμού: </w:t>
      </w:r>
      <w:hyperlink r:id="rId35" w:history="1">
        <w:r w:rsidRPr="00A86DCF">
          <w:rPr>
            <w:rStyle w:val="Hyperlink"/>
            <w:lang w:val="el-GR"/>
          </w:rPr>
          <w:t>http://www.juridique-biomedecine.fr/themes.html</w:t>
        </w:r>
      </w:hyperlink>
      <w:r>
        <w:rPr>
          <w:lang w:val="el-GR"/>
        </w:rPr>
        <w:t>.</w:t>
      </w:r>
    </w:p>
  </w:footnote>
  <w:footnote w:id="52">
    <w:p w14:paraId="35725BE2"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w:t>
      </w:r>
      <w:r w:rsidRPr="00E254F5">
        <w:rPr>
          <w:b/>
        </w:rPr>
        <w:t xml:space="preserve"> </w:t>
      </w:r>
      <w:r w:rsidRPr="00E254F5">
        <w:rPr>
          <w:i/>
        </w:rPr>
        <w:t>Ouverture de l’Assistance médicale à la procréation avec</w:t>
      </w:r>
      <w:r>
        <w:rPr>
          <w:i/>
        </w:rPr>
        <w:t xml:space="preserve"> sperme de donneur (AMPD) à des</w:t>
      </w:r>
      <w:r w:rsidRPr="00E254F5">
        <w:rPr>
          <w:i/>
        </w:rPr>
        <w:t xml:space="preserve"> indications non-médicales</w:t>
      </w:r>
      <w:r>
        <w:t xml:space="preserve">, 27 mai 2014, διαθέσιμο σε: </w:t>
      </w:r>
      <w:hyperlink r:id="rId36" w:history="1">
        <w:r w:rsidRPr="00E254F5">
          <w:rPr>
            <w:rStyle w:val="Hyperlink"/>
            <w:szCs w:val="20"/>
            <w:lang w:val="fr-FR"/>
          </w:rPr>
          <w:t>http://www.academie-medecine.fr/wp-content/uploads/2014/05/27.5.14-JOUANNET-info-site.pdf</w:t>
        </w:r>
      </w:hyperlink>
      <w:r w:rsidRPr="00E254F5">
        <w:t>.</w:t>
      </w:r>
    </w:p>
  </w:footnote>
  <w:footnote w:id="53">
    <w:p w14:paraId="7F3BCBE2"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La Gestation pour autrui au regard du mariage entre personnes de même sexe</w:t>
      </w:r>
      <w:r>
        <w:t xml:space="preserve">, 27 mai 2014, διαθέσιμο σε: </w:t>
      </w:r>
      <w:hyperlink r:id="rId37" w:history="1">
        <w:r w:rsidRPr="00E254F5">
          <w:rPr>
            <w:rStyle w:val="Hyperlink"/>
            <w:szCs w:val="20"/>
            <w:lang w:val="fr-FR"/>
          </w:rPr>
          <w:t>http://www.academie-medecine.fr/wp-content/uploads/2014/05/27.5.14-HENRION-info-site.pdf</w:t>
        </w:r>
      </w:hyperlink>
      <w:r w:rsidRPr="00E254F5">
        <w:t>.</w:t>
      </w:r>
    </w:p>
  </w:footnote>
  <w:footnote w:id="54">
    <w:p w14:paraId="340994B0"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Autoconservation des gamètes de personnes transsexuelles et projet parental éventuel</w:t>
      </w:r>
      <w:r w:rsidRPr="00E254F5">
        <w:t>, 25 mars 2014</w:t>
      </w:r>
      <w:r>
        <w:t xml:space="preserve">, διαθέσιμο σε: </w:t>
      </w:r>
      <w:hyperlink r:id="rId38" w:history="1">
        <w:r w:rsidRPr="00E254F5">
          <w:rPr>
            <w:rStyle w:val="Hyperlink"/>
            <w:szCs w:val="20"/>
            <w:lang w:val="fr-FR"/>
          </w:rPr>
          <w:t>http://www.academie-medecine.fr/wp-content/uploads/2014/03/25.3.14-JOUANNET-info2.pdf</w:t>
        </w:r>
      </w:hyperlink>
      <w:r w:rsidRPr="00E254F5">
        <w:t xml:space="preserve">. </w:t>
      </w:r>
    </w:p>
  </w:footnote>
  <w:footnote w:id="55">
    <w:p w14:paraId="6E99F9E1"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Assistance médicale à la procréation en prison</w:t>
      </w:r>
      <w:r w:rsidRPr="00E254F5">
        <w:t>, séance du 23 octobre 2012</w:t>
      </w:r>
      <w:r>
        <w:t xml:space="preserve">, διαθέσιμο σε: </w:t>
      </w:r>
      <w:hyperlink r:id="rId39" w:history="1">
        <w:r w:rsidRPr="00E254F5">
          <w:rPr>
            <w:rStyle w:val="Hyperlink"/>
            <w:szCs w:val="20"/>
            <w:lang w:val="fr-FR"/>
          </w:rPr>
          <w:t>http://www.academie-medecine.fr/wp-content/uploads/2013/07/tap-p.-1397-1421.pdf</w:t>
        </w:r>
      </w:hyperlink>
      <w:r w:rsidRPr="00E254F5">
        <w:t>.</w:t>
      </w:r>
    </w:p>
  </w:footnote>
  <w:footnote w:id="56">
    <w:p w14:paraId="241413B1"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Séance dédiée au diagnostic pré-implantatoire (DPI)</w:t>
      </w:r>
      <w:r w:rsidRPr="00E254F5">
        <w:t xml:space="preserve">, </w:t>
      </w:r>
      <w:r>
        <w:t xml:space="preserve">séance du 24 mai 2011, </w:t>
      </w:r>
      <w:r w:rsidRPr="004D43C6">
        <w:rPr>
          <w:spacing w:val="-14"/>
          <w:szCs w:val="20"/>
        </w:rPr>
        <w:t xml:space="preserve">διαθέσιμο σε: </w:t>
      </w:r>
      <w:hyperlink r:id="rId40" w:history="1">
        <w:r w:rsidRPr="004D43C6">
          <w:rPr>
            <w:rStyle w:val="Hyperlink"/>
            <w:spacing w:val="-14"/>
            <w:szCs w:val="20"/>
            <w:lang w:val="fr-FR"/>
          </w:rPr>
          <w:t>http://www.academie-medecine.fr/?s=S%C3%A9ance+d%C3%A9di%C3%A9e+au+diagnostic+pr%C3%A9-implantatoire&amp;submit=OK</w:t>
        </w:r>
      </w:hyperlink>
      <w:r w:rsidRPr="004D43C6">
        <w:rPr>
          <w:spacing w:val="-14"/>
          <w:szCs w:val="20"/>
        </w:rPr>
        <w:t>.</w:t>
      </w:r>
    </w:p>
  </w:footnote>
  <w:footnote w:id="57">
    <w:p w14:paraId="314436F5"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Cellules souches et perspectives thérapeutiques</w:t>
      </w:r>
      <w:r w:rsidRPr="00E254F5">
        <w:t>, séance du 30 novembre 2010</w:t>
      </w:r>
      <w:r>
        <w:t xml:space="preserve">, διαθέσιμο σε: </w:t>
      </w:r>
      <w:hyperlink r:id="rId41" w:history="1">
        <w:r w:rsidRPr="00E254F5">
          <w:rPr>
            <w:rStyle w:val="Hyperlink"/>
            <w:szCs w:val="20"/>
            <w:lang w:val="fr-FR"/>
          </w:rPr>
          <w:t>http://www.academie-medecine.fr/publication100036231/</w:t>
        </w:r>
      </w:hyperlink>
      <w:r w:rsidRPr="00E254F5">
        <w:t>.</w:t>
      </w:r>
    </w:p>
  </w:footnote>
  <w:footnote w:id="58">
    <w:p w14:paraId="20FD1DB0"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Réflexions relatives au rapport d’information n</w:t>
      </w:r>
      <w:r w:rsidRPr="00E734D8">
        <w:rPr>
          <w:i/>
          <w:vertAlign w:val="superscript"/>
        </w:rPr>
        <w:t>o</w:t>
      </w:r>
      <w:r w:rsidRPr="00E254F5">
        <w:rPr>
          <w:i/>
        </w:rPr>
        <w:t xml:space="preserve"> 2235 de la mission parlementaire sur la révision des lois de bioéthique</w:t>
      </w:r>
      <w:r w:rsidRPr="00E254F5">
        <w:t xml:space="preserve">, </w:t>
      </w:r>
      <w:r>
        <w:t xml:space="preserve">séance du 22 juin 2010, διαθέσιμο σε: </w:t>
      </w:r>
      <w:hyperlink r:id="rId42" w:history="1">
        <w:r w:rsidRPr="00E254F5">
          <w:rPr>
            <w:rStyle w:val="Hyperlink"/>
            <w:szCs w:val="20"/>
            <w:lang w:val="fr-FR"/>
          </w:rPr>
          <w:t>http://www.academie-medecine.fr/publication100036184/</w:t>
        </w:r>
      </w:hyperlink>
      <w:r w:rsidRPr="00E254F5">
        <w:t>.</w:t>
      </w:r>
    </w:p>
  </w:footnote>
  <w:footnote w:id="59">
    <w:p w14:paraId="2968A3C2"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Pr>
          <w:i/>
        </w:rPr>
        <w:t>La gestation pour autrui</w:t>
      </w:r>
      <w:r w:rsidRPr="00E254F5">
        <w:rPr>
          <w:i/>
        </w:rPr>
        <w:t>: Rapport 09-05</w:t>
      </w:r>
      <w:r w:rsidRPr="00E254F5">
        <w:t>, séance du</w:t>
      </w:r>
      <w:r>
        <w:t xml:space="preserve"> 10 mars 2009, διαθέσιμο σε: </w:t>
      </w:r>
      <w:hyperlink r:id="rId43" w:history="1">
        <w:r w:rsidRPr="00E254F5">
          <w:rPr>
            <w:rStyle w:val="Hyperlink"/>
            <w:szCs w:val="20"/>
            <w:lang w:val="fr-FR"/>
          </w:rPr>
          <w:t>http://www.academie-medecine.fr/publication100035980/</w:t>
        </w:r>
      </w:hyperlink>
      <w:r w:rsidRPr="00E254F5">
        <w:t>.</w:t>
      </w:r>
    </w:p>
  </w:footnote>
  <w:footnote w:id="60">
    <w:p w14:paraId="2E5F1382" w14:textId="77777777" w:rsidR="00E47260" w:rsidRPr="00E254F5" w:rsidRDefault="00E47260" w:rsidP="00CB7D04">
      <w:pPr>
        <w:pStyle w:val="FootnoteText"/>
      </w:pPr>
      <w:r w:rsidRPr="00E254F5">
        <w:rPr>
          <w:rStyle w:val="FootnoteReference"/>
          <w:szCs w:val="20"/>
        </w:rPr>
        <w:footnoteRef/>
      </w:r>
      <w:r w:rsidRPr="00E254F5">
        <w:t xml:space="preserve"> Académie Nationale de Médecine, </w:t>
      </w:r>
      <w:r w:rsidRPr="00E254F5">
        <w:rPr>
          <w:i/>
        </w:rPr>
        <w:t>La procréation médicalisée en France, état des lieux et perspectives</w:t>
      </w:r>
      <w:r w:rsidRPr="00E254F5">
        <w:t>,</w:t>
      </w:r>
      <w:r w:rsidRPr="00E254F5">
        <w:rPr>
          <w:b/>
        </w:rPr>
        <w:t xml:space="preserve"> </w:t>
      </w:r>
      <w:r>
        <w:t xml:space="preserve">séance du 29 janvier 2008, διαθέσιμο σε: </w:t>
      </w:r>
      <w:hyperlink r:id="rId44" w:history="1">
        <w:r w:rsidRPr="00E254F5">
          <w:rPr>
            <w:rStyle w:val="Hyperlink"/>
            <w:szCs w:val="20"/>
            <w:lang w:val="fr-FR"/>
          </w:rPr>
          <w:t>http://www.academie-medecine.fr/publication100035797/</w:t>
        </w:r>
      </w:hyperlink>
      <w:r w:rsidRPr="00E254F5">
        <w:t>.</w:t>
      </w:r>
    </w:p>
  </w:footnote>
  <w:footnote w:id="61">
    <w:p w14:paraId="107C2763" w14:textId="77777777" w:rsidR="00E47260" w:rsidRPr="00E254F5" w:rsidRDefault="00E47260" w:rsidP="00CB7D04">
      <w:pPr>
        <w:pStyle w:val="FootnoteText"/>
      </w:pPr>
      <w:r w:rsidRPr="00E254F5">
        <w:rPr>
          <w:rStyle w:val="FootnoteReference"/>
          <w:szCs w:val="20"/>
        </w:rPr>
        <w:footnoteRef/>
      </w:r>
      <w:r>
        <w:t xml:space="preserve"> CCNE, </w:t>
      </w:r>
      <w:r w:rsidRPr="00E254F5">
        <w:rPr>
          <w:i/>
        </w:rPr>
        <w:t>La demande d'assistance médicale à la procréation après le décès de l'homme faisant partie du couple</w:t>
      </w:r>
      <w:r w:rsidRPr="00E254F5">
        <w:t>, Avis n</w:t>
      </w:r>
      <w:r w:rsidRPr="00E254F5">
        <w:rPr>
          <w:vertAlign w:val="superscript"/>
        </w:rPr>
        <w:t>o</w:t>
      </w:r>
      <w:r>
        <w:t xml:space="preserve"> 113, 10 février 2011, διαθέσιμη σε: </w:t>
      </w:r>
      <w:hyperlink r:id="rId45" w:history="1">
        <w:r w:rsidRPr="00E254F5">
          <w:rPr>
            <w:rStyle w:val="Hyperlink"/>
            <w:szCs w:val="20"/>
            <w:lang w:val="fr-FR"/>
          </w:rPr>
          <w:t>http://www.ccne-ethique.fr/sites/default/files/publications/avis_113.pdf</w:t>
        </w:r>
      </w:hyperlink>
      <w:r w:rsidRPr="00E254F5">
        <w:t>.</w:t>
      </w:r>
    </w:p>
  </w:footnote>
  <w:footnote w:id="62">
    <w:p w14:paraId="05FFCD8C"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112 du 21 octobre 2010 sur Une réflexion éthique sur la recherche sur les cellules d’origine embryonnaire humaine, et la recherche sur l’embryon humain in vitro</w:t>
      </w:r>
      <w:r>
        <w:t xml:space="preserve">, διαθέσιμη σε: </w:t>
      </w:r>
      <w:hyperlink r:id="rId46" w:history="1">
        <w:r w:rsidRPr="00E254F5">
          <w:rPr>
            <w:rStyle w:val="Hyperlink"/>
            <w:szCs w:val="20"/>
            <w:lang w:val="fr-FR"/>
          </w:rPr>
          <w:t>http://www.ccne-ethique.fr/sites/default/files/publications/avis_112.pdf</w:t>
        </w:r>
      </w:hyperlink>
      <w:r>
        <w:t>.</w:t>
      </w:r>
    </w:p>
  </w:footnote>
  <w:footnote w:id="63">
    <w:p w14:paraId="417D1966"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110 du 1</w:t>
      </w:r>
      <w:r w:rsidRPr="00E254F5">
        <w:rPr>
          <w:i/>
          <w:vertAlign w:val="superscript"/>
        </w:rPr>
        <w:t>er</w:t>
      </w:r>
      <w:r w:rsidRPr="00E254F5">
        <w:rPr>
          <w:i/>
        </w:rPr>
        <w:t xml:space="preserve"> avril 2010 sur les Problèmes éthiques soulevés par la gestation pour autrui (GPA)</w:t>
      </w:r>
      <w:r>
        <w:t xml:space="preserve">, διαθέσιμη σε: </w:t>
      </w:r>
      <w:hyperlink r:id="rId47" w:history="1">
        <w:r w:rsidRPr="00E254F5">
          <w:rPr>
            <w:rStyle w:val="Hyperlink"/>
            <w:szCs w:val="20"/>
            <w:lang w:val="fr-FR"/>
          </w:rPr>
          <w:t>http://www.ccne-ethique.fr/sites/default/files/publications/avis_110.pdf</w:t>
        </w:r>
      </w:hyperlink>
      <w:r w:rsidRPr="00E254F5">
        <w:t>.</w:t>
      </w:r>
    </w:p>
  </w:footnote>
  <w:footnote w:id="64">
    <w:p w14:paraId="774437F7" w14:textId="77777777" w:rsidR="00E47260" w:rsidRPr="00E56290" w:rsidRDefault="00E47260" w:rsidP="00CB7D04">
      <w:pPr>
        <w:pStyle w:val="FootnoteText"/>
        <w:rPr>
          <w:lang w:val="el-GR"/>
        </w:rPr>
      </w:pPr>
      <w:r>
        <w:rPr>
          <w:rStyle w:val="FootnoteReference"/>
        </w:rPr>
        <w:footnoteRef/>
      </w:r>
      <w:r>
        <w:t xml:space="preserve"> </w:t>
      </w:r>
      <w:r w:rsidRPr="00E254F5">
        <w:t xml:space="preserve">CCNE, </w:t>
      </w:r>
      <w:r w:rsidRPr="00E56290">
        <w:rPr>
          <w:i/>
        </w:rPr>
        <w:t>Avis n</w:t>
      </w:r>
      <w:r w:rsidRPr="00E56290">
        <w:rPr>
          <w:i/>
          <w:vertAlign w:val="superscript"/>
        </w:rPr>
        <w:t>o</w:t>
      </w:r>
      <w:r w:rsidRPr="00E56290">
        <w:rPr>
          <w:i/>
        </w:rPr>
        <w:t xml:space="preserve"> 107</w:t>
      </w:r>
      <w:r>
        <w:t xml:space="preserve"> du </w:t>
      </w:r>
      <w:r w:rsidRPr="00E254F5">
        <w:t xml:space="preserve">15 octobre 2009 </w:t>
      </w:r>
      <w:r w:rsidRPr="00E56290">
        <w:rPr>
          <w:i/>
        </w:rPr>
        <w:t>sur les problèmes éthiques li</w:t>
      </w:r>
      <w:r>
        <w:rPr>
          <w:i/>
        </w:rPr>
        <w:t>és aux diagnostics anténatals</w:t>
      </w:r>
      <w:r w:rsidRPr="00E56290">
        <w:rPr>
          <w:i/>
        </w:rPr>
        <w:t>: le diagnostic prénatal (DPN) et le diagnostic préimplantatoire (DPI)</w:t>
      </w:r>
      <w:r>
        <w:t xml:space="preserve">, διαθέσιμη σε: </w:t>
      </w:r>
      <w:hyperlink r:id="rId48" w:history="1">
        <w:r w:rsidRPr="00656C9D">
          <w:rPr>
            <w:rStyle w:val="Hyperlink"/>
            <w:szCs w:val="20"/>
            <w:lang w:val="fr-FR"/>
          </w:rPr>
          <w:t>http://www.ccne-ethique.fr/sites/default/files/publications/avis_107.pdf</w:t>
        </w:r>
      </w:hyperlink>
      <w:r w:rsidRPr="00656C9D">
        <w:t>.</w:t>
      </w:r>
    </w:p>
  </w:footnote>
  <w:footnote w:id="65">
    <w:p w14:paraId="0F23FDBD"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105 du 9 octobre 2008 sur les Questionnements pour les Etats Généraux de la bioéthique</w:t>
      </w:r>
      <w:r>
        <w:t xml:space="preserve">, διαθέσιμη σε: </w:t>
      </w:r>
      <w:hyperlink r:id="rId49" w:history="1">
        <w:r w:rsidRPr="00E254F5">
          <w:rPr>
            <w:rStyle w:val="Hyperlink"/>
            <w:szCs w:val="20"/>
            <w:lang w:val="fr-FR"/>
          </w:rPr>
          <w:t>http://www.ccne-ethique.fr/sites/default/files/publications/avis_105_ccne.pdf</w:t>
        </w:r>
      </w:hyperlink>
      <w:r w:rsidRPr="00E254F5">
        <w:t>.</w:t>
      </w:r>
    </w:p>
  </w:footnote>
  <w:footnote w:id="66">
    <w:p w14:paraId="72C9EAA3"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90 du 24 novembre 2005 sur l’Accès aux origines, anonymat et secret de la filiation</w:t>
      </w:r>
      <w:r>
        <w:t xml:space="preserve">, διαθέσιμη σε: </w:t>
      </w:r>
      <w:hyperlink r:id="rId50" w:history="1">
        <w:r w:rsidRPr="00E254F5">
          <w:rPr>
            <w:rStyle w:val="Hyperlink"/>
            <w:szCs w:val="20"/>
            <w:lang w:val="fr-FR"/>
          </w:rPr>
          <w:t>http://www.ccne-ethique.fr/sites/default/files/publications/avis090.pdf</w:t>
        </w:r>
      </w:hyperlink>
      <w:r w:rsidRPr="00E254F5">
        <w:t>.</w:t>
      </w:r>
    </w:p>
  </w:footnote>
  <w:footnote w:id="67">
    <w:p w14:paraId="473B6B25" w14:textId="77777777" w:rsidR="00E47260" w:rsidRPr="00ED4612" w:rsidRDefault="00E47260" w:rsidP="00CB7D04">
      <w:pPr>
        <w:pStyle w:val="FootnoteText"/>
      </w:pPr>
      <w:r>
        <w:rPr>
          <w:rStyle w:val="FootnoteReference"/>
        </w:rPr>
        <w:footnoteRef/>
      </w:r>
      <w:r>
        <w:t xml:space="preserve"> </w:t>
      </w:r>
      <w:r w:rsidRPr="00E254F5">
        <w:t xml:space="preserve">CCNE, </w:t>
      </w:r>
      <w:r w:rsidRPr="00E254F5">
        <w:rPr>
          <w:i/>
        </w:rPr>
        <w:t xml:space="preserve">Avis n° </w:t>
      </w:r>
      <w:r>
        <w:rPr>
          <w:i/>
        </w:rPr>
        <w:t xml:space="preserve">72 du </w:t>
      </w:r>
      <w:r w:rsidRPr="00E254F5">
        <w:rPr>
          <w:i/>
        </w:rPr>
        <w:t xml:space="preserve">4 </w:t>
      </w:r>
      <w:r>
        <w:rPr>
          <w:i/>
        </w:rPr>
        <w:t>juillet 2002</w:t>
      </w:r>
      <w:r w:rsidRPr="00E254F5">
        <w:rPr>
          <w:i/>
        </w:rPr>
        <w:t xml:space="preserve"> sur </w:t>
      </w:r>
      <w:r>
        <w:rPr>
          <w:i/>
        </w:rPr>
        <w:t>les Réflexions sur l’extension du diagnostic pré-implantoire</w:t>
      </w:r>
      <w:r>
        <w:t xml:space="preserve">, διαθέσιμη σε: </w:t>
      </w:r>
      <w:hyperlink r:id="rId51" w:history="1">
        <w:r w:rsidRPr="00101083">
          <w:rPr>
            <w:rStyle w:val="Hyperlink"/>
          </w:rPr>
          <w:t>http://www.ccne-ethique.fr/sites/default/files/publications/avis072.pdf</w:t>
        </w:r>
      </w:hyperlink>
      <w:r>
        <w:t>.</w:t>
      </w:r>
    </w:p>
  </w:footnote>
  <w:footnote w:id="68">
    <w:p w14:paraId="4D8A5510" w14:textId="77777777" w:rsidR="00E47260" w:rsidRPr="00903564" w:rsidRDefault="00E47260" w:rsidP="00CB7D04">
      <w:pPr>
        <w:pStyle w:val="FootnoteText"/>
      </w:pPr>
      <w:r w:rsidRPr="00E254F5">
        <w:rPr>
          <w:rStyle w:val="FootnoteReference"/>
          <w:szCs w:val="20"/>
        </w:rPr>
        <w:footnoteRef/>
      </w:r>
      <w:r w:rsidRPr="00E254F5">
        <w:t xml:space="preserve"> CCNE, </w:t>
      </w:r>
      <w:r w:rsidRPr="00E254F5">
        <w:rPr>
          <w:i/>
        </w:rPr>
        <w:t>Avis n° 67 du 27 janvier 2000 sur l’avant-projet des lois de bioéthique</w:t>
      </w:r>
      <w:r>
        <w:t xml:space="preserve">, διαθέσιμη σε: </w:t>
      </w:r>
      <w:hyperlink r:id="rId52" w:history="1">
        <w:r w:rsidRPr="00903564">
          <w:rPr>
            <w:rStyle w:val="Hyperlink"/>
            <w:szCs w:val="20"/>
            <w:lang w:val="fr-FR"/>
          </w:rPr>
          <w:t>http://www.ccne-ethique.fr/sites/default/files/publications/avis067.pdf</w:t>
        </w:r>
      </w:hyperlink>
      <w:r w:rsidRPr="00903564">
        <w:t>.</w:t>
      </w:r>
    </w:p>
  </w:footnote>
  <w:footnote w:id="69">
    <w:p w14:paraId="4EEE32DC"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60 du 25 juin 1998 sur le réexamen des lois bioéthique</w:t>
      </w:r>
      <w:r>
        <w:t xml:space="preserve">, διαθέσιμη σε: </w:t>
      </w:r>
      <w:hyperlink r:id="rId53" w:history="1">
        <w:r w:rsidRPr="00E254F5">
          <w:rPr>
            <w:rStyle w:val="Hyperlink"/>
            <w:szCs w:val="20"/>
            <w:lang w:val="fr-FR"/>
          </w:rPr>
          <w:t>http://www.ccne-ethique.fr/sites/default/files/publications/avis060.pdf</w:t>
        </w:r>
      </w:hyperlink>
      <w:r w:rsidRPr="00E254F5">
        <w:t>.</w:t>
      </w:r>
    </w:p>
  </w:footnote>
  <w:footnote w:id="70">
    <w:p w14:paraId="2321F8EA"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40 du 17 décembre 1993 sur le transfert d'embryons après décès du conjoint (ou du concubin)</w:t>
      </w:r>
      <w:r>
        <w:t xml:space="preserve">, διαθέσιμη σε: </w:t>
      </w:r>
      <w:hyperlink r:id="rId54" w:history="1">
        <w:r w:rsidRPr="00E254F5">
          <w:rPr>
            <w:rStyle w:val="Hyperlink"/>
            <w:szCs w:val="20"/>
            <w:lang w:val="fr-FR"/>
          </w:rPr>
          <w:t>http://www.ccne-ethique.fr/sites/default/files/publications/avis040.pdf</w:t>
        </w:r>
      </w:hyperlink>
      <w:r w:rsidRPr="00E254F5">
        <w:t>.</w:t>
      </w:r>
    </w:p>
  </w:footnote>
  <w:footnote w:id="71">
    <w:p w14:paraId="6956FE6D" w14:textId="77777777" w:rsidR="00E47260" w:rsidRPr="00E254F5" w:rsidRDefault="00E47260" w:rsidP="00CB7D04">
      <w:pPr>
        <w:pStyle w:val="FootnoteText"/>
      </w:pPr>
      <w:r w:rsidRPr="00E254F5">
        <w:rPr>
          <w:rStyle w:val="FootnoteReference"/>
          <w:szCs w:val="20"/>
        </w:rPr>
        <w:footnoteRef/>
      </w:r>
      <w:r w:rsidRPr="00E254F5">
        <w:t xml:space="preserve"> CCNE, </w:t>
      </w:r>
      <w:r w:rsidRPr="00E254F5">
        <w:rPr>
          <w:i/>
        </w:rPr>
        <w:t>Avis n° 18 du 15 décembre 1989 sur l’Etat des études conduites par le Comité concernant les dons de gamètes et d'embryons</w:t>
      </w:r>
      <w:r>
        <w:t xml:space="preserve">, διαθέσιμη σε: </w:t>
      </w:r>
      <w:hyperlink r:id="rId55" w:history="1">
        <w:r w:rsidRPr="00E254F5">
          <w:rPr>
            <w:rStyle w:val="Hyperlink"/>
            <w:szCs w:val="20"/>
            <w:lang w:val="fr-FR"/>
          </w:rPr>
          <w:t>http://www.ccne-ethique.fr/sites/default/files/publications/avis018.pdf</w:t>
        </w:r>
      </w:hyperlink>
      <w:r w:rsidRPr="00E254F5">
        <w:t>.</w:t>
      </w:r>
    </w:p>
  </w:footnote>
  <w:footnote w:id="72">
    <w:p w14:paraId="496B7822" w14:textId="77777777" w:rsidR="00E47260" w:rsidRPr="00E254F5" w:rsidRDefault="00E47260" w:rsidP="00CB7D04">
      <w:pPr>
        <w:pStyle w:val="FootnoteText"/>
      </w:pPr>
      <w:r w:rsidRPr="00E254F5">
        <w:rPr>
          <w:rStyle w:val="FootnoteReference"/>
          <w:szCs w:val="20"/>
        </w:rPr>
        <w:footnoteRef/>
      </w:r>
      <w:r w:rsidRPr="00E254F5">
        <w:t xml:space="preserve"> Ordre National des Médecins, Conseil National de l’Ordre, </w:t>
      </w:r>
      <w:r w:rsidRPr="00E254F5">
        <w:rPr>
          <w:i/>
        </w:rPr>
        <w:t>La PMA à l’étranger – Don d’ovocytes</w:t>
      </w:r>
      <w:r w:rsidRPr="00E254F5">
        <w:t>, Communi</w:t>
      </w:r>
      <w:r>
        <w:t xml:space="preserve">qué de presse du 2 février 2013, διαθέσιμο σε: </w:t>
      </w:r>
      <w:hyperlink r:id="rId56" w:history="1">
        <w:r w:rsidRPr="00E254F5">
          <w:rPr>
            <w:rStyle w:val="Hyperlink"/>
            <w:szCs w:val="20"/>
            <w:lang w:val="fr-FR"/>
          </w:rPr>
          <w:t>http://www.conseil-national.medecin.fr/article/la-pma-l-etranger-don-d-ovocytes-1300</w:t>
        </w:r>
      </w:hyperlink>
      <w:r w:rsidRPr="00E254F5">
        <w:t>.</w:t>
      </w:r>
    </w:p>
  </w:footnote>
  <w:footnote w:id="73">
    <w:p w14:paraId="3AEC96B4" w14:textId="77777777" w:rsidR="00E47260" w:rsidRPr="00E254F5" w:rsidRDefault="00E47260" w:rsidP="00CB7D04">
      <w:pPr>
        <w:pStyle w:val="FootnoteText"/>
      </w:pPr>
      <w:r w:rsidRPr="00E254F5">
        <w:rPr>
          <w:rStyle w:val="FootnoteReference"/>
          <w:szCs w:val="20"/>
        </w:rPr>
        <w:footnoteRef/>
      </w:r>
      <w:r w:rsidRPr="00E254F5">
        <w:t xml:space="preserve"> Ordre National des Médecins, Conseil National de l’Ordre, </w:t>
      </w:r>
      <w:r w:rsidRPr="00E254F5">
        <w:rPr>
          <w:i/>
        </w:rPr>
        <w:t>Commentaire de l’article 17 du Code de déontologie médicale – Assistance médicale à la procréation</w:t>
      </w:r>
      <w:r w:rsidRPr="00E254F5">
        <w:t>, 11 octobre 2012</w:t>
      </w:r>
      <w:r>
        <w:t xml:space="preserve">, διαθέσιμο σε: </w:t>
      </w:r>
      <w:hyperlink r:id="rId57" w:history="1">
        <w:r w:rsidRPr="00E254F5">
          <w:rPr>
            <w:rStyle w:val="Hyperlink"/>
            <w:szCs w:val="20"/>
            <w:lang w:val="fr-FR"/>
          </w:rPr>
          <w:t>http://www.conseil-national.medecin.fr/article/article-17-assistance-medicale-la-procreation-241</w:t>
        </w:r>
      </w:hyperlink>
      <w:r w:rsidRPr="00E254F5">
        <w:t>.</w:t>
      </w:r>
    </w:p>
  </w:footnote>
  <w:footnote w:id="74">
    <w:p w14:paraId="215E55E1" w14:textId="77777777" w:rsidR="00E47260" w:rsidRPr="00E254F5" w:rsidRDefault="00E47260" w:rsidP="00CB7D04">
      <w:pPr>
        <w:pStyle w:val="FootnoteText"/>
      </w:pPr>
      <w:r w:rsidRPr="00E254F5">
        <w:rPr>
          <w:rStyle w:val="FootnoteReference"/>
          <w:szCs w:val="20"/>
        </w:rPr>
        <w:footnoteRef/>
      </w:r>
      <w:r w:rsidRPr="00E254F5">
        <w:t xml:space="preserve"> Ordre National des Médecins, Conseil National de l’Ordre, </w:t>
      </w:r>
      <w:r w:rsidRPr="00E254F5">
        <w:rPr>
          <w:i/>
        </w:rPr>
        <w:t>La gestation pour autrui</w:t>
      </w:r>
      <w:r w:rsidRPr="00E254F5">
        <w:t>, Rapport adopté lors de la session du Conseil national de l’Ordre des médecins du 4 février 2010</w:t>
      </w:r>
      <w:r>
        <w:t xml:space="preserve">, διαθέσιμο σε: </w:t>
      </w:r>
      <w:hyperlink r:id="rId58" w:history="1">
        <w:r w:rsidRPr="00E254F5">
          <w:rPr>
            <w:rStyle w:val="Hyperlink"/>
            <w:szCs w:val="20"/>
            <w:lang w:val="fr-FR"/>
          </w:rPr>
          <w:t>http://www.conseil-national.medecin.fr/sites/default/files/GPA.pdf</w:t>
        </w:r>
      </w:hyperlink>
      <w:r w:rsidRPr="00E254F5">
        <w:t>.</w:t>
      </w:r>
    </w:p>
  </w:footnote>
  <w:footnote w:id="75">
    <w:p w14:paraId="3B114E16" w14:textId="77777777" w:rsidR="00E47260" w:rsidRPr="00E254F5" w:rsidRDefault="00E47260" w:rsidP="00CB7D04">
      <w:pPr>
        <w:pStyle w:val="FootnoteText"/>
      </w:pPr>
      <w:r w:rsidRPr="00E254F5">
        <w:rPr>
          <w:rStyle w:val="FootnoteReference"/>
          <w:szCs w:val="20"/>
        </w:rPr>
        <w:footnoteRef/>
      </w:r>
      <w:r w:rsidRPr="00E254F5">
        <w:t xml:space="preserve"> Collège Nationale des Sages-Femmes de France, </w:t>
      </w:r>
      <w:r w:rsidRPr="00E254F5">
        <w:rPr>
          <w:i/>
        </w:rPr>
        <w:t>Gestation pour autrui, une fausse bonne idée pour faire progresser le droit des femmes</w:t>
      </w:r>
      <w:r w:rsidRPr="00E254F5">
        <w:t>, Communiqué de presse du 8 mars 2010</w:t>
      </w:r>
      <w:r>
        <w:t xml:space="preserve">, διαθέσιμο σε: </w:t>
      </w:r>
      <w:hyperlink r:id="rId59" w:history="1">
        <w:r w:rsidRPr="00E254F5">
          <w:rPr>
            <w:rStyle w:val="Hyperlink"/>
            <w:szCs w:val="20"/>
            <w:lang w:val="fr-FR"/>
          </w:rPr>
          <w:t>http://www.cnsf.asso.fr/doc/F36B8B75-5056-9C00-4123E4A69BDD108A.pdf</w:t>
        </w:r>
      </w:hyperlink>
      <w:r w:rsidRPr="00E254F5">
        <w:t>.</w:t>
      </w:r>
    </w:p>
  </w:footnote>
  <w:footnote w:id="76">
    <w:p w14:paraId="21ED886C" w14:textId="77777777" w:rsidR="00E47260" w:rsidRPr="00C471A4" w:rsidRDefault="00E47260">
      <w:pPr>
        <w:pStyle w:val="FootnoteText"/>
        <w:rPr>
          <w:lang w:val="el-GR"/>
        </w:rPr>
      </w:pPr>
      <w:r>
        <w:rPr>
          <w:rStyle w:val="FootnoteReference"/>
        </w:rPr>
        <w:footnoteRef/>
      </w:r>
      <w:r>
        <w:t xml:space="preserve"> </w:t>
      </w:r>
      <w:r>
        <w:rPr>
          <w:lang w:val="el-GR"/>
        </w:rPr>
        <w:t>Βλ</w:t>
      </w:r>
      <w:r w:rsidRPr="00C471A4">
        <w:rPr>
          <w:i/>
          <w:lang w:val="el-GR"/>
        </w:rPr>
        <w:t xml:space="preserve">. </w:t>
      </w:r>
      <w:r w:rsidRPr="00C471A4">
        <w:rPr>
          <w:i/>
        </w:rPr>
        <w:t>infra</w:t>
      </w:r>
      <w:r>
        <w:t xml:space="preserve">, </w:t>
      </w:r>
      <w:r>
        <w:rPr>
          <w:lang w:val="el-GR"/>
        </w:rPr>
        <w:t xml:space="preserve">σελ. </w:t>
      </w:r>
      <w:r>
        <w:rPr>
          <w:lang w:val="el-GR"/>
        </w:rPr>
        <w:fldChar w:fldCharType="begin"/>
      </w:r>
      <w:r>
        <w:rPr>
          <w:lang w:val="el-GR"/>
        </w:rPr>
        <w:instrText xml:space="preserve"> PAGEREF _Ref275961244 \h </w:instrText>
      </w:r>
      <w:r>
        <w:rPr>
          <w:lang w:val="el-GR"/>
        </w:rPr>
      </w:r>
      <w:r>
        <w:rPr>
          <w:lang w:val="el-GR"/>
        </w:rPr>
        <w:fldChar w:fldCharType="separate"/>
      </w:r>
      <w:r w:rsidR="00B822F0">
        <w:rPr>
          <w:noProof/>
          <w:lang w:val="el-GR"/>
        </w:rPr>
        <w:t>160</w:t>
      </w:r>
      <w:r>
        <w:rPr>
          <w:lang w:val="el-GR"/>
        </w:rPr>
        <w:fldChar w:fldCharType="end"/>
      </w:r>
      <w:r>
        <w:rPr>
          <w:lang w:val="el-GR"/>
        </w:rPr>
        <w:t xml:space="preserve">επ. </w:t>
      </w:r>
    </w:p>
  </w:footnote>
  <w:footnote w:id="77">
    <w:p w14:paraId="30975653" w14:textId="77777777" w:rsidR="00E47260" w:rsidRPr="00CB5E28" w:rsidRDefault="00E47260" w:rsidP="00CB7D04">
      <w:pPr>
        <w:pStyle w:val="FootnoteText"/>
        <w:rPr>
          <w:szCs w:val="20"/>
        </w:rPr>
      </w:pPr>
      <w:r w:rsidRPr="00E254F5">
        <w:rPr>
          <w:rStyle w:val="FootnoteReference"/>
          <w:b/>
          <w:szCs w:val="20"/>
        </w:rPr>
        <w:footnoteRef/>
      </w:r>
      <w:r w:rsidRPr="00E254F5">
        <w:t xml:space="preserve"> </w:t>
      </w:r>
      <w:r>
        <w:rPr>
          <w:lang w:val="el-GR"/>
        </w:rPr>
        <w:t xml:space="preserve">Για τα διατάγματα που αφορούν στην ιατρικά υποβοηθούμενη αναπαραγωγή και την προστασία του εμβρύου </w:t>
      </w:r>
      <w:r w:rsidRPr="003E6FBE">
        <w:rPr>
          <w:i/>
        </w:rPr>
        <w:t>in vitro</w:t>
      </w:r>
      <w:r>
        <w:rPr>
          <w:lang w:val="el-GR"/>
        </w:rPr>
        <w:t xml:space="preserve"> βλ. την ιστοσελίδα του Οργανισμού:</w:t>
      </w:r>
      <w:r w:rsidRPr="00CB5E28">
        <w:rPr>
          <w:szCs w:val="20"/>
        </w:rPr>
        <w:t xml:space="preserve"> </w:t>
      </w:r>
      <w:hyperlink r:id="rId60" w:anchor="article-l-2141-1" w:history="1">
        <w:r w:rsidRPr="00CB5E28">
          <w:rPr>
            <w:rStyle w:val="Hyperlink"/>
            <w:szCs w:val="20"/>
          </w:rPr>
          <w:t>http://www.juridique-biomedecine.fr/code-de-la-sante/chapitre-1-dispositions-gnrales.html#article-l-2141-1</w:t>
        </w:r>
      </w:hyperlink>
      <w:r w:rsidRPr="00CB5E28">
        <w:rPr>
          <w:szCs w:val="20"/>
        </w:rPr>
        <w:t xml:space="preserve">.  </w:t>
      </w:r>
    </w:p>
  </w:footnote>
  <w:footnote w:id="78">
    <w:p w14:paraId="38D785BF" w14:textId="77777777" w:rsidR="00E47260" w:rsidRPr="00CB5E28" w:rsidRDefault="00E47260" w:rsidP="00BB50F2">
      <w:pPr>
        <w:pStyle w:val="FootnoteText"/>
        <w:rPr>
          <w:szCs w:val="20"/>
        </w:rPr>
      </w:pPr>
      <w:r w:rsidRPr="00E254F5">
        <w:rPr>
          <w:rStyle w:val="FootnoteReference"/>
          <w:b/>
          <w:szCs w:val="20"/>
        </w:rPr>
        <w:footnoteRef/>
      </w:r>
      <w:r w:rsidRPr="00E254F5">
        <w:t xml:space="preserve"> </w:t>
      </w:r>
      <w:r>
        <w:rPr>
          <w:lang w:val="el-GR"/>
        </w:rPr>
        <w:t xml:space="preserve">Για τις υπουργικές αποφάσεις που αφορούν στην ιατρικά υποβοηθούμενη αναπαραγωγή και την προστασία του εμβρύου </w:t>
      </w:r>
      <w:r w:rsidRPr="003E6FBE">
        <w:rPr>
          <w:i/>
        </w:rPr>
        <w:t>in vitro</w:t>
      </w:r>
      <w:r>
        <w:rPr>
          <w:lang w:val="el-GR"/>
        </w:rPr>
        <w:t xml:space="preserve"> βλ. την ιστοσελίδα του Οργανισμού:</w:t>
      </w:r>
      <w:r w:rsidRPr="00CB5E28">
        <w:rPr>
          <w:szCs w:val="20"/>
        </w:rPr>
        <w:t xml:space="preserve"> </w:t>
      </w:r>
      <w:hyperlink r:id="rId61" w:anchor="article-l-2141-1" w:history="1">
        <w:r w:rsidRPr="00CB5E28">
          <w:rPr>
            <w:rStyle w:val="Hyperlink"/>
            <w:szCs w:val="20"/>
          </w:rPr>
          <w:t>http://www.juridique-biomedecine.fr/code-de-la-sante/chapitre-1-dispositions-gnrales.html#article-l-2141-1</w:t>
        </w:r>
      </w:hyperlink>
      <w:r w:rsidRPr="00CB5E28">
        <w:rPr>
          <w:szCs w:val="20"/>
        </w:rPr>
        <w:t xml:space="preserve">.  </w:t>
      </w:r>
    </w:p>
  </w:footnote>
  <w:footnote w:id="79">
    <w:p w14:paraId="3F32B0D3" w14:textId="77777777" w:rsidR="00E47260" w:rsidRPr="00E254F5" w:rsidRDefault="00E47260" w:rsidP="00CB7D04">
      <w:pPr>
        <w:pStyle w:val="FootnoteText"/>
      </w:pPr>
      <w:r w:rsidRPr="00E254F5">
        <w:rPr>
          <w:rStyle w:val="FootnoteReference"/>
          <w:b/>
          <w:szCs w:val="20"/>
        </w:rPr>
        <w:footnoteRef/>
      </w:r>
      <w:r w:rsidRPr="00E254F5">
        <w:t xml:space="preserve"> Νόμος αριθ. 2004-800 της 6</w:t>
      </w:r>
      <w:r w:rsidRPr="006D4252">
        <w:rPr>
          <w:vertAlign w:val="superscript"/>
        </w:rPr>
        <w:t xml:space="preserve">ης </w:t>
      </w:r>
      <w:r w:rsidRPr="00E254F5">
        <w:t xml:space="preserve">Αυγούστου 2004 σχετικά με τη βιοηθική, βλ. </w:t>
      </w:r>
      <w:r w:rsidRPr="00CB5E28">
        <w:rPr>
          <w:i/>
        </w:rPr>
        <w:t>supra</w:t>
      </w:r>
      <w:r w:rsidRPr="00E254F5">
        <w:t xml:space="preserve">, σελ. </w:t>
      </w:r>
      <w:r w:rsidRPr="00E254F5">
        <w:fldChar w:fldCharType="begin"/>
      </w:r>
      <w:r w:rsidRPr="00E254F5">
        <w:instrText xml:space="preserve"> PAGEREF ΝΒ_2004 \h </w:instrText>
      </w:r>
      <w:r w:rsidRPr="00E254F5">
        <w:fldChar w:fldCharType="separate"/>
      </w:r>
      <w:r w:rsidR="00B822F0">
        <w:rPr>
          <w:noProof/>
        </w:rPr>
        <w:t>11</w:t>
      </w:r>
      <w:r w:rsidRPr="00E254F5">
        <w:fldChar w:fldCharType="end"/>
      </w:r>
      <w:r w:rsidRPr="00E254F5">
        <w:t>.</w:t>
      </w:r>
      <w:r w:rsidRPr="00E254F5">
        <w:rPr>
          <w:rStyle w:val="Strong"/>
          <w:b w:val="0"/>
          <w:bCs w:val="0"/>
          <w:szCs w:val="20"/>
        </w:rPr>
        <w:t xml:space="preserve"> </w:t>
      </w:r>
    </w:p>
  </w:footnote>
  <w:footnote w:id="80">
    <w:p w14:paraId="16B67096" w14:textId="77777777" w:rsidR="00E47260" w:rsidRPr="000C5423" w:rsidRDefault="00E47260">
      <w:pPr>
        <w:pStyle w:val="FootnoteText"/>
        <w:rPr>
          <w:lang w:val="el-GR"/>
        </w:rPr>
      </w:pPr>
      <w:r>
        <w:rPr>
          <w:rStyle w:val="FootnoteReference"/>
        </w:rPr>
        <w:footnoteRef/>
      </w:r>
      <w:r>
        <w:t xml:space="preserve"> </w:t>
      </w:r>
      <w:r>
        <w:rPr>
          <w:lang w:val="el-GR"/>
        </w:rPr>
        <w:t xml:space="preserve">Για την πιο πρόσφατη Έκθεση του Μηχανισμού Παρακολούθησης για το έτος 2013 βλ. </w:t>
      </w:r>
      <w:r w:rsidRPr="00E254F5">
        <w:t xml:space="preserve">Agence de la Biomédecine, </w:t>
      </w:r>
      <w:r w:rsidRPr="00E254F5">
        <w:rPr>
          <w:i/>
        </w:rPr>
        <w:t>Le rapport médical et scientifique de l'assistance médicale à la procréation et de la génétique humaines en France, Données AMP Vigilance 2013</w:t>
      </w:r>
      <w:r w:rsidRPr="00E254F5">
        <w:t xml:space="preserve">, </w:t>
      </w:r>
      <w:r w:rsidRPr="000C5423">
        <w:rPr>
          <w:szCs w:val="20"/>
          <w:lang w:val="el-GR"/>
        </w:rPr>
        <w:t xml:space="preserve">διαθέσιμο σε: </w:t>
      </w:r>
      <w:hyperlink r:id="rId62" w:history="1">
        <w:r w:rsidRPr="000C5423">
          <w:rPr>
            <w:rStyle w:val="Hyperlink"/>
            <w:szCs w:val="20"/>
            <w:lang w:val="el-GR"/>
          </w:rPr>
          <w:t>http://www.agence-biomedecine.fr/annexes/bilan2013/donnees/vigilance/01-amp/synthese.htm</w:t>
        </w:r>
      </w:hyperlink>
      <w:r w:rsidRPr="000C5423">
        <w:rPr>
          <w:szCs w:val="20"/>
          <w:lang w:val="el-GR"/>
        </w:rPr>
        <w:t>.</w:t>
      </w:r>
    </w:p>
  </w:footnote>
  <w:footnote w:id="81">
    <w:p w14:paraId="7009ED7A" w14:textId="77777777" w:rsidR="00E47260" w:rsidRPr="00FD16B4" w:rsidRDefault="00E47260" w:rsidP="00CB7D04">
      <w:pPr>
        <w:pStyle w:val="FootnoteText"/>
        <w:rPr>
          <w:lang w:val="el-GR"/>
        </w:rPr>
      </w:pPr>
      <w:r w:rsidRPr="00E254F5">
        <w:rPr>
          <w:rStyle w:val="FootnoteReference"/>
          <w:b/>
          <w:szCs w:val="20"/>
        </w:rPr>
        <w:footnoteRef/>
      </w:r>
      <w:r w:rsidRPr="00E254F5">
        <w:t xml:space="preserve"> Για περισσότερες πληροφορίες σχετικά με το Μηχανισμό Παρακολούθησης </w:t>
      </w:r>
      <w:r>
        <w:t xml:space="preserve">της </w:t>
      </w:r>
      <w:r w:rsidRPr="00E254F5">
        <w:t>ιατρικά υποβοηθούμενη</w:t>
      </w:r>
      <w:r>
        <w:t>ς</w:t>
      </w:r>
      <w:r w:rsidRPr="00E254F5">
        <w:t xml:space="preserve"> αναπαραγωγή</w:t>
      </w:r>
      <w:r>
        <w:t xml:space="preserve">ς, τα ενημερωτικά δελτία και τις ετήσιες εκθέσεις του, </w:t>
      </w:r>
      <w:r w:rsidRPr="00E254F5">
        <w:t>καθώς επίσης και τις συστάσεις του βλ.</w:t>
      </w:r>
      <w:r w:rsidRPr="00E254F5">
        <w:rPr>
          <w:b/>
        </w:rPr>
        <w:t xml:space="preserve"> </w:t>
      </w:r>
      <w:r w:rsidRPr="00E254F5">
        <w:rPr>
          <w:i/>
        </w:rPr>
        <w:t>AMP Vig</w:t>
      </w:r>
      <w:r>
        <w:rPr>
          <w:i/>
        </w:rPr>
        <w:t>ilance</w:t>
      </w:r>
      <w:r w:rsidRPr="00E254F5">
        <w:rPr>
          <w:i/>
        </w:rPr>
        <w:t>: Dispositif de vigilance relatif à l’assistance médicale à la procréation</w:t>
      </w:r>
      <w:r w:rsidRPr="00E254F5">
        <w:t xml:space="preserve">, διαθέσιμο σε: </w:t>
      </w:r>
      <w:hyperlink r:id="rId63" w:anchor="6" w:history="1">
        <w:r w:rsidRPr="00E254F5">
          <w:rPr>
            <w:rStyle w:val="Hyperlink"/>
            <w:spacing w:val="-6"/>
            <w:szCs w:val="20"/>
            <w:lang w:val="fr-FR"/>
          </w:rPr>
          <w:t>http://www.agence-biomedecine.fr/AMP-Vigilance?lang=fr#6</w:t>
        </w:r>
      </w:hyperlink>
      <w:r>
        <w:t>.</w:t>
      </w:r>
    </w:p>
  </w:footnote>
  <w:footnote w:id="82">
    <w:p w14:paraId="47E849FF" w14:textId="77777777" w:rsidR="00E47260" w:rsidRPr="00B21CB4" w:rsidRDefault="00E47260">
      <w:pPr>
        <w:pStyle w:val="FootnoteText"/>
        <w:rPr>
          <w:lang w:val="el-GR"/>
        </w:rPr>
      </w:pPr>
      <w:r>
        <w:rPr>
          <w:rStyle w:val="FootnoteReference"/>
        </w:rPr>
        <w:footnoteRef/>
      </w:r>
      <w:r>
        <w:t xml:space="preserve"> </w:t>
      </w:r>
      <w:r>
        <w:rPr>
          <w:lang w:val="el-GR"/>
        </w:rPr>
        <w:t xml:space="preserve">Περισσότερες λεπτομέρειες σχετικά θα δούμε στις ενότητες που ακολουθούν, στις οποίες και παρουσιάζεται λεπτομερώς ο τρόπος διεξαγωγής του ελέγχου των κέντρων ιατρικά υποβοηθούμενης αναπαραγωγής.  </w:t>
      </w:r>
    </w:p>
  </w:footnote>
  <w:footnote w:id="83">
    <w:p w14:paraId="356B8C09" w14:textId="77777777" w:rsidR="00E47260" w:rsidRPr="00E254F5" w:rsidRDefault="00E47260" w:rsidP="00CB7D04">
      <w:pPr>
        <w:pStyle w:val="FootnoteText"/>
      </w:pPr>
      <w:r w:rsidRPr="00E254F5">
        <w:rPr>
          <w:rStyle w:val="FootnoteReference"/>
          <w:szCs w:val="20"/>
        </w:rPr>
        <w:footnoteRef/>
      </w:r>
      <w:r w:rsidRPr="00E254F5">
        <w:t xml:space="preserve"> Agence de la Biomédecine, </w:t>
      </w:r>
      <w:r w:rsidRPr="00E254F5">
        <w:rPr>
          <w:i/>
        </w:rPr>
        <w:t>Contrat d’objectifs et de performance 2012-2015</w:t>
      </w:r>
      <w:r>
        <w:t xml:space="preserve">, διαθέσιμο σε: </w:t>
      </w:r>
      <w:hyperlink r:id="rId64" w:history="1">
        <w:r w:rsidRPr="00E254F5">
          <w:rPr>
            <w:rStyle w:val="Hyperlink"/>
            <w:szCs w:val="20"/>
            <w:lang w:val="fr-FR"/>
          </w:rPr>
          <w:t>http://www.agence-biomedecine.fr/IMG/pdf/cop_biomedecine_vdef.pdf</w:t>
        </w:r>
      </w:hyperlink>
      <w:r w:rsidRPr="00E254F5">
        <w:t xml:space="preserve">. </w:t>
      </w:r>
    </w:p>
  </w:footnote>
  <w:footnote w:id="84">
    <w:p w14:paraId="79E80B49" w14:textId="77777777" w:rsidR="00E47260" w:rsidRPr="00E254F5" w:rsidRDefault="00E47260" w:rsidP="00CB7D04">
      <w:pPr>
        <w:pStyle w:val="FootnoteText"/>
      </w:pPr>
      <w:r w:rsidRPr="00E254F5">
        <w:rPr>
          <w:rStyle w:val="FootnoteReference"/>
          <w:szCs w:val="20"/>
        </w:rPr>
        <w:footnoteRef/>
      </w:r>
      <w:r w:rsidRPr="00E254F5">
        <w:t xml:space="preserve"> Βλ. σχετικά στην ιστοσελίδα του Οργανισμού Βιοϊατρικής: </w:t>
      </w:r>
      <w:hyperlink r:id="rId65" w:history="1">
        <w:r w:rsidRPr="00E254F5">
          <w:rPr>
            <w:rStyle w:val="Hyperlink"/>
            <w:szCs w:val="20"/>
          </w:rPr>
          <w:t>http://www.agence-biomedecine.fr/L-Agence-de-la-biomedecine-en?lang=fr</w:t>
        </w:r>
      </w:hyperlink>
      <w:r w:rsidRPr="00E254F5">
        <w:t xml:space="preserve">.  </w:t>
      </w:r>
    </w:p>
  </w:footnote>
  <w:footnote w:id="85">
    <w:p w14:paraId="5605DD70" w14:textId="77777777" w:rsidR="00E47260" w:rsidRPr="00E254F5" w:rsidRDefault="00E47260" w:rsidP="00CB7D04">
      <w:pPr>
        <w:pStyle w:val="FootnoteText"/>
      </w:pPr>
      <w:r w:rsidRPr="00E254F5">
        <w:rPr>
          <w:rStyle w:val="FootnoteReference"/>
          <w:szCs w:val="20"/>
        </w:rPr>
        <w:footnoteRef/>
      </w:r>
      <w:r w:rsidRPr="00E254F5">
        <w:t xml:space="preserve"> </w:t>
      </w:r>
      <w:r w:rsidRPr="00CB5E28">
        <w:rPr>
          <w:i/>
        </w:rPr>
        <w:t>Ibidem</w:t>
      </w:r>
      <w:r w:rsidRPr="00E254F5">
        <w:t xml:space="preserve">.  </w:t>
      </w:r>
    </w:p>
  </w:footnote>
  <w:footnote w:id="86">
    <w:p w14:paraId="77698966" w14:textId="1AB6FD1A" w:rsidR="00E47260" w:rsidRPr="003D60AB" w:rsidRDefault="00E47260">
      <w:pPr>
        <w:pStyle w:val="FootnoteText"/>
        <w:rPr>
          <w:lang w:val="el-GR"/>
        </w:rPr>
      </w:pPr>
      <w:r>
        <w:rPr>
          <w:rStyle w:val="FootnoteReference"/>
        </w:rPr>
        <w:footnoteRef/>
      </w:r>
      <w:r>
        <w:t xml:space="preserve"> </w:t>
      </w:r>
      <w:r>
        <w:rPr>
          <w:lang w:val="el-GR"/>
        </w:rPr>
        <w:t xml:space="preserve">Βλ. σχετικά </w:t>
      </w:r>
      <w:r w:rsidRPr="00833100">
        <w:rPr>
          <w:b/>
          <w:i/>
        </w:rPr>
        <w:t>O. Roy</w:t>
      </w:r>
      <w:r w:rsidRPr="00E254F5">
        <w:t xml:space="preserve">, </w:t>
      </w:r>
      <w:r>
        <w:t>«</w:t>
      </w:r>
      <w:r w:rsidRPr="00E254F5">
        <w:t>Procréation Médicalement assistée et révision des lois bioéthiques françaises. Le montagne a accouché d’une souris</w:t>
      </w:r>
      <w:r>
        <w:t>»</w:t>
      </w:r>
      <w:r w:rsidRPr="00E254F5">
        <w:t xml:space="preserve">, </w:t>
      </w:r>
      <w:r w:rsidRPr="00EA3CAB">
        <w:rPr>
          <w:i/>
        </w:rPr>
        <w:t>op.cit.,</w:t>
      </w:r>
      <w:r w:rsidRPr="00EA3CAB">
        <w:t xml:space="preserve"> σελ. 144</w:t>
      </w:r>
      <w:r w:rsidRPr="00EA3CAB">
        <w:rPr>
          <w:lang w:val="el-GR"/>
        </w:rPr>
        <w:t>επ</w:t>
      </w:r>
      <w:r w:rsidRPr="00EA3CAB">
        <w:t>;</w:t>
      </w:r>
      <w:r>
        <w:t xml:space="preserve"> </w:t>
      </w:r>
      <w:r>
        <w:rPr>
          <w:b/>
          <w:i/>
        </w:rPr>
        <w:t xml:space="preserve">H. Oberdorff, </w:t>
      </w:r>
      <w:r>
        <w:rPr>
          <w:i/>
        </w:rPr>
        <w:t>Droits de l’homme et libert</w:t>
      </w:r>
      <w:r w:rsidRPr="00E254F5">
        <w:rPr>
          <w:i/>
        </w:rPr>
        <w:t>é</w:t>
      </w:r>
      <w:r>
        <w:rPr>
          <w:i/>
        </w:rPr>
        <w:t xml:space="preserve">s fondamentales, </w:t>
      </w:r>
      <w:r>
        <w:t xml:space="preserve">Éd. Lextenso, LGDJ, 2013, σελ. 433.  </w:t>
      </w:r>
    </w:p>
  </w:footnote>
  <w:footnote w:id="87">
    <w:p w14:paraId="3A0CFD83" w14:textId="77777777" w:rsidR="00E47260" w:rsidRPr="00E254F5" w:rsidRDefault="00E47260" w:rsidP="00CB7D04">
      <w:pPr>
        <w:pStyle w:val="FootnoteText"/>
      </w:pPr>
      <w:r w:rsidRPr="00E254F5">
        <w:rPr>
          <w:rStyle w:val="FootnoteReference"/>
          <w:b/>
          <w:szCs w:val="20"/>
        </w:rPr>
        <w:footnoteRef/>
      </w:r>
      <w:r w:rsidRPr="00E254F5">
        <w:t xml:space="preserve"> Βλ. </w:t>
      </w:r>
      <w:r w:rsidRPr="001E4596">
        <w:t xml:space="preserve">σχετικά Eρωτηματολόγιο [3.3], </w:t>
      </w:r>
      <w:r w:rsidRPr="001E4596">
        <w:rPr>
          <w:i/>
        </w:rPr>
        <w:t>op</w:t>
      </w:r>
      <w:r w:rsidRPr="00C777BD">
        <w:rPr>
          <w:i/>
        </w:rPr>
        <w:t>.cit.</w:t>
      </w:r>
      <w:r>
        <w:t xml:space="preserve">, </w:t>
      </w:r>
      <w:r w:rsidRPr="00E254F5">
        <w:t xml:space="preserve">σημ. ΙΙ, 1.1, σελ. 4. </w:t>
      </w:r>
    </w:p>
  </w:footnote>
  <w:footnote w:id="88">
    <w:p w14:paraId="1F664CAE" w14:textId="77777777" w:rsidR="00E47260" w:rsidRPr="00E254F5" w:rsidRDefault="00E47260" w:rsidP="00CB7D04">
      <w:pPr>
        <w:pStyle w:val="FootnoteText"/>
      </w:pPr>
      <w:r w:rsidRPr="00E254F5">
        <w:rPr>
          <w:rStyle w:val="FootnoteReference"/>
          <w:szCs w:val="20"/>
        </w:rPr>
        <w:footnoteRef/>
      </w:r>
      <w:r w:rsidRPr="00E254F5">
        <w:t xml:space="preserve"> Βλ. </w:t>
      </w:r>
      <w:r w:rsidRPr="001E4596">
        <w:t xml:space="preserve">σχετικά Eρωτηματολόγιο [3.6], </w:t>
      </w:r>
      <w:r w:rsidRPr="001E4596">
        <w:rPr>
          <w:i/>
        </w:rPr>
        <w:t>op.</w:t>
      </w:r>
      <w:r w:rsidRPr="00E84E55">
        <w:rPr>
          <w:i/>
        </w:rPr>
        <w:t>cit.</w:t>
      </w:r>
      <w:r>
        <w:t xml:space="preserve">, </w:t>
      </w:r>
      <w:r w:rsidRPr="00E254F5">
        <w:t xml:space="preserve">σημ. Ι, 1.1, σελ. 3-4. </w:t>
      </w:r>
    </w:p>
  </w:footnote>
  <w:footnote w:id="89">
    <w:p w14:paraId="32986AA1" w14:textId="77777777" w:rsidR="00E47260" w:rsidRPr="00E254F5" w:rsidRDefault="00E47260" w:rsidP="00CB7D04">
      <w:pPr>
        <w:pStyle w:val="FootnoteText"/>
      </w:pPr>
      <w:r w:rsidRPr="00E254F5">
        <w:rPr>
          <w:rStyle w:val="FootnoteReference"/>
          <w:szCs w:val="20"/>
        </w:rPr>
        <w:footnoteRef/>
      </w:r>
      <w:r w:rsidRPr="00E254F5">
        <w:t xml:space="preserve"> Projet de loi n</w:t>
      </w:r>
      <w:r w:rsidRPr="00E254F5">
        <w:rPr>
          <w:vertAlign w:val="superscript"/>
        </w:rPr>
        <w:t xml:space="preserve">o </w:t>
      </w:r>
      <w:r>
        <w:t xml:space="preserve">2911, άρθρο 20, exposé des motifs, σελ. 10, διαθέσιμo σε: </w:t>
      </w:r>
      <w:hyperlink r:id="rId66" w:history="1">
        <w:r w:rsidRPr="00E254F5">
          <w:rPr>
            <w:rStyle w:val="Hyperlink"/>
            <w:szCs w:val="20"/>
          </w:rPr>
          <w:t>http://www.assemblee-nationale.fr/13/pdf/projets/pl2911.pdf</w:t>
        </w:r>
      </w:hyperlink>
      <w:r w:rsidRPr="00E254F5">
        <w:t xml:space="preserve">.  </w:t>
      </w:r>
    </w:p>
  </w:footnote>
  <w:footnote w:id="90">
    <w:p w14:paraId="1C3F7DE7"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i/>
        </w:rPr>
        <w:t>Etats généraux de la bioéthique</w:t>
      </w:r>
      <w:r w:rsidRPr="00E254F5">
        <w:t>, Rapport final, σε</w:t>
      </w:r>
      <w:r>
        <w:t xml:space="preserve">λ. 42, διαθέσιμo σε: </w:t>
      </w:r>
      <w:hyperlink r:id="rId67" w:history="1">
        <w:r w:rsidRPr="00E254F5">
          <w:rPr>
            <w:rStyle w:val="Hyperlink"/>
            <w:szCs w:val="20"/>
          </w:rPr>
          <w:t>http://www.etatsgenerauxdelabioethique.fr/uploads/rapport_final.pdf</w:t>
        </w:r>
      </w:hyperlink>
      <w:r w:rsidRPr="00E254F5">
        <w:t xml:space="preserve">. </w:t>
      </w:r>
    </w:p>
  </w:footnote>
  <w:footnote w:id="91">
    <w:p w14:paraId="4ACDD179" w14:textId="5AC6DDC0" w:rsidR="00E47260" w:rsidRPr="00E254F5" w:rsidRDefault="00E47260" w:rsidP="00CB7D04">
      <w:pPr>
        <w:pStyle w:val="FootnoteText"/>
      </w:pPr>
      <w:r w:rsidRPr="00E254F5">
        <w:rPr>
          <w:rStyle w:val="FootnoteReference"/>
          <w:szCs w:val="20"/>
        </w:rPr>
        <w:footnoteRef/>
      </w:r>
      <w:r w:rsidRPr="00E254F5">
        <w:t xml:space="preserve"> Σχετικά βλ. </w:t>
      </w:r>
      <w:r w:rsidRPr="00833100">
        <w:rPr>
          <w:b/>
          <w:i/>
        </w:rPr>
        <w:t>O. Roy</w:t>
      </w:r>
      <w:r w:rsidRPr="00E254F5">
        <w:t xml:space="preserve">, </w:t>
      </w:r>
      <w:r>
        <w:t>«</w:t>
      </w:r>
      <w:r w:rsidRPr="00E254F5">
        <w:t xml:space="preserve">Procréation </w:t>
      </w:r>
      <w:r w:rsidRPr="0021157E">
        <w:t xml:space="preserve">Médicalement assistée et révision des lois bioéthiques françaises. Le montagne a accouché d’une souris», </w:t>
      </w:r>
      <w:r w:rsidRPr="0021157E">
        <w:rPr>
          <w:i/>
        </w:rPr>
        <w:t>op.cit.,</w:t>
      </w:r>
      <w:r w:rsidRPr="0021157E">
        <w:t xml:space="preserve"> σελ. 147-151.</w:t>
      </w:r>
      <w:r w:rsidRPr="00E254F5">
        <w:t xml:space="preserve"> </w:t>
      </w:r>
    </w:p>
  </w:footnote>
  <w:footnote w:id="92">
    <w:p w14:paraId="54E9DE88" w14:textId="77777777" w:rsidR="00E47260" w:rsidRPr="00161B68" w:rsidRDefault="00E47260">
      <w:pPr>
        <w:pStyle w:val="FootnoteText"/>
        <w:rPr>
          <w:lang w:val="el-GR"/>
        </w:rPr>
      </w:pPr>
      <w:r>
        <w:rPr>
          <w:rStyle w:val="FootnoteReference"/>
        </w:rPr>
        <w:footnoteRef/>
      </w:r>
      <w:r>
        <w:t xml:space="preserve"> </w:t>
      </w:r>
      <w:r w:rsidRPr="00E254F5">
        <w:t xml:space="preserve">Académie Nationale de Médecine, </w:t>
      </w:r>
      <w:r w:rsidRPr="00E254F5">
        <w:rPr>
          <w:i/>
        </w:rPr>
        <w:t>Assistance médicale à la procréation en prison</w:t>
      </w:r>
      <w:r w:rsidRPr="00E254F5">
        <w:t>, séance du 23 octobre 2012</w:t>
      </w:r>
      <w:r>
        <w:t xml:space="preserve">, διαθέσιμο σε: </w:t>
      </w:r>
      <w:hyperlink r:id="rId68" w:history="1">
        <w:r w:rsidRPr="00E254F5">
          <w:rPr>
            <w:rStyle w:val="Hyperlink"/>
            <w:szCs w:val="20"/>
            <w:lang w:val="fr-FR"/>
          </w:rPr>
          <w:t>http://www.academie-medecine.fr/wp-content/uploads/2013/07/tap-p.-1397-1421.pdf</w:t>
        </w:r>
      </w:hyperlink>
      <w:r w:rsidRPr="00E254F5">
        <w:t>.</w:t>
      </w:r>
    </w:p>
  </w:footnote>
  <w:footnote w:id="93">
    <w:p w14:paraId="2B0ADD80" w14:textId="77777777" w:rsidR="00E47260" w:rsidRPr="003A79B7" w:rsidRDefault="00E47260">
      <w:pPr>
        <w:pStyle w:val="FootnoteText"/>
        <w:rPr>
          <w:lang w:val="el-GR"/>
        </w:rPr>
      </w:pPr>
      <w:r>
        <w:rPr>
          <w:rStyle w:val="FootnoteReference"/>
        </w:rPr>
        <w:footnoteRef/>
      </w:r>
      <w:r>
        <w:t xml:space="preserve"> </w:t>
      </w:r>
      <w:r w:rsidRPr="003A79B7">
        <w:rPr>
          <w:i/>
        </w:rPr>
        <w:t>I</w:t>
      </w:r>
      <w:r>
        <w:rPr>
          <w:i/>
        </w:rPr>
        <w:t>bi</w:t>
      </w:r>
      <w:r w:rsidRPr="003A79B7">
        <w:rPr>
          <w:i/>
        </w:rPr>
        <w:t>dem</w:t>
      </w:r>
      <w:r>
        <w:rPr>
          <w:lang w:val="el-GR"/>
        </w:rPr>
        <w:t xml:space="preserve">. </w:t>
      </w:r>
    </w:p>
  </w:footnote>
  <w:footnote w:id="94">
    <w:p w14:paraId="5AE04606" w14:textId="77777777" w:rsidR="00E47260" w:rsidRPr="00792B9F" w:rsidRDefault="00E47260">
      <w:pPr>
        <w:pStyle w:val="FootnoteText"/>
        <w:rPr>
          <w:lang w:val="el-GR"/>
        </w:rPr>
      </w:pPr>
      <w:r>
        <w:rPr>
          <w:rStyle w:val="FootnoteReference"/>
        </w:rPr>
        <w:footnoteRef/>
      </w:r>
      <w:r>
        <w:t xml:space="preserve"> </w:t>
      </w:r>
      <w:r>
        <w:rPr>
          <w:lang w:val="el-GR"/>
        </w:rPr>
        <w:t xml:space="preserve">Η αναφορά γίνεται σε αντιδιαστολή με την «ιατρική αναπαραγωγή», η οποία αποτελεί και τη μοναδική περίπτωση που δικαιολογεί στη Γαλλία την προσφυγή σε μεθόδους ιατρικά υποβοηθούμενης αναπαραγωγής. </w:t>
      </w:r>
    </w:p>
  </w:footnote>
  <w:footnote w:id="95">
    <w:p w14:paraId="68EB3BCE" w14:textId="77777777" w:rsidR="00E47260" w:rsidRPr="005679F5" w:rsidRDefault="00E47260">
      <w:pPr>
        <w:pStyle w:val="FootnoteText"/>
        <w:rPr>
          <w:lang w:val="el-GR"/>
        </w:rPr>
      </w:pPr>
      <w:r>
        <w:rPr>
          <w:rStyle w:val="FootnoteReference"/>
        </w:rPr>
        <w:footnoteRef/>
      </w:r>
      <w:r>
        <w:t xml:space="preserve"> </w:t>
      </w:r>
      <w:r w:rsidRPr="00E254F5">
        <w:t xml:space="preserve">Académie Nationale de Médecine, </w:t>
      </w:r>
      <w:r w:rsidRPr="004D43C6">
        <w:rPr>
          <w:i/>
        </w:rPr>
        <w:t>Assistance médicale à la procréation en prison</w:t>
      </w:r>
      <w:r w:rsidRPr="00E254F5">
        <w:t xml:space="preserve">, </w:t>
      </w:r>
      <w:r w:rsidRPr="005679F5">
        <w:rPr>
          <w:i/>
        </w:rPr>
        <w:t>op.cit</w:t>
      </w:r>
      <w:r>
        <w:t xml:space="preserve">. </w:t>
      </w:r>
    </w:p>
  </w:footnote>
  <w:footnote w:id="96">
    <w:p w14:paraId="23622FB2" w14:textId="77777777" w:rsidR="00E47260" w:rsidRPr="00E254F5" w:rsidRDefault="00E47260" w:rsidP="00252ED2">
      <w:pPr>
        <w:pStyle w:val="FootnoteText"/>
      </w:pPr>
      <w:r w:rsidRPr="00E254F5">
        <w:rPr>
          <w:rStyle w:val="FootnoteReference"/>
          <w:b/>
          <w:szCs w:val="20"/>
        </w:rPr>
        <w:footnoteRef/>
      </w:r>
      <w:r w:rsidRPr="00E254F5">
        <w:t xml:space="preserve"> Βλ. </w:t>
      </w:r>
      <w:r w:rsidRPr="00475A50">
        <w:t xml:space="preserve">σχετικά Eρωτηματολόγιο [3.3], </w:t>
      </w:r>
      <w:r w:rsidRPr="00475A50">
        <w:rPr>
          <w:i/>
        </w:rPr>
        <w:t>op.cit</w:t>
      </w:r>
      <w:r w:rsidRPr="00C777BD">
        <w:rPr>
          <w:i/>
        </w:rPr>
        <w:t>.</w:t>
      </w:r>
      <w:r>
        <w:t xml:space="preserve">, </w:t>
      </w:r>
      <w:r w:rsidRPr="00E254F5">
        <w:t xml:space="preserve">σημ. ΙΙ, 1.1, σελ. 4. </w:t>
      </w:r>
    </w:p>
  </w:footnote>
  <w:footnote w:id="97">
    <w:p w14:paraId="08CC7BAF"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788-789. </w:t>
      </w:r>
    </w:p>
  </w:footnote>
  <w:footnote w:id="98">
    <w:p w14:paraId="27B1AF02" w14:textId="77777777" w:rsidR="00E47260" w:rsidRPr="00E254F5" w:rsidRDefault="00E47260" w:rsidP="00CB7D04">
      <w:pPr>
        <w:pStyle w:val="FootnoteText"/>
      </w:pPr>
      <w:r w:rsidRPr="00E254F5">
        <w:rPr>
          <w:rStyle w:val="FootnoteReference"/>
          <w:szCs w:val="20"/>
        </w:rPr>
        <w:footnoteRef/>
      </w:r>
      <w:r w:rsidRPr="00E254F5">
        <w:t xml:space="preserve"> Βλ. </w:t>
      </w:r>
      <w:r w:rsidRPr="00E254F5">
        <w:rPr>
          <w:i/>
        </w:rPr>
        <w:t>infra</w:t>
      </w:r>
      <w:r w:rsidRPr="00E254F5">
        <w:t xml:space="preserve">, σελ. </w:t>
      </w:r>
      <w:r w:rsidR="003151F6">
        <w:fldChar w:fldCharType="begin"/>
      </w:r>
      <w:r w:rsidR="003151F6">
        <w:instrText xml:space="preserve"> PAGEREF _Ref272430333 </w:instrText>
      </w:r>
      <w:r w:rsidR="003151F6">
        <w:fldChar w:fldCharType="separate"/>
      </w:r>
      <w:r w:rsidR="00B822F0">
        <w:rPr>
          <w:noProof/>
        </w:rPr>
        <w:t>56</w:t>
      </w:r>
      <w:r w:rsidR="003151F6">
        <w:rPr>
          <w:noProof/>
        </w:rPr>
        <w:fldChar w:fldCharType="end"/>
      </w:r>
      <w:r w:rsidRPr="00E254F5">
        <w:t xml:space="preserve"> επ. </w:t>
      </w:r>
    </w:p>
  </w:footnote>
  <w:footnote w:id="99">
    <w:p w14:paraId="6693AFAC" w14:textId="77777777" w:rsidR="00E47260" w:rsidRPr="00E254F5" w:rsidRDefault="00E47260" w:rsidP="00CB7D04">
      <w:pPr>
        <w:pStyle w:val="FootnoteText"/>
      </w:pPr>
      <w:r w:rsidRPr="00E254F5">
        <w:rPr>
          <w:rStyle w:val="FootnoteReference"/>
          <w:szCs w:val="20"/>
        </w:rPr>
        <w:footnoteRef/>
      </w:r>
      <w:r w:rsidRPr="00E254F5">
        <w:t xml:space="preserve"> Arrêté du 11 avril 2008 relatif aux règles de bonnes pratiques cliniques et biologiques d’assistance médicale à la procréation</w:t>
      </w:r>
      <w:r>
        <w:t xml:space="preserve">, διαθέσιμη σε: </w:t>
      </w:r>
      <w:hyperlink r:id="rId69" w:history="1">
        <w:r w:rsidRPr="00E254F5">
          <w:rPr>
            <w:rStyle w:val="Hyperlink"/>
            <w:szCs w:val="20"/>
            <w:lang w:val="fr-FR"/>
          </w:rPr>
          <w:t>http://www.juridique-biomedecine.fr/uploads/documents/arrt-du-11-avril-2008-relatif-aux-rgles-de-bonnes-pratiques-cliniques-et-biologiques-d-assistance-mdicale--la-procration-modifi-arrt-du-3-aot-2010.pdf</w:t>
        </w:r>
      </w:hyperlink>
      <w:r w:rsidRPr="00E254F5">
        <w:t xml:space="preserve">. </w:t>
      </w:r>
    </w:p>
  </w:footnote>
  <w:footnote w:id="100">
    <w:p w14:paraId="4AC7526B" w14:textId="77777777" w:rsidR="00E47260" w:rsidRPr="00E254F5" w:rsidRDefault="00E47260" w:rsidP="00CB7D04">
      <w:pPr>
        <w:pStyle w:val="FootnoteText"/>
      </w:pPr>
      <w:r w:rsidRPr="00E254F5">
        <w:rPr>
          <w:rStyle w:val="FootnoteReference"/>
          <w:szCs w:val="20"/>
        </w:rPr>
        <w:footnoteRef/>
      </w:r>
      <w:r w:rsidRPr="00E254F5">
        <w:t xml:space="preserve"> </w:t>
      </w:r>
      <w:r>
        <w:t xml:space="preserve">Βλ. </w:t>
      </w:r>
      <w:r>
        <w:rPr>
          <w:rFonts w:eastAsia="Calibri"/>
        </w:rPr>
        <w:t xml:space="preserve">Παράρτημα: Προοίμιο, </w:t>
      </w:r>
      <w:r w:rsidRPr="00E254F5">
        <w:rPr>
          <w:rFonts w:eastAsia="Calibri"/>
        </w:rPr>
        <w:t>Υπουργική απόφαση της 11</w:t>
      </w:r>
      <w:r w:rsidRPr="00E254F5">
        <w:rPr>
          <w:rFonts w:eastAsia="Calibri"/>
          <w:vertAlign w:val="superscript"/>
        </w:rPr>
        <w:t>ης</w:t>
      </w:r>
      <w:r w:rsidRPr="00E254F5">
        <w:rPr>
          <w:rFonts w:eastAsia="Calibri"/>
        </w:rPr>
        <w:t xml:space="preserve"> Απριλίου 2008 σχετικά με τους κανόνες καλών κλι</w:t>
      </w:r>
      <w:r>
        <w:rPr>
          <w:rFonts w:eastAsia="Calibri"/>
        </w:rPr>
        <w:t>νικών και βιολογικών πρακτικών στην ιατρικά υποβοηθούμενη αναπαραγωγή</w:t>
      </w:r>
      <w:r w:rsidRPr="00E254F5">
        <w:rPr>
          <w:rFonts w:eastAsia="Calibri"/>
        </w:rPr>
        <w:t xml:space="preserve">, </w:t>
      </w:r>
      <w:r w:rsidRPr="00E254F5">
        <w:rPr>
          <w:rFonts w:eastAsia="Calibri"/>
          <w:i/>
        </w:rPr>
        <w:t>op.cit.</w:t>
      </w:r>
    </w:p>
  </w:footnote>
  <w:footnote w:id="101">
    <w:p w14:paraId="5BB1B327"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779. </w:t>
      </w:r>
    </w:p>
  </w:footnote>
  <w:footnote w:id="102">
    <w:p w14:paraId="4B32C8AB" w14:textId="77777777" w:rsidR="00E47260" w:rsidRPr="00A74A1A" w:rsidRDefault="00E47260">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 xml:space="preserve">επ. </w:t>
      </w:r>
    </w:p>
  </w:footnote>
  <w:footnote w:id="103">
    <w:p w14:paraId="7649185E" w14:textId="77777777" w:rsidR="00E47260" w:rsidRPr="004E4E05" w:rsidRDefault="00E47260">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 xml:space="preserve">επ. </w:t>
      </w:r>
    </w:p>
  </w:footnote>
  <w:footnote w:id="104">
    <w:p w14:paraId="6D38BC97" w14:textId="77777777" w:rsidR="00E47260" w:rsidRPr="00E254F5" w:rsidRDefault="00E47260" w:rsidP="00CB7D04">
      <w:pPr>
        <w:pStyle w:val="FootnoteText"/>
      </w:pPr>
      <w:r w:rsidRPr="00E254F5">
        <w:rPr>
          <w:rStyle w:val="FootnoteReference"/>
          <w:szCs w:val="20"/>
        </w:rPr>
        <w:footnoteRef/>
      </w:r>
      <w:r w:rsidRPr="00E254F5">
        <w:t xml:space="preserve"> Για το λόγο αυτό και έχει δεχτεί κριτική από μερίδα της θεωρίας. Βλ. έτσι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779-780. </w:t>
      </w:r>
    </w:p>
  </w:footnote>
  <w:footnote w:id="105">
    <w:p w14:paraId="34A7E32B" w14:textId="77777777" w:rsidR="00E47260" w:rsidRPr="00234B8A" w:rsidRDefault="00E47260">
      <w:pPr>
        <w:pStyle w:val="FootnoteText"/>
        <w:rPr>
          <w:lang w:val="el-GR"/>
        </w:rPr>
      </w:pPr>
      <w:r>
        <w:rPr>
          <w:rStyle w:val="FootnoteReference"/>
        </w:rPr>
        <w:footnoteRef/>
      </w:r>
      <w:r>
        <w:t xml:space="preserve"> </w:t>
      </w:r>
      <w:r>
        <w:rPr>
          <w:lang w:val="el-GR"/>
        </w:rPr>
        <w:t xml:space="preserve">Βλ. </w:t>
      </w:r>
      <w:r w:rsidRPr="00234B8A">
        <w:rPr>
          <w:i/>
        </w:rPr>
        <w:t>supra</w:t>
      </w:r>
      <w:r>
        <w:t xml:space="preserve">, </w:t>
      </w:r>
      <w:r>
        <w:rPr>
          <w:lang w:val="el-GR"/>
        </w:rPr>
        <w:t xml:space="preserve">σελ. </w:t>
      </w:r>
      <w:r>
        <w:rPr>
          <w:lang w:val="el-GR"/>
        </w:rPr>
        <w:fldChar w:fldCharType="begin"/>
      </w:r>
      <w:r>
        <w:rPr>
          <w:lang w:val="el-GR"/>
        </w:rPr>
        <w:instrText xml:space="preserve"> PAGEREF _Ref275977842 \h </w:instrText>
      </w:r>
      <w:r>
        <w:rPr>
          <w:lang w:val="el-GR"/>
        </w:rPr>
      </w:r>
      <w:r>
        <w:rPr>
          <w:lang w:val="el-GR"/>
        </w:rPr>
        <w:fldChar w:fldCharType="separate"/>
      </w:r>
      <w:r w:rsidR="00B822F0">
        <w:rPr>
          <w:noProof/>
          <w:lang w:val="el-GR"/>
        </w:rPr>
        <w:t>35</w:t>
      </w:r>
      <w:r>
        <w:rPr>
          <w:lang w:val="el-GR"/>
        </w:rPr>
        <w:fldChar w:fldCharType="end"/>
      </w:r>
      <w:r>
        <w:rPr>
          <w:lang w:val="el-GR"/>
        </w:rPr>
        <w:t xml:space="preserve">επ. και </w:t>
      </w:r>
      <w:r>
        <w:rPr>
          <w:lang w:val="el-GR"/>
        </w:rPr>
        <w:fldChar w:fldCharType="begin"/>
      </w:r>
      <w:r>
        <w:rPr>
          <w:lang w:val="el-GR"/>
        </w:rPr>
        <w:instrText xml:space="preserve"> PAGEREF _Ref275977849 \h </w:instrText>
      </w:r>
      <w:r>
        <w:rPr>
          <w:lang w:val="el-GR"/>
        </w:rPr>
      </w:r>
      <w:r>
        <w:rPr>
          <w:lang w:val="el-GR"/>
        </w:rPr>
        <w:fldChar w:fldCharType="separate"/>
      </w:r>
      <w:r w:rsidR="00B822F0">
        <w:rPr>
          <w:noProof/>
          <w:lang w:val="el-GR"/>
        </w:rPr>
        <w:t>42</w:t>
      </w:r>
      <w:r>
        <w:rPr>
          <w:lang w:val="el-GR"/>
        </w:rPr>
        <w:fldChar w:fldCharType="end"/>
      </w:r>
      <w:r>
        <w:rPr>
          <w:lang w:val="el-GR"/>
        </w:rPr>
        <w:t>επ.</w:t>
      </w:r>
    </w:p>
  </w:footnote>
  <w:footnote w:id="106">
    <w:p w14:paraId="27C2BB45" w14:textId="77777777" w:rsidR="00E47260" w:rsidRPr="00BB6CF4" w:rsidRDefault="00E47260" w:rsidP="00CB7D04">
      <w:pPr>
        <w:pStyle w:val="FootnoteText"/>
        <w:rPr>
          <w:rFonts w:ascii="Helvetica" w:hAnsi="Helvetica" w:cs="Helvetica"/>
          <w:color w:val="262626"/>
          <w:sz w:val="30"/>
          <w:szCs w:val="30"/>
        </w:rPr>
      </w:pPr>
      <w:r>
        <w:rPr>
          <w:rStyle w:val="FootnoteReference"/>
        </w:rPr>
        <w:footnoteRef/>
      </w:r>
      <w:r>
        <w:t xml:space="preserve"> </w:t>
      </w:r>
      <w:r w:rsidRPr="00E254F5">
        <w:t xml:space="preserve">Βλ. έτσι </w:t>
      </w:r>
      <w:r w:rsidRPr="00E254F5">
        <w:rPr>
          <w:b/>
          <w:i/>
        </w:rPr>
        <w:t>A. Cheynet De Beaupré</w:t>
      </w:r>
      <w:r w:rsidRPr="00E254F5">
        <w:t xml:space="preserve">, «Le bébé du double espoir», </w:t>
      </w:r>
      <w:r w:rsidRPr="00E254F5">
        <w:rPr>
          <w:i/>
        </w:rPr>
        <w:t>Recueil Dalloz Sirey</w:t>
      </w:r>
      <w:r w:rsidRPr="00E254F5">
        <w:t xml:space="preserve">, 3.3.2011, </w:t>
      </w:r>
      <w:r w:rsidRPr="00E254F5">
        <w:rPr>
          <w:iCs/>
        </w:rPr>
        <w:t>n</w:t>
      </w:r>
      <w:r w:rsidRPr="00E254F5">
        <w:rPr>
          <w:iCs/>
          <w:vertAlign w:val="superscript"/>
        </w:rPr>
        <w:t>o</w:t>
      </w:r>
      <w:r w:rsidRPr="00E254F5">
        <w:rPr>
          <w:iCs/>
        </w:rPr>
        <w:t xml:space="preserve"> 9, </w:t>
      </w:r>
      <w:r w:rsidRPr="00E254F5">
        <w:t xml:space="preserve">σελ. 603 και </w:t>
      </w:r>
      <w:r w:rsidRPr="00E254F5">
        <w:rPr>
          <w:b/>
          <w:i/>
        </w:rPr>
        <w:t>A.-L. Blouet-Patin</w:t>
      </w:r>
      <w:r w:rsidRPr="00E254F5">
        <w:t>, «</w:t>
      </w:r>
      <w:r w:rsidRPr="00E254F5">
        <w:rPr>
          <w:rFonts w:cs="Helvetica"/>
          <w:color w:val="262626"/>
        </w:rPr>
        <w:t>Diagnostic préimplantatoire et conditions de recours au "bébé médicament"</w:t>
      </w:r>
      <w:r w:rsidRPr="006E6A08">
        <w:t>»</w:t>
      </w:r>
      <w:r>
        <w:t xml:space="preserve">, </w:t>
      </w:r>
      <w:r w:rsidRPr="00AC2016">
        <w:rPr>
          <w:i/>
        </w:rPr>
        <w:t>Lexbase Hebdo – Edition Priv</w:t>
      </w:r>
      <w:r w:rsidRPr="00AC2016">
        <w:rPr>
          <w:rFonts w:cs="Helvetica"/>
          <w:i/>
          <w:color w:val="262626"/>
        </w:rPr>
        <w:t>é</w:t>
      </w:r>
      <w:r w:rsidRPr="00AC2016">
        <w:rPr>
          <w:i/>
        </w:rPr>
        <w:t>e G</w:t>
      </w:r>
      <w:r w:rsidRPr="00AC2016">
        <w:rPr>
          <w:rFonts w:cs="Helvetica"/>
          <w:i/>
          <w:color w:val="262626"/>
        </w:rPr>
        <w:t>é</w:t>
      </w:r>
      <w:r w:rsidRPr="00AC2016">
        <w:rPr>
          <w:i/>
        </w:rPr>
        <w:t>n</w:t>
      </w:r>
      <w:r w:rsidRPr="00AC2016">
        <w:rPr>
          <w:rFonts w:cs="Helvetica"/>
          <w:i/>
          <w:color w:val="262626"/>
        </w:rPr>
        <w:t>é</w:t>
      </w:r>
      <w:r w:rsidRPr="00AC2016">
        <w:rPr>
          <w:i/>
        </w:rPr>
        <w:t>rale</w:t>
      </w:r>
      <w:r>
        <w:t xml:space="preserve">, 11.1.2007, </w:t>
      </w:r>
      <w:r w:rsidRPr="00BB6CF4">
        <w:rPr>
          <w:iCs/>
        </w:rPr>
        <w:t>n</w:t>
      </w:r>
      <w:r w:rsidRPr="00BB6CF4">
        <w:rPr>
          <w:iCs/>
          <w:vertAlign w:val="superscript"/>
        </w:rPr>
        <w:t>o</w:t>
      </w:r>
      <w:r w:rsidRPr="00BB6CF4">
        <w:rPr>
          <w:iCs/>
        </w:rPr>
        <w:t xml:space="preserve"> </w:t>
      </w:r>
      <w:r>
        <w:t xml:space="preserve">243. </w:t>
      </w:r>
    </w:p>
  </w:footnote>
  <w:footnote w:id="107">
    <w:p w14:paraId="749706F4" w14:textId="77777777" w:rsidR="00E47260" w:rsidRPr="003A32BC" w:rsidRDefault="00E47260" w:rsidP="00CB7D04">
      <w:pPr>
        <w:pStyle w:val="FootnoteText"/>
      </w:pPr>
      <w:r>
        <w:rPr>
          <w:rStyle w:val="FootnoteReference"/>
        </w:rPr>
        <w:footnoteRef/>
      </w:r>
      <w:r>
        <w:t xml:space="preserve"> </w:t>
      </w:r>
      <w:r>
        <w:rPr>
          <w:lang w:val="el-GR"/>
        </w:rPr>
        <w:t>Βλ. έτσι</w:t>
      </w:r>
      <w:r w:rsidRPr="00E254F5">
        <w:rPr>
          <w:b/>
          <w:i/>
        </w:rPr>
        <w:t xml:space="preserve"> </w:t>
      </w:r>
      <w:r w:rsidRPr="003A32BC">
        <w:rPr>
          <w:b/>
          <w:i/>
        </w:rPr>
        <w:t>Fr. Terré, D. Fenouillet</w:t>
      </w:r>
      <w:r w:rsidRPr="003A32BC">
        <w:t xml:space="preserve">, </w:t>
      </w:r>
      <w:r w:rsidRPr="003A32BC">
        <w:rPr>
          <w:i/>
        </w:rPr>
        <w:t>Droit civil. La famille</w:t>
      </w:r>
      <w:r w:rsidRPr="003A32BC">
        <w:t xml:space="preserve">, </w:t>
      </w:r>
      <w:r w:rsidRPr="003A32BC">
        <w:rPr>
          <w:i/>
        </w:rPr>
        <w:t>op.cit.</w:t>
      </w:r>
      <w:r>
        <w:t xml:space="preserve">, σελ. 780-781. </w:t>
      </w:r>
    </w:p>
  </w:footnote>
  <w:footnote w:id="108">
    <w:p w14:paraId="60F2A404" w14:textId="77777777" w:rsidR="00E47260" w:rsidRPr="005D50F1" w:rsidRDefault="00E47260" w:rsidP="00CB7D04">
      <w:pPr>
        <w:pStyle w:val="FootnoteText"/>
        <w:rPr>
          <w:lang w:val="el-GR"/>
        </w:rPr>
      </w:pPr>
      <w:r>
        <w:rPr>
          <w:rStyle w:val="FootnoteReference"/>
        </w:rPr>
        <w:footnoteRef/>
      </w:r>
      <w:r>
        <w:t xml:space="preserve"> Βλ. </w:t>
      </w:r>
      <w:r w:rsidRPr="004D49A9">
        <w:rPr>
          <w:b/>
          <w:i/>
        </w:rPr>
        <w:t>C. Labrusse-Riou</w:t>
      </w:r>
      <w:r>
        <w:t xml:space="preserve">, </w:t>
      </w:r>
      <w:r w:rsidRPr="006018E1">
        <w:t>«</w:t>
      </w:r>
      <w:r>
        <w:t>L’embryon humain-médicament ou le dépassement de toute norme</w:t>
      </w:r>
      <w:r w:rsidRPr="006018E1">
        <w:t>»</w:t>
      </w:r>
      <w:r>
        <w:t xml:space="preserve">, in </w:t>
      </w:r>
      <w:r w:rsidRPr="004D49A9">
        <w:rPr>
          <w:b/>
          <w:i/>
        </w:rPr>
        <w:t>I. Moine</w:t>
      </w:r>
      <w:r>
        <w:t xml:space="preserve"> (dir.), </w:t>
      </w:r>
      <w:r>
        <w:rPr>
          <w:i/>
        </w:rPr>
        <w:t>Le médica</w:t>
      </w:r>
      <w:r w:rsidRPr="004D49A9">
        <w:rPr>
          <w:i/>
        </w:rPr>
        <w:t xml:space="preserve">ment </w:t>
      </w:r>
      <w:r>
        <w:rPr>
          <w:i/>
        </w:rPr>
        <w:t>et la personne, aspects de droi</w:t>
      </w:r>
      <w:r w:rsidRPr="004D49A9">
        <w:rPr>
          <w:i/>
        </w:rPr>
        <w:t>t internationa</w:t>
      </w:r>
      <w:r>
        <w:rPr>
          <w:i/>
        </w:rPr>
        <w:t>l</w:t>
      </w:r>
      <w:r>
        <w:t xml:space="preserve">, LexisNexis Litec, Travaux du CREDIMI, 2007, vol. 28, </w:t>
      </w:r>
      <w:r>
        <w:rPr>
          <w:lang w:val="el-GR"/>
        </w:rPr>
        <w:t>σελ. 453-460</w:t>
      </w:r>
      <w:r>
        <w:t>;</w:t>
      </w:r>
      <w:r w:rsidRPr="00E254F5">
        <w:t xml:space="preserve"> </w:t>
      </w:r>
      <w:r w:rsidRPr="00480291">
        <w:rPr>
          <w:b/>
          <w:i/>
        </w:rPr>
        <w:t>J.-R. Binet</w:t>
      </w:r>
      <w:r w:rsidRPr="00E254F5">
        <w:t xml:space="preserve">, </w:t>
      </w:r>
      <w:r w:rsidRPr="00E254F5">
        <w:rPr>
          <w:i/>
        </w:rPr>
        <w:t>La reforme de la loi Bioéthique. Commentaire et analyse de la loi n</w:t>
      </w:r>
      <w:r w:rsidRPr="00E254F5">
        <w:rPr>
          <w:i/>
          <w:vertAlign w:val="superscript"/>
        </w:rPr>
        <w:t>o</w:t>
      </w:r>
      <w:r w:rsidRPr="00E254F5">
        <w:rPr>
          <w:i/>
        </w:rPr>
        <w:t xml:space="preserve"> 2011-814 du 7 juillet 2011 relative à la bioéthique</w:t>
      </w:r>
      <w:r w:rsidRPr="00E254F5">
        <w:t xml:space="preserve">, </w:t>
      </w:r>
      <w:r w:rsidRPr="00E254F5">
        <w:rPr>
          <w:i/>
        </w:rPr>
        <w:t>op.cit.,</w:t>
      </w:r>
      <w:r w:rsidRPr="00E254F5">
        <w:t xml:space="preserve"> σελ</w:t>
      </w:r>
      <w:r>
        <w:t xml:space="preserve">. 48-50; </w:t>
      </w:r>
      <w:r w:rsidRPr="00480291">
        <w:rPr>
          <w:b/>
          <w:i/>
        </w:rPr>
        <w:t>J.-R. Binet</w:t>
      </w:r>
      <w:r w:rsidRPr="00E254F5">
        <w:t>,</w:t>
      </w:r>
      <w:r>
        <w:t xml:space="preserve"> «B</w:t>
      </w:r>
      <w:r w:rsidRPr="00E254F5">
        <w:rPr>
          <w:rFonts w:cs="Helvetica"/>
          <w:color w:val="262626"/>
        </w:rPr>
        <w:t>ébé médicament</w:t>
      </w:r>
      <w:r>
        <w:rPr>
          <w:rFonts w:cs="Helvetica"/>
          <w:color w:val="262626"/>
        </w:rPr>
        <w:t>: l’équilibre périlleux d’une solution extrême</w:t>
      </w:r>
      <w:r w:rsidRPr="006018E1">
        <w:t>»</w:t>
      </w:r>
      <w:r>
        <w:rPr>
          <w:rFonts w:cs="Helvetica"/>
          <w:color w:val="262626"/>
        </w:rPr>
        <w:t xml:space="preserve">, </w:t>
      </w:r>
      <w:r w:rsidRPr="005D50F1">
        <w:rPr>
          <w:rFonts w:cs="Helvetica"/>
          <w:i/>
          <w:color w:val="262626"/>
        </w:rPr>
        <w:t>Le Monde</w:t>
      </w:r>
      <w:r>
        <w:rPr>
          <w:rFonts w:cs="Helvetica"/>
          <w:color w:val="262626"/>
        </w:rPr>
        <w:t xml:space="preserve">, 22 </w:t>
      </w:r>
      <w:r>
        <w:rPr>
          <w:rFonts w:cs="Helvetica"/>
          <w:color w:val="262626"/>
          <w:lang w:val="el-GR"/>
        </w:rPr>
        <w:t xml:space="preserve">Φεβρουαρίου 2011, διαθέσιμο σε: </w:t>
      </w:r>
      <w:hyperlink r:id="rId70" w:history="1">
        <w:r w:rsidRPr="00A355FF">
          <w:rPr>
            <w:rStyle w:val="Hyperlink"/>
            <w:rFonts w:cs="Helvetica"/>
            <w:szCs w:val="20"/>
            <w:lang w:val="el-GR"/>
          </w:rPr>
          <w:t>http://www.lemonde.fr/idees/article/2011/02/22/bebe-medicament-l-equilibre-perilleux-d-une-solution-extreme_1480863_3232.html</w:t>
        </w:r>
      </w:hyperlink>
      <w:r>
        <w:rPr>
          <w:rFonts w:cs="Helvetica"/>
          <w:color w:val="262626"/>
          <w:lang w:val="el-GR"/>
        </w:rPr>
        <w:t xml:space="preserve">. </w:t>
      </w:r>
    </w:p>
  </w:footnote>
  <w:footnote w:id="109">
    <w:p w14:paraId="578B2483" w14:textId="77777777" w:rsidR="00E47260" w:rsidRPr="00D51AF2" w:rsidRDefault="00E47260" w:rsidP="00CB7D04">
      <w:pPr>
        <w:pStyle w:val="FootnoteText"/>
        <w:rPr>
          <w:lang w:val="el-GR"/>
        </w:rPr>
      </w:pPr>
      <w:r>
        <w:rPr>
          <w:rStyle w:val="FootnoteReference"/>
        </w:rPr>
        <w:footnoteRef/>
      </w:r>
      <w:r>
        <w:t xml:space="preserve"> JO Sénat CR, 8 juin 2004. </w:t>
      </w:r>
    </w:p>
  </w:footnote>
  <w:footnote w:id="110">
    <w:p w14:paraId="1004A77C" w14:textId="192F3630" w:rsidR="00E47260" w:rsidRPr="00B93140" w:rsidRDefault="00E47260" w:rsidP="00CB7D04">
      <w:pPr>
        <w:pStyle w:val="FootnoteText"/>
        <w:rPr>
          <w:lang w:val="el-GR"/>
        </w:rPr>
      </w:pPr>
      <w:r w:rsidRPr="00141DDE">
        <w:rPr>
          <w:rStyle w:val="FootnoteReference"/>
        </w:rPr>
        <w:footnoteRef/>
      </w:r>
      <w:r w:rsidRPr="00141DDE">
        <w:t xml:space="preserve"> </w:t>
      </w:r>
      <w:r w:rsidRPr="00141DDE">
        <w:rPr>
          <w:lang w:val="el-GR"/>
        </w:rPr>
        <w:t>Βλ. έτσι</w:t>
      </w:r>
      <w:r w:rsidRPr="00141DDE">
        <w:rPr>
          <w:b/>
          <w:i/>
        </w:rPr>
        <w:t xml:space="preserve"> Fr. Terré, D. Fenouillet</w:t>
      </w:r>
      <w:r w:rsidRPr="00141DDE">
        <w:t xml:space="preserve">, </w:t>
      </w:r>
      <w:r w:rsidRPr="00141DDE">
        <w:rPr>
          <w:i/>
        </w:rPr>
        <w:t>Droit civil. La famille</w:t>
      </w:r>
      <w:r w:rsidRPr="00141DDE">
        <w:t xml:space="preserve">, </w:t>
      </w:r>
      <w:r w:rsidRPr="00141DDE">
        <w:rPr>
          <w:i/>
        </w:rPr>
        <w:t>op.cit.</w:t>
      </w:r>
      <w:r w:rsidRPr="00141DDE">
        <w:t xml:space="preserve">, σελ. 781; </w:t>
      </w:r>
      <w:r w:rsidRPr="00141DDE">
        <w:rPr>
          <w:b/>
          <w:i/>
        </w:rPr>
        <w:t>O. Roy</w:t>
      </w:r>
      <w:r w:rsidRPr="00141DDE">
        <w:t xml:space="preserve">, «Procréation Médicalement assistée et révision des lois bioéthiques françaises. Le montagne a accouché d’une souris», </w:t>
      </w:r>
      <w:r w:rsidRPr="00141DDE">
        <w:rPr>
          <w:i/>
        </w:rPr>
        <w:t>op.cit.,</w:t>
      </w:r>
      <w:r w:rsidRPr="00141DDE">
        <w:t xml:space="preserve"> σελ. 147.</w:t>
      </w:r>
      <w:r>
        <w:t xml:space="preserve"> </w:t>
      </w:r>
    </w:p>
  </w:footnote>
  <w:footnote w:id="111">
    <w:p w14:paraId="1D99F71F" w14:textId="77777777" w:rsidR="00E47260" w:rsidRPr="00BF2556" w:rsidRDefault="00E47260" w:rsidP="00CB7D04">
      <w:pPr>
        <w:pStyle w:val="FootnoteText"/>
      </w:pPr>
      <w:r>
        <w:rPr>
          <w:rStyle w:val="FootnoteReference"/>
        </w:rPr>
        <w:footnoteRef/>
      </w:r>
      <w:r>
        <w:t xml:space="preserve"> </w:t>
      </w:r>
      <w:r>
        <w:rPr>
          <w:lang w:val="el-GR"/>
        </w:rPr>
        <w:t xml:space="preserve">Βλ. σχετικά την από </w:t>
      </w:r>
      <w:r w:rsidRPr="00E254F5">
        <w:rPr>
          <w:lang w:val="el-GR"/>
        </w:rPr>
        <w:t>24 Ιου</w:t>
      </w:r>
      <w:r>
        <w:rPr>
          <w:lang w:val="el-GR"/>
        </w:rPr>
        <w:t xml:space="preserve">νίου 2014 συνέντευξη της </w:t>
      </w:r>
      <w:r>
        <w:t>Stéphanie Millan, Πάραρτημα [I], E</w:t>
      </w:r>
      <w:r w:rsidRPr="00E254F5">
        <w:t>ρωτηματολόγιο [</w:t>
      </w:r>
      <w:r>
        <w:t xml:space="preserve">3.5], σημ. ΙΙ, 5.1-5.2, σελ. 6-7. </w:t>
      </w:r>
    </w:p>
  </w:footnote>
  <w:footnote w:id="112">
    <w:p w14:paraId="36AA2725" w14:textId="77777777" w:rsidR="00E47260" w:rsidRPr="002E00C3" w:rsidRDefault="00E47260" w:rsidP="00CB7D04">
      <w:pPr>
        <w:pStyle w:val="FootnoteText"/>
        <w:rPr>
          <w:lang w:val="el-GR"/>
        </w:rPr>
      </w:pPr>
      <w:r>
        <w:rPr>
          <w:rStyle w:val="FootnoteReference"/>
        </w:rPr>
        <w:footnoteRef/>
      </w:r>
      <w:r>
        <w:t xml:space="preserve"> </w:t>
      </w:r>
      <w:r>
        <w:rPr>
          <w:lang w:val="el-GR"/>
        </w:rPr>
        <w:t xml:space="preserve">Βλ. </w:t>
      </w:r>
      <w:r w:rsidRPr="00E254F5">
        <w:t xml:space="preserve">έτσι </w:t>
      </w:r>
      <w:r w:rsidRPr="00E254F5">
        <w:rPr>
          <w:b/>
          <w:i/>
        </w:rPr>
        <w:t>A. Cheynet De Beaupré</w:t>
      </w:r>
      <w:r w:rsidRPr="00E254F5">
        <w:t xml:space="preserve">, «Le bébé du double eéspoir», </w:t>
      </w:r>
      <w:r>
        <w:rPr>
          <w:i/>
        </w:rPr>
        <w:t>op.cit.</w:t>
      </w:r>
      <w:r w:rsidRPr="00DE4535">
        <w:t>,</w:t>
      </w:r>
      <w:r w:rsidRPr="00DE4535">
        <w:rPr>
          <w:iCs/>
        </w:rPr>
        <w:t xml:space="preserve"> </w:t>
      </w:r>
      <w:r>
        <w:t xml:space="preserve">σελ. 604. </w:t>
      </w:r>
    </w:p>
  </w:footnote>
  <w:footnote w:id="113">
    <w:p w14:paraId="38AC89D6" w14:textId="77777777" w:rsidR="00E47260" w:rsidRPr="0083267B" w:rsidRDefault="00E47260" w:rsidP="00CB7D04">
      <w:pPr>
        <w:pStyle w:val="FootnoteText"/>
        <w:rPr>
          <w:lang w:val="el-GR"/>
        </w:rPr>
      </w:pPr>
      <w:r>
        <w:rPr>
          <w:rStyle w:val="FootnoteReference"/>
        </w:rPr>
        <w:footnoteRef/>
      </w:r>
      <w:r>
        <w:t xml:space="preserve"> </w:t>
      </w:r>
      <w:r w:rsidRPr="005B6A1A">
        <w:rPr>
          <w:i/>
        </w:rPr>
        <w:t>I</w:t>
      </w:r>
      <w:r>
        <w:rPr>
          <w:i/>
        </w:rPr>
        <w:t>bi</w:t>
      </w:r>
      <w:r w:rsidRPr="005B6A1A">
        <w:rPr>
          <w:i/>
        </w:rPr>
        <w:t>dem</w:t>
      </w:r>
      <w:r>
        <w:t xml:space="preserve">.  </w:t>
      </w:r>
    </w:p>
  </w:footnote>
  <w:footnote w:id="114">
    <w:p w14:paraId="4E30B6F3" w14:textId="77777777" w:rsidR="00E47260" w:rsidRPr="005B6A1A" w:rsidRDefault="00E47260" w:rsidP="00CB7D04">
      <w:pPr>
        <w:pStyle w:val="FootnoteText"/>
        <w:rPr>
          <w:lang w:val="el-GR"/>
        </w:rPr>
      </w:pPr>
      <w:r>
        <w:rPr>
          <w:rStyle w:val="FootnoteReference"/>
        </w:rPr>
        <w:footnoteRef/>
      </w:r>
      <w:r>
        <w:t xml:space="preserve"> </w:t>
      </w:r>
      <w:r w:rsidRPr="005B6A1A">
        <w:rPr>
          <w:i/>
        </w:rPr>
        <w:t>Le Monde</w:t>
      </w:r>
      <w:r>
        <w:t xml:space="preserve">, 26 </w:t>
      </w:r>
      <w:r>
        <w:rPr>
          <w:lang w:val="el-GR"/>
        </w:rPr>
        <w:t xml:space="preserve">Αυγούστου 2004, σελ. 15. </w:t>
      </w:r>
    </w:p>
  </w:footnote>
  <w:footnote w:id="115">
    <w:p w14:paraId="3DE76ACF" w14:textId="77777777" w:rsidR="00E47260" w:rsidRPr="004E639E" w:rsidRDefault="00E47260" w:rsidP="00CB7D04">
      <w:pPr>
        <w:pStyle w:val="FootnoteText"/>
        <w:rPr>
          <w:lang w:val="el-GR"/>
        </w:rPr>
      </w:pPr>
      <w:r>
        <w:rPr>
          <w:rStyle w:val="FootnoteReference"/>
        </w:rPr>
        <w:footnoteRef/>
      </w:r>
      <w:r>
        <w:t xml:space="preserve"> </w:t>
      </w:r>
      <w:r w:rsidRPr="005B6A1A">
        <w:rPr>
          <w:i/>
        </w:rPr>
        <w:t>I</w:t>
      </w:r>
      <w:r>
        <w:rPr>
          <w:i/>
        </w:rPr>
        <w:t>bi</w:t>
      </w:r>
      <w:r w:rsidRPr="005B6A1A">
        <w:rPr>
          <w:i/>
        </w:rPr>
        <w:t>dem</w:t>
      </w:r>
      <w:r>
        <w:t xml:space="preserve">.  </w:t>
      </w:r>
    </w:p>
  </w:footnote>
  <w:footnote w:id="116">
    <w:p w14:paraId="71F95B91" w14:textId="77777777" w:rsidR="00E47260" w:rsidRPr="00E734D8" w:rsidRDefault="00E47260" w:rsidP="00CB7D04">
      <w:pPr>
        <w:pStyle w:val="FootnoteText"/>
        <w:rPr>
          <w:lang w:val="el-GR"/>
        </w:rPr>
      </w:pPr>
      <w:r>
        <w:rPr>
          <w:rStyle w:val="FootnoteReference"/>
        </w:rPr>
        <w:footnoteRef/>
      </w:r>
      <w:r>
        <w:t xml:space="preserve"> </w:t>
      </w:r>
      <w:r w:rsidRPr="00E254F5">
        <w:t xml:space="preserve">Βλ. Conseil d’État, </w:t>
      </w:r>
      <w:r w:rsidRPr="00E254F5">
        <w:rPr>
          <w:i/>
        </w:rPr>
        <w:t>La Revision des Lois de Bioéthique, op.cit</w:t>
      </w:r>
      <w:r w:rsidRPr="00E254F5">
        <w:t xml:space="preserve">., </w:t>
      </w:r>
      <w:r>
        <w:t xml:space="preserve">σελ. 44. </w:t>
      </w:r>
    </w:p>
  </w:footnote>
  <w:footnote w:id="117">
    <w:p w14:paraId="063AB7C0" w14:textId="77777777" w:rsidR="00E47260" w:rsidRDefault="00E47260" w:rsidP="00CB7D04">
      <w:pPr>
        <w:pStyle w:val="FootnoteText"/>
      </w:pPr>
      <w:r>
        <w:rPr>
          <w:rStyle w:val="FootnoteReference"/>
        </w:rPr>
        <w:footnoteRef/>
      </w:r>
      <w:r>
        <w:t xml:space="preserve"> </w:t>
      </w:r>
      <w:r w:rsidRPr="00E254F5">
        <w:t xml:space="preserve">Assemblée Nationale, </w:t>
      </w:r>
      <w:r w:rsidRPr="00E254F5">
        <w:rPr>
          <w:i/>
        </w:rPr>
        <w:t>Rapport d’Information fait au nom de la Mission d’Information sur la Revision des Lois de Bioethique</w:t>
      </w:r>
      <w:r w:rsidRPr="00E254F5">
        <w:t xml:space="preserve">, </w:t>
      </w:r>
      <w:r w:rsidRPr="00E734D8">
        <w:rPr>
          <w:i/>
        </w:rPr>
        <w:t>op.cit.</w:t>
      </w:r>
      <w:r>
        <w:t xml:space="preserve">, Πρόταση αριθ. 29, σελ. </w:t>
      </w:r>
      <w:r w:rsidRPr="00E254F5">
        <w:t>231</w:t>
      </w:r>
      <w:r>
        <w:t xml:space="preserve">-237. </w:t>
      </w:r>
    </w:p>
  </w:footnote>
  <w:footnote w:id="118">
    <w:p w14:paraId="15A7EDC9" w14:textId="77777777" w:rsidR="00E47260" w:rsidRPr="00E56290" w:rsidRDefault="00E47260" w:rsidP="00CB7D04">
      <w:pPr>
        <w:pStyle w:val="FootnoteText"/>
        <w:rPr>
          <w:lang w:val="el-GR"/>
        </w:rPr>
      </w:pPr>
      <w:r>
        <w:rPr>
          <w:rStyle w:val="FootnoteReference"/>
        </w:rPr>
        <w:footnoteRef/>
      </w:r>
      <w:r>
        <w:t xml:space="preserve"> </w:t>
      </w:r>
      <w:r w:rsidRPr="00E254F5">
        <w:t xml:space="preserve">CCNE, </w:t>
      </w:r>
      <w:r w:rsidRPr="00E254F5">
        <w:rPr>
          <w:i/>
        </w:rPr>
        <w:t xml:space="preserve">Avis n° </w:t>
      </w:r>
      <w:r>
        <w:rPr>
          <w:i/>
        </w:rPr>
        <w:t xml:space="preserve">72 du </w:t>
      </w:r>
      <w:r w:rsidRPr="00E254F5">
        <w:rPr>
          <w:i/>
        </w:rPr>
        <w:t xml:space="preserve">4 </w:t>
      </w:r>
      <w:r>
        <w:rPr>
          <w:i/>
        </w:rPr>
        <w:t>juillet 2002</w:t>
      </w:r>
      <w:r w:rsidRPr="00E254F5">
        <w:rPr>
          <w:i/>
        </w:rPr>
        <w:t xml:space="preserve"> sur </w:t>
      </w:r>
      <w:r>
        <w:rPr>
          <w:i/>
        </w:rPr>
        <w:t>les Réflexions sur l’extension du diagnostic pré-implantoire</w:t>
      </w:r>
      <w:r>
        <w:t xml:space="preserve">, </w:t>
      </w:r>
      <w:r>
        <w:rPr>
          <w:lang w:val="el-GR"/>
        </w:rPr>
        <w:t xml:space="preserve">σελ. 13, διαθέσιμη σε: </w:t>
      </w:r>
      <w:hyperlink r:id="rId71" w:history="1">
        <w:r w:rsidRPr="00101083">
          <w:rPr>
            <w:rStyle w:val="Hyperlink"/>
          </w:rPr>
          <w:t>http://www.ccne-ethique.fr/sites/default/files/publications/avis072.pdf</w:t>
        </w:r>
      </w:hyperlink>
      <w:r>
        <w:t>.</w:t>
      </w:r>
    </w:p>
  </w:footnote>
  <w:footnote w:id="119">
    <w:p w14:paraId="6659F1DD" w14:textId="77777777" w:rsidR="00E47260" w:rsidRPr="00E56290" w:rsidRDefault="00E47260" w:rsidP="00CB7D04">
      <w:pPr>
        <w:pStyle w:val="FootnoteText"/>
        <w:rPr>
          <w:lang w:val="el-GR"/>
        </w:rPr>
      </w:pPr>
      <w:r>
        <w:rPr>
          <w:rStyle w:val="FootnoteReference"/>
        </w:rPr>
        <w:footnoteRef/>
      </w:r>
      <w:r>
        <w:t xml:space="preserve"> </w:t>
      </w:r>
      <w:r w:rsidRPr="00E254F5">
        <w:t xml:space="preserve">CCNE, </w:t>
      </w:r>
      <w:r w:rsidRPr="00E56290">
        <w:rPr>
          <w:i/>
        </w:rPr>
        <w:t>Avis n</w:t>
      </w:r>
      <w:r w:rsidRPr="00E56290">
        <w:rPr>
          <w:i/>
          <w:vertAlign w:val="superscript"/>
        </w:rPr>
        <w:t>o</w:t>
      </w:r>
      <w:r w:rsidRPr="00E56290">
        <w:rPr>
          <w:i/>
        </w:rPr>
        <w:t xml:space="preserve"> 107</w:t>
      </w:r>
      <w:r>
        <w:t xml:space="preserve"> du </w:t>
      </w:r>
      <w:r w:rsidRPr="00E254F5">
        <w:t xml:space="preserve">15 octobre 2009 </w:t>
      </w:r>
      <w:r w:rsidRPr="00E56290">
        <w:rPr>
          <w:i/>
        </w:rPr>
        <w:t>sur les problèmes éthiques li</w:t>
      </w:r>
      <w:r>
        <w:rPr>
          <w:i/>
        </w:rPr>
        <w:t>és aux diagnostics anténatals</w:t>
      </w:r>
      <w:r w:rsidRPr="00E56290">
        <w:rPr>
          <w:i/>
        </w:rPr>
        <w:t>: le diagnostic prénatal (DPN) et le diagnostic préimplantatoire (DPI)</w:t>
      </w:r>
      <w:r>
        <w:t xml:space="preserve">, σελ. 26, διαθέσιμη σε: </w:t>
      </w:r>
      <w:hyperlink r:id="rId72" w:history="1">
        <w:r w:rsidRPr="00656C9D">
          <w:rPr>
            <w:rStyle w:val="Hyperlink"/>
            <w:szCs w:val="20"/>
            <w:lang w:val="fr-FR"/>
          </w:rPr>
          <w:t>http://www.ccne-ethique.fr/sites/default/files/publications/avis_107.pdf</w:t>
        </w:r>
      </w:hyperlink>
      <w:r w:rsidRPr="00656C9D">
        <w:t>.</w:t>
      </w:r>
    </w:p>
  </w:footnote>
  <w:footnote w:id="120">
    <w:p w14:paraId="23A08DD1" w14:textId="77777777" w:rsidR="00E47260" w:rsidRPr="007348D3" w:rsidRDefault="00E47260" w:rsidP="00CB7D04">
      <w:pPr>
        <w:pStyle w:val="FootnoteText"/>
        <w:rPr>
          <w:lang w:val="el-GR"/>
        </w:rPr>
      </w:pPr>
      <w:r>
        <w:rPr>
          <w:rStyle w:val="FootnoteReference"/>
        </w:rPr>
        <w:footnoteRef/>
      </w:r>
      <w:r>
        <w:t xml:space="preserve"> </w:t>
      </w:r>
      <w:r>
        <w:rPr>
          <w:szCs w:val="20"/>
          <w:lang w:val="fr-FR"/>
        </w:rPr>
        <w:t xml:space="preserve">Βλ. σχετικά επίσης </w:t>
      </w:r>
      <w:r w:rsidRPr="009C565F">
        <w:rPr>
          <w:b/>
          <w:i/>
          <w:szCs w:val="20"/>
        </w:rPr>
        <w:t>J</w:t>
      </w:r>
      <w:r>
        <w:rPr>
          <w:b/>
          <w:i/>
          <w:szCs w:val="20"/>
        </w:rPr>
        <w:t>.</w:t>
      </w:r>
      <w:r w:rsidRPr="009C565F">
        <w:rPr>
          <w:b/>
          <w:i/>
          <w:szCs w:val="20"/>
        </w:rPr>
        <w:t>-C. Galloux, H. Gaumont-Prat</w:t>
      </w:r>
      <w:r w:rsidRPr="009C565F">
        <w:rPr>
          <w:szCs w:val="20"/>
        </w:rPr>
        <w:t xml:space="preserve">, </w:t>
      </w:r>
      <w:r>
        <w:rPr>
          <w:szCs w:val="20"/>
          <w:lang w:val="fr-FR"/>
        </w:rPr>
        <w:t>«Droits et libertés corporels</w:t>
      </w:r>
      <w:r w:rsidRPr="009C565F">
        <w:rPr>
          <w:szCs w:val="20"/>
          <w:lang w:val="fr-FR"/>
        </w:rPr>
        <w:t xml:space="preserve">», </w:t>
      </w:r>
      <w:r w:rsidRPr="009C565F">
        <w:rPr>
          <w:i/>
          <w:szCs w:val="20"/>
          <w:lang w:val="fr-FR"/>
        </w:rPr>
        <w:t>Recueil Dalloz Sirey</w:t>
      </w:r>
      <w:r w:rsidRPr="009C565F">
        <w:rPr>
          <w:szCs w:val="20"/>
          <w:lang w:val="fr-FR"/>
        </w:rPr>
        <w:t xml:space="preserve">, </w:t>
      </w:r>
      <w:r>
        <w:rPr>
          <w:szCs w:val="20"/>
          <w:lang w:val="fr-FR"/>
        </w:rPr>
        <w:t xml:space="preserve">2.2.2012, </w:t>
      </w:r>
      <w:r w:rsidRPr="009C565F">
        <w:rPr>
          <w:szCs w:val="20"/>
          <w:lang w:val="fr-FR"/>
        </w:rPr>
        <w:t>n</w:t>
      </w:r>
      <w:r w:rsidRPr="009C565F">
        <w:rPr>
          <w:szCs w:val="20"/>
          <w:vertAlign w:val="superscript"/>
          <w:lang w:val="fr-FR"/>
        </w:rPr>
        <w:t xml:space="preserve">o </w:t>
      </w:r>
      <w:r>
        <w:rPr>
          <w:szCs w:val="20"/>
          <w:lang w:val="fr-FR"/>
        </w:rPr>
        <w:t>5</w:t>
      </w:r>
      <w:r w:rsidRPr="009C565F">
        <w:rPr>
          <w:szCs w:val="20"/>
          <w:lang w:val="fr-FR"/>
        </w:rPr>
        <w:t xml:space="preserve">, </w:t>
      </w:r>
      <w:r>
        <w:rPr>
          <w:szCs w:val="20"/>
        </w:rPr>
        <w:t>σελ. 308.</w:t>
      </w:r>
    </w:p>
  </w:footnote>
  <w:footnote w:id="121">
    <w:p w14:paraId="616D5F4B" w14:textId="77777777" w:rsidR="00E47260" w:rsidRPr="00A10100" w:rsidRDefault="00E47260" w:rsidP="00CB7D04">
      <w:pPr>
        <w:pStyle w:val="FootnoteText"/>
        <w:rPr>
          <w:lang w:val="el-GR"/>
        </w:rPr>
      </w:pPr>
      <w:r>
        <w:rPr>
          <w:rStyle w:val="FootnoteReference"/>
        </w:rPr>
        <w:footnoteRef/>
      </w:r>
      <w:r>
        <w:t xml:space="preserve"> «Le premier "bébé-médicament" français est né</w:t>
      </w:r>
      <w:r w:rsidRPr="006018E1">
        <w:t>»</w:t>
      </w:r>
      <w:r>
        <w:t xml:space="preserve">, </w:t>
      </w:r>
      <w:r w:rsidRPr="005D50F1">
        <w:rPr>
          <w:rFonts w:cs="Helvetica"/>
          <w:i/>
          <w:color w:val="262626"/>
        </w:rPr>
        <w:t>Le Monde</w:t>
      </w:r>
      <w:r>
        <w:rPr>
          <w:rFonts w:cs="Helvetica"/>
          <w:color w:val="262626"/>
        </w:rPr>
        <w:t xml:space="preserve">, 7 </w:t>
      </w:r>
      <w:r>
        <w:rPr>
          <w:rFonts w:cs="Helvetica"/>
          <w:color w:val="262626"/>
          <w:lang w:val="el-GR"/>
        </w:rPr>
        <w:t xml:space="preserve">Φεβρουαρίου 2011, διαθέσιμο σε: </w:t>
      </w:r>
      <w:hyperlink r:id="rId73" w:history="1">
        <w:r w:rsidRPr="00A355FF">
          <w:rPr>
            <w:rStyle w:val="Hyperlink"/>
            <w:rFonts w:cs="Helvetica"/>
            <w:szCs w:val="20"/>
            <w:lang w:val="el-GR"/>
          </w:rPr>
          <w:t>http://www.lemonde.fr/societe/article/2011/02/07/le-premier-bebe-medicament-francais-est-ne_1476586_3224.html</w:t>
        </w:r>
      </w:hyperlink>
      <w:r>
        <w:rPr>
          <w:rFonts w:cs="Helvetica"/>
          <w:color w:val="262626"/>
          <w:lang w:val="el-GR"/>
        </w:rPr>
        <w:t xml:space="preserve">. </w:t>
      </w:r>
    </w:p>
  </w:footnote>
  <w:footnote w:id="122">
    <w:p w14:paraId="3BEDAE51" w14:textId="1C122409" w:rsidR="00E47260" w:rsidRPr="00191EE8" w:rsidRDefault="00E47260" w:rsidP="00CB7D04">
      <w:pPr>
        <w:pStyle w:val="FootnoteText"/>
        <w:rPr>
          <w:lang w:val="el-GR"/>
        </w:rPr>
      </w:pPr>
      <w:r>
        <w:rPr>
          <w:rStyle w:val="FootnoteReference"/>
        </w:rPr>
        <w:footnoteRef/>
      </w:r>
      <w:r>
        <w:t xml:space="preserve"> «Θεωρώ ότι το “μωρό φάρμακο”, που πρόσφατα ήρθε στον κόσμο από τον René Frydman, ο οποίος τόσα έχει κάνει για τη “</w:t>
      </w:r>
      <w:r w:rsidRPr="0098646B">
        <w:rPr>
          <w:b/>
        </w:rPr>
        <w:t>βιοφιλία</w:t>
      </w:r>
      <w:r>
        <w:rPr>
          <w:b/>
        </w:rPr>
        <w:t>”</w:t>
      </w:r>
      <w:r>
        <w:t xml:space="preserve"> καθιστώντας δυνατή την εξωσωματική γονιμοποίηση, είναι μια καταστροφή που ενισχύει τη “</w:t>
      </w:r>
      <w:r w:rsidRPr="0098646B">
        <w:rPr>
          <w:b/>
        </w:rPr>
        <w:t>θανατοφιλία</w:t>
      </w:r>
      <w:r>
        <w:rPr>
          <w:b/>
        </w:rPr>
        <w:t>”</w:t>
      </w:r>
      <w:r w:rsidRPr="006018E1">
        <w:t>»</w:t>
      </w:r>
      <w:r>
        <w:t xml:space="preserve">, </w:t>
      </w:r>
      <w:r>
        <w:rPr>
          <w:lang w:val="el-GR"/>
        </w:rPr>
        <w:t xml:space="preserve">δήλωσε ο γάλλος φιλόσοφος. Βλ. </w:t>
      </w:r>
      <w:r w:rsidRPr="00896C6D">
        <w:rPr>
          <w:b/>
          <w:i/>
        </w:rPr>
        <w:t>M. Onfray</w:t>
      </w:r>
      <w:r>
        <w:t>, «Obscurantisme laïque: lumières chrétiennes</w:t>
      </w:r>
      <w:r w:rsidRPr="006018E1">
        <w:t>»</w:t>
      </w:r>
      <w:r>
        <w:t xml:space="preserve">, </w:t>
      </w:r>
      <w:r w:rsidRPr="005D50F1">
        <w:rPr>
          <w:rFonts w:cs="Helvetica"/>
          <w:i/>
          <w:color w:val="262626"/>
        </w:rPr>
        <w:t>Le Monde</w:t>
      </w:r>
      <w:r>
        <w:rPr>
          <w:rFonts w:cs="Helvetica"/>
          <w:color w:val="262626"/>
        </w:rPr>
        <w:t xml:space="preserve">, 6-7 </w:t>
      </w:r>
      <w:r>
        <w:rPr>
          <w:rFonts w:cs="Helvetica"/>
          <w:color w:val="262626"/>
          <w:lang w:val="el-GR"/>
        </w:rPr>
        <w:t xml:space="preserve">Μαρτίου 2011. </w:t>
      </w:r>
    </w:p>
  </w:footnote>
  <w:footnote w:id="123">
    <w:p w14:paraId="28452CBF" w14:textId="77777777" w:rsidR="00E47260" w:rsidRPr="00E433F2" w:rsidRDefault="00E47260" w:rsidP="00CB7D04">
      <w:pPr>
        <w:pStyle w:val="FootnoteText"/>
        <w:rPr>
          <w:lang w:val="el-GR"/>
        </w:rPr>
      </w:pPr>
      <w:r>
        <w:rPr>
          <w:rStyle w:val="FootnoteReference"/>
        </w:rPr>
        <w:footnoteRef/>
      </w:r>
      <w:r>
        <w:t xml:space="preserve"> </w:t>
      </w:r>
      <w:r w:rsidRPr="00E433F2">
        <w:rPr>
          <w:b/>
          <w:i/>
        </w:rPr>
        <w:t>M. Allabatre</w:t>
      </w:r>
      <w:r>
        <w:t>, «</w:t>
      </w:r>
      <w:r w:rsidRPr="00E433F2">
        <w:t>T. Derville</w:t>
      </w:r>
      <w:r>
        <w:t>:</w:t>
      </w:r>
      <w:r w:rsidRPr="00E433F2">
        <w:t xml:space="preserve"> </w:t>
      </w:r>
      <w:r>
        <w:t xml:space="preserve">Ce qu’on ne dit pas sur le "bébé-médicament"», </w:t>
      </w:r>
      <w:r w:rsidRPr="00E433F2">
        <w:rPr>
          <w:i/>
        </w:rPr>
        <w:t>Valeurs actuelles</w:t>
      </w:r>
      <w:r>
        <w:t xml:space="preserve">, 9 </w:t>
      </w:r>
      <w:r>
        <w:rPr>
          <w:lang w:val="el-GR"/>
        </w:rPr>
        <w:t xml:space="preserve">Φεβρουαρίου 2011, διαθέσιμο σε: </w:t>
      </w:r>
      <w:hyperlink r:id="rId74" w:history="1">
        <w:r w:rsidRPr="00A355FF">
          <w:rPr>
            <w:rStyle w:val="Hyperlink"/>
            <w:szCs w:val="20"/>
            <w:lang w:val="el-GR"/>
          </w:rPr>
          <w:t>http://www.valeursactuelles.com/societe/tugdual-derville-ce-quon-ne-dit-pas-sur-le-bebe-medicament</w:t>
        </w:r>
      </w:hyperlink>
      <w:r>
        <w:rPr>
          <w:lang w:val="el-GR"/>
        </w:rPr>
        <w:t xml:space="preserve">.  </w:t>
      </w:r>
    </w:p>
  </w:footnote>
  <w:footnote w:id="124">
    <w:p w14:paraId="00D274A1" w14:textId="77777777" w:rsidR="00E47260" w:rsidRPr="00191EE8" w:rsidRDefault="00E47260" w:rsidP="00CB7D04">
      <w:pPr>
        <w:pStyle w:val="FootnoteText"/>
        <w:rPr>
          <w:lang w:val="el-GR"/>
        </w:rPr>
      </w:pPr>
      <w:r>
        <w:rPr>
          <w:rStyle w:val="FootnoteReference"/>
        </w:rPr>
        <w:footnoteRef/>
      </w:r>
      <w:r>
        <w:t xml:space="preserve"> </w:t>
      </w:r>
      <w:r w:rsidRPr="00644A94">
        <w:rPr>
          <w:b/>
          <w:i/>
        </w:rPr>
        <w:t>R. Frydman</w:t>
      </w:r>
      <w:r>
        <w:t>, «Vive les bébés du double espoir</w:t>
      </w:r>
      <w:r w:rsidRPr="006018E1">
        <w:t>»</w:t>
      </w:r>
      <w:r>
        <w:t xml:space="preserve">, </w:t>
      </w:r>
      <w:r w:rsidRPr="005D50F1">
        <w:rPr>
          <w:rFonts w:cs="Helvetica"/>
          <w:i/>
          <w:color w:val="262626"/>
        </w:rPr>
        <w:t>Le Monde</w:t>
      </w:r>
      <w:r>
        <w:rPr>
          <w:rFonts w:cs="Helvetica"/>
          <w:color w:val="262626"/>
        </w:rPr>
        <w:t xml:space="preserve">, 28 </w:t>
      </w:r>
      <w:r>
        <w:rPr>
          <w:rFonts w:cs="Helvetica"/>
          <w:color w:val="262626"/>
          <w:lang w:val="el-GR"/>
        </w:rPr>
        <w:t>Μαρτίου 2011, διαθέσιμο σε:</w:t>
      </w:r>
      <w:r w:rsidRPr="00644A94">
        <w:t xml:space="preserve"> </w:t>
      </w:r>
      <w:hyperlink r:id="rId75" w:history="1">
        <w:r w:rsidRPr="00A355FF">
          <w:rPr>
            <w:rStyle w:val="Hyperlink"/>
            <w:rFonts w:cs="Helvetica"/>
            <w:szCs w:val="20"/>
            <w:lang w:val="el-GR"/>
          </w:rPr>
          <w:t>http://www.lemonde.fr/idees/article/2011/03/28/vive-les-bebes-du-double-espoir_1499644_3232.html</w:t>
        </w:r>
      </w:hyperlink>
      <w:r>
        <w:rPr>
          <w:rFonts w:cs="Helvetica"/>
          <w:color w:val="262626"/>
          <w:lang w:val="el-GR"/>
        </w:rPr>
        <w:t xml:space="preserve">. </w:t>
      </w:r>
    </w:p>
  </w:footnote>
  <w:footnote w:id="125">
    <w:p w14:paraId="24D104C7" w14:textId="77777777" w:rsidR="00E47260" w:rsidRPr="00F61AE7" w:rsidRDefault="00E47260" w:rsidP="00CB7D04">
      <w:pPr>
        <w:pStyle w:val="FootnoteText"/>
        <w:rPr>
          <w:lang w:val="el-GR"/>
        </w:rPr>
      </w:pPr>
      <w:r>
        <w:rPr>
          <w:rStyle w:val="FootnoteReference"/>
        </w:rPr>
        <w:footnoteRef/>
      </w:r>
      <w:r>
        <w:t xml:space="preserve"> </w:t>
      </w:r>
      <w:r w:rsidRPr="00A42718">
        <w:rPr>
          <w:b/>
          <w:i/>
        </w:rPr>
        <w:t>P.-O. Arduin</w:t>
      </w:r>
      <w:r w:rsidRPr="00F61AE7">
        <w:t xml:space="preserve">, «La société de pédiatrie fait l'apologie du DPI», </w:t>
      </w:r>
      <w:r w:rsidRPr="00A42718">
        <w:rPr>
          <w:i/>
        </w:rPr>
        <w:t xml:space="preserve">Liberté </w:t>
      </w:r>
      <w:r>
        <w:rPr>
          <w:i/>
        </w:rPr>
        <w:t>P</w:t>
      </w:r>
      <w:r w:rsidRPr="00A42718">
        <w:rPr>
          <w:i/>
        </w:rPr>
        <w:t>olitique</w:t>
      </w:r>
      <w:r>
        <w:t xml:space="preserve">, </w:t>
      </w:r>
      <w:r>
        <w:rPr>
          <w:lang w:val="el-GR"/>
        </w:rPr>
        <w:t xml:space="preserve">25 Φεβρουαρίου 2011, διαθέσιμο σε: </w:t>
      </w:r>
      <w:hyperlink r:id="rId76" w:history="1">
        <w:r w:rsidRPr="00A355FF">
          <w:rPr>
            <w:rStyle w:val="Hyperlink"/>
            <w:szCs w:val="20"/>
            <w:lang w:val="el-GR"/>
          </w:rPr>
          <w:t>http://www.libertepolitique.com/Actualite/Decryptage/La-societe-de-pediatrie-fait-l-apologie-du-DPI</w:t>
        </w:r>
      </w:hyperlink>
      <w:r>
        <w:rPr>
          <w:lang w:val="el-GR"/>
        </w:rPr>
        <w:t xml:space="preserve">.  </w:t>
      </w:r>
    </w:p>
  </w:footnote>
  <w:footnote w:id="126">
    <w:p w14:paraId="01B11A4B" w14:textId="77777777" w:rsidR="00E47260" w:rsidRPr="00B37D9F" w:rsidRDefault="00E47260" w:rsidP="00CB7D04">
      <w:pPr>
        <w:pStyle w:val="FootnoteText"/>
        <w:rPr>
          <w:lang w:val="el-GR"/>
        </w:rPr>
      </w:pPr>
      <w:r>
        <w:rPr>
          <w:rStyle w:val="FootnoteReference"/>
        </w:rPr>
        <w:footnoteRef/>
      </w:r>
      <w:r>
        <w:t xml:space="preserve"> D</w:t>
      </w:r>
      <w:r w:rsidRPr="00F61AE7">
        <w:t>é</w:t>
      </w:r>
      <w:r>
        <w:t>cision n</w:t>
      </w:r>
      <w:r w:rsidRPr="00B37D9F">
        <w:rPr>
          <w:vertAlign w:val="superscript"/>
        </w:rPr>
        <w:t>o</w:t>
      </w:r>
      <w:r>
        <w:t xml:space="preserve"> 2012-03 de la Directrice G</w:t>
      </w:r>
      <w:r w:rsidRPr="00F61AE7">
        <w:t>é</w:t>
      </w:r>
      <w:r>
        <w:t>n</w:t>
      </w:r>
      <w:r w:rsidRPr="00F61AE7">
        <w:t>é</w:t>
      </w:r>
      <w:r>
        <w:t>rale de l’Agence de la Biom</w:t>
      </w:r>
      <w:r w:rsidRPr="00F61AE7">
        <w:t>é</w:t>
      </w:r>
      <w:r>
        <w:t>decine. Du 18 janvier 2012 fixant la composition du dossier pr</w:t>
      </w:r>
      <w:r w:rsidRPr="00F61AE7">
        <w:t>é</w:t>
      </w:r>
      <w:r>
        <w:t>vu à l’article R. 2131-26-2 du Code de la Sant</w:t>
      </w:r>
      <w:r w:rsidRPr="00F61AE7">
        <w:t>é</w:t>
      </w:r>
      <w:r>
        <w:t xml:space="preserve"> Publique à produire à l’appui d’une demande d’autorisation pour la r</w:t>
      </w:r>
      <w:r w:rsidRPr="00F61AE7">
        <w:t>é</w:t>
      </w:r>
      <w:r>
        <w:t>alisation du diagnostic pr</w:t>
      </w:r>
      <w:r w:rsidRPr="00F61AE7">
        <w:t>é</w:t>
      </w:r>
      <w:r>
        <w:t>implantatoire assioci</w:t>
      </w:r>
      <w:r w:rsidRPr="00F61AE7">
        <w:t>é</w:t>
      </w:r>
      <w:r>
        <w:t xml:space="preserve"> à un typage HLA, διαθέσιμο σε: </w:t>
      </w:r>
      <w:hyperlink r:id="rId77" w:history="1">
        <w:r w:rsidRPr="00E26F00">
          <w:rPr>
            <w:rStyle w:val="Hyperlink"/>
          </w:rPr>
          <w:t>http://www.agence-biomedecine.fr/IMG/pdf/18012012_decision_epb.pdf</w:t>
        </w:r>
      </w:hyperlink>
      <w:r>
        <w:t xml:space="preserve">. </w:t>
      </w:r>
    </w:p>
  </w:footnote>
  <w:footnote w:id="127">
    <w:p w14:paraId="024A5F9E" w14:textId="77777777" w:rsidR="00E47260" w:rsidRPr="00F57361" w:rsidRDefault="00E47260" w:rsidP="00CB7D04">
      <w:pPr>
        <w:pStyle w:val="FootnoteText"/>
        <w:rPr>
          <w:rFonts w:ascii="Times" w:hAnsi="Times"/>
        </w:rPr>
      </w:pPr>
      <w:r>
        <w:rPr>
          <w:rStyle w:val="FootnoteReference"/>
        </w:rPr>
        <w:footnoteRef/>
      </w:r>
      <w:r>
        <w:t xml:space="preserve"> Ο φάκελος με το αίτημα και όλες τις αναγκαίες πληροφορίες αποστέλλεται με συστημμένη επιστολή και αποδεικτικό παραλαβής ή κατατίθεται έναντι αποδεικτικού παραλαβής, συνοδευόμενο από υπογεγραμμένη επιστολή του νομικού εκπροσώπου του διαγνωστικού κέντρου σε έξι αντίγραφα, καθώς επίσης και σε ηλεκτρονική μορφή στη διεύθυνση </w:t>
      </w:r>
      <w:r w:rsidRPr="00B0408A">
        <w:rPr>
          <w:rStyle w:val="FootnoteTextChar"/>
        </w:rPr>
        <w:t>Agence de la biomédecine - Direction juridique</w:t>
      </w:r>
      <w:r w:rsidRPr="00B0408A">
        <w:rPr>
          <w:rStyle w:val="FootnoteTextChar"/>
        </w:rPr>
        <w:br/>
        <w:t>1 avenue du Stade de France 93212 Saint-Denis La Plaine Cedex</w:t>
      </w:r>
      <w:r>
        <w:rPr>
          <w:rStyle w:val="FootnoteTextChar"/>
        </w:rPr>
        <w:t>,</w:t>
      </w:r>
      <w:r w:rsidRPr="00B0408A">
        <w:rPr>
          <w:rStyle w:val="FootnoteTextChar"/>
        </w:rPr>
        <w:t xml:space="preserve"> </w:t>
      </w:r>
      <w:hyperlink r:id="rId78" w:history="1">
        <w:r w:rsidRPr="00E26F00">
          <w:rPr>
            <w:rStyle w:val="Hyperlink"/>
          </w:rPr>
          <w:t>juridique@biomedecine.fr</w:t>
        </w:r>
      </w:hyperlink>
      <w:r>
        <w:rPr>
          <w:rStyle w:val="FootnoteTextChar"/>
        </w:rPr>
        <w:t>. Σε ό,τι αφορά στην αίτηση και τα δικαιολογητικά που πρέπει να κατατεθούν, β</w:t>
      </w:r>
      <w:r>
        <w:rPr>
          <w:lang w:val="el-GR"/>
        </w:rPr>
        <w:t xml:space="preserve">λ. </w:t>
      </w:r>
      <w:r w:rsidRPr="00F57361">
        <w:t>Dossier de demande d’autorisation de pratiquer le diagnostic pr</w:t>
      </w:r>
      <w:r w:rsidRPr="00E254F5">
        <w:t>é</w:t>
      </w:r>
      <w:r>
        <w:t>-</w:t>
      </w:r>
      <w:r w:rsidRPr="00F57361">
        <w:t>implanta</w:t>
      </w:r>
      <w:r>
        <w:t xml:space="preserve">toire associé à un typage HLA, version du 18 janvier 2012, διαθέσιμο σε: </w:t>
      </w:r>
      <w:hyperlink r:id="rId79" w:history="1">
        <w:r w:rsidRPr="00E26F00">
          <w:rPr>
            <w:rStyle w:val="Hyperlink"/>
          </w:rPr>
          <w:t>http://www.agence-biomedecine.fr/IMG/pdf/20120613_da_dpihla.pdf</w:t>
        </w:r>
      </w:hyperlink>
      <w:r>
        <w:t xml:space="preserve">.  </w:t>
      </w:r>
    </w:p>
  </w:footnote>
  <w:footnote w:id="128">
    <w:p w14:paraId="7A42DA3F" w14:textId="77777777" w:rsidR="00E47260" w:rsidRPr="00DE4535" w:rsidRDefault="00E47260" w:rsidP="00CB7D04">
      <w:pPr>
        <w:pStyle w:val="FootnoteText"/>
      </w:pPr>
      <w:r>
        <w:rPr>
          <w:rStyle w:val="FootnoteReference"/>
        </w:rPr>
        <w:footnoteRef/>
      </w:r>
      <w:r>
        <w:t xml:space="preserve"> </w:t>
      </w:r>
      <w:r w:rsidRPr="00E254F5">
        <w:t xml:space="preserve">Βλ. έτσι </w:t>
      </w:r>
      <w:r w:rsidRPr="00E254F5">
        <w:rPr>
          <w:b/>
          <w:i/>
        </w:rPr>
        <w:t>A. Cheynet De Beaupré</w:t>
      </w:r>
      <w:r w:rsidRPr="00E254F5">
        <w:t xml:space="preserve">, «Le bébé du double eéspoir», </w:t>
      </w:r>
      <w:r>
        <w:rPr>
          <w:i/>
        </w:rPr>
        <w:t>op.cit.</w:t>
      </w:r>
      <w:r w:rsidRPr="00DE4535">
        <w:t>,</w:t>
      </w:r>
      <w:r w:rsidRPr="00DE4535">
        <w:rPr>
          <w:iCs/>
        </w:rPr>
        <w:t xml:space="preserve"> </w:t>
      </w:r>
      <w:r w:rsidRPr="00E254F5">
        <w:t>σελ. 603</w:t>
      </w:r>
      <w:r>
        <w:t xml:space="preserve">. </w:t>
      </w:r>
    </w:p>
  </w:footnote>
  <w:footnote w:id="129">
    <w:p w14:paraId="71BB91A9" w14:textId="77777777" w:rsidR="00E47260" w:rsidRPr="00E254F5" w:rsidRDefault="00E47260" w:rsidP="00CB7D04">
      <w:pPr>
        <w:pStyle w:val="FootnoteText"/>
      </w:pPr>
      <w:r w:rsidRPr="00E254F5">
        <w:rPr>
          <w:rStyle w:val="FootnoteReference"/>
          <w:szCs w:val="20"/>
        </w:rPr>
        <w:footnoteRef/>
      </w:r>
      <w:r w:rsidRPr="00E254F5">
        <w:t xml:space="preserve"> Ενώ, αντίθετα, για την υιοθεσία ο γάλλος νομοθέτης προβλέπει ότι το ζευγάρι που υιοθετεί πρέπει να είναι </w:t>
      </w:r>
      <w:r>
        <w:t>έγγαμο με κοινό βίο</w:t>
      </w:r>
      <w:r w:rsidRPr="00E254F5">
        <w:t xml:space="preserve"> για χρονικό διάστημα άνω των δύο ετών, εκτός κι αν οι σύζυγοι είναι μεγαλύτεροι των εκοσιοχτώ ετών (άρθρο 343 ΑΚ). </w:t>
      </w:r>
    </w:p>
  </w:footnote>
  <w:footnote w:id="130">
    <w:p w14:paraId="43CFFB34" w14:textId="77777777" w:rsidR="00E47260" w:rsidRPr="00E254F5" w:rsidRDefault="00E47260" w:rsidP="00CB7D04">
      <w:pPr>
        <w:pStyle w:val="FootnoteText"/>
      </w:pPr>
      <w:r w:rsidRPr="00E254F5">
        <w:rPr>
          <w:rStyle w:val="FootnoteReference"/>
          <w:szCs w:val="20"/>
        </w:rPr>
        <w:footnoteRef/>
      </w:r>
      <w:r w:rsidRPr="00E254F5">
        <w:t xml:space="preserve"> Βλ. Conseil d’État, </w:t>
      </w:r>
      <w:r w:rsidRPr="00E254F5">
        <w:rPr>
          <w:i/>
        </w:rPr>
        <w:t>La Revision des Lois de Bioéthique, op.cit</w:t>
      </w:r>
      <w:r w:rsidRPr="00E254F5">
        <w:t xml:space="preserve">., σελ. 39. </w:t>
      </w:r>
      <w:r w:rsidRPr="00E254F5">
        <w:rPr>
          <w:rStyle w:val="hps"/>
          <w:b/>
          <w:szCs w:val="20"/>
          <w:lang w:val="fr-FR"/>
        </w:rPr>
        <w:t xml:space="preserve"> </w:t>
      </w:r>
    </w:p>
  </w:footnote>
  <w:footnote w:id="131">
    <w:p w14:paraId="1CE4C8A5" w14:textId="77777777" w:rsidR="00E47260" w:rsidRPr="00E254F5" w:rsidRDefault="00E47260" w:rsidP="00CB7D04">
      <w:pPr>
        <w:pStyle w:val="FootnoteText"/>
      </w:pPr>
      <w:r w:rsidRPr="00E254F5">
        <w:rPr>
          <w:rStyle w:val="FootnoteReference"/>
          <w:szCs w:val="20"/>
        </w:rPr>
        <w:footnoteRef/>
      </w:r>
      <w:r w:rsidRPr="00E254F5">
        <w:t xml:space="preserve"> Doc. AN n</w:t>
      </w:r>
      <w:r w:rsidRPr="00E254F5">
        <w:rPr>
          <w:vertAlign w:val="superscript"/>
        </w:rPr>
        <w:t>o</w:t>
      </w:r>
      <w:r w:rsidRPr="00E254F5">
        <w:t xml:space="preserve"> 3111, </w:t>
      </w:r>
      <w:r w:rsidRPr="00E254F5">
        <w:rPr>
          <w:i/>
        </w:rPr>
        <w:t>Rapport de la mission d’information</w:t>
      </w:r>
      <w:r w:rsidRPr="00E254F5">
        <w:t xml:space="preserve">, 26 janvier 2011, σελ. 33. </w:t>
      </w:r>
    </w:p>
  </w:footnote>
  <w:footnote w:id="132">
    <w:p w14:paraId="0FF211C0" w14:textId="77777777" w:rsidR="00E47260" w:rsidRPr="00E254F5" w:rsidRDefault="00E47260" w:rsidP="00CB7D04">
      <w:pPr>
        <w:pStyle w:val="FootnoteText"/>
      </w:pPr>
      <w:r w:rsidRPr="00E254F5">
        <w:rPr>
          <w:rStyle w:val="FootnoteReference"/>
          <w:szCs w:val="20"/>
        </w:rPr>
        <w:footnoteRef/>
      </w:r>
      <w:r w:rsidRPr="00E254F5">
        <w:t xml:space="preserve"> Βλ. Conseil d’État, </w:t>
      </w:r>
      <w:r w:rsidRPr="00E254F5">
        <w:rPr>
          <w:i/>
        </w:rPr>
        <w:t>La Revision des Lois de Bioéthique, op.cit</w:t>
      </w:r>
      <w:r w:rsidRPr="00E254F5">
        <w:t xml:space="preserve">., σελ. 40. </w:t>
      </w:r>
    </w:p>
  </w:footnote>
  <w:footnote w:id="133">
    <w:p w14:paraId="549FA1E1" w14:textId="77777777" w:rsidR="00E47260" w:rsidRPr="00E254F5" w:rsidRDefault="00E47260" w:rsidP="00CB7D04">
      <w:pPr>
        <w:pStyle w:val="FootnoteText"/>
      </w:pPr>
      <w:r w:rsidRPr="00E254F5">
        <w:rPr>
          <w:rStyle w:val="FootnoteReference"/>
          <w:szCs w:val="20"/>
        </w:rPr>
        <w:footnoteRef/>
      </w:r>
      <w:r w:rsidRPr="00E254F5">
        <w:t xml:space="preserve"> Τόσο ο γάμος και η λύση του (άρθρα 76 και 262 ΑΚ), όσο και το σύμφωνο συμβίωσης (PACS) και η λύση του (άρθρα 49</w:t>
      </w:r>
      <w:r>
        <w:t xml:space="preserve"> </w:t>
      </w:r>
      <w:r w:rsidRPr="00E254F5">
        <w:t>και 515-3-1 ΑΚ) αναφέρονται στο περιθώριο της ληξιαρχικής πράξης γέννησης.</w:t>
      </w:r>
    </w:p>
  </w:footnote>
  <w:footnote w:id="134">
    <w:p w14:paraId="0B12183F" w14:textId="77777777" w:rsidR="00E47260" w:rsidRPr="00E254F5" w:rsidRDefault="00E47260" w:rsidP="00CB7D04">
      <w:pPr>
        <w:pStyle w:val="FootnoteText"/>
      </w:pPr>
      <w:r w:rsidRPr="00E254F5">
        <w:rPr>
          <w:rStyle w:val="FootnoteReference"/>
          <w:szCs w:val="20"/>
        </w:rPr>
        <w:footnoteRef/>
      </w:r>
      <w:r w:rsidRPr="00E254F5">
        <w:t xml:space="preserve"> Όχι πια για χρονικό διάστημα τουλάχιστο δύο ετών, αλλά ούτε για αμελητέο διάστημα λίγων ημερών. </w:t>
      </w:r>
    </w:p>
  </w:footnote>
  <w:footnote w:id="135">
    <w:p w14:paraId="5038E4C1"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CD5BCB">
        <w:rPr>
          <w:b/>
          <w:i/>
        </w:rPr>
        <w:t>J.-R. Binet</w:t>
      </w:r>
      <w:r w:rsidRPr="00E254F5">
        <w:t xml:space="preserve">, </w:t>
      </w:r>
      <w:r w:rsidRPr="00E254F5">
        <w:rPr>
          <w:i/>
        </w:rPr>
        <w:t>La reforme de la loi Bioéthique. Commentaire et analyse de la loi n</w:t>
      </w:r>
      <w:r w:rsidRPr="00E254F5">
        <w:rPr>
          <w:i/>
          <w:vertAlign w:val="superscript"/>
        </w:rPr>
        <w:t>o</w:t>
      </w:r>
      <w:r w:rsidRPr="00E254F5">
        <w:rPr>
          <w:i/>
        </w:rPr>
        <w:t xml:space="preserve"> 2011-814 du 7 juillet 2011 relative à la bioéthique</w:t>
      </w:r>
      <w:r w:rsidRPr="00E254F5">
        <w:t xml:space="preserve">, Lexis Nexis, 2012, σελ. 61-65. </w:t>
      </w:r>
    </w:p>
  </w:footnote>
  <w:footnote w:id="136">
    <w:p w14:paraId="31AC9EF9" w14:textId="77777777" w:rsidR="00E47260" w:rsidRPr="00E254F5" w:rsidRDefault="00E47260" w:rsidP="00E10388">
      <w:pPr>
        <w:pStyle w:val="FootnoteText"/>
      </w:pPr>
      <w:r w:rsidRPr="00E254F5">
        <w:rPr>
          <w:rStyle w:val="FootnoteReference"/>
          <w:szCs w:val="20"/>
        </w:rPr>
        <w:footnoteRef/>
      </w:r>
      <w:r w:rsidRPr="00E254F5">
        <w:t xml:space="preserve"> </w:t>
      </w:r>
      <w:r w:rsidRPr="00E254F5">
        <w:rPr>
          <w:b/>
          <w:i/>
        </w:rPr>
        <w:t>A.-M. Leroyer</w:t>
      </w:r>
      <w:r w:rsidRPr="00E254F5">
        <w:t xml:space="preserve">, </w:t>
      </w:r>
      <w:r w:rsidRPr="00E254F5">
        <w:rPr>
          <w:i/>
        </w:rPr>
        <w:t>Droit de la famille</w:t>
      </w:r>
      <w:r w:rsidRPr="00E254F5">
        <w:t xml:space="preserve">, </w:t>
      </w:r>
      <w:r>
        <w:t>Éd.</w:t>
      </w:r>
      <w:r w:rsidRPr="00E254F5">
        <w:t xml:space="preserve"> PUF, 2011, σελ. 299. </w:t>
      </w:r>
    </w:p>
  </w:footnote>
  <w:footnote w:id="137">
    <w:p w14:paraId="465B8EA6"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A. Bertrand-Mirkovic</w:t>
      </w:r>
      <w:r w:rsidRPr="00E254F5">
        <w:t xml:space="preserve">, </w:t>
      </w:r>
      <w:r w:rsidRPr="00E254F5">
        <w:rPr>
          <w:i/>
        </w:rPr>
        <w:t>Droit civil: Personnes, Famille</w:t>
      </w:r>
      <w:r w:rsidRPr="00E254F5">
        <w:t xml:space="preserve">, </w:t>
      </w:r>
      <w:r>
        <w:t>Studyrama, 2007, σελ. 416.</w:t>
      </w:r>
      <w:r w:rsidRPr="00E254F5">
        <w:t xml:space="preserve"> Θα ακολουθήσει εκτενέστερη ανάλυση στο σχετικό κεφάλαιο περί συναίνεσης, βλ. </w:t>
      </w:r>
      <w:r w:rsidRPr="00E254F5">
        <w:rPr>
          <w:i/>
        </w:rPr>
        <w:t>infra</w:t>
      </w:r>
      <w:r w:rsidRPr="00E254F5">
        <w:t xml:space="preserve">, σελ. </w:t>
      </w:r>
      <w:r>
        <w:fldChar w:fldCharType="begin"/>
      </w:r>
      <w:r>
        <w:instrText xml:space="preserve"> PAGEREF _Ref272602676 \h </w:instrText>
      </w:r>
      <w:r>
        <w:fldChar w:fldCharType="separate"/>
      </w:r>
      <w:r w:rsidR="00B822F0">
        <w:rPr>
          <w:noProof/>
        </w:rPr>
        <w:t>73</w:t>
      </w:r>
      <w:r>
        <w:fldChar w:fldCharType="end"/>
      </w:r>
      <w:r w:rsidRPr="00E254F5">
        <w:t xml:space="preserve">επ. </w:t>
      </w:r>
    </w:p>
  </w:footnote>
  <w:footnote w:id="138">
    <w:p w14:paraId="417C4820" w14:textId="77777777" w:rsidR="00E47260" w:rsidRPr="00E254F5" w:rsidRDefault="00E47260" w:rsidP="00CB7D04">
      <w:pPr>
        <w:pStyle w:val="FootnoteText"/>
      </w:pPr>
      <w:r w:rsidRPr="00E254F5">
        <w:rPr>
          <w:rStyle w:val="FootnoteReference"/>
          <w:szCs w:val="20"/>
        </w:rPr>
        <w:footnoteRef/>
      </w:r>
      <w:r w:rsidRPr="00E254F5">
        <w:t xml:space="preserve"> Θα ακολουθήσει αναλυτικότερη παρουσίαση της επιλογής του γάλλου νομοθέτη να αποκλείσει από την ιατρικά υποβοηθούμεν</w:t>
      </w:r>
      <w:r>
        <w:t>η αναπαραγωγή τα ζευγάρια του ιδί</w:t>
      </w:r>
      <w:r w:rsidRPr="00E254F5">
        <w:t xml:space="preserve">ου φύλου στη σχετική ενότητα, βλ. </w:t>
      </w:r>
      <w:r w:rsidRPr="00E254F5">
        <w:rPr>
          <w:i/>
        </w:rPr>
        <w:t>infra,</w:t>
      </w:r>
      <w:r w:rsidRPr="00E254F5">
        <w:t xml:space="preserve"> σελ. </w:t>
      </w:r>
      <w:r w:rsidRPr="00E254F5">
        <w:fldChar w:fldCharType="begin"/>
      </w:r>
      <w:r w:rsidRPr="00E254F5">
        <w:instrText xml:space="preserve"> PAGEREF _Ref393995600 \h </w:instrText>
      </w:r>
      <w:r w:rsidRPr="00E254F5">
        <w:fldChar w:fldCharType="separate"/>
      </w:r>
      <w:r w:rsidR="00B822F0">
        <w:rPr>
          <w:noProof/>
        </w:rPr>
        <w:t>183</w:t>
      </w:r>
      <w:r w:rsidRPr="00E254F5">
        <w:fldChar w:fldCharType="end"/>
      </w:r>
      <w:r w:rsidRPr="00E254F5">
        <w:t xml:space="preserve"> επ. </w:t>
      </w:r>
    </w:p>
  </w:footnote>
  <w:footnote w:id="139">
    <w:p w14:paraId="57E7DAF3"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b/>
          <w:i/>
        </w:rPr>
        <w:t>A. Bertrand-Mirkovic</w:t>
      </w:r>
      <w:r w:rsidRPr="00E254F5">
        <w:t xml:space="preserve">, </w:t>
      </w:r>
      <w:r w:rsidRPr="00E254F5">
        <w:rPr>
          <w:i/>
        </w:rPr>
        <w:t>Droit civil: Personnes, op.cit.</w:t>
      </w:r>
      <w:r w:rsidRPr="00E254F5">
        <w:t xml:space="preserve">, σελ. 416.  </w:t>
      </w:r>
    </w:p>
  </w:footnote>
  <w:footnote w:id="140">
    <w:p w14:paraId="74C7889F" w14:textId="77777777" w:rsidR="00E47260" w:rsidRPr="00E254F5" w:rsidRDefault="00E47260" w:rsidP="00CB7D04">
      <w:pPr>
        <w:pStyle w:val="FootnoteText"/>
      </w:pPr>
      <w:r w:rsidRPr="00E254F5">
        <w:rPr>
          <w:rStyle w:val="FootnoteReference"/>
          <w:szCs w:val="20"/>
        </w:rPr>
        <w:footnoteRef/>
      </w:r>
      <w:r w:rsidRPr="00E254F5">
        <w:t xml:space="preserve"> Βλ. </w:t>
      </w:r>
      <w:r w:rsidRPr="00E254F5">
        <w:rPr>
          <w:i/>
        </w:rPr>
        <w:t>infra</w:t>
      </w:r>
      <w:r w:rsidRPr="00E254F5">
        <w:t xml:space="preserve">, σελ. </w:t>
      </w:r>
      <w:r>
        <w:fldChar w:fldCharType="begin"/>
      </w:r>
      <w:r>
        <w:instrText xml:space="preserve"> PAGEREF _Ref276020651 \h </w:instrText>
      </w:r>
      <w:r>
        <w:fldChar w:fldCharType="separate"/>
      </w:r>
      <w:r w:rsidR="00B822F0">
        <w:rPr>
          <w:noProof/>
        </w:rPr>
        <w:t>160</w:t>
      </w:r>
      <w:r>
        <w:fldChar w:fldCharType="end"/>
      </w:r>
      <w:r w:rsidRPr="00E254F5">
        <w:t xml:space="preserve">επ. </w:t>
      </w:r>
    </w:p>
  </w:footnote>
  <w:footnote w:id="141">
    <w:p w14:paraId="25D12EA1" w14:textId="77777777" w:rsidR="00E47260" w:rsidRPr="00E254F5" w:rsidRDefault="00E47260" w:rsidP="00CB7D04">
      <w:pPr>
        <w:pStyle w:val="FootnoteText"/>
      </w:pPr>
      <w:r w:rsidRPr="00E254F5">
        <w:rPr>
          <w:rStyle w:val="FootnoteReference"/>
          <w:szCs w:val="20"/>
        </w:rPr>
        <w:footnoteRef/>
      </w:r>
      <w:r w:rsidRPr="00E254F5">
        <w:t xml:space="preserve"> Η προϋπόθεση αυτή πρόσβασης στην ιατρικά υποβοηθούμενη αναπαραγωγή εισήχθη για πρώτη φορά στο νομοθετικό πλαίσιο στον πρώτο </w:t>
      </w:r>
      <w:r w:rsidRPr="0075134F">
        <w:rPr>
          <w:i/>
        </w:rPr>
        <w:t>Νόμο περί Βιοηθικής</w:t>
      </w:r>
      <w:r w:rsidRPr="00E254F5">
        <w:t xml:space="preserve"> του 1994 και διατηρήθηκε και στις δύο μεταγενέστερες αναθεωρήσεις του, το 2004 και το 2011. </w:t>
      </w:r>
    </w:p>
  </w:footnote>
  <w:footnote w:id="142">
    <w:p w14:paraId="64F69B7F" w14:textId="77777777" w:rsidR="00E47260" w:rsidRPr="00E254F5" w:rsidRDefault="00E47260" w:rsidP="00CB7D04">
      <w:pPr>
        <w:pStyle w:val="FootnoteText"/>
      </w:pPr>
      <w:r w:rsidRPr="00E254F5">
        <w:rPr>
          <w:rStyle w:val="FootnoteReference"/>
          <w:szCs w:val="20"/>
        </w:rPr>
        <w:footnoteRef/>
      </w:r>
      <w:r w:rsidRPr="00E254F5">
        <w:t xml:space="preserve"> Όλα τα πρόσωπα αναφοράς με τα οποία διεξήχθησαν οι συνεντεύξεις σχετικά με την αξιολόγηση της γαλλικής νομοθεσίας για την ιατρικά υποβοηθούμενη αναπαραγωγής φαίνεται να συγκλίνουν στο συμπέρασμα ότι ο νομοθέτης σωστά δε διευκρινίζει το όριο ηλικίας, αφήνοντας στον ιατρό ένα περιθώριο εκτίμησης που είναι σημαντικό για να κάνει σωστά και </w:t>
      </w:r>
      <w:r w:rsidRPr="000800FA">
        <w:t>ευσυνείδητα τη δουλειά του. Βλ. σχετικά</w:t>
      </w:r>
      <w:r w:rsidRPr="000800FA">
        <w:rPr>
          <w:lang w:val="el-GR"/>
        </w:rPr>
        <w:t xml:space="preserve"> </w:t>
      </w:r>
      <w:r w:rsidRPr="000800FA">
        <w:t xml:space="preserve">Eρωτηματολόγιο [3.5], </w:t>
      </w:r>
      <w:r w:rsidRPr="000800FA">
        <w:rPr>
          <w:i/>
        </w:rPr>
        <w:t xml:space="preserve">op.cit., </w:t>
      </w:r>
      <w:r w:rsidRPr="000800FA">
        <w:t xml:space="preserve">σημ. ΙΙ, 2.1-2.2, σελ. 4-5; Eρωτηματολόγιο [3.6], </w:t>
      </w:r>
      <w:r w:rsidRPr="000800FA">
        <w:rPr>
          <w:i/>
        </w:rPr>
        <w:t xml:space="preserve">op.cit., </w:t>
      </w:r>
      <w:r w:rsidRPr="000800FA">
        <w:t xml:space="preserve">σημ. ΙΙ, 2.1-2.2, σελ. 4-5 και Eρωτηματολόγιο [3.7], </w:t>
      </w:r>
      <w:r w:rsidRPr="000800FA">
        <w:rPr>
          <w:i/>
        </w:rPr>
        <w:t xml:space="preserve">op.cit., </w:t>
      </w:r>
      <w:r w:rsidRPr="000800FA">
        <w:t>σημ. ΙΙ, 2.1-2.2, σελ. 5.</w:t>
      </w:r>
      <w:r w:rsidRPr="00E254F5">
        <w:t xml:space="preserve"> </w:t>
      </w:r>
    </w:p>
  </w:footnote>
  <w:footnote w:id="143">
    <w:p w14:paraId="63B83C23" w14:textId="77777777" w:rsidR="00E47260" w:rsidRPr="008004CA" w:rsidRDefault="00E47260" w:rsidP="00CB7D04">
      <w:pPr>
        <w:pStyle w:val="FootnoteText"/>
      </w:pPr>
      <w:r w:rsidRPr="00E254F5">
        <w:rPr>
          <w:rStyle w:val="FootnoteReference"/>
          <w:szCs w:val="20"/>
        </w:rPr>
        <w:footnoteRef/>
      </w:r>
      <w:r w:rsidRPr="00E254F5">
        <w:t xml:space="preserve"> Βλ. </w:t>
      </w:r>
      <w:r w:rsidRPr="008004CA">
        <w:t xml:space="preserve">σχετικά Eρωτηματολόγιο [3.3], </w:t>
      </w:r>
      <w:r w:rsidRPr="008004CA">
        <w:rPr>
          <w:i/>
        </w:rPr>
        <w:t>op.cit.</w:t>
      </w:r>
      <w:r w:rsidRPr="008004CA">
        <w:t>, σημ. ΙI, 2.2.</w:t>
      </w:r>
    </w:p>
  </w:footnote>
  <w:footnote w:id="144">
    <w:p w14:paraId="2DE80539" w14:textId="77777777" w:rsidR="00E47260" w:rsidRPr="00E254F5" w:rsidRDefault="00E47260" w:rsidP="00CB7D04">
      <w:pPr>
        <w:pStyle w:val="FootnoteText"/>
      </w:pPr>
      <w:r w:rsidRPr="008004CA">
        <w:rPr>
          <w:rStyle w:val="FootnoteReference"/>
          <w:b/>
          <w:szCs w:val="20"/>
        </w:rPr>
        <w:footnoteRef/>
      </w:r>
      <w:r w:rsidRPr="008004CA">
        <w:t xml:space="preserve"> </w:t>
      </w:r>
      <w:r w:rsidRPr="008004CA">
        <w:rPr>
          <w:i/>
        </w:rPr>
        <w:t>Idem</w:t>
      </w:r>
      <w:r>
        <w:rPr>
          <w:i/>
        </w:rPr>
        <w:t xml:space="preserve">, </w:t>
      </w:r>
      <w:r w:rsidRPr="008004CA">
        <w:t>σελ. 5.</w:t>
      </w:r>
    </w:p>
  </w:footnote>
  <w:footnote w:id="145">
    <w:p w14:paraId="391D34DF" w14:textId="77777777" w:rsidR="00E47260" w:rsidRPr="00E254F5" w:rsidRDefault="00E47260" w:rsidP="00CB7D04">
      <w:pPr>
        <w:pStyle w:val="FootnoteText"/>
      </w:pPr>
      <w:r w:rsidRPr="00E254F5">
        <w:rPr>
          <w:rStyle w:val="FootnoteReference"/>
          <w:szCs w:val="20"/>
        </w:rPr>
        <w:footnoteRef/>
      </w:r>
      <w:r w:rsidRPr="00E254F5">
        <w:t xml:space="preserve"> Μερίδα της θεωρίας ασκεί κριτική στην απουσία ρητής νομοθετικής πρόβλεψης σχετικά με το κα</w:t>
      </w:r>
      <w:r>
        <w:t>τώτατα ηλικιακά όρια των υποψηφί</w:t>
      </w:r>
      <w:r w:rsidRPr="00E254F5">
        <w:t>ων υποβοηθούμενων προσώπων, αντιπαραβάλλοντας το «κενό» αυτό με την αντίστοιχη «αυστηρότητα» του νομοθέτη σε ζητήμ</w:t>
      </w:r>
      <w:r>
        <w:t>ατα που αφορούν στην υιοθεσία: α</w:t>
      </w:r>
      <w:r w:rsidRPr="00E254F5">
        <w:t>υτό</w:t>
      </w:r>
      <w:r>
        <w:t>ς</w:t>
      </w:r>
      <w:r w:rsidRPr="00E254F5">
        <w:t xml:space="preserve"> που υιοθετεί πρέπει να είναι τουλάχιστο εικοσιοκτώ ετών (άρθρα 343-1 και 361 ΑΚ) και να είναι μεγαλύτερος κατά τουλάχιστο δεκαπέντε χρόνια από το τέκνο που υιοθετεί (άρθρο 343 και 361 ΑΚ).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786. </w:t>
      </w:r>
    </w:p>
  </w:footnote>
  <w:footnote w:id="146">
    <w:p w14:paraId="30822EB2"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788-789. </w:t>
      </w:r>
    </w:p>
  </w:footnote>
  <w:footnote w:id="147">
    <w:p w14:paraId="0D463AC8" w14:textId="77777777" w:rsidR="00E47260" w:rsidRPr="009A641C" w:rsidRDefault="00E47260" w:rsidP="00CB7D04">
      <w:pPr>
        <w:pStyle w:val="FootnoteText"/>
      </w:pPr>
      <w:r w:rsidRPr="00E254F5">
        <w:rPr>
          <w:rStyle w:val="FootnoteReference"/>
          <w:szCs w:val="20"/>
        </w:rPr>
        <w:footnoteRef/>
      </w:r>
      <w:r w:rsidRPr="00E254F5">
        <w:t xml:space="preserve"> Βλ. </w:t>
      </w:r>
      <w:r w:rsidRPr="002B74AD">
        <w:t>σχετικά Eρωτηματολόγιο [3</w:t>
      </w:r>
      <w:r w:rsidRPr="00E254F5">
        <w:t xml:space="preserve">.7], </w:t>
      </w:r>
      <w:r w:rsidRPr="00E84E55">
        <w:rPr>
          <w:i/>
        </w:rPr>
        <w:t>op.cit.</w:t>
      </w:r>
      <w:r>
        <w:t xml:space="preserve">, </w:t>
      </w:r>
      <w:r w:rsidRPr="00E254F5">
        <w:t>σημ. ΙΙ, 2</w:t>
      </w:r>
      <w:r w:rsidRPr="009A641C">
        <w:t xml:space="preserve">.2, σελ. 5-6. </w:t>
      </w:r>
    </w:p>
  </w:footnote>
  <w:footnote w:id="148">
    <w:p w14:paraId="5A49D582" w14:textId="77777777" w:rsidR="00E47260" w:rsidRPr="00E254F5" w:rsidRDefault="00E47260" w:rsidP="00CB7D04">
      <w:pPr>
        <w:pStyle w:val="FootnoteText"/>
      </w:pPr>
      <w:r w:rsidRPr="009A641C">
        <w:rPr>
          <w:rStyle w:val="FootnoteReference"/>
          <w:szCs w:val="20"/>
        </w:rPr>
        <w:footnoteRef/>
      </w:r>
      <w:r w:rsidRPr="009A641C">
        <w:t xml:space="preserve"> Βλ. σχετικά Eρωτηματολόγιο [3.3], </w:t>
      </w:r>
      <w:r w:rsidRPr="009A641C">
        <w:rPr>
          <w:i/>
        </w:rPr>
        <w:t>op.cit.</w:t>
      </w:r>
      <w:r w:rsidRPr="009A641C">
        <w:t>, σημ. ΙI, 2.2, σελ. 5.</w:t>
      </w:r>
    </w:p>
  </w:footnote>
  <w:footnote w:id="149">
    <w:p w14:paraId="5D90C7AC" w14:textId="77777777" w:rsidR="00E47260" w:rsidRPr="00EE4056" w:rsidRDefault="00E47260">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150">
    <w:p w14:paraId="1648FD75" w14:textId="77777777" w:rsidR="00E47260" w:rsidRPr="001D59D2" w:rsidRDefault="00E47260">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151">
    <w:p w14:paraId="09304188" w14:textId="77777777" w:rsidR="00E47260" w:rsidRPr="00E254F5" w:rsidRDefault="00E47260" w:rsidP="00CB7D04">
      <w:pPr>
        <w:pStyle w:val="FootnoteText"/>
      </w:pPr>
      <w:r w:rsidRPr="00E254F5">
        <w:rPr>
          <w:rStyle w:val="FootnoteReference"/>
          <w:szCs w:val="20"/>
        </w:rPr>
        <w:footnoteRef/>
      </w:r>
      <w:r w:rsidRPr="00E254F5">
        <w:t xml:space="preserve"> Βλ. </w:t>
      </w:r>
      <w:r w:rsidRPr="00E254F5">
        <w:rPr>
          <w:i/>
        </w:rPr>
        <w:t>supra</w:t>
      </w:r>
      <w:r w:rsidRPr="00E254F5">
        <w:t xml:space="preserve">, σελ. </w:t>
      </w:r>
      <w:r w:rsidRPr="00E254F5">
        <w:fldChar w:fldCharType="begin"/>
      </w:r>
      <w:r w:rsidRPr="00E254F5">
        <w:instrText xml:space="preserve"> PAGEREF Arrete_2008 \h </w:instrText>
      </w:r>
      <w:r w:rsidRPr="00E254F5">
        <w:fldChar w:fldCharType="separate"/>
      </w:r>
      <w:r w:rsidR="00B822F0">
        <w:rPr>
          <w:noProof/>
        </w:rPr>
        <w:t>36</w:t>
      </w:r>
      <w:r w:rsidRPr="00E254F5">
        <w:fldChar w:fldCharType="end"/>
      </w:r>
      <w:r w:rsidRPr="00E254F5">
        <w:t xml:space="preserve"> επ. Για περισσότερες πληροφορίες σχετικά με τη σημασία και την ισχύ των Οδηγού των καλών κλινικών και βιολογικών πρακτικών </w:t>
      </w:r>
      <w:r>
        <w:t>στην ιατρικά υποβοηθούμενη αναπαραγωγή</w:t>
      </w:r>
      <w:r w:rsidRPr="00E254F5">
        <w:t xml:space="preserve"> βλ. </w:t>
      </w:r>
      <w:r w:rsidRPr="00E254F5">
        <w:rPr>
          <w:i/>
        </w:rPr>
        <w:t>supra</w:t>
      </w:r>
      <w:r w:rsidRPr="00E254F5">
        <w:t xml:space="preserve">, σελ. </w:t>
      </w:r>
      <w:r w:rsidR="003151F6">
        <w:fldChar w:fldCharType="begin"/>
      </w:r>
      <w:r w:rsidR="003151F6">
        <w:instrText xml:space="preserve"> PAGEREF αξίαΟδηγούκαλώνπρακτικών </w:instrText>
      </w:r>
      <w:r w:rsidR="003151F6">
        <w:fldChar w:fldCharType="separate"/>
      </w:r>
      <w:r w:rsidR="00B822F0">
        <w:rPr>
          <w:noProof/>
        </w:rPr>
        <w:t>36</w:t>
      </w:r>
      <w:r w:rsidR="003151F6">
        <w:rPr>
          <w:noProof/>
        </w:rPr>
        <w:fldChar w:fldCharType="end"/>
      </w:r>
      <w:r w:rsidRPr="00E254F5">
        <w:t xml:space="preserve">. </w:t>
      </w:r>
    </w:p>
  </w:footnote>
  <w:footnote w:id="152">
    <w:p w14:paraId="1B4EB196"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Για περισσότερες λεπτομέρειες βλ.</w:t>
      </w:r>
      <w:r w:rsidRPr="00E254F5">
        <w:t xml:space="preserve"> 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σελ. 16-17, </w:t>
      </w:r>
      <w:r w:rsidRPr="00E254F5">
        <w:rPr>
          <w:lang w:val="el-GR"/>
        </w:rPr>
        <w:t xml:space="preserve">διαθέσιμο σε: </w:t>
      </w:r>
      <w:hyperlink r:id="rId80" w:history="1">
        <w:r w:rsidRPr="00E254F5">
          <w:rPr>
            <w:rStyle w:val="Hyperlink"/>
            <w:szCs w:val="20"/>
            <w:lang w:val="el-GR"/>
          </w:rPr>
          <w:t>http://www.agence-biomedecine.fr/annexes/bilan2013/donnees/procreation/01-amp/synthese.htm</w:t>
        </w:r>
      </w:hyperlink>
      <w:r w:rsidRPr="00E254F5">
        <w:rPr>
          <w:lang w:val="el-GR"/>
        </w:rPr>
        <w:t>.</w:t>
      </w:r>
    </w:p>
  </w:footnote>
  <w:footnote w:id="153">
    <w:p w14:paraId="34FF7D4B" w14:textId="77777777" w:rsidR="00E47260" w:rsidRPr="00E254F5" w:rsidRDefault="00E47260" w:rsidP="00CB7D04">
      <w:pPr>
        <w:pStyle w:val="FootnoteText"/>
        <w:rPr>
          <w:lang w:val="el-GR"/>
        </w:rPr>
      </w:pPr>
      <w:r w:rsidRPr="00E254F5">
        <w:rPr>
          <w:rStyle w:val="FootnoteReference"/>
          <w:szCs w:val="20"/>
        </w:rPr>
        <w:footnoteRef/>
      </w:r>
      <w:r w:rsidRPr="00E254F5">
        <w:t xml:space="preserve"> Arrêté du 12 janvier 1999 relatif aux règles de bonnes pratiques cliniques et biologiques en assistance médicale à la procréation, </w:t>
      </w:r>
      <w:r w:rsidRPr="00E254F5">
        <w:rPr>
          <w:i/>
        </w:rPr>
        <w:t>op.cit.</w:t>
      </w:r>
    </w:p>
  </w:footnote>
  <w:footnote w:id="154">
    <w:p w14:paraId="487669C2" w14:textId="77777777" w:rsidR="00E47260" w:rsidRPr="00E254F5" w:rsidRDefault="00E47260" w:rsidP="00CB7D04">
      <w:pPr>
        <w:pStyle w:val="FootnoteText"/>
      </w:pPr>
      <w:r w:rsidRPr="00E254F5">
        <w:rPr>
          <w:rStyle w:val="FootnoteReference"/>
          <w:szCs w:val="20"/>
        </w:rPr>
        <w:footnoteRef/>
      </w:r>
      <w:r w:rsidRPr="00E254F5">
        <w:t xml:space="preserve"> </w:t>
      </w:r>
      <w:r w:rsidRPr="007B139D">
        <w:t>Βλ. σχετικά την από 24 Ιουνίου 2014 συνέντευξη της Catherine Patrat, Παράρτημα [I], Eρωτηματολόγιο [3.2], σημ. ΙI, 2.3, σελ. 4.</w:t>
      </w:r>
    </w:p>
  </w:footnote>
  <w:footnote w:id="155">
    <w:p w14:paraId="01C40435"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Bλ.</w:t>
      </w:r>
      <w:r w:rsidRPr="00E254F5">
        <w:t xml:space="preserve"> 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xml:space="preserve"> σελ. 16. </w:t>
      </w:r>
    </w:p>
  </w:footnote>
  <w:footnote w:id="156">
    <w:p w14:paraId="57E218BA"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Bλ.</w:t>
      </w:r>
      <w:r w:rsidRPr="00E254F5">
        <w:t xml:space="preserve"> 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xml:space="preserve"> σελ. 16. </w:t>
      </w:r>
    </w:p>
  </w:footnote>
  <w:footnote w:id="157">
    <w:p w14:paraId="17DB8F9C" w14:textId="77777777" w:rsidR="00E47260" w:rsidRPr="00E254F5" w:rsidRDefault="00E47260" w:rsidP="00CB7D04">
      <w:pPr>
        <w:pStyle w:val="FootnoteText"/>
        <w:rPr>
          <w:lang w:val="el-GR"/>
        </w:rPr>
      </w:pPr>
      <w:r w:rsidRPr="00E254F5">
        <w:rPr>
          <w:rStyle w:val="FootnoteReference"/>
          <w:szCs w:val="20"/>
        </w:rPr>
        <w:footnoteRef/>
      </w:r>
      <w:r w:rsidRPr="00E254F5">
        <w:t xml:space="preserve"> I</w:t>
      </w:r>
      <w:r w:rsidRPr="00E254F5">
        <w:rPr>
          <w:i/>
        </w:rPr>
        <w:t>dem</w:t>
      </w:r>
      <w:r w:rsidRPr="00E254F5">
        <w:t xml:space="preserve">, σελ. 17. </w:t>
      </w:r>
    </w:p>
  </w:footnote>
  <w:footnote w:id="158">
    <w:p w14:paraId="5D211DB3" w14:textId="42795FAB" w:rsidR="00E47260" w:rsidRPr="00CB7D04" w:rsidRDefault="00E47260" w:rsidP="00CB7D04">
      <w:pPr>
        <w:pStyle w:val="FootnoteText"/>
        <w:rPr>
          <w:lang w:val="el-GR"/>
        </w:rPr>
      </w:pPr>
      <w:r>
        <w:rPr>
          <w:rStyle w:val="FootnoteReference"/>
        </w:rPr>
        <w:footnoteRef/>
      </w:r>
      <w:r>
        <w:t xml:space="preserve"> </w:t>
      </w:r>
      <w:r w:rsidRPr="00390B86">
        <w:t>CCass, 1</w:t>
      </w:r>
      <w:r w:rsidRPr="00390B86">
        <w:rPr>
          <w:vertAlign w:val="superscript"/>
        </w:rPr>
        <w:t>e</w:t>
      </w:r>
      <w:r w:rsidRPr="00390B86">
        <w:t xml:space="preserve"> Civile, 17 Σεπτεμβρίου 2003 [αριθ. αίτησης αναίρεσης: 00-18137]</w:t>
      </w:r>
      <w:r>
        <w:t xml:space="preserve">, διαθέσιμη σε </w:t>
      </w:r>
      <w:r w:rsidRPr="00390B86">
        <w:t>Legifrance – Δη</w:t>
      </w:r>
      <w:r>
        <w:t>μόσια Υπηρεσία Διάδοσης Δικαίου,</w:t>
      </w:r>
      <w:r w:rsidRPr="00390B86">
        <w:t xml:space="preserve"> </w:t>
      </w:r>
      <w:hyperlink r:id="rId81" w:history="1">
        <w:r w:rsidRPr="00390B86">
          <w:rPr>
            <w:rStyle w:val="Hyperlink"/>
          </w:rPr>
          <w:t>http://www.legifrance.gouv.fr/affichJuriJudi.do?oldAction=rechJuriJudi&amp;idTexte=JURITEXT000007465003&amp;fastReqId=567616900&amp;fastPos=12</w:t>
        </w:r>
      </w:hyperlink>
      <w:r>
        <w:t>.</w:t>
      </w:r>
    </w:p>
  </w:footnote>
  <w:footnote w:id="159">
    <w:p w14:paraId="5A7D478C" w14:textId="77777777" w:rsidR="00E47260" w:rsidRPr="005918D5" w:rsidRDefault="00E47260">
      <w:pPr>
        <w:pStyle w:val="FootnoteText"/>
        <w:rPr>
          <w:lang w:val="el-GR"/>
        </w:rPr>
      </w:pPr>
      <w:r>
        <w:rPr>
          <w:rStyle w:val="FootnoteReference"/>
        </w:rPr>
        <w:footnoteRef/>
      </w:r>
      <w:r>
        <w:t xml:space="preserve"> Η οποία σημειώνεται ότι στην επίδικη περίπτωση ήταν άκαρπη. </w:t>
      </w:r>
    </w:p>
  </w:footnote>
  <w:footnote w:id="160">
    <w:p w14:paraId="132EB8CD" w14:textId="77777777" w:rsidR="00E47260" w:rsidRPr="006F61DA" w:rsidRDefault="00E47260">
      <w:pPr>
        <w:pStyle w:val="FootnoteText"/>
        <w:rPr>
          <w:lang w:val="el-GR"/>
        </w:rPr>
      </w:pPr>
      <w:r>
        <w:rPr>
          <w:rStyle w:val="FootnoteReference"/>
        </w:rPr>
        <w:footnoteRef/>
      </w:r>
      <w:r>
        <w:t xml:space="preserve"> Διεύθυνση Υγειονομικής και Κοινωνικής Δράσης (</w:t>
      </w:r>
      <w:r w:rsidRPr="00B9221F">
        <w:rPr>
          <w:i/>
        </w:rPr>
        <w:t>Direction Action Sanitaire et Sociale, DASS</w:t>
      </w:r>
      <w:r>
        <w:t>)</w:t>
      </w:r>
      <w:r w:rsidRPr="006F61DA">
        <w:t> </w:t>
      </w:r>
      <w:r>
        <w:rPr>
          <w:lang w:val="el-GR"/>
        </w:rPr>
        <w:t>και Ταμείο Πρωτοβάθμιας Ασφάλισης Υγείας (</w:t>
      </w:r>
      <w:r w:rsidRPr="00B9221F">
        <w:rPr>
          <w:i/>
        </w:rPr>
        <w:t>Caisse Primaire d’Assurance Maladie, CPAM</w:t>
      </w:r>
      <w:r>
        <w:t xml:space="preserve">). </w:t>
      </w:r>
    </w:p>
  </w:footnote>
  <w:footnote w:id="161">
    <w:p w14:paraId="02745C61" w14:textId="77777777" w:rsidR="00E47260" w:rsidRPr="00EE4056" w:rsidRDefault="00E47260" w:rsidP="00C51393">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162">
    <w:p w14:paraId="4508A8CA" w14:textId="77777777" w:rsidR="00E47260" w:rsidRPr="001D59D2" w:rsidRDefault="00E47260" w:rsidP="00C51393">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163">
    <w:p w14:paraId="78402606" w14:textId="77777777" w:rsidR="00E47260" w:rsidRPr="00E254F5" w:rsidRDefault="00E47260" w:rsidP="00CB7D04">
      <w:pPr>
        <w:pStyle w:val="FootnoteText"/>
      </w:pPr>
      <w:r w:rsidRPr="00E254F5">
        <w:rPr>
          <w:rStyle w:val="FootnoteReference"/>
          <w:szCs w:val="20"/>
        </w:rPr>
        <w:footnoteRef/>
      </w:r>
      <w:r w:rsidRPr="00E254F5">
        <w:t xml:space="preserve"> Στην τρίτη αυτή περίπτωση ο φορμαλισμός του γάλλου νομοθέτη είναι ακόμη πιο αυστηρός, εφόσον ο συμβολαιογράφος παραμερίζεται και η άδεια για τη λήψη του εμβρύου τρίτων δοτών εκδίδεται μόνο με δικαστική απόφαση, αφού πρώτα τα υποψήφια υποβοηθούμενα πρόσω</w:t>
      </w:r>
      <w:r>
        <w:t>πα συναινέσουν</w:t>
      </w:r>
      <w:r w:rsidRPr="00E254F5">
        <w:t xml:space="preserve"> στην ιατρικά</w:t>
      </w:r>
      <w:r>
        <w:t xml:space="preserve"> υποβοηθούμενη αναπαραγωγή </w:t>
      </w:r>
      <w:r w:rsidRPr="00E254F5">
        <w:t xml:space="preserve">με λήψη εμβρύου. </w:t>
      </w:r>
    </w:p>
  </w:footnote>
  <w:footnote w:id="164">
    <w:p w14:paraId="4FFFA073"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Fonts w:eastAsia="Calibri"/>
        </w:rPr>
        <w:t xml:space="preserve">Bλ. </w:t>
      </w:r>
      <w:r w:rsidRPr="00E254F5">
        <w:rPr>
          <w:rFonts w:eastAsia="Calibri"/>
          <w:i/>
        </w:rPr>
        <w:t>infra</w:t>
      </w:r>
      <w:r w:rsidRPr="00E254F5">
        <w:rPr>
          <w:rFonts w:eastAsia="Calibri"/>
        </w:rPr>
        <w:t>, σελ</w:t>
      </w:r>
      <w:r>
        <w:rPr>
          <w:rFonts w:eastAsia="Calibri"/>
        </w:rPr>
        <w:t xml:space="preserve">. </w:t>
      </w:r>
      <w:r>
        <w:rPr>
          <w:rFonts w:eastAsia="Calibri"/>
        </w:rPr>
        <w:fldChar w:fldCharType="begin"/>
      </w:r>
      <w:r>
        <w:rPr>
          <w:rFonts w:eastAsia="Calibri"/>
        </w:rPr>
        <w:instrText xml:space="preserve"> PAGEREF _Ref276029209 \h </w:instrText>
      </w:r>
      <w:r>
        <w:rPr>
          <w:rFonts w:eastAsia="Calibri"/>
        </w:rPr>
      </w:r>
      <w:r>
        <w:rPr>
          <w:rFonts w:eastAsia="Calibri"/>
        </w:rPr>
        <w:fldChar w:fldCharType="separate"/>
      </w:r>
      <w:r w:rsidR="00B822F0">
        <w:rPr>
          <w:rFonts w:eastAsia="Calibri"/>
          <w:noProof/>
        </w:rPr>
        <w:t>82</w:t>
      </w:r>
      <w:r>
        <w:rPr>
          <w:rFonts w:eastAsia="Calibri"/>
        </w:rPr>
        <w:fldChar w:fldCharType="end"/>
      </w:r>
      <w:r w:rsidRPr="00E254F5">
        <w:rPr>
          <w:rFonts w:eastAsia="Calibri"/>
        </w:rPr>
        <w:t>επ</w:t>
      </w:r>
      <w:r>
        <w:rPr>
          <w:rFonts w:eastAsia="Calibri"/>
        </w:rPr>
        <w:t xml:space="preserve">. </w:t>
      </w:r>
    </w:p>
  </w:footnote>
  <w:footnote w:id="165">
    <w:p w14:paraId="1CBB47C0" w14:textId="77777777" w:rsidR="00E47260" w:rsidRPr="00EE4056" w:rsidRDefault="00E47260" w:rsidP="00E01E4E">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166">
    <w:p w14:paraId="57BC60C6" w14:textId="77777777" w:rsidR="00E47260" w:rsidRPr="001D59D2" w:rsidRDefault="00E47260" w:rsidP="00C34A79">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167">
    <w:p w14:paraId="70D96577" w14:textId="77777777" w:rsidR="00E47260" w:rsidRPr="00E254F5" w:rsidRDefault="00E47260" w:rsidP="00CB7D04">
      <w:pPr>
        <w:pStyle w:val="FootnoteText"/>
      </w:pPr>
      <w:r w:rsidRPr="00E254F5">
        <w:rPr>
          <w:rStyle w:val="FootnoteReference"/>
          <w:szCs w:val="20"/>
        </w:rPr>
        <w:footnoteRef/>
      </w:r>
      <w:r w:rsidRPr="00E254F5">
        <w:t xml:space="preserve"> Ακολουθεί λεπτομερέστερη παρουσίαση του τρόπου και του τύπου της συναίνεσης των υποψηφίων υποβοηθούμενων προσώπων στο αμέσως επόμενο κεφάλαιο, σελ. </w:t>
      </w:r>
      <w:r w:rsidRPr="00E254F5">
        <w:fldChar w:fldCharType="begin"/>
      </w:r>
      <w:r w:rsidRPr="00E254F5">
        <w:instrText xml:space="preserve"> PAGEREF _Ref272602676 \h </w:instrText>
      </w:r>
      <w:r w:rsidRPr="00E254F5">
        <w:fldChar w:fldCharType="separate"/>
      </w:r>
      <w:r w:rsidR="00B822F0">
        <w:rPr>
          <w:noProof/>
        </w:rPr>
        <w:t>73</w:t>
      </w:r>
      <w:r w:rsidRPr="00E254F5">
        <w:fldChar w:fldCharType="end"/>
      </w:r>
      <w:r w:rsidRPr="00E254F5">
        <w:t xml:space="preserve"> επ. </w:t>
      </w:r>
    </w:p>
  </w:footnote>
  <w:footnote w:id="168">
    <w:p w14:paraId="5F1688C1" w14:textId="77777777" w:rsidR="00E47260" w:rsidRPr="00E254F5" w:rsidRDefault="00E47260" w:rsidP="00CB7D04">
      <w:pPr>
        <w:pStyle w:val="FootnoteText"/>
      </w:pPr>
      <w:bookmarkStart w:id="100" w:name="_Ref273519412"/>
      <w:r w:rsidRPr="00E254F5">
        <w:rPr>
          <w:rStyle w:val="FootnoteReference"/>
          <w:b/>
          <w:szCs w:val="20"/>
        </w:rPr>
        <w:footnoteRef/>
      </w:r>
      <w:r w:rsidRPr="00E254F5">
        <w:t>Εφεξής, όπου αναφέρονται οι συνέπειες αστικής φύσης εξετάζονται μόνον οι συνέπειες που σχετίζονται με τη συγγένεια. Κατά τα λοιπά, η</w:t>
      </w:r>
      <w:r w:rsidRPr="00E254F5">
        <w:rPr>
          <w:rFonts w:eastAsia="Calibri"/>
        </w:rPr>
        <w:t xml:space="preserve"> ειδική νομοθεσία για την ιατρικά υποβοηθούμενη αναπαραγωγή δεν περιέχει καμία πρόβλεψη σχετικά με την αστική ευθύνη του γιατρού που παραβιάζει τους νόμιμους όρους για το επιτρεπτό των ιατρικών πράξεων της ιατρικά υποβοηθούμενης αναπαραγωγής. Ως προς αυτά τα θέματα, ωστόσο, βρίσκουν εφαρμογή οι γενικές ερμηνευτικές αρχές για τις αστικές συνέπειες μιας παράνομης ιατρικής πράξης. Συνεπώς, η παράνομη ιατρική πράξη στο πλαίσιο της ιατρικά υποβοηθούμενης αναπαραγωγής  συνιστά, αφενός, παράβαση της σύμβασης ιατρικής αγωγής με αντικείμενο την ιατρικά υποβοηθούμενη αναπαραγωγή, αφετέρου, παρανομία με την έννοια της διάταξης του άρθρου 914 ΑΚ. Περεταίρω, εφόσον αποδειχθεί ότι συντρέχουν οι προϋποθέσεις της συμβατικής και αδικοπρακτικής ευθύνης, ο γιατρός έχει την υποχρέωση να αποκαταστήσει κάθε προκληθείσα ζημία.</w:t>
      </w:r>
      <w:bookmarkEnd w:id="100"/>
    </w:p>
  </w:footnote>
  <w:footnote w:id="169">
    <w:p w14:paraId="7E893E22"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791. </w:t>
      </w:r>
    </w:p>
  </w:footnote>
  <w:footnote w:id="170">
    <w:p w14:paraId="72219F60" w14:textId="77777777" w:rsidR="00E47260" w:rsidRPr="00E254F5" w:rsidRDefault="00E47260" w:rsidP="00CB7D04">
      <w:pPr>
        <w:pStyle w:val="FootnoteText"/>
      </w:pPr>
      <w:r w:rsidRPr="00E254F5">
        <w:rPr>
          <w:rStyle w:val="FootnoteReference"/>
          <w:szCs w:val="20"/>
        </w:rPr>
        <w:footnoteRef/>
      </w:r>
      <w:r w:rsidRPr="00E254F5">
        <w:t xml:space="preserve"> Ασφαλώς, κάθε πρόσωπο μπορεί να αρνηθεί να παράσχει τη συναίνεσή του στην εφαρμογή μεθόδων ιατρικά υποβοηθούμενης αναπαραγωγής, χωρίς ωστόσο αυτό να αποτελεί (κατά κανόνα τουλάχιστο, εκτός κι αν υπάρχει σχετική ρήτρα σε προγαμιαίο συμβόλαιο) λόγο διαζυγίου. Βλ. σχετικά </w:t>
      </w:r>
      <w:r w:rsidRPr="00E254F5">
        <w:rPr>
          <w:i/>
        </w:rPr>
        <w:t>RTD civ.</w:t>
      </w:r>
      <w:r w:rsidRPr="00E254F5">
        <w:t xml:space="preserve">, 1992, obs. Hauser, σελ. 56. </w:t>
      </w:r>
    </w:p>
  </w:footnote>
  <w:footnote w:id="171">
    <w:p w14:paraId="0EEC1DFD" w14:textId="77777777" w:rsidR="00E47260" w:rsidRPr="00E254F5" w:rsidRDefault="00E47260" w:rsidP="00CB7D04">
      <w:pPr>
        <w:pStyle w:val="FootnoteText"/>
      </w:pPr>
      <w:r w:rsidRPr="00E254F5">
        <w:rPr>
          <w:rStyle w:val="FootnoteReference"/>
          <w:szCs w:val="20"/>
        </w:rPr>
        <w:footnoteRef/>
      </w:r>
      <w:r w:rsidRPr="00E254F5">
        <w:t xml:space="preserve"> Πρόκειται για προσθήκη του Νόμου της 6</w:t>
      </w:r>
      <w:r w:rsidRPr="00E254F5">
        <w:rPr>
          <w:vertAlign w:val="superscript"/>
        </w:rPr>
        <w:t>ης</w:t>
      </w:r>
      <w:r>
        <w:t xml:space="preserve"> Αυγούστου 2004, η οποία</w:t>
      </w:r>
      <w:r w:rsidRPr="00E254F5">
        <w:t xml:space="preserve"> ενισχύει τον «ιατρικό» χαρακτήρα της ιατρικά υποβοηθούμενης αναπαρα</w:t>
      </w:r>
      <w:r>
        <w:t>γωγής, αποδυναμώνοντας, αντίστοιχ</w:t>
      </w:r>
      <w:r w:rsidRPr="00E254F5">
        <w:t xml:space="preserve">α, την «κοινωνική» και «οικογενειακή» πτυχή της. </w:t>
      </w:r>
    </w:p>
  </w:footnote>
  <w:footnote w:id="172">
    <w:p w14:paraId="13472CFC" w14:textId="77777777" w:rsidR="00E47260" w:rsidRPr="00E254F5" w:rsidRDefault="00E47260" w:rsidP="00CB7D04">
      <w:pPr>
        <w:pStyle w:val="FootnoteText"/>
      </w:pPr>
      <w:r w:rsidRPr="00E254F5">
        <w:rPr>
          <w:rStyle w:val="FootnoteReference"/>
          <w:szCs w:val="20"/>
        </w:rPr>
        <w:footnoteRef/>
      </w:r>
      <w:r w:rsidRPr="00E254F5">
        <w:t xml:space="preserve"> Γιε περισσότερες πληροφορίες βλ. </w:t>
      </w:r>
      <w:r w:rsidRPr="00E254F5">
        <w:rPr>
          <w:i/>
        </w:rPr>
        <w:t>supra</w:t>
      </w:r>
      <w:r w:rsidRPr="00E254F5">
        <w:t xml:space="preserve">, σελ. </w:t>
      </w:r>
      <w:r w:rsidRPr="00E254F5">
        <w:fldChar w:fldCharType="begin"/>
      </w:r>
      <w:r w:rsidRPr="00E254F5">
        <w:instrText xml:space="preserve"> PAGEREF _Ref272771990 \h </w:instrText>
      </w:r>
      <w:r w:rsidRPr="00E254F5">
        <w:fldChar w:fldCharType="separate"/>
      </w:r>
      <w:r w:rsidR="00B822F0">
        <w:rPr>
          <w:noProof/>
        </w:rPr>
        <w:t>66</w:t>
      </w:r>
      <w:r w:rsidRPr="00E254F5">
        <w:fldChar w:fldCharType="end"/>
      </w:r>
      <w:r w:rsidRPr="00E254F5">
        <w:t xml:space="preserve"> επ. </w:t>
      </w:r>
    </w:p>
  </w:footnote>
  <w:footnote w:id="173">
    <w:p w14:paraId="2C956A42"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792. </w:t>
      </w:r>
    </w:p>
  </w:footnote>
  <w:footnote w:id="174">
    <w:p w14:paraId="7B1A2DFB"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σελ. 794.</w:t>
      </w:r>
    </w:p>
  </w:footnote>
  <w:footnote w:id="175">
    <w:p w14:paraId="3662E561" w14:textId="77777777" w:rsidR="00E47260" w:rsidRPr="00E254F5" w:rsidRDefault="00E47260" w:rsidP="00CB7D04">
      <w:pPr>
        <w:pStyle w:val="FootnoteText"/>
      </w:pPr>
      <w:r w:rsidRPr="00E254F5">
        <w:rPr>
          <w:rStyle w:val="FootnoteReference"/>
          <w:szCs w:val="20"/>
        </w:rPr>
        <w:footnoteRef/>
      </w:r>
      <w:r w:rsidRPr="00E254F5">
        <w:t xml:space="preserve"> Με την επιφύλαξη της προσφυγής σε τεχνητή διακοπή κύησης. </w:t>
      </w:r>
    </w:p>
  </w:footnote>
  <w:footnote w:id="176">
    <w:p w14:paraId="0B0682FF" w14:textId="77777777" w:rsidR="00E47260" w:rsidRPr="00B21C57" w:rsidRDefault="00E47260" w:rsidP="00CB7D04">
      <w:pPr>
        <w:pStyle w:val="FootnoteText"/>
      </w:pPr>
      <w:r w:rsidRPr="00E254F5">
        <w:rPr>
          <w:rStyle w:val="FootnoteReference"/>
          <w:szCs w:val="20"/>
        </w:rPr>
        <w:footnoteRef/>
      </w:r>
      <w:r w:rsidRPr="00E254F5">
        <w:t xml:space="preserve"> Βλ. </w:t>
      </w:r>
      <w:r w:rsidRPr="00B21C57">
        <w:t xml:space="preserve">σχετικά Eρωτηματολόγιο [3.6], </w:t>
      </w:r>
      <w:r w:rsidRPr="00B21C57">
        <w:rPr>
          <w:i/>
        </w:rPr>
        <w:t>op.cit.</w:t>
      </w:r>
      <w:r w:rsidRPr="00B21C57">
        <w:t xml:space="preserve">, σημ. ΙΙ, 2.6, σελ. 5-6. </w:t>
      </w:r>
    </w:p>
  </w:footnote>
  <w:footnote w:id="177">
    <w:p w14:paraId="13DC326D" w14:textId="77777777" w:rsidR="00E47260" w:rsidRPr="00E254F5" w:rsidRDefault="00E47260" w:rsidP="00CB7D04">
      <w:pPr>
        <w:pStyle w:val="FootnoteText"/>
      </w:pPr>
      <w:r w:rsidRPr="00B21C57">
        <w:rPr>
          <w:rStyle w:val="FootnoteReference"/>
          <w:szCs w:val="20"/>
        </w:rPr>
        <w:footnoteRef/>
      </w:r>
      <w:r w:rsidRPr="00B21C57">
        <w:t xml:space="preserve"> Βλ. σχετικά Eρωτηματολόγιο [3.</w:t>
      </w:r>
      <w:r w:rsidRPr="00E254F5">
        <w:t xml:space="preserve">7], </w:t>
      </w:r>
      <w:r w:rsidRPr="00E84E55">
        <w:rPr>
          <w:i/>
        </w:rPr>
        <w:t>op.cit.</w:t>
      </w:r>
      <w:r>
        <w:t xml:space="preserve">, </w:t>
      </w:r>
      <w:r w:rsidRPr="00E254F5">
        <w:t xml:space="preserve">σημ. ΙΙ, 2.6, σελ. 6. </w:t>
      </w:r>
    </w:p>
  </w:footnote>
  <w:footnote w:id="178">
    <w:p w14:paraId="01874583" w14:textId="77777777" w:rsidR="00E47260" w:rsidRPr="00E254F5" w:rsidRDefault="00E47260" w:rsidP="00CB7D04">
      <w:pPr>
        <w:pStyle w:val="FootnoteText"/>
      </w:pPr>
      <w:r w:rsidRPr="00E254F5">
        <w:rPr>
          <w:rStyle w:val="FootnoteReference"/>
          <w:szCs w:val="20"/>
        </w:rPr>
        <w:footnoteRef/>
      </w:r>
      <w:r w:rsidRPr="00E254F5">
        <w:t xml:space="preserve"> Με την επιφύλαξη της κύρωσης που επιβάλλεται σε περίπτωση κακόβουλης πρόθεσης </w:t>
      </w:r>
    </w:p>
  </w:footnote>
  <w:footnote w:id="179">
    <w:p w14:paraId="3D8251C3"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797. </w:t>
      </w:r>
    </w:p>
  </w:footnote>
  <w:footnote w:id="180">
    <w:p w14:paraId="4B876EE5" w14:textId="77777777" w:rsidR="00E47260" w:rsidRPr="00EE4056" w:rsidRDefault="00E47260" w:rsidP="00AC0D40">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181">
    <w:p w14:paraId="25B63051" w14:textId="77777777" w:rsidR="00E47260" w:rsidRPr="001D59D2" w:rsidRDefault="00E47260" w:rsidP="0059473C">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182">
    <w:p w14:paraId="59686732" w14:textId="77777777" w:rsidR="00E47260" w:rsidRPr="00E254F5" w:rsidRDefault="00E47260" w:rsidP="00CB7D04">
      <w:pPr>
        <w:pStyle w:val="FootnoteText"/>
        <w:rPr>
          <w:lang w:val="el-GR"/>
        </w:rPr>
      </w:pPr>
      <w:r w:rsidRPr="00E254F5">
        <w:rPr>
          <w:rStyle w:val="FootnoteReference"/>
          <w:szCs w:val="20"/>
        </w:rPr>
        <w:footnoteRef/>
      </w:r>
      <w:r w:rsidRPr="00E254F5">
        <w:t xml:space="preserve"> Σε ό,τι αφορά στην </w:t>
      </w:r>
      <w:r w:rsidRPr="00E254F5">
        <w:rPr>
          <w:rFonts w:eastAsia="Calibri"/>
        </w:rPr>
        <w:t xml:space="preserve">αστική ευθύνη του ιατρού που παραβιάζει τους νόμιμους όρους για το επιτρεπτό των ιατρικών πράξεων της ιατρικά υποβοηθούμενης αναπαραγωγής εφαρμογή βρίσκουν οι γενικές ερμηνευτικές αρχές για τις αστικές συνέπειες μιας παράνομης ιατρικής πράξης. Βλ. </w:t>
      </w:r>
      <w:r w:rsidRPr="00E254F5">
        <w:rPr>
          <w:rFonts w:eastAsia="Calibri"/>
          <w:i/>
        </w:rPr>
        <w:t>supra</w:t>
      </w:r>
      <w:r w:rsidRPr="00E254F5">
        <w:rPr>
          <w:rFonts w:eastAsia="Calibri"/>
        </w:rPr>
        <w:t>, υποσ.</w:t>
      </w:r>
      <w:r>
        <w:rPr>
          <w:rFonts w:eastAsia="Calibri"/>
        </w:rPr>
        <w:t xml:space="preserve"> </w:t>
      </w:r>
      <w:r>
        <w:rPr>
          <w:rFonts w:eastAsia="Calibri"/>
        </w:rPr>
        <w:fldChar w:fldCharType="begin"/>
      </w:r>
      <w:r>
        <w:rPr>
          <w:rFonts w:eastAsia="Calibri"/>
        </w:rPr>
        <w:instrText xml:space="preserve"> NOTEREF _Ref273519409 \h </w:instrText>
      </w:r>
      <w:r>
        <w:rPr>
          <w:rFonts w:eastAsia="Calibri"/>
        </w:rPr>
      </w:r>
      <w:r>
        <w:rPr>
          <w:rFonts w:eastAsia="Calibri"/>
        </w:rPr>
        <w:fldChar w:fldCharType="separate"/>
      </w:r>
      <w:r w:rsidR="00B822F0">
        <w:rPr>
          <w:rFonts w:eastAsia="Calibri"/>
        </w:rPr>
        <w:t>168</w:t>
      </w:r>
      <w:r>
        <w:rPr>
          <w:rFonts w:eastAsia="Calibri"/>
        </w:rPr>
        <w:fldChar w:fldCharType="end"/>
      </w:r>
      <w:r w:rsidRPr="00E254F5">
        <w:rPr>
          <w:rFonts w:eastAsia="Calibri"/>
        </w:rPr>
        <w:t>, σελ</w:t>
      </w:r>
      <w:r>
        <w:rPr>
          <w:rFonts w:eastAsia="Calibri"/>
        </w:rPr>
        <w:t xml:space="preserve">. </w:t>
      </w:r>
      <w:r>
        <w:rPr>
          <w:rFonts w:eastAsia="Calibri"/>
        </w:rPr>
        <w:fldChar w:fldCharType="begin"/>
      </w:r>
      <w:r>
        <w:rPr>
          <w:rFonts w:eastAsia="Calibri"/>
        </w:rPr>
        <w:instrText xml:space="preserve"> PAGEREF _Ref273519412 \h </w:instrText>
      </w:r>
      <w:r>
        <w:rPr>
          <w:rFonts w:eastAsia="Calibri"/>
        </w:rPr>
      </w:r>
      <w:r>
        <w:rPr>
          <w:rFonts w:eastAsia="Calibri"/>
        </w:rPr>
        <w:fldChar w:fldCharType="separate"/>
      </w:r>
      <w:r w:rsidR="00B822F0">
        <w:rPr>
          <w:rFonts w:eastAsia="Calibri"/>
          <w:noProof/>
        </w:rPr>
        <w:t>71</w:t>
      </w:r>
      <w:r>
        <w:rPr>
          <w:rFonts w:eastAsia="Calibri"/>
        </w:rPr>
        <w:fldChar w:fldCharType="end"/>
      </w:r>
      <w:r>
        <w:rPr>
          <w:rFonts w:eastAsia="Calibri"/>
        </w:rPr>
        <w:t xml:space="preserve">. </w:t>
      </w:r>
    </w:p>
  </w:footnote>
  <w:footnote w:id="183">
    <w:p w14:paraId="154BC5DA" w14:textId="77777777" w:rsidR="00E47260" w:rsidRPr="00724A92" w:rsidRDefault="00E47260" w:rsidP="00CB7D04">
      <w:pPr>
        <w:pStyle w:val="FootnoteText"/>
      </w:pPr>
      <w:bookmarkStart w:id="113" w:name="_Ref276564601"/>
      <w:r w:rsidRPr="00E254F5">
        <w:rPr>
          <w:rStyle w:val="FootnoteReference"/>
          <w:szCs w:val="20"/>
        </w:rPr>
        <w:footnoteRef/>
      </w:r>
      <w:r w:rsidRPr="00E254F5">
        <w:t xml:space="preserve"> Η καταφαινόμενη συγγένεια μπορεί να αποδειχθεί ιδιαιτέρως χρήσιμη σε περίπτωση που ένας εκ των δύο γονέων αποβιώσει πριν τη γέννηση του τέκνου, χωρίς να έχει προλάβει να προβεί στην αναγνώριση του τέκνου. Η προγεννητική λοιπόν καταφαινόμενη συγγένεια θα επιτρέψει στον επιζώντα γονέα να εγκαθιδρύσει τη σχέση του τέκνου του με τον αποβιώσαντα σύντροφό του, χωρίς να χρειαστεί να ασκήσει αγωγή διερεύνησης της πατρότητας. Βλ. </w:t>
      </w:r>
      <w:r w:rsidRPr="00724A92">
        <w:t xml:space="preserve">έτσι Tribunal de Grande Instance Nanterre, 8 Ιουνίου 1988, </w:t>
      </w:r>
      <w:r w:rsidRPr="00584264">
        <w:rPr>
          <w:i/>
        </w:rPr>
        <w:t>RTD civ. 1988</w:t>
      </w:r>
      <w:r w:rsidRPr="00724A92">
        <w:t xml:space="preserve">, σχόλια Rubellin-Devichi. </w:t>
      </w:r>
      <w:bookmarkEnd w:id="113"/>
    </w:p>
  </w:footnote>
  <w:footnote w:id="184">
    <w:p w14:paraId="16F20A20" w14:textId="77777777" w:rsidR="00E47260" w:rsidRPr="00E254F5" w:rsidRDefault="00E47260" w:rsidP="00CB7D04">
      <w:pPr>
        <w:pStyle w:val="FootnoteText"/>
      </w:pPr>
      <w:r w:rsidRPr="00E254F5">
        <w:rPr>
          <w:rStyle w:val="FootnoteReference"/>
          <w:szCs w:val="20"/>
        </w:rPr>
        <w:footnoteRef/>
      </w:r>
      <w:r w:rsidRPr="00E254F5">
        <w:t xml:space="preserve"> Βλ. σχετικά </w:t>
      </w:r>
      <w:r w:rsidRPr="00E254F5">
        <w:rPr>
          <w:i/>
        </w:rPr>
        <w:t>supra</w:t>
      </w:r>
      <w:r w:rsidRPr="00E254F5">
        <w:t xml:space="preserve">, σελ. </w:t>
      </w:r>
      <w:r w:rsidRPr="00E254F5">
        <w:fldChar w:fldCharType="begin"/>
      </w:r>
      <w:r w:rsidRPr="00E254F5">
        <w:instrText xml:space="preserve"> PAGEREF λόγοι_ακυρότητας \h </w:instrText>
      </w:r>
      <w:r w:rsidRPr="00E254F5">
        <w:fldChar w:fldCharType="separate"/>
      </w:r>
      <w:r w:rsidR="00B822F0">
        <w:rPr>
          <w:noProof/>
        </w:rPr>
        <w:t>81</w:t>
      </w:r>
      <w:r w:rsidRPr="00E254F5">
        <w:fldChar w:fldCharType="end"/>
      </w:r>
      <w:r w:rsidRPr="00E254F5">
        <w:t xml:space="preserve">. </w:t>
      </w:r>
    </w:p>
  </w:footnote>
  <w:footnote w:id="185">
    <w:p w14:paraId="5E7B1D81" w14:textId="77777777" w:rsidR="00E47260" w:rsidRPr="00E254F5" w:rsidRDefault="00E47260" w:rsidP="00CB7D04">
      <w:pPr>
        <w:pStyle w:val="FootnoteText"/>
      </w:pPr>
      <w:r w:rsidRPr="00E254F5">
        <w:rPr>
          <w:rStyle w:val="FootnoteReference"/>
          <w:szCs w:val="20"/>
        </w:rPr>
        <w:footnoteRef/>
      </w:r>
      <w:r w:rsidRPr="00E254F5">
        <w:t xml:space="preserve"> Βλ. </w:t>
      </w:r>
      <w:r w:rsidRPr="005C63F2">
        <w:t xml:space="preserve">έτσι Tribunal de Grande Instance de Paris, 2 Σεπτεμβρίου 1997, </w:t>
      </w:r>
      <w:r w:rsidRPr="005C63F2">
        <w:rPr>
          <w:i/>
        </w:rPr>
        <w:t>RTD civ. 1997</w:t>
      </w:r>
      <w:r w:rsidRPr="005C63F2">
        <w:t>, σελ. 919, σχόλ. Hauser, όπου ο σύζυγος της μητέρας δεν είχε</w:t>
      </w:r>
      <w:r w:rsidRPr="00E254F5">
        <w:t xml:space="preserve"> δώσει καμία συναίνεση στην ιατρικά υποβοηθούμενη αναπαραγωγή</w:t>
      </w:r>
    </w:p>
  </w:footnote>
  <w:footnote w:id="186">
    <w:p w14:paraId="3427BA53" w14:textId="77777777" w:rsidR="00E47260" w:rsidRPr="00E254F5" w:rsidRDefault="00E47260" w:rsidP="00CB7D04">
      <w:pPr>
        <w:pStyle w:val="FootnoteText"/>
      </w:pPr>
      <w:r w:rsidRPr="00E254F5">
        <w:rPr>
          <w:rStyle w:val="FootnoteReference"/>
          <w:szCs w:val="20"/>
        </w:rPr>
        <w:footnoteRef/>
      </w:r>
      <w:r w:rsidRPr="00E254F5">
        <w:t xml:space="preserve"> Βλ. αναλυτικότερα </w:t>
      </w:r>
      <w:r w:rsidRPr="00E254F5">
        <w:rPr>
          <w:i/>
        </w:rPr>
        <w:t>supra</w:t>
      </w:r>
      <w:r w:rsidRPr="00E254F5">
        <w:t xml:space="preserve">, σελ. </w:t>
      </w:r>
      <w:r w:rsidRPr="00E254F5">
        <w:fldChar w:fldCharType="begin"/>
      </w:r>
      <w:r w:rsidRPr="00E254F5">
        <w:instrText xml:space="preserve"> PAGEREF Arrete_2008 \h </w:instrText>
      </w:r>
      <w:r w:rsidRPr="00E254F5">
        <w:fldChar w:fldCharType="separate"/>
      </w:r>
      <w:r w:rsidR="00B822F0">
        <w:rPr>
          <w:noProof/>
        </w:rPr>
        <w:t>36</w:t>
      </w:r>
      <w:r w:rsidRPr="00E254F5">
        <w:fldChar w:fldCharType="end"/>
      </w:r>
      <w:r w:rsidRPr="00E254F5">
        <w:t xml:space="preserve">επ. </w:t>
      </w:r>
    </w:p>
  </w:footnote>
  <w:footnote w:id="187">
    <w:p w14:paraId="7323E189" w14:textId="2F95BFD2" w:rsidR="00E47260" w:rsidRPr="00E254F5" w:rsidRDefault="00E47260" w:rsidP="00CB7D04">
      <w:pPr>
        <w:pStyle w:val="FootnoteText"/>
      </w:pPr>
      <w:r w:rsidRPr="00E254F5">
        <w:rPr>
          <w:rStyle w:val="FootnoteReference"/>
          <w:szCs w:val="20"/>
        </w:rPr>
        <w:footnoteRef/>
      </w:r>
      <w:r w:rsidRPr="00E254F5">
        <w:t xml:space="preserve"> CA de Paris, 3 Μ</w:t>
      </w:r>
      <w:r>
        <w:t>αρτίου 2011 [αριθ.: 09/12439], μ</w:t>
      </w:r>
      <w:r w:rsidRPr="00E254F5">
        <w:t>ερι</w:t>
      </w:r>
      <w:r>
        <w:t xml:space="preserve">κή αναπαραγωγή της απόφασης σε </w:t>
      </w:r>
      <w:r w:rsidRPr="00DC56BF">
        <w:rPr>
          <w:b/>
          <w:i/>
        </w:rPr>
        <w:t>F. Granet-Lambrechts</w:t>
      </w:r>
      <w:r w:rsidRPr="00E254F5">
        <w:t xml:space="preserve">, </w:t>
      </w:r>
      <w:r>
        <w:t>«</w:t>
      </w:r>
      <w:r w:rsidRPr="00E254F5">
        <w:t>Droit de la filiation. Mars 2012-mars 2013</w:t>
      </w:r>
      <w:r>
        <w:t>»</w:t>
      </w:r>
      <w:r w:rsidRPr="00E254F5">
        <w:t xml:space="preserve">, </w:t>
      </w:r>
      <w:r w:rsidRPr="00E254F5">
        <w:rPr>
          <w:i/>
        </w:rPr>
        <w:t>Recueil Dalloz Sirey</w:t>
      </w:r>
      <w:r w:rsidRPr="00E254F5">
        <w:t>, 13.6.2013, n</w:t>
      </w:r>
      <w:r w:rsidRPr="00E254F5">
        <w:rPr>
          <w:vertAlign w:val="superscript"/>
        </w:rPr>
        <w:t xml:space="preserve">o </w:t>
      </w:r>
      <w:r w:rsidRPr="00E254F5">
        <w:t>21, σελ. 1436-1444.</w:t>
      </w:r>
    </w:p>
  </w:footnote>
  <w:footnote w:id="188">
    <w:p w14:paraId="42902760" w14:textId="6A6B4249" w:rsidR="00E47260" w:rsidRPr="00E254F5" w:rsidRDefault="00E47260" w:rsidP="00CB7D04">
      <w:pPr>
        <w:pStyle w:val="FootnoteText"/>
      </w:pPr>
      <w:r w:rsidRPr="00E254F5">
        <w:rPr>
          <w:rStyle w:val="FootnoteReference"/>
          <w:szCs w:val="20"/>
        </w:rPr>
        <w:footnoteRef/>
      </w:r>
      <w:r w:rsidRPr="00E254F5">
        <w:t xml:space="preserve"> Βλ. σχετικά </w:t>
      </w:r>
      <w:r w:rsidRPr="008D71FC">
        <w:rPr>
          <w:b/>
          <w:i/>
        </w:rPr>
        <w:t>F. Granet-Lambrechts</w:t>
      </w:r>
      <w:r w:rsidRPr="00E254F5">
        <w:t xml:space="preserve">, </w:t>
      </w:r>
      <w:r>
        <w:t>«</w:t>
      </w:r>
      <w:r w:rsidRPr="00E254F5">
        <w:t>Droit de la filiation. Mars 2012-mars 2013</w:t>
      </w:r>
      <w:r>
        <w:t>»</w:t>
      </w:r>
      <w:r w:rsidRPr="00E254F5">
        <w:t xml:space="preserve">, </w:t>
      </w:r>
      <w:r w:rsidRPr="00E254F5">
        <w:rPr>
          <w:i/>
        </w:rPr>
        <w:t>Recueil Dalloz Sirey</w:t>
      </w:r>
      <w:r w:rsidRPr="00E254F5">
        <w:t>, 13.6.2013, n</w:t>
      </w:r>
      <w:r w:rsidRPr="00E254F5">
        <w:rPr>
          <w:vertAlign w:val="superscript"/>
        </w:rPr>
        <w:t xml:space="preserve">o </w:t>
      </w:r>
      <w:r w:rsidR="00A50177">
        <w:t>21, σελ. 1436-1444</w:t>
      </w:r>
      <w:r w:rsidRPr="00E254F5">
        <w:t xml:space="preserve">; </w:t>
      </w:r>
      <w:r w:rsidRPr="00E254F5">
        <w:rPr>
          <w:i/>
        </w:rPr>
        <w:t>Droit de la Famille</w:t>
      </w:r>
      <w:r w:rsidRPr="00E254F5">
        <w:t>, 2012, Σχόλιο 8, σημείωμα</w:t>
      </w:r>
      <w:r w:rsidRPr="00E254F5">
        <w:rPr>
          <w:rStyle w:val="reference-text"/>
          <w:szCs w:val="20"/>
          <w:lang w:val="fr-FR"/>
        </w:rPr>
        <w:t xml:space="preserve"> C. Neirinck.</w:t>
      </w:r>
    </w:p>
  </w:footnote>
  <w:footnote w:id="189">
    <w:p w14:paraId="2F436937" w14:textId="77777777" w:rsidR="00E47260" w:rsidRPr="00E254F5" w:rsidRDefault="00E47260" w:rsidP="00CB7D04">
      <w:pPr>
        <w:pStyle w:val="FootnoteText"/>
      </w:pPr>
      <w:r w:rsidRPr="00E254F5">
        <w:rPr>
          <w:rStyle w:val="FootnoteReference"/>
          <w:szCs w:val="20"/>
        </w:rPr>
        <w:footnoteRef/>
      </w:r>
      <w:r w:rsidRPr="00E254F5">
        <w:t xml:space="preserve"> Χαρακτηριστική η περίπτωση της τεχνικής ICSI (</w:t>
      </w:r>
      <w:r w:rsidRPr="00E254F5">
        <w:rPr>
          <w:i/>
        </w:rPr>
        <w:t>Intracytoplasmic sperm injection</w:t>
      </w:r>
      <w:r w:rsidRPr="00E254F5">
        <w:t xml:space="preserve">), </w:t>
      </w:r>
      <w:r w:rsidRPr="00E254F5">
        <w:rPr>
          <w:lang w:val="el-GR"/>
        </w:rPr>
        <w:t>ήτοι</w:t>
      </w:r>
      <w:r w:rsidRPr="00E254F5">
        <w:t xml:space="preserve"> της μικρέγχυσης σπερματοζωαρίων στο κυτταρόπλασμα του ωαρίου, η οποία και αμφισβητήθηκε από την Εθνική Συμβουλευτική Επιτροπή Ηθικής για τις επιστήμες της ζωής και την υγεία. Βλ. CCNE, </w:t>
      </w:r>
      <w:r w:rsidRPr="00E254F5">
        <w:rPr>
          <w:i/>
        </w:rPr>
        <w:t>Questions éthiques soulevées par le développement de l'ICSI</w:t>
      </w:r>
      <w:r w:rsidRPr="00E254F5">
        <w:t>, Avis n</w:t>
      </w:r>
      <w:r w:rsidRPr="00E254F5">
        <w:rPr>
          <w:vertAlign w:val="superscript"/>
        </w:rPr>
        <w:t>o</w:t>
      </w:r>
      <w:r w:rsidRPr="00E254F5">
        <w:t xml:space="preserve"> 75, 12 décembre 2002</w:t>
      </w:r>
      <w:r>
        <w:t xml:space="preserve">, διαθέσιμη σε: </w:t>
      </w:r>
      <w:hyperlink r:id="rId82" w:history="1">
        <w:r w:rsidRPr="00E254F5">
          <w:rPr>
            <w:rStyle w:val="Hyperlink"/>
            <w:szCs w:val="20"/>
            <w:lang w:val="fr-FR"/>
          </w:rPr>
          <w:t>http://www.ccne-ethique.fr/sites/default/files/publications/avis075.pdf</w:t>
        </w:r>
      </w:hyperlink>
      <w:r>
        <w:t xml:space="preserve">. </w:t>
      </w:r>
      <w:r w:rsidRPr="00E254F5">
        <w:t xml:space="preserve"> </w:t>
      </w:r>
    </w:p>
  </w:footnote>
  <w:footnote w:id="190">
    <w:p w14:paraId="48282691" w14:textId="77777777" w:rsidR="00E47260" w:rsidRPr="00E254F5" w:rsidRDefault="00E47260" w:rsidP="00CB7D04">
      <w:pPr>
        <w:pStyle w:val="FootnoteText"/>
        <w:rPr>
          <w:b/>
        </w:rPr>
      </w:pPr>
      <w:r w:rsidRPr="00E254F5">
        <w:rPr>
          <w:rStyle w:val="FootnoteReference"/>
          <w:szCs w:val="20"/>
        </w:rPr>
        <w:footnoteRef/>
      </w:r>
      <w:r w:rsidRPr="00E254F5">
        <w:t xml:space="preserve"> </w:t>
      </w:r>
      <w:r w:rsidRPr="00E254F5">
        <w:rPr>
          <w:b/>
        </w:rPr>
        <w:t xml:space="preserve">Άρθρο L. 2141-1 ΚΔΥ </w:t>
      </w:r>
      <w:r w:rsidRPr="00E254F5">
        <w:t>(σε ισχύ σήμερα):</w:t>
      </w:r>
    </w:p>
    <w:p w14:paraId="475C5C5F" w14:textId="77777777" w:rsidR="00E47260" w:rsidRPr="00E254F5" w:rsidRDefault="00E47260" w:rsidP="00CB7D04">
      <w:pPr>
        <w:pStyle w:val="FootnoteText"/>
        <w:rPr>
          <w:i/>
        </w:rPr>
      </w:pPr>
      <w:r w:rsidRPr="00E254F5">
        <w:t xml:space="preserve">     «</w:t>
      </w:r>
      <w:r w:rsidRPr="00E254F5">
        <w:rPr>
          <w:i/>
        </w:rPr>
        <w:t>Η ιατρικά υποβοηθούμενη αναπαραγωγή περιλαμβάνει</w:t>
      </w:r>
      <w:r w:rsidRPr="00E254F5">
        <w:t xml:space="preserve"> </w:t>
      </w:r>
      <w:r w:rsidRPr="00E254F5">
        <w:rPr>
          <w:i/>
        </w:rPr>
        <w:t>τις βιολογικές και κλινικές πρακτικές που επιτρέπουν τη σύλληψη in vitro,</w:t>
      </w:r>
      <w:r w:rsidRPr="00E254F5">
        <w:t xml:space="preserve"> </w:t>
      </w:r>
      <w:r w:rsidRPr="00E254F5">
        <w:rPr>
          <w:i/>
        </w:rPr>
        <w:t>τη συντήρηση των γαμετών, των ιστών βλαστοκυττάρων και των εμβρύων, τη μεταφορά εμβρύων και την τεχνητή γονιμοποίηση. Ο κατάλογος των βιολογικών διεργασιών που χρησιμοποιούνται στην ιατρικά υποβοηθούμενη αναπαραγωγή καταρτίζεται με απόφαση του Υπουργού Υγείας κατόπιν γνώμης του Οργανισμού Βιοϊατρικής. Ένα διάταγμα του Συμβουλίου της Επικρατείας καθορίζει τους όρους και τα κριτήρια εγγραφής των διεργασιών στον κατάλογο αυτό. Τα κριτήρια αφορούν κυρίως στο σεβασμό των θεμελιωδών αρχών της βιοηθικής, όπως αυτές ορίζονται ιδίως στα άρθρα 16 έως 16-8 ΑΚ, την αποτελεσματικότητα, την αναπαραγωγικότητα της διεργασίας, καθώς επίσης και τη</w:t>
      </w:r>
      <w:r>
        <w:rPr>
          <w:i/>
        </w:rPr>
        <w:t>ν ασφάλεια της χρήσης της για τη</w:t>
      </w:r>
      <w:r w:rsidRPr="00E254F5">
        <w:rPr>
          <w:i/>
        </w:rPr>
        <w:t xml:space="preserve"> γυναίκα και το τέκνο που θα γεννηθεί. Ο Οργανισμός Βιοϊατρικής καταθέτει στον Υπουργό υγείας, εντός τριών μηνών από την έκδοση του Νόμου 2011-814 της 7</w:t>
      </w:r>
      <w:r w:rsidRPr="00E254F5">
        <w:rPr>
          <w:i/>
          <w:vertAlign w:val="superscript"/>
        </w:rPr>
        <w:t>ης</w:t>
      </w:r>
      <w:r w:rsidRPr="00E254F5">
        <w:rPr>
          <w:i/>
        </w:rPr>
        <w:t xml:space="preserve"> Ιουλίου 2011 περί Βιοηθικής, μια έκθεση που προσδιορίζει τον κατάλογο των βιολογικών διεργασιών που χρησιμοποιούνται στην ιατρικά υποβοηθούμενη αναπαραγωγή, καθώς επίσης και τους όρους και τα κριτήρια εγγραφής των διεργασιών στον κατάλογο αυτό.</w:t>
      </w:r>
    </w:p>
    <w:p w14:paraId="3D507E3B" w14:textId="77777777" w:rsidR="00E47260" w:rsidRPr="00E254F5" w:rsidRDefault="00E47260" w:rsidP="00CB7D04">
      <w:pPr>
        <w:pStyle w:val="FootnoteText"/>
        <w:rPr>
          <w:i/>
        </w:rPr>
      </w:pPr>
      <w:r w:rsidRPr="00E254F5">
        <w:rPr>
          <w:i/>
        </w:rPr>
        <w:t xml:space="preserve">     Κάθε τεχνική που αποσκοπεί στη βελτίωση της αποτελεσματικότητας, της αναπαραγωγικότητας και της ασφάλειας των διεργασιών που παρατίθενται στον κατάλογο που αναφέρεται στο πρώτο εδάφιο του παρόντος άρθρου αποτελεί αντικείμενο, πριν τη θέση της σε εφαρμογή, έγκρισης που χορηγεί ο </w:t>
      </w:r>
      <w:r>
        <w:rPr>
          <w:i/>
        </w:rPr>
        <w:t>Γενικός Διευθυντής</w:t>
      </w:r>
      <w:r w:rsidRPr="00E254F5">
        <w:rPr>
          <w:i/>
        </w:rPr>
        <w:t xml:space="preserve"> του Οργανισμού Βιοϊατρικής, κατόπιν αιτιολογημένης γνώμης του συμβουλίου προσανατολισμού του. </w:t>
      </w:r>
    </w:p>
    <w:p w14:paraId="54076F7B" w14:textId="77777777" w:rsidR="00E47260" w:rsidRPr="00E254F5" w:rsidRDefault="00E47260" w:rsidP="00CB7D04">
      <w:pPr>
        <w:pStyle w:val="FootnoteText"/>
        <w:rPr>
          <w:i/>
        </w:rPr>
      </w:pPr>
      <w:r w:rsidRPr="00E254F5">
        <w:rPr>
          <w:i/>
        </w:rPr>
        <w:t xml:space="preserve">     Εφόσον το συμβούλιο προσανατολισμού θεωρεί ότι η προταθείσα τροποποίηση δύναται να συστήσει μια νέα διεργασία, η θέση της σε εφαρμογή υπόκειται στην εγγραφή της στον κατάλογο που αναφέρεται στο πρώτο εδάφιο. </w:t>
      </w:r>
    </w:p>
    <w:p w14:paraId="3C4C978D" w14:textId="77777777" w:rsidR="00E47260" w:rsidRPr="00E254F5" w:rsidRDefault="00E47260" w:rsidP="00CB7D04">
      <w:pPr>
        <w:pStyle w:val="FootnoteText"/>
        <w:rPr>
          <w:i/>
        </w:rPr>
      </w:pPr>
      <w:r w:rsidRPr="00E254F5">
        <w:rPr>
          <w:i/>
        </w:rPr>
        <w:t xml:space="preserve">     Η τεχνική της υαλοποίησης των ωαρίων επιτρέπεται. </w:t>
      </w:r>
    </w:p>
    <w:p w14:paraId="615EDC34" w14:textId="77777777" w:rsidR="00E47260" w:rsidRPr="00E254F5" w:rsidRDefault="00E47260" w:rsidP="00CB7D04">
      <w:pPr>
        <w:pStyle w:val="FootnoteText"/>
        <w:rPr>
          <w:i/>
        </w:rPr>
      </w:pPr>
      <w:r w:rsidRPr="00E254F5">
        <w:rPr>
          <w:i/>
        </w:rPr>
        <w:t xml:space="preserve">     Η θέση σε εφαρμογή της ιατρικά υποβοηθούμενης αναπαραγωγής ευνοεί τις πρακτικές και τις διεργασίες π</w:t>
      </w:r>
      <w:r>
        <w:rPr>
          <w:i/>
        </w:rPr>
        <w:t>ου επιτρέπουν τον περιορισμό του</w:t>
      </w:r>
      <w:r w:rsidRPr="00E254F5">
        <w:rPr>
          <w:i/>
        </w:rPr>
        <w:t xml:space="preserve"> αριθμό των συντηρημένων εμβρύων. Ο Οργανισμός Βιοϊατρικής δίνει αναφορά, στην ετήσια έκθεσή του, για τις μεθόδους που χρησιμοποιούνται και τα αποτελέσματα που προκύπτουν. </w:t>
      </w:r>
    </w:p>
    <w:p w14:paraId="0F32AAE2" w14:textId="77777777" w:rsidR="00E47260" w:rsidRPr="00E254F5" w:rsidRDefault="00E47260" w:rsidP="00CB7D04">
      <w:pPr>
        <w:pStyle w:val="FootnoteText"/>
        <w:rPr>
          <w:i/>
        </w:rPr>
      </w:pPr>
      <w:r w:rsidRPr="00E254F5">
        <w:rPr>
          <w:i/>
        </w:rPr>
        <w:t xml:space="preserve">     Η διέγερση των ωοθηκών, ακόμη και όταν αυτή λαμβάνει χώρα ανεξαρτήτως της εφαρμογής τεχνικών ιατρικά υποβοηθούμενης αναπαραγωγής, υπόκειται σε κανόνες καλών πρακτικών που καθορίζονται με απόφαση του Υπουργού υγείας. </w:t>
      </w:r>
    </w:p>
    <w:p w14:paraId="25D25A79" w14:textId="77777777" w:rsidR="00E47260" w:rsidRPr="00E254F5" w:rsidRDefault="00E47260" w:rsidP="00CB7D04">
      <w:pPr>
        <w:pStyle w:val="FootnoteText"/>
        <w:rPr>
          <w:i/>
        </w:rPr>
      </w:pPr>
      <w:r w:rsidRPr="00E254F5">
        <w:rPr>
          <w:i/>
        </w:rPr>
        <w:t xml:space="preserve">     Οι κανόνες καλών πρακτικών που εφαρμόζονται στην ιατρικά υποβοηθούμενη αναπαραγωγή με τρίτο δότη ορίζονται με απόφαση του Υπουργού υγείας, η οποία εκδίδεται κατόπιν πρότασης του Οργανισμού Βιοϊατρικής</w:t>
      </w:r>
      <w:r w:rsidRPr="00E254F5">
        <w:t xml:space="preserve">». </w:t>
      </w:r>
    </w:p>
  </w:footnote>
  <w:footnote w:id="191">
    <w:p w14:paraId="11E59A8B" w14:textId="77777777" w:rsidR="00E47260" w:rsidRPr="00E254F5" w:rsidRDefault="00E47260" w:rsidP="00CB7D04">
      <w:pPr>
        <w:pStyle w:val="FootnoteText"/>
      </w:pPr>
      <w:r w:rsidRPr="00E254F5">
        <w:rPr>
          <w:rStyle w:val="FootnoteReference"/>
          <w:szCs w:val="20"/>
        </w:rPr>
        <w:footnoteRef/>
      </w:r>
      <w:r w:rsidRPr="00E254F5">
        <w:t xml:space="preserve"> Agence de la Biomédecine, Conseil d’Orientation, </w:t>
      </w:r>
      <w:r w:rsidRPr="00E254F5">
        <w:rPr>
          <w:i/>
        </w:rPr>
        <w:t>Avis sur la liste des procédés biologiques régulièrement utilisés en AMP et des techniques visant à améliorer les procédés biologiques autorisés</w:t>
      </w:r>
      <w:r w:rsidRPr="00E254F5">
        <w:t>, Délibération n</w:t>
      </w:r>
      <w:r w:rsidRPr="00E254F5">
        <w:rPr>
          <w:vertAlign w:val="superscript"/>
        </w:rPr>
        <w:t>o</w:t>
      </w:r>
      <w:r>
        <w:t xml:space="preserve"> 2012-CO-22, du 4 mai 2012, διαθέσιμη σε: </w:t>
      </w:r>
      <w:hyperlink r:id="rId83" w:history="1">
        <w:r w:rsidRPr="00E254F5">
          <w:rPr>
            <w:rStyle w:val="Hyperlink"/>
            <w:szCs w:val="20"/>
            <w:lang w:val="fr-FR"/>
          </w:rPr>
          <w:t>http://www.agence-biomedecine.fr/IMG/pdf/deliberation_04052012.pdf</w:t>
        </w:r>
      </w:hyperlink>
      <w:r w:rsidRPr="00E254F5">
        <w:t xml:space="preserve">. </w:t>
      </w:r>
    </w:p>
  </w:footnote>
  <w:footnote w:id="192">
    <w:p w14:paraId="30667E05" w14:textId="77777777" w:rsidR="00E47260" w:rsidRPr="00E254F5" w:rsidRDefault="00E47260" w:rsidP="00CB7D04">
      <w:pPr>
        <w:pStyle w:val="FootnoteText"/>
        <w:rPr>
          <w:lang w:val="el-GR"/>
        </w:rPr>
      </w:pPr>
      <w:r w:rsidRPr="00E254F5">
        <w:rPr>
          <w:rStyle w:val="FootnoteReference"/>
          <w:szCs w:val="20"/>
        </w:rPr>
        <w:footnoteRef/>
      </w:r>
      <w:r w:rsidRPr="00E254F5">
        <w:t xml:space="preserve"> Πρώην άρθρο L. 152-6 ΚΔΥ. </w:t>
      </w:r>
    </w:p>
  </w:footnote>
  <w:footnote w:id="193">
    <w:p w14:paraId="66FD5025" w14:textId="77777777" w:rsidR="00E47260" w:rsidRPr="00E254F5" w:rsidRDefault="00E47260" w:rsidP="00CB7D04">
      <w:pPr>
        <w:pStyle w:val="FootnoteText"/>
        <w:rPr>
          <w:lang w:val="el-GR"/>
        </w:rPr>
      </w:pPr>
      <w:r w:rsidRPr="00E254F5">
        <w:rPr>
          <w:rStyle w:val="FootnoteReference"/>
          <w:szCs w:val="20"/>
        </w:rPr>
        <w:footnoteRef/>
      </w:r>
      <w:r w:rsidRPr="00E254F5">
        <w:t xml:space="preserve"> Πρώην άρθρο L. 152-4 και 5 ΚΔΥ. </w:t>
      </w:r>
    </w:p>
  </w:footnote>
  <w:footnote w:id="194">
    <w:p w14:paraId="1EF87C7A"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Fonts w:eastAsia="Calibri"/>
        </w:rPr>
        <w:t>ΙΙ.2 του Παραρτήματος της Υπουργικής απόφασης της 11</w:t>
      </w:r>
      <w:r w:rsidRPr="00E254F5">
        <w:rPr>
          <w:rFonts w:eastAsia="Calibri"/>
          <w:vertAlign w:val="superscript"/>
        </w:rPr>
        <w:t>ης</w:t>
      </w:r>
      <w:r w:rsidRPr="00E254F5">
        <w:rPr>
          <w:rFonts w:eastAsia="Calibri"/>
        </w:rPr>
        <w:t xml:space="preserve"> Απριλίου 2008 σχετικά με τους κανόνες καλών κλινικών και βιολογικών πρακτικών</w:t>
      </w:r>
      <w:r>
        <w:rPr>
          <w:rFonts w:eastAsia="Calibri"/>
        </w:rPr>
        <w:t xml:space="preserve"> στην</w:t>
      </w:r>
      <w:r w:rsidRPr="00E254F5">
        <w:rPr>
          <w:rFonts w:eastAsia="Calibri"/>
        </w:rPr>
        <w:t xml:space="preserve"> ιατρικά υποβοηθ</w:t>
      </w:r>
      <w:r>
        <w:rPr>
          <w:rFonts w:eastAsia="Calibri"/>
        </w:rPr>
        <w:t>ούμενη αναπαραγωγή</w:t>
      </w:r>
      <w:r w:rsidRPr="00E254F5">
        <w:rPr>
          <w:rFonts w:eastAsia="Calibri"/>
        </w:rPr>
        <w:t xml:space="preserve">. </w:t>
      </w:r>
    </w:p>
  </w:footnote>
  <w:footnote w:id="195">
    <w:p w14:paraId="3DCC106A" w14:textId="77777777" w:rsidR="00E47260" w:rsidRPr="00E254F5" w:rsidRDefault="00E47260" w:rsidP="00CB7D04">
      <w:pPr>
        <w:pStyle w:val="FootnoteText"/>
      </w:pPr>
      <w:r w:rsidRPr="00E254F5">
        <w:rPr>
          <w:rStyle w:val="FootnoteReference"/>
          <w:szCs w:val="20"/>
        </w:rPr>
        <w:footnoteRef/>
      </w:r>
      <w:r w:rsidRPr="00E254F5">
        <w:t xml:space="preserve"> Ειδική μνεία γίνεται στο σημείο αυτό </w:t>
      </w:r>
      <w:r>
        <w:t>σ</w:t>
      </w:r>
      <w:r w:rsidRPr="00E254F5">
        <w:t xml:space="preserve">την κατάργηση από το νομοθέτη του 2011 της υποχρέωσης του υποβοηθούμενου ζευγαριού να προσκομίζει την απόδειξη κοινού βίου για τουλάχιστο δύο χρόνια. Βλ. </w:t>
      </w:r>
      <w:r w:rsidRPr="00E254F5">
        <w:rPr>
          <w:i/>
        </w:rPr>
        <w:t>supra</w:t>
      </w:r>
      <w:r w:rsidRPr="00E254F5">
        <w:t xml:space="preserve">, σελ. </w:t>
      </w:r>
      <w:r w:rsidRPr="00E254F5">
        <w:fldChar w:fldCharType="begin"/>
      </w:r>
      <w:r w:rsidRPr="00E254F5">
        <w:instrText xml:space="preserve"> PAGEREF δύο_χρόνια_κοινού_βίου \h </w:instrText>
      </w:r>
      <w:r w:rsidRPr="00E254F5">
        <w:fldChar w:fldCharType="separate"/>
      </w:r>
      <w:r w:rsidR="00B822F0">
        <w:rPr>
          <w:noProof/>
        </w:rPr>
        <w:t>50</w:t>
      </w:r>
      <w:r w:rsidRPr="00E254F5">
        <w:fldChar w:fldCharType="end"/>
      </w:r>
      <w:r w:rsidRPr="00E254F5">
        <w:t xml:space="preserve">. </w:t>
      </w:r>
    </w:p>
  </w:footnote>
  <w:footnote w:id="196">
    <w:p w14:paraId="589E7FE8" w14:textId="77777777" w:rsidR="00E47260" w:rsidRPr="00EE4056" w:rsidRDefault="00E47260" w:rsidP="00710478">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197">
    <w:p w14:paraId="539DD979" w14:textId="77777777" w:rsidR="00E47260" w:rsidRPr="001D59D2" w:rsidRDefault="00E47260" w:rsidP="00710478">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198">
    <w:p w14:paraId="69ACC9E7" w14:textId="77777777" w:rsidR="00E47260" w:rsidRPr="00E254F5" w:rsidRDefault="00E47260" w:rsidP="00710478">
      <w:pPr>
        <w:pStyle w:val="FootnoteText"/>
        <w:rPr>
          <w:lang w:val="el-GR"/>
        </w:rPr>
      </w:pPr>
      <w:r w:rsidRPr="00E254F5">
        <w:rPr>
          <w:rStyle w:val="FootnoteReference"/>
          <w:szCs w:val="20"/>
        </w:rPr>
        <w:footnoteRef/>
      </w:r>
      <w:r w:rsidRPr="00E254F5">
        <w:t xml:space="preserve"> Σε ό,τι αφορά στην </w:t>
      </w:r>
      <w:r w:rsidRPr="00E254F5">
        <w:rPr>
          <w:rFonts w:eastAsia="Calibri"/>
        </w:rPr>
        <w:t xml:space="preserve">αστική ευθύνη του ιατρού που παραβιάζει τους νόμιμους όρους για το επιτρεπτό των ιατρικών πράξεων της ιατρικά υποβοηθούμενης αναπαραγωγής εφαρμογή βρίσκουν οι γενικές ερμηνευτικές αρχές για τις αστικές συνέπειες μιας παράνομης ιατρικής πράξης. Βλ. </w:t>
      </w:r>
      <w:r w:rsidRPr="00E254F5">
        <w:rPr>
          <w:rFonts w:eastAsia="Calibri"/>
          <w:i/>
        </w:rPr>
        <w:t>supra</w:t>
      </w:r>
      <w:r w:rsidRPr="00E254F5">
        <w:rPr>
          <w:rFonts w:eastAsia="Calibri"/>
        </w:rPr>
        <w:t xml:space="preserve">, υποσ. </w:t>
      </w:r>
      <w:r w:rsidRPr="00E254F5">
        <w:rPr>
          <w:rFonts w:eastAsia="Calibri"/>
        </w:rPr>
        <w:fldChar w:fldCharType="begin"/>
      </w:r>
      <w:r w:rsidRPr="00E254F5">
        <w:rPr>
          <w:rFonts w:eastAsia="Calibri"/>
        </w:rPr>
        <w:instrText xml:space="preserve"> NOTEREF _Ref273519409 \h </w:instrText>
      </w:r>
      <w:r w:rsidRPr="00E254F5">
        <w:rPr>
          <w:rFonts w:eastAsia="Calibri"/>
        </w:rPr>
      </w:r>
      <w:r w:rsidRPr="00E254F5">
        <w:rPr>
          <w:rFonts w:eastAsia="Calibri"/>
        </w:rPr>
        <w:fldChar w:fldCharType="separate"/>
      </w:r>
      <w:r w:rsidR="00B822F0">
        <w:rPr>
          <w:rFonts w:eastAsia="Calibri"/>
        </w:rPr>
        <w:t>168</w:t>
      </w:r>
      <w:r w:rsidRPr="00E254F5">
        <w:rPr>
          <w:rFonts w:eastAsia="Calibri"/>
        </w:rPr>
        <w:fldChar w:fldCharType="end"/>
      </w:r>
      <w:r w:rsidRPr="00E254F5">
        <w:rPr>
          <w:rFonts w:eastAsia="Calibri"/>
        </w:rPr>
        <w:t xml:space="preserve">, σελ. </w:t>
      </w:r>
      <w:r w:rsidRPr="00E254F5">
        <w:rPr>
          <w:rFonts w:eastAsia="Calibri"/>
        </w:rPr>
        <w:fldChar w:fldCharType="begin"/>
      </w:r>
      <w:r w:rsidRPr="00E254F5">
        <w:rPr>
          <w:rFonts w:eastAsia="Calibri"/>
        </w:rPr>
        <w:instrText xml:space="preserve"> PAGEREF _Ref273519412 \h </w:instrText>
      </w:r>
      <w:r w:rsidRPr="00E254F5">
        <w:rPr>
          <w:rFonts w:eastAsia="Calibri"/>
        </w:rPr>
      </w:r>
      <w:r w:rsidRPr="00E254F5">
        <w:rPr>
          <w:rFonts w:eastAsia="Calibri"/>
        </w:rPr>
        <w:fldChar w:fldCharType="separate"/>
      </w:r>
      <w:r w:rsidR="00B822F0">
        <w:rPr>
          <w:rFonts w:eastAsia="Calibri"/>
          <w:noProof/>
        </w:rPr>
        <w:t>71</w:t>
      </w:r>
      <w:r w:rsidRPr="00E254F5">
        <w:rPr>
          <w:rFonts w:eastAsia="Calibri"/>
        </w:rPr>
        <w:fldChar w:fldCharType="end"/>
      </w:r>
      <w:r w:rsidRPr="00E254F5">
        <w:rPr>
          <w:rFonts w:eastAsia="Calibri"/>
        </w:rPr>
        <w:t xml:space="preserve">. </w:t>
      </w:r>
    </w:p>
  </w:footnote>
  <w:footnote w:id="199">
    <w:p w14:paraId="24CA7FAE" w14:textId="40340064" w:rsidR="00E47260" w:rsidRPr="00E254F5" w:rsidRDefault="00E47260" w:rsidP="00710478">
      <w:pPr>
        <w:pStyle w:val="FootnoteText"/>
        <w:rPr>
          <w:lang w:val="el-GR"/>
        </w:rPr>
      </w:pPr>
      <w:r w:rsidRPr="00E254F5">
        <w:rPr>
          <w:rStyle w:val="FootnoteReference"/>
          <w:szCs w:val="20"/>
        </w:rPr>
        <w:footnoteRef/>
      </w:r>
      <w:r w:rsidRPr="00E254F5">
        <w:t xml:space="preserve"> Για την καταφαινόμενη συγγένεια βλ. </w:t>
      </w:r>
      <w:r w:rsidRPr="00E254F5">
        <w:rPr>
          <w:i/>
        </w:rPr>
        <w:t>supra</w:t>
      </w:r>
      <w:r w:rsidRPr="00E254F5">
        <w:t>,  υποσημ.</w:t>
      </w:r>
      <w:r>
        <w:t xml:space="preserve"> </w:t>
      </w:r>
      <w:r>
        <w:fldChar w:fldCharType="begin"/>
      </w:r>
      <w:r>
        <w:instrText xml:space="preserve"> NOTEREF _Ref273459966 \h </w:instrText>
      </w:r>
      <w:r>
        <w:fldChar w:fldCharType="separate"/>
      </w:r>
      <w:r w:rsidR="00B822F0">
        <w:t>183</w:t>
      </w:r>
      <w:r>
        <w:fldChar w:fldCharType="end"/>
      </w:r>
      <w:r w:rsidRPr="00E254F5">
        <w:t xml:space="preserve">, σελ. </w:t>
      </w:r>
      <w:r>
        <w:fldChar w:fldCharType="begin"/>
      </w:r>
      <w:r>
        <w:instrText xml:space="preserve"> PAGEREF _Ref276564601 \h </w:instrText>
      </w:r>
      <w:r>
        <w:fldChar w:fldCharType="separate"/>
      </w:r>
      <w:r w:rsidR="00B822F0">
        <w:rPr>
          <w:noProof/>
        </w:rPr>
        <w:t>84</w:t>
      </w:r>
      <w:r>
        <w:fldChar w:fldCharType="end"/>
      </w:r>
      <w:r>
        <w:t xml:space="preserve">. </w:t>
      </w:r>
    </w:p>
  </w:footnote>
  <w:footnote w:id="200">
    <w:p w14:paraId="07910B1C" w14:textId="77777777" w:rsidR="00E47260" w:rsidRPr="00E254F5" w:rsidRDefault="00E47260" w:rsidP="00710478">
      <w:pPr>
        <w:pStyle w:val="FootnoteText"/>
        <w:rPr>
          <w:lang w:val="el-GR"/>
        </w:rPr>
      </w:pPr>
      <w:r w:rsidRPr="00E254F5">
        <w:rPr>
          <w:rStyle w:val="FootnoteReference"/>
          <w:szCs w:val="20"/>
        </w:rPr>
        <w:footnoteRef/>
      </w:r>
      <w:r w:rsidRPr="00E254F5">
        <w:t xml:space="preserve"> Για περισσότερες λεπτομέρειες βλ. </w:t>
      </w:r>
      <w:r w:rsidRPr="00E254F5">
        <w:rPr>
          <w:i/>
        </w:rPr>
        <w:t>supra</w:t>
      </w:r>
      <w:r w:rsidRPr="00E254F5">
        <w:t xml:space="preserve">, σελ. </w:t>
      </w:r>
      <w:r w:rsidRPr="00E254F5">
        <w:fldChar w:fldCharType="begin"/>
      </w:r>
      <w:r w:rsidRPr="00E254F5">
        <w:instrText xml:space="preserve"> PAGEREF αστικέςσυνέπειες \h </w:instrText>
      </w:r>
      <w:r w:rsidRPr="00E254F5">
        <w:fldChar w:fldCharType="separate"/>
      </w:r>
      <w:r w:rsidR="00B822F0">
        <w:rPr>
          <w:noProof/>
        </w:rPr>
        <w:t>83</w:t>
      </w:r>
      <w:r w:rsidRPr="00E254F5">
        <w:fldChar w:fldCharType="end"/>
      </w:r>
      <w:r w:rsidRPr="00E254F5">
        <w:t xml:space="preserve">επ. </w:t>
      </w:r>
    </w:p>
  </w:footnote>
  <w:footnote w:id="201">
    <w:p w14:paraId="6263DCEE" w14:textId="77777777" w:rsidR="00E47260" w:rsidRPr="00E254F5" w:rsidRDefault="00E47260" w:rsidP="00CB7D04">
      <w:pPr>
        <w:pStyle w:val="FootnoteText"/>
      </w:pPr>
      <w:r w:rsidRPr="00E254F5">
        <w:rPr>
          <w:rStyle w:val="FootnoteReference"/>
          <w:szCs w:val="20"/>
        </w:rPr>
        <w:footnoteRef/>
      </w:r>
      <w:r w:rsidRPr="00E254F5">
        <w:t xml:space="preserve"> </w:t>
      </w:r>
      <w:r w:rsidRPr="00C63078">
        <w:rPr>
          <w:rStyle w:val="Strong"/>
          <w:b w:val="0"/>
          <w:bCs w:val="0"/>
          <w:szCs w:val="20"/>
          <w:lang w:val="fr-FR"/>
        </w:rPr>
        <w:t xml:space="preserve">Loi n° 2004-800 du 6 août 2004 relative à la bioéthique, διαθέσιμος σε : </w:t>
      </w:r>
      <w:hyperlink r:id="rId84" w:history="1">
        <w:r w:rsidRPr="00C63078">
          <w:rPr>
            <w:rStyle w:val="Hyperlink"/>
            <w:bCs/>
            <w:szCs w:val="20"/>
            <w:lang w:val="fr-FR"/>
          </w:rPr>
          <w:t>http://www.legifrance.gouv.fr/affichTexte.do?cidTexte=JORFTEXT000000441469</w:t>
        </w:r>
      </w:hyperlink>
      <w:r w:rsidRPr="00C63078">
        <w:rPr>
          <w:rStyle w:val="Strong"/>
          <w:b w:val="0"/>
          <w:bCs w:val="0"/>
          <w:szCs w:val="20"/>
          <w:lang w:val="fr-FR"/>
        </w:rPr>
        <w:t>.</w:t>
      </w:r>
      <w:r w:rsidRPr="00E254F5">
        <w:rPr>
          <w:rStyle w:val="Strong"/>
          <w:b w:val="0"/>
          <w:spacing w:val="-16"/>
          <w:szCs w:val="20"/>
          <w:lang w:val="fr-FR"/>
        </w:rPr>
        <w:t xml:space="preserve"> </w:t>
      </w:r>
    </w:p>
  </w:footnote>
  <w:footnote w:id="202">
    <w:p w14:paraId="2C1F734C"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Υποστηρίζεται, μάλιστα, ότι η διαδικασία λήψης ωαρίων ενέχει κίνδυνο στειρότητας για τη γυναίκα-δότη. </w:t>
      </w:r>
    </w:p>
  </w:footnote>
  <w:footnote w:id="203">
    <w:p w14:paraId="4D970679"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Βλ. σχετικά </w:t>
      </w:r>
      <w:r w:rsidRPr="00E254F5">
        <w:rPr>
          <w:i/>
        </w:rPr>
        <w:t>supra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υπερταχεία \h </w:instrText>
      </w:r>
      <w:r w:rsidRPr="00E254F5">
        <w:rPr>
          <w:lang w:val="el-GR"/>
        </w:rPr>
      </w:r>
      <w:r w:rsidRPr="00E254F5">
        <w:rPr>
          <w:lang w:val="el-GR"/>
        </w:rPr>
        <w:fldChar w:fldCharType="separate"/>
      </w:r>
      <w:r w:rsidR="00B822F0">
        <w:rPr>
          <w:noProof/>
          <w:lang w:val="el-GR"/>
        </w:rPr>
        <w:t>88</w:t>
      </w:r>
      <w:r w:rsidRPr="00E254F5">
        <w:rPr>
          <w:lang w:val="el-GR"/>
        </w:rPr>
        <w:fldChar w:fldCharType="end"/>
      </w:r>
      <w:r w:rsidRPr="00E254F5">
        <w:rPr>
          <w:lang w:val="el-GR"/>
        </w:rPr>
        <w:t xml:space="preserve">. </w:t>
      </w:r>
    </w:p>
  </w:footnote>
  <w:footnote w:id="204">
    <w:p w14:paraId="35E01DF5"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Όπως, λ.χ., την υποβοηθούμενη αναπαραγωγή σε μοναχικές άγαμες γυναίκες ή σε χήρες.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747. </w:t>
      </w:r>
    </w:p>
  </w:footnote>
  <w:footnote w:id="205">
    <w:p w14:paraId="72D5A378" w14:textId="7C3603F9" w:rsidR="00E47260" w:rsidRPr="00B26AB4" w:rsidRDefault="00E47260">
      <w:pPr>
        <w:pStyle w:val="FootnoteText"/>
        <w:rPr>
          <w:lang w:val="el-GR"/>
        </w:rPr>
      </w:pPr>
      <w:r>
        <w:rPr>
          <w:rStyle w:val="FootnoteReference"/>
        </w:rPr>
        <w:footnoteRef/>
      </w:r>
      <w:r>
        <w:t xml:space="preserve"> </w:t>
      </w:r>
      <w:r w:rsidRPr="00B26AB4">
        <w:rPr>
          <w:b/>
          <w:i/>
        </w:rPr>
        <w:t>Fl. Taboulet</w:t>
      </w:r>
      <w:r>
        <w:t xml:space="preserve">, </w:t>
      </w:r>
      <w:r w:rsidRPr="00E254F5">
        <w:t>«</w:t>
      </w:r>
      <w:r>
        <w:t>Don d’ovocytes et tourisme procréatif: comment sortir de l’impasse?</w:t>
      </w:r>
      <w:r w:rsidRPr="00E254F5">
        <w:t>»,</w:t>
      </w:r>
      <w:r>
        <w:t xml:space="preserve"> </w:t>
      </w:r>
      <w:r w:rsidRPr="00B26AB4">
        <w:rPr>
          <w:i/>
        </w:rPr>
        <w:t>Médécine et Droit</w:t>
      </w:r>
      <w:r>
        <w:t>, 1.3.</w:t>
      </w:r>
      <w:r w:rsidRPr="00566602">
        <w:t>2014</w:t>
      </w:r>
      <w:r>
        <w:t>, n</w:t>
      </w:r>
      <w:r w:rsidRPr="00566602">
        <w:rPr>
          <w:vertAlign w:val="superscript"/>
        </w:rPr>
        <w:t>o</w:t>
      </w:r>
      <w:r>
        <w:t xml:space="preserve"> 125,  </w:t>
      </w:r>
      <w:r>
        <w:rPr>
          <w:lang w:val="el-GR"/>
        </w:rPr>
        <w:t xml:space="preserve">σελ. 41. </w:t>
      </w:r>
    </w:p>
  </w:footnote>
  <w:footnote w:id="206">
    <w:p w14:paraId="71EA1D36"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Ενδιαφέρον παρουσιάζ</w:t>
      </w:r>
      <w:r>
        <w:rPr>
          <w:lang w:val="el-GR"/>
        </w:rPr>
        <w:t>ει η σύγκριση που επιχειρείται μεταξύ τ</w:t>
      </w:r>
      <w:r w:rsidRPr="00E254F5">
        <w:rPr>
          <w:lang w:val="el-GR"/>
        </w:rPr>
        <w:t xml:space="preserve">ης αυστηρότητας του νομοθέτη στο επίμαχο σημείο του κειμένου </w:t>
      </w:r>
      <w:r>
        <w:rPr>
          <w:lang w:val="el-GR"/>
        </w:rPr>
        <w:t xml:space="preserve">και </w:t>
      </w:r>
      <w:r w:rsidRPr="00E254F5">
        <w:rPr>
          <w:lang w:val="el-GR"/>
        </w:rPr>
        <w:t>τη</w:t>
      </w:r>
      <w:r>
        <w:rPr>
          <w:lang w:val="el-GR"/>
        </w:rPr>
        <w:t>ς</w:t>
      </w:r>
      <w:r w:rsidRPr="00E254F5">
        <w:rPr>
          <w:lang w:val="el-GR"/>
        </w:rPr>
        <w:t xml:space="preserve"> χρήση</w:t>
      </w:r>
      <w:r>
        <w:rPr>
          <w:lang w:val="el-GR"/>
        </w:rPr>
        <w:t>ς</w:t>
      </w:r>
      <w:r w:rsidRPr="00E254F5">
        <w:rPr>
          <w:lang w:val="el-GR"/>
        </w:rPr>
        <w:t xml:space="preserve"> αντισύλληψης ή τη διακοπή</w:t>
      </w:r>
      <w:r>
        <w:rPr>
          <w:lang w:val="el-GR"/>
        </w:rPr>
        <w:t>ς</w:t>
      </w:r>
      <w:r w:rsidRPr="00E254F5">
        <w:rPr>
          <w:lang w:val="el-GR"/>
        </w:rPr>
        <w:t xml:space="preserve"> κύησης, στα οποία δεν είναι αναγκαία καμία συναίνεση του συντρόφου. 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748. </w:t>
      </w:r>
    </w:p>
  </w:footnote>
  <w:footnote w:id="207">
    <w:p w14:paraId="3D6F9F52" w14:textId="2346EDAE" w:rsidR="00E47260" w:rsidRPr="00E254F5" w:rsidRDefault="00E47260" w:rsidP="00CB7D04">
      <w:pPr>
        <w:pStyle w:val="FootnoteText"/>
        <w:rPr>
          <w:lang w:val="el-GR"/>
        </w:rPr>
      </w:pPr>
      <w:r w:rsidRPr="00E254F5">
        <w:rPr>
          <w:rStyle w:val="FootnoteReference"/>
          <w:szCs w:val="20"/>
        </w:rPr>
        <w:footnoteRef/>
      </w:r>
      <w:r w:rsidRPr="00E254F5">
        <w:t xml:space="preserve"> Doc. AN n</w:t>
      </w:r>
      <w:r w:rsidRPr="00E254F5">
        <w:rPr>
          <w:vertAlign w:val="superscript"/>
        </w:rPr>
        <w:t>o</w:t>
      </w:r>
      <w:r w:rsidRPr="00E254F5">
        <w:t xml:space="preserve"> 3111, </w:t>
      </w:r>
      <w:r w:rsidRPr="00E254F5">
        <w:rPr>
          <w:i/>
        </w:rPr>
        <w:t>Rapport de la mission d’information</w:t>
      </w:r>
      <w:r w:rsidRPr="00E254F5">
        <w:t xml:space="preserve">, 26 janvier 2011, σελ. 54. </w:t>
      </w:r>
      <w:r w:rsidR="005E3396" w:rsidRPr="00ED1ECB">
        <w:t xml:space="preserve">Inspection </w:t>
      </w:r>
      <w:r w:rsidR="005E3396">
        <w:t xml:space="preserve">Générale des Affaires Sociales (IGAS), </w:t>
      </w:r>
      <w:r w:rsidR="005E3396">
        <w:rPr>
          <w:i/>
        </w:rPr>
        <w:t>É</w:t>
      </w:r>
      <w:r w:rsidR="005E3396" w:rsidRPr="00ED1ECB">
        <w:rPr>
          <w:i/>
        </w:rPr>
        <w:t>tat des lieux et perspectives du don d'ovocytes en France</w:t>
      </w:r>
      <w:r w:rsidR="005E3396">
        <w:t xml:space="preserve">, </w:t>
      </w:r>
      <w:r w:rsidR="005E3396" w:rsidRPr="005E3396">
        <w:rPr>
          <w:i/>
        </w:rPr>
        <w:t>op.cit.,</w:t>
      </w:r>
      <w:r w:rsidR="005E3396">
        <w:t xml:space="preserve"> σελ. 5</w:t>
      </w:r>
      <w:r w:rsidR="005E3396">
        <w:rPr>
          <w:lang w:val="el-GR"/>
        </w:rPr>
        <w:t>.</w:t>
      </w:r>
    </w:p>
  </w:footnote>
  <w:footnote w:id="208">
    <w:p w14:paraId="10E29941" w14:textId="0C921118" w:rsidR="00915E5C" w:rsidRPr="00915E5C" w:rsidRDefault="00915E5C">
      <w:pPr>
        <w:pStyle w:val="FootnoteText"/>
        <w:rPr>
          <w:lang w:val="el-GR"/>
        </w:rPr>
      </w:pPr>
      <w:r>
        <w:rPr>
          <w:rStyle w:val="FootnoteReference"/>
        </w:rPr>
        <w:footnoteRef/>
      </w:r>
      <w:r>
        <w:t xml:space="preserve"> </w:t>
      </w:r>
      <w:r>
        <w:rPr>
          <w:lang w:val="el-GR"/>
        </w:rPr>
        <w:t xml:space="preserve">Η θεματική του αναπαραγωγικού τουρισμού θα αναπτυχθεί εκτενώς στο κεφάλαιο </w:t>
      </w:r>
      <w:r>
        <w:t>IX</w:t>
      </w:r>
      <w:r>
        <w:rPr>
          <w:lang w:val="el-GR"/>
        </w:rPr>
        <w:t xml:space="preserve"> της παρούσας Έκθεσης, βλ. </w:t>
      </w:r>
      <w:r w:rsidRPr="00915E5C">
        <w:rPr>
          <w:i/>
        </w:rPr>
        <w:t>infra</w:t>
      </w:r>
      <w:r>
        <w:t xml:space="preserve">, </w:t>
      </w:r>
      <w:r>
        <w:rPr>
          <w:lang w:val="el-GR"/>
        </w:rPr>
        <w:t xml:space="preserve">σελ. </w:t>
      </w:r>
      <w:r>
        <w:rPr>
          <w:lang w:val="el-GR"/>
        </w:rPr>
        <w:fldChar w:fldCharType="begin"/>
      </w:r>
      <w:r>
        <w:rPr>
          <w:lang w:val="el-GR"/>
        </w:rPr>
        <w:instrText xml:space="preserve"> PAGEREF _Ref276574105 \h </w:instrText>
      </w:r>
      <w:r>
        <w:rPr>
          <w:lang w:val="el-GR"/>
        </w:rPr>
      </w:r>
      <w:r>
        <w:rPr>
          <w:lang w:val="el-GR"/>
        </w:rPr>
        <w:fldChar w:fldCharType="separate"/>
      </w:r>
      <w:r w:rsidR="00B822F0">
        <w:rPr>
          <w:noProof/>
          <w:lang w:val="el-GR"/>
        </w:rPr>
        <w:t>187</w:t>
      </w:r>
      <w:r>
        <w:rPr>
          <w:lang w:val="el-GR"/>
        </w:rPr>
        <w:fldChar w:fldCharType="end"/>
      </w:r>
      <w:r>
        <w:rPr>
          <w:lang w:val="el-GR"/>
        </w:rPr>
        <w:t xml:space="preserve">επ. </w:t>
      </w:r>
    </w:p>
  </w:footnote>
  <w:footnote w:id="209">
    <w:p w14:paraId="7F1AB008" w14:textId="77777777" w:rsidR="00E47260" w:rsidRPr="004D4769" w:rsidRDefault="00E47260" w:rsidP="002860F6">
      <w:pPr>
        <w:pStyle w:val="FootnoteText"/>
        <w:rPr>
          <w:lang w:val="el-GR"/>
        </w:rPr>
      </w:pPr>
      <w:r>
        <w:rPr>
          <w:rStyle w:val="FootnoteReference"/>
        </w:rPr>
        <w:footnoteRef/>
      </w:r>
      <w:r>
        <w:t xml:space="preserve"> </w:t>
      </w:r>
      <w:r>
        <w:rPr>
          <w:lang w:val="el-GR"/>
        </w:rPr>
        <w:t xml:space="preserve">Βλ. </w:t>
      </w:r>
      <w:r w:rsidRPr="004D4769">
        <w:rPr>
          <w:i/>
        </w:rPr>
        <w:t>supra</w:t>
      </w:r>
      <w:r>
        <w:t xml:space="preserve">, </w:t>
      </w:r>
      <w:r>
        <w:rPr>
          <w:lang w:val="el-GR"/>
        </w:rPr>
        <w:t xml:space="preserve">σελ. </w:t>
      </w:r>
      <w:r>
        <w:rPr>
          <w:lang w:val="el-GR"/>
        </w:rPr>
        <w:fldChar w:fldCharType="begin"/>
      </w:r>
      <w:r>
        <w:rPr>
          <w:lang w:val="el-GR"/>
        </w:rPr>
        <w:instrText xml:space="preserve"> PAGEREF εισαγωγή_23127 \h </w:instrText>
      </w:r>
      <w:r>
        <w:rPr>
          <w:lang w:val="el-GR"/>
        </w:rPr>
      </w:r>
      <w:r>
        <w:rPr>
          <w:lang w:val="el-GR"/>
        </w:rPr>
        <w:fldChar w:fldCharType="separate"/>
      </w:r>
      <w:r w:rsidR="00B822F0">
        <w:rPr>
          <w:noProof/>
          <w:lang w:val="el-GR"/>
        </w:rPr>
        <w:t>4</w:t>
      </w:r>
      <w:r>
        <w:rPr>
          <w:lang w:val="el-GR"/>
        </w:rPr>
        <w:fldChar w:fldCharType="end"/>
      </w:r>
      <w:r>
        <w:rPr>
          <w:lang w:val="el-GR"/>
        </w:rPr>
        <w:t xml:space="preserve">. </w:t>
      </w:r>
    </w:p>
  </w:footnote>
  <w:footnote w:id="210">
    <w:p w14:paraId="3DE02D00" w14:textId="77777777" w:rsidR="00E47260" w:rsidRPr="00E73584" w:rsidRDefault="00E47260" w:rsidP="002860F6">
      <w:pPr>
        <w:pStyle w:val="FootnoteText"/>
        <w:rPr>
          <w:lang w:val="el-GR"/>
        </w:rPr>
      </w:pPr>
      <w:r>
        <w:rPr>
          <w:rStyle w:val="FootnoteReference"/>
        </w:rPr>
        <w:footnoteRef/>
      </w:r>
      <w:r>
        <w:t xml:space="preserve"> Agence de la Biomédecine, «Chiffres de l’Agence de la Biomédecine sur l’AMP et le don de gamètes en France en 2011», 11.7.2013, διαθέσιμο σε: </w:t>
      </w:r>
      <w:hyperlink r:id="rId85" w:history="1">
        <w:r w:rsidRPr="00E82B5B">
          <w:rPr>
            <w:rStyle w:val="Hyperlink"/>
          </w:rPr>
          <w:t>http://www.agence-biomedecine.fr/Chiffres-de-l-Agence-de-la</w:t>
        </w:r>
      </w:hyperlink>
      <w:r>
        <w:t xml:space="preserve">. </w:t>
      </w:r>
    </w:p>
  </w:footnote>
  <w:footnote w:id="211">
    <w:p w14:paraId="53F152BC" w14:textId="27529AEA" w:rsidR="00E47260" w:rsidRPr="00AF522B" w:rsidRDefault="00E47260">
      <w:pPr>
        <w:pStyle w:val="FootnoteText"/>
        <w:rPr>
          <w:lang w:val="el-GR"/>
        </w:rPr>
      </w:pPr>
      <w:r>
        <w:rPr>
          <w:rStyle w:val="FootnoteReference"/>
        </w:rPr>
        <w:footnoteRef/>
      </w:r>
      <w:r>
        <w:t xml:space="preserve"> </w:t>
      </w:r>
      <w:r>
        <w:rPr>
          <w:lang w:val="el-GR"/>
        </w:rPr>
        <w:t xml:space="preserve">Βλ. επίσης Πίνακα 4, σελ. </w:t>
      </w:r>
      <w:r>
        <w:rPr>
          <w:lang w:val="el-GR"/>
        </w:rPr>
        <w:fldChar w:fldCharType="begin"/>
      </w:r>
      <w:r>
        <w:rPr>
          <w:lang w:val="el-GR"/>
        </w:rPr>
        <w:instrText xml:space="preserve"> PAGEREF πίνακας_4 \h </w:instrText>
      </w:r>
      <w:r>
        <w:rPr>
          <w:lang w:val="el-GR"/>
        </w:rPr>
      </w:r>
      <w:r>
        <w:rPr>
          <w:lang w:val="el-GR"/>
        </w:rPr>
        <w:fldChar w:fldCharType="separate"/>
      </w:r>
      <w:r w:rsidR="00B822F0">
        <w:rPr>
          <w:noProof/>
          <w:lang w:val="el-GR"/>
        </w:rPr>
        <w:t>91</w:t>
      </w:r>
      <w:r>
        <w:rPr>
          <w:lang w:val="el-GR"/>
        </w:rPr>
        <w:fldChar w:fldCharType="end"/>
      </w:r>
      <w:r>
        <w:rPr>
          <w:lang w:val="el-GR"/>
        </w:rPr>
        <w:t xml:space="preserve">. </w:t>
      </w:r>
    </w:p>
  </w:footnote>
  <w:footnote w:id="212">
    <w:p w14:paraId="32D7643D" w14:textId="77777777" w:rsidR="00E47260" w:rsidRPr="00477555" w:rsidRDefault="00E47260" w:rsidP="008E5EAD">
      <w:pPr>
        <w:pStyle w:val="FootnoteText"/>
        <w:rPr>
          <w:lang w:val="el-GR"/>
        </w:rPr>
      </w:pPr>
      <w:r>
        <w:rPr>
          <w:rStyle w:val="FootnoteReference"/>
        </w:rPr>
        <w:footnoteRef/>
      </w:r>
      <w:r>
        <w:t xml:space="preserve"> </w:t>
      </w:r>
      <w:r w:rsidRPr="00E254F5">
        <w:t xml:space="preserve">Agence de la Biomédecine, </w:t>
      </w:r>
      <w:r>
        <w:rPr>
          <w:i/>
        </w:rPr>
        <w:t>Rapport annuel 2012</w:t>
      </w:r>
      <w:r w:rsidRPr="00E254F5">
        <w:rPr>
          <w:i/>
        </w:rPr>
        <w:t>,</w:t>
      </w:r>
      <w:r>
        <w:rPr>
          <w:i/>
        </w:rPr>
        <w:t xml:space="preserve"> </w:t>
      </w:r>
      <w:r>
        <w:rPr>
          <w:lang w:val="el-GR"/>
        </w:rPr>
        <w:t xml:space="preserve">σελ. 67, διαθέσιμο σε: </w:t>
      </w:r>
      <w:hyperlink r:id="rId86" w:history="1">
        <w:r w:rsidRPr="00E26F00">
          <w:rPr>
            <w:rStyle w:val="Hyperlink"/>
            <w:lang w:val="el-GR"/>
          </w:rPr>
          <w:t>https://asp.zone-secure.net/v2/index.jsp?id=324/9403/49317&amp;lng=fr</w:t>
        </w:r>
      </w:hyperlink>
      <w:r>
        <w:rPr>
          <w:lang w:val="el-GR"/>
        </w:rPr>
        <w:t xml:space="preserve">. </w:t>
      </w:r>
    </w:p>
  </w:footnote>
  <w:footnote w:id="213">
    <w:p w14:paraId="2F71C725" w14:textId="372A1AE9" w:rsidR="00E47260" w:rsidRPr="00ED1ECB" w:rsidRDefault="00E47260" w:rsidP="00114C13">
      <w:pPr>
        <w:pStyle w:val="FootnoteText"/>
        <w:rPr>
          <w:rFonts w:ascii="Times" w:hAnsi="Times"/>
          <w:szCs w:val="20"/>
          <w:lang w:val="el-GR"/>
        </w:rPr>
      </w:pPr>
      <w:r>
        <w:rPr>
          <w:rStyle w:val="FootnoteReference"/>
        </w:rPr>
        <w:footnoteRef/>
      </w:r>
      <w:r>
        <w:t xml:space="preserve"> </w:t>
      </w:r>
      <w:r w:rsidR="009C0B11" w:rsidRPr="00ED1ECB">
        <w:t xml:space="preserve">Inspection </w:t>
      </w:r>
      <w:r w:rsidR="009C0B11">
        <w:t xml:space="preserve">Générale des Affaires Sociales (IGAS), </w:t>
      </w:r>
      <w:r w:rsidR="009C0B11">
        <w:rPr>
          <w:i/>
        </w:rPr>
        <w:t>É</w:t>
      </w:r>
      <w:r w:rsidR="009C0B11" w:rsidRPr="00ED1ECB">
        <w:rPr>
          <w:i/>
        </w:rPr>
        <w:t>tat des lieux et perspectives du don d'ovocytes en France</w:t>
      </w:r>
      <w:r w:rsidR="009C0B11">
        <w:t xml:space="preserve">, </w:t>
      </w:r>
      <w:r w:rsidR="009C0B11" w:rsidRPr="005E3396">
        <w:rPr>
          <w:i/>
        </w:rPr>
        <w:t>op.cit.,</w:t>
      </w:r>
      <w:r w:rsidR="009C0B11">
        <w:t xml:space="preserve"> σελ. </w:t>
      </w:r>
      <w:r w:rsidR="00F45907">
        <w:t>4</w:t>
      </w:r>
      <w:r>
        <w:rPr>
          <w:lang w:val="el-GR"/>
        </w:rPr>
        <w:t xml:space="preserve">. </w:t>
      </w:r>
    </w:p>
  </w:footnote>
  <w:footnote w:id="214">
    <w:p w14:paraId="7E3FEC9E"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b/>
          <w:i/>
        </w:rPr>
        <w:t>A.-M. Leroyer</w:t>
      </w:r>
      <w:r w:rsidRPr="00E254F5">
        <w:t xml:space="preserve">, </w:t>
      </w:r>
      <w:r w:rsidRPr="00E254F5">
        <w:rPr>
          <w:i/>
        </w:rPr>
        <w:t>Droit de la famille</w:t>
      </w:r>
      <w:r w:rsidRPr="00E254F5">
        <w:t xml:space="preserve">, </w:t>
      </w:r>
      <w:r w:rsidRPr="00E254F5">
        <w:rPr>
          <w:i/>
        </w:rPr>
        <w:t>op.cit.,</w:t>
      </w:r>
      <w:r w:rsidRPr="00E254F5">
        <w:t xml:space="preserve"> σελ. 296. </w:t>
      </w:r>
    </w:p>
  </w:footnote>
  <w:footnote w:id="215">
    <w:p w14:paraId="756575D0" w14:textId="77777777" w:rsidR="00E47260" w:rsidRPr="00E254F5" w:rsidRDefault="00E47260" w:rsidP="00CB7D04">
      <w:pPr>
        <w:pStyle w:val="FootnoteText"/>
        <w:rPr>
          <w:lang w:val="el-GR"/>
        </w:rPr>
      </w:pPr>
      <w:r w:rsidRPr="00E254F5">
        <w:rPr>
          <w:rStyle w:val="FootnoteReference"/>
          <w:szCs w:val="20"/>
        </w:rPr>
        <w:footnoteRef/>
      </w:r>
      <w:r w:rsidRPr="00E254F5">
        <w:t xml:space="preserve"> Βλ. </w:t>
      </w:r>
      <w:r w:rsidRPr="00E254F5">
        <w:rPr>
          <w:i/>
        </w:rPr>
        <w:t xml:space="preserve">infra </w:t>
      </w:r>
      <w:r w:rsidRPr="00E254F5">
        <w:t xml:space="preserve">στη σχετική θεματική ενότητα, </w:t>
      </w:r>
      <w:r w:rsidRPr="00E254F5">
        <w:rPr>
          <w:lang w:val="el-GR"/>
        </w:rPr>
        <w:t xml:space="preserve">σελ. </w:t>
      </w:r>
      <w:r w:rsidRPr="00E254F5">
        <w:rPr>
          <w:lang w:val="el-GR"/>
        </w:rPr>
        <w:fldChar w:fldCharType="begin"/>
      </w:r>
      <w:r w:rsidRPr="00E254F5">
        <w:rPr>
          <w:lang w:val="el-GR"/>
        </w:rPr>
        <w:instrText xml:space="preserve"> PAGEREF _Ref273469758 \h </w:instrText>
      </w:r>
      <w:r w:rsidRPr="00E254F5">
        <w:rPr>
          <w:lang w:val="el-GR"/>
        </w:rPr>
      </w:r>
      <w:r w:rsidRPr="00E254F5">
        <w:rPr>
          <w:lang w:val="el-GR"/>
        </w:rPr>
        <w:fldChar w:fldCharType="separate"/>
      </w:r>
      <w:r w:rsidR="00B822F0">
        <w:rPr>
          <w:noProof/>
          <w:lang w:val="el-GR"/>
        </w:rPr>
        <w:t>184</w:t>
      </w:r>
      <w:r w:rsidRPr="00E254F5">
        <w:rPr>
          <w:lang w:val="el-GR"/>
        </w:rPr>
        <w:fldChar w:fldCharType="end"/>
      </w:r>
      <w:r w:rsidRPr="00E254F5">
        <w:rPr>
          <w:lang w:val="el-GR"/>
        </w:rPr>
        <w:t xml:space="preserve">επ. </w:t>
      </w:r>
    </w:p>
  </w:footnote>
  <w:footnote w:id="216">
    <w:p w14:paraId="506595B0"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Σχετικά με την αρχή της ανωνυμίας του δότη βλ. επίσης </w:t>
      </w:r>
      <w:r w:rsidRPr="00E254F5">
        <w:rPr>
          <w:i/>
        </w:rPr>
        <w:t>infra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_Ref274843385 \h </w:instrText>
      </w:r>
      <w:r w:rsidRPr="00E254F5">
        <w:rPr>
          <w:lang w:val="el-GR"/>
        </w:rPr>
      </w:r>
      <w:r w:rsidRPr="00E254F5">
        <w:rPr>
          <w:lang w:val="el-GR"/>
        </w:rPr>
        <w:fldChar w:fldCharType="separate"/>
      </w:r>
      <w:r w:rsidR="00B822F0">
        <w:rPr>
          <w:noProof/>
          <w:lang w:val="el-GR"/>
        </w:rPr>
        <w:t>184</w:t>
      </w:r>
      <w:r w:rsidRPr="00E254F5">
        <w:rPr>
          <w:lang w:val="el-GR"/>
        </w:rPr>
        <w:fldChar w:fldCharType="end"/>
      </w:r>
      <w:r w:rsidRPr="00E254F5">
        <w:rPr>
          <w:lang w:val="el-GR"/>
        </w:rPr>
        <w:t xml:space="preserve">επ. </w:t>
      </w:r>
    </w:p>
  </w:footnote>
  <w:footnote w:id="217">
    <w:p w14:paraId="642C54C8"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9336DE">
        <w:rPr>
          <w:b/>
          <w:i/>
        </w:rPr>
        <w:t>A. Mirkovic</w:t>
      </w:r>
      <w:r w:rsidRPr="00E254F5">
        <w:t xml:space="preserve">, «Statut de l’Embryon, la question interdite», </w:t>
      </w:r>
      <w:r w:rsidRPr="00E254F5">
        <w:rPr>
          <w:i/>
        </w:rPr>
        <w:t>JCP G Semaine Juridique</w:t>
      </w:r>
      <w:r w:rsidRPr="00E254F5">
        <w:t>, 25.1.2010, n</w:t>
      </w:r>
      <w:r w:rsidRPr="00E254F5">
        <w:rPr>
          <w:vertAlign w:val="superscript"/>
        </w:rPr>
        <w:t>o</w:t>
      </w:r>
      <w:r w:rsidRPr="00E254F5">
        <w:t xml:space="preserve"> 4, </w:t>
      </w:r>
      <w:r w:rsidRPr="00E254F5">
        <w:rPr>
          <w:lang w:val="el-GR"/>
        </w:rPr>
        <w:t xml:space="preserve">σελ. 177-182. </w:t>
      </w:r>
    </w:p>
  </w:footnote>
  <w:footnote w:id="218">
    <w:p w14:paraId="13BD6050" w14:textId="77777777" w:rsidR="00E47260" w:rsidRPr="00DB2790" w:rsidRDefault="00E47260" w:rsidP="00CB7D04">
      <w:pPr>
        <w:pStyle w:val="FootnoteText"/>
      </w:pPr>
      <w:r w:rsidRPr="005F1440">
        <w:rPr>
          <w:rStyle w:val="FootnoteReference"/>
          <w:szCs w:val="20"/>
        </w:rPr>
        <w:footnoteRef/>
      </w:r>
      <w:r w:rsidRPr="005F1440">
        <w:t xml:space="preserve"> Βλ. </w:t>
      </w:r>
      <w:r w:rsidRPr="00DB2790">
        <w:t xml:space="preserve">σχετικά Eρωτηματολόγιο [3.2], </w:t>
      </w:r>
      <w:r w:rsidRPr="00DB2790">
        <w:rPr>
          <w:i/>
        </w:rPr>
        <w:t xml:space="preserve">op.cit., </w:t>
      </w:r>
      <w:r w:rsidRPr="00DB2790">
        <w:t>σημ. ΙI, 3.2, σελ. 5.</w:t>
      </w:r>
    </w:p>
  </w:footnote>
  <w:footnote w:id="219">
    <w:p w14:paraId="6324A6DD" w14:textId="77777777" w:rsidR="00E47260" w:rsidRPr="00E254F5" w:rsidRDefault="00E47260" w:rsidP="00CB7D04">
      <w:pPr>
        <w:pStyle w:val="FootnoteText"/>
      </w:pPr>
      <w:r w:rsidRPr="00DB2790">
        <w:rPr>
          <w:rStyle w:val="FootnoteReference"/>
          <w:b/>
          <w:szCs w:val="20"/>
        </w:rPr>
        <w:footnoteRef/>
      </w:r>
      <w:r w:rsidRPr="00DB2790">
        <w:t xml:space="preserve"> Βλ. σχετικά Eρωτηματολόγιο [3.4], </w:t>
      </w:r>
      <w:r w:rsidRPr="00DB2790">
        <w:rPr>
          <w:i/>
        </w:rPr>
        <w:t>op.cit.</w:t>
      </w:r>
      <w:r w:rsidRPr="00DB2790">
        <w:t xml:space="preserve">, σημ. ΙΙ, 3.2. σελ. 5 και Eρωτηματολόγιο [3.3], </w:t>
      </w:r>
      <w:r w:rsidRPr="00DB2790">
        <w:rPr>
          <w:i/>
        </w:rPr>
        <w:t>op.cit.</w:t>
      </w:r>
      <w:r w:rsidRPr="00DB2790">
        <w:t>, σημ. ΙΙ, 3.2, σελ. 6.</w:t>
      </w:r>
    </w:p>
  </w:footnote>
  <w:footnote w:id="220">
    <w:p w14:paraId="10226945" w14:textId="77777777" w:rsidR="00E47260" w:rsidRPr="00322336" w:rsidRDefault="00E47260" w:rsidP="00CB7D04">
      <w:pPr>
        <w:pStyle w:val="FootnoteText"/>
      </w:pPr>
      <w:r w:rsidRPr="00E254F5">
        <w:rPr>
          <w:rStyle w:val="FootnoteReference"/>
          <w:szCs w:val="20"/>
        </w:rPr>
        <w:footnoteRef/>
      </w:r>
      <w:r w:rsidRPr="00E254F5">
        <w:t xml:space="preserve"> Βλ. </w:t>
      </w:r>
      <w:r w:rsidRPr="00322336">
        <w:t xml:space="preserve">σχετικά Eρωτηματολόγιο [3.7], </w:t>
      </w:r>
      <w:r w:rsidRPr="00322336">
        <w:rPr>
          <w:i/>
        </w:rPr>
        <w:t>op.cit.</w:t>
      </w:r>
      <w:r w:rsidRPr="00322336">
        <w:t xml:space="preserve">, σημ. ΙΙ, 3.1 έως 3.3, σελ. 7. </w:t>
      </w:r>
    </w:p>
  </w:footnote>
  <w:footnote w:id="221">
    <w:p w14:paraId="132D2EA5" w14:textId="5DE06065" w:rsidR="00E47260" w:rsidRPr="00E254F5" w:rsidRDefault="00E47260" w:rsidP="00CB7D04">
      <w:pPr>
        <w:pStyle w:val="FootnoteText"/>
        <w:rPr>
          <w:lang w:val="el-GR"/>
        </w:rPr>
      </w:pPr>
      <w:r w:rsidRPr="00322336">
        <w:rPr>
          <w:rStyle w:val="FootnoteReference"/>
          <w:szCs w:val="20"/>
        </w:rPr>
        <w:footnoteRef/>
      </w:r>
      <w:r w:rsidRPr="00322336">
        <w:t xml:space="preserve"> CCass, 1</w:t>
      </w:r>
      <w:r w:rsidRPr="00322336">
        <w:rPr>
          <w:vertAlign w:val="superscript"/>
        </w:rPr>
        <w:t>e</w:t>
      </w:r>
      <w:r w:rsidRPr="00322336">
        <w:t xml:space="preserve"> Civile, 19</w:t>
      </w:r>
      <w:r w:rsidRPr="00E254F5">
        <w:t xml:space="preserve"> Ιανουαρίου 2012 [αριθ. αίτησης ανα</w:t>
      </w:r>
      <w:r>
        <w:t>ίρεσης: 11-40089], διαθέσιμη σε</w:t>
      </w:r>
      <w:r w:rsidRPr="00E254F5">
        <w:t xml:space="preserve"> Legifrance – Δη</w:t>
      </w:r>
      <w:r>
        <w:t xml:space="preserve">μόσια Υπηρεσία Διάδοσης Δικαίου, </w:t>
      </w:r>
      <w:hyperlink r:id="rId87" w:history="1">
        <w:r w:rsidRPr="00E254F5">
          <w:rPr>
            <w:rStyle w:val="Hyperlink"/>
            <w:szCs w:val="20"/>
          </w:rPr>
          <w:t>http://www.legifrance.gouv.fr/affichJuriJudi.do?oldAction=rechJuriJudi&amp;idTexte=JURITEXT000025183407&amp;fastReqId=1014847580&amp;fastPos=7</w:t>
        </w:r>
      </w:hyperlink>
      <w:r w:rsidRPr="00E254F5">
        <w:t>.</w:t>
      </w:r>
    </w:p>
  </w:footnote>
  <w:footnote w:id="222">
    <w:p w14:paraId="47633AB8" w14:textId="77777777" w:rsidR="00E47260" w:rsidRPr="00E254F5" w:rsidRDefault="00E47260" w:rsidP="00CB7D04">
      <w:pPr>
        <w:pStyle w:val="FootnoteText"/>
        <w:rPr>
          <w:lang w:val="el-GR"/>
        </w:rPr>
      </w:pPr>
      <w:r w:rsidRPr="00E254F5">
        <w:rPr>
          <w:rStyle w:val="FootnoteReference"/>
          <w:szCs w:val="20"/>
        </w:rPr>
        <w:footnoteRef/>
      </w:r>
      <w:r w:rsidRPr="00E254F5">
        <w:t xml:space="preserve"> Αυτό συνιστά </w:t>
      </w:r>
      <w:r w:rsidRPr="00E254F5">
        <w:rPr>
          <w:iCs/>
        </w:rPr>
        <w:t xml:space="preserve">μία εν των 3 προϋποθέσεων που πρέπει να συντρέχουν προκειμένου να διαβιβαστεί η </w:t>
      </w:r>
      <w:r w:rsidRPr="00E254F5">
        <w:rPr>
          <w:i/>
        </w:rPr>
        <w:t>QPC</w:t>
      </w:r>
      <w:r w:rsidRPr="00E254F5">
        <w:t xml:space="preserve"> στο συνταγματικό δικαστή. </w:t>
      </w:r>
    </w:p>
  </w:footnote>
  <w:footnote w:id="223">
    <w:p w14:paraId="44D08953"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πληροφορίες σχετικά με την από 19 Ιανουαρίου 2012 απόφαση του Ανώτατου Ακυρωτικού Δικαστηρίου βλ. </w:t>
      </w:r>
      <w:r w:rsidRPr="00E254F5">
        <w:rPr>
          <w:b/>
          <w:i/>
        </w:rPr>
        <w:t>J.-C. Galloux</w:t>
      </w:r>
      <w:r w:rsidRPr="00E254F5">
        <w:t xml:space="preserve">, </w:t>
      </w:r>
      <w:r w:rsidRPr="005C1794">
        <w:rPr>
          <w:b/>
          <w:i/>
        </w:rPr>
        <w:t>H. Gaumont-Prat</w:t>
      </w:r>
      <w:r w:rsidRPr="00E254F5">
        <w:t>, «Droit et libertés corporelles</w:t>
      </w:r>
      <w:r>
        <w:t>»</w:t>
      </w:r>
      <w:r w:rsidRPr="00E254F5">
        <w:t xml:space="preserve">, </w:t>
      </w:r>
      <w:r w:rsidRPr="00E254F5">
        <w:rPr>
          <w:i/>
        </w:rPr>
        <w:t>Recueil Dalloz Sirey</w:t>
      </w:r>
      <w:r w:rsidRPr="00E254F5">
        <w:t>, 14.3.2013, n</w:t>
      </w:r>
      <w:r w:rsidRPr="00E254F5">
        <w:rPr>
          <w:vertAlign w:val="superscript"/>
        </w:rPr>
        <w:t xml:space="preserve">o </w:t>
      </w:r>
      <w:r w:rsidRPr="00E254F5">
        <w:t xml:space="preserve">10, σελ. 663-675; </w:t>
      </w:r>
      <w:r w:rsidRPr="00E254F5">
        <w:rPr>
          <w:b/>
          <w:i/>
        </w:rPr>
        <w:t>A. Mirkovic</w:t>
      </w:r>
      <w:r w:rsidRPr="00E254F5">
        <w:t xml:space="preserve">, </w:t>
      </w:r>
      <w:r>
        <w:t>«</w:t>
      </w:r>
      <w:r w:rsidRPr="00E254F5">
        <w:t>Interdiction du double du don de gamètes: déjà déclarée conforme à la Constitution... Circulez, il n'y a rien à dire!; Note sous Cour de cassation, première Chambre civile, 19 janvier 2012, pourvoi numéro 11-40.089</w:t>
      </w:r>
      <w:r>
        <w:t>»</w:t>
      </w:r>
      <w:r w:rsidRPr="00E254F5">
        <w:rPr>
          <w:i/>
        </w:rPr>
        <w:t>, La Gazette du Palais</w:t>
      </w:r>
      <w:r w:rsidRPr="00E254F5">
        <w:t>, 22.6.2012, n</w:t>
      </w:r>
      <w:r w:rsidRPr="00E254F5">
        <w:rPr>
          <w:vertAlign w:val="superscript"/>
        </w:rPr>
        <w:t>o</w:t>
      </w:r>
      <w:r w:rsidRPr="00E254F5">
        <w:t xml:space="preserve"> 174-175, σελ. 12-13; </w:t>
      </w:r>
      <w:r w:rsidRPr="00E254F5">
        <w:rPr>
          <w:b/>
          <w:i/>
        </w:rPr>
        <w:t>Ch. Byk</w:t>
      </w:r>
      <w:r w:rsidRPr="00E254F5">
        <w:t xml:space="preserve">, </w:t>
      </w:r>
      <w:r>
        <w:t>«</w:t>
      </w:r>
      <w:r w:rsidRPr="00E254F5">
        <w:t>Bioéthique</w:t>
      </w:r>
      <w:r>
        <w:t>»</w:t>
      </w:r>
      <w:r w:rsidRPr="00E254F5">
        <w:t xml:space="preserve">, </w:t>
      </w:r>
      <w:r w:rsidRPr="00E254F5">
        <w:rPr>
          <w:i/>
        </w:rPr>
        <w:t>JCP G Semaine Juridique</w:t>
      </w:r>
      <w:r w:rsidRPr="00E254F5">
        <w:t>, 18.6.2012, n</w:t>
      </w:r>
      <w:r w:rsidRPr="00E254F5">
        <w:rPr>
          <w:vertAlign w:val="superscript"/>
        </w:rPr>
        <w:t>o</w:t>
      </w:r>
      <w:r w:rsidRPr="00E254F5">
        <w:t xml:space="preserve"> 25, σελ. 1233-1239; </w:t>
      </w:r>
      <w:r w:rsidRPr="00E254F5">
        <w:rPr>
          <w:b/>
          <w:i/>
        </w:rPr>
        <w:t>F. Granet-Lambrechts</w:t>
      </w:r>
      <w:r w:rsidRPr="00E254F5">
        <w:t xml:space="preserve">, </w:t>
      </w:r>
      <w:r>
        <w:t>«</w:t>
      </w:r>
      <w:r w:rsidRPr="00E254F5">
        <w:t xml:space="preserve">Droit de la filiation. Avril 2011-février 2012», </w:t>
      </w:r>
      <w:r w:rsidRPr="00E254F5">
        <w:rPr>
          <w:i/>
        </w:rPr>
        <w:t>Recueil Dalloz Sirey</w:t>
      </w:r>
      <w:r w:rsidRPr="00E254F5">
        <w:t>, 7.6.2012, n</w:t>
      </w:r>
      <w:r w:rsidRPr="00E254F5">
        <w:rPr>
          <w:vertAlign w:val="superscript"/>
        </w:rPr>
        <w:t xml:space="preserve">o </w:t>
      </w:r>
      <w:r w:rsidRPr="00E254F5">
        <w:t xml:space="preserve">22, σελ. 1432-1439; </w:t>
      </w:r>
      <w:r w:rsidRPr="00E254F5">
        <w:rPr>
          <w:b/>
          <w:i/>
        </w:rPr>
        <w:t>J. Hauser</w:t>
      </w:r>
      <w:r w:rsidRPr="00E254F5">
        <w:t xml:space="preserve">, </w:t>
      </w:r>
      <w:r>
        <w:t>«</w:t>
      </w:r>
      <w:r w:rsidRPr="00E254F5">
        <w:t>Procréations médicalement assistées: pas de QPC; Note sous Cour de cassation, première Chambre civile, 19 janvier 2012, pourvoi numéro 11-40.089 et Cour de cassation, première Chambre civile, 15 février 2012, pourvoi numéro 11-22.111 et 11.22.237</w:t>
      </w:r>
      <w:r>
        <w:t>»</w:t>
      </w:r>
      <w:r w:rsidRPr="00E254F5">
        <w:t xml:space="preserve">, </w:t>
      </w:r>
      <w:r w:rsidRPr="00E254F5">
        <w:rPr>
          <w:i/>
        </w:rPr>
        <w:t>Revue Trimestrielle de Droit Civil</w:t>
      </w:r>
      <w:r w:rsidRPr="00E254F5">
        <w:t>, 1.4.2012, n</w:t>
      </w:r>
      <w:r w:rsidRPr="00E254F5">
        <w:rPr>
          <w:vertAlign w:val="superscript"/>
        </w:rPr>
        <w:t>o</w:t>
      </w:r>
      <w:r w:rsidRPr="00E254F5">
        <w:t xml:space="preserve"> 2, σελ. 303.</w:t>
      </w:r>
    </w:p>
  </w:footnote>
  <w:footnote w:id="224">
    <w:p w14:paraId="0F30FEE3" w14:textId="77777777" w:rsidR="00E47260" w:rsidRPr="00E254F5" w:rsidRDefault="00E47260" w:rsidP="00CB7D04">
      <w:pPr>
        <w:pStyle w:val="FootnoteText"/>
        <w:rPr>
          <w:lang w:val="el-GR"/>
        </w:rPr>
      </w:pPr>
      <w:r w:rsidRPr="00E254F5">
        <w:rPr>
          <w:rStyle w:val="FootnoteReference"/>
          <w:szCs w:val="20"/>
        </w:rPr>
        <w:footnoteRef/>
      </w:r>
      <w:r w:rsidRPr="00E254F5">
        <w:t xml:space="preserve"> CC, Déc. n</w:t>
      </w:r>
      <w:r w:rsidRPr="00E254F5">
        <w:rPr>
          <w:vertAlign w:val="superscript"/>
        </w:rPr>
        <w:t>o</w:t>
      </w:r>
      <w:r w:rsidRPr="00E254F5">
        <w:t xml:space="preserve"> 94-343/344 DC, 27 Ιουλίου 1994, </w:t>
      </w:r>
      <w:r w:rsidRPr="00E254F5">
        <w:rPr>
          <w:i/>
        </w:rPr>
        <w:t xml:space="preserve">Νόμος σχετικά με το σεβασμό του </w:t>
      </w:r>
      <w:r>
        <w:rPr>
          <w:i/>
        </w:rPr>
        <w:t>ανθρωπίνου</w:t>
      </w:r>
      <w:r w:rsidRPr="00E254F5">
        <w:rPr>
          <w:i/>
        </w:rPr>
        <w:t xml:space="preserve"> σώματος και Νόμος σχετικά με τη δωρεά και τη χρήση των στοιχείων και προϊόντων του </w:t>
      </w:r>
      <w:r>
        <w:rPr>
          <w:i/>
        </w:rPr>
        <w:t>ανθρωπίνου</w:t>
      </w:r>
      <w:r w:rsidRPr="00E254F5">
        <w:rPr>
          <w:i/>
        </w:rPr>
        <w:t xml:space="preserve"> σώματος, την ΙΥΑ και την προγεννητική διάγνωση</w:t>
      </w:r>
      <w:r w:rsidRPr="00E254F5">
        <w:t>, Επίσημη Εφημερίδα 29</w:t>
      </w:r>
      <w:r w:rsidRPr="00E254F5">
        <w:rPr>
          <w:vertAlign w:val="superscript"/>
        </w:rPr>
        <w:t>ης</w:t>
      </w:r>
      <w:r w:rsidRPr="00E254F5">
        <w:t xml:space="preserve"> Ιουλίου 1994, σελ. 11024, διαθέσιμη στην Επίσημη Ιστο</w:t>
      </w:r>
      <w:r>
        <w:t xml:space="preserve">σελίδα Συνταγματικού Συμβουλίου, </w:t>
      </w:r>
      <w:hyperlink r:id="rId88" w:history="1">
        <w:r w:rsidRPr="00E254F5">
          <w:rPr>
            <w:rStyle w:val="Hyperlink"/>
            <w:szCs w:val="20"/>
          </w:rPr>
          <w:t>http://www.conseil-constitutionnel.fr/conseil-constitutionnel/francais/les-decisions/acces-par-date/decisions-depuis-1959/1994/94-343/344-dc/decision-n-94-343-344-dc-du-27-juillet-1994.10566.html</w:t>
        </w:r>
      </w:hyperlink>
      <w:r w:rsidRPr="00E254F5">
        <w:t>.</w:t>
      </w:r>
    </w:p>
  </w:footnote>
  <w:footnote w:id="225">
    <w:p w14:paraId="65AEF3C0" w14:textId="77777777" w:rsidR="00E47260" w:rsidRPr="00E254F5" w:rsidRDefault="00E47260" w:rsidP="00CB7D04">
      <w:pPr>
        <w:pStyle w:val="FootnoteText"/>
      </w:pPr>
      <w:r w:rsidRPr="00E254F5">
        <w:rPr>
          <w:rStyle w:val="FootnoteReference"/>
          <w:szCs w:val="20"/>
        </w:rPr>
        <w:footnoteRef/>
      </w:r>
      <w:r w:rsidRPr="00E254F5">
        <w:t xml:space="preserve"> Ο κατάλογος των σχολιασμών της εξαιρετικά σημαντικής αυτής απόφασης του Συνταγματικού Συμβουλίου είναι μακρύς. Ενδεικτικά αναφέρονται: </w:t>
      </w:r>
      <w:r w:rsidRPr="00E254F5">
        <w:rPr>
          <w:lang w:eastAsia="el-GR"/>
        </w:rPr>
        <w:t>«</w:t>
      </w:r>
      <w:r w:rsidRPr="00E254F5">
        <w:t xml:space="preserve">Commentaire des lois», </w:t>
      </w:r>
      <w:r w:rsidRPr="00E254F5">
        <w:rPr>
          <w:i/>
        </w:rPr>
        <w:t>Dictionnaire Permanent Bioéthique et Biotechnologies</w:t>
      </w:r>
      <w:r w:rsidRPr="00E254F5">
        <w:t xml:space="preserve">, </w:t>
      </w:r>
      <w:r>
        <w:t>Éd.</w:t>
      </w:r>
      <w:r w:rsidRPr="00E254F5">
        <w:t xml:space="preserve"> législatives, Montrouge, 1er septembre 1994 (bull. 10); </w:t>
      </w:r>
      <w:r w:rsidRPr="00E254F5">
        <w:rPr>
          <w:b/>
          <w:i/>
          <w:lang w:eastAsia="el-GR"/>
        </w:rPr>
        <w:t>B. Mathieu</w:t>
      </w:r>
      <w:r w:rsidRPr="00E254F5">
        <w:rPr>
          <w:lang w:eastAsia="el-GR"/>
        </w:rPr>
        <w:t xml:space="preserve">, </w:t>
      </w:r>
      <w:r>
        <w:rPr>
          <w:lang w:eastAsia="el-GR"/>
        </w:rPr>
        <w:t>«</w:t>
      </w:r>
      <w:r w:rsidRPr="00E254F5">
        <w:rPr>
          <w:lang w:eastAsia="el-GR"/>
        </w:rPr>
        <w:t xml:space="preserve">Bioéthique: un juge constitutionnel réservé face aux défis de la science», </w:t>
      </w:r>
      <w:r w:rsidRPr="00E254F5">
        <w:rPr>
          <w:i/>
          <w:lang w:eastAsia="el-GR"/>
        </w:rPr>
        <w:t>Revue française de droit administratif</w:t>
      </w:r>
      <w:r w:rsidRPr="00E254F5">
        <w:rPr>
          <w:lang w:eastAsia="el-GR"/>
        </w:rPr>
        <w:t>, 9.10.</w:t>
      </w:r>
      <w:r w:rsidRPr="00E254F5">
        <w:rPr>
          <w:iCs/>
          <w:lang w:eastAsia="el-GR"/>
        </w:rPr>
        <w:t>1994, n</w:t>
      </w:r>
      <w:r w:rsidRPr="00E254F5">
        <w:rPr>
          <w:iCs/>
          <w:vertAlign w:val="superscript"/>
          <w:lang w:eastAsia="el-GR"/>
        </w:rPr>
        <w:t>o</w:t>
      </w:r>
      <w:r w:rsidRPr="00E254F5">
        <w:rPr>
          <w:iCs/>
          <w:lang w:eastAsia="el-GR"/>
        </w:rPr>
        <w:t xml:space="preserve"> 5, σελ. 1019-1032</w:t>
      </w:r>
      <w:r w:rsidRPr="00E254F5">
        <w:rPr>
          <w:lang w:eastAsia="el-GR"/>
        </w:rPr>
        <w:t xml:space="preserve">; </w:t>
      </w:r>
      <w:r w:rsidRPr="00E254F5">
        <w:rPr>
          <w:b/>
          <w:i/>
          <w:lang w:eastAsia="el-GR"/>
        </w:rPr>
        <w:t>Ch. Byk</w:t>
      </w:r>
      <w:r w:rsidRPr="00E254F5">
        <w:rPr>
          <w:lang w:eastAsia="el-GR"/>
        </w:rPr>
        <w:t xml:space="preserve">, «La loi relative au respect du corps humain», </w:t>
      </w:r>
      <w:r w:rsidRPr="00E254F5">
        <w:rPr>
          <w:i/>
          <w:lang w:eastAsia="el-GR"/>
        </w:rPr>
        <w:t>JCP G Semaine juridique</w:t>
      </w:r>
      <w:r w:rsidRPr="00E254F5">
        <w:rPr>
          <w:lang w:eastAsia="el-GR"/>
        </w:rPr>
        <w:t xml:space="preserve">, </w:t>
      </w:r>
      <w:r w:rsidRPr="00E254F5">
        <w:rPr>
          <w:iCs/>
          <w:lang w:eastAsia="el-GR"/>
        </w:rPr>
        <w:t>28.8.1994, n</w:t>
      </w:r>
      <w:r w:rsidRPr="00E254F5">
        <w:rPr>
          <w:iCs/>
          <w:vertAlign w:val="superscript"/>
          <w:lang w:eastAsia="el-GR"/>
        </w:rPr>
        <w:t>o</w:t>
      </w:r>
      <w:r w:rsidRPr="00E254F5">
        <w:rPr>
          <w:iCs/>
          <w:lang w:eastAsia="el-GR"/>
        </w:rPr>
        <w:t xml:space="preserve"> 39, σελ. 405-414; </w:t>
      </w:r>
      <w:r w:rsidRPr="00E254F5">
        <w:rPr>
          <w:b/>
          <w:i/>
          <w:iCs/>
          <w:lang w:eastAsia="el-GR"/>
        </w:rPr>
        <w:t xml:space="preserve">Μ. </w:t>
      </w:r>
      <w:r w:rsidRPr="00E254F5">
        <w:rPr>
          <w:b/>
          <w:i/>
          <w:lang w:eastAsia="el-GR"/>
        </w:rPr>
        <w:t>Delmas-Marty</w:t>
      </w:r>
      <w:r w:rsidRPr="00E254F5">
        <w:rPr>
          <w:lang w:eastAsia="el-GR"/>
        </w:rPr>
        <w:t xml:space="preserve">, «Le crime contre l'humanité, les droits de l'homme et l'irréductible humain», </w:t>
      </w:r>
      <w:r w:rsidRPr="00E254F5">
        <w:rPr>
          <w:i/>
          <w:lang w:eastAsia="el-GR"/>
        </w:rPr>
        <w:t>Revue de science criminelle et de droit pénal comparé</w:t>
      </w:r>
      <w:r w:rsidRPr="00E254F5">
        <w:rPr>
          <w:lang w:eastAsia="el-GR"/>
        </w:rPr>
        <w:t>, 1.7.</w:t>
      </w:r>
      <w:r w:rsidRPr="00E254F5">
        <w:rPr>
          <w:iCs/>
          <w:lang w:eastAsia="el-GR"/>
        </w:rPr>
        <w:t>1994, n</w:t>
      </w:r>
      <w:r w:rsidRPr="00E254F5">
        <w:rPr>
          <w:iCs/>
          <w:vertAlign w:val="superscript"/>
          <w:lang w:eastAsia="el-GR"/>
        </w:rPr>
        <w:t>o</w:t>
      </w:r>
      <w:r w:rsidRPr="00E254F5">
        <w:rPr>
          <w:iCs/>
          <w:lang w:eastAsia="el-GR"/>
        </w:rPr>
        <w:t xml:space="preserve"> 3, σελ. 477</w:t>
      </w:r>
      <w:r w:rsidRPr="00E254F5">
        <w:rPr>
          <w:lang w:eastAsia="el-GR"/>
        </w:rPr>
        <w:t xml:space="preserve">-490; </w:t>
      </w:r>
      <w:r w:rsidRPr="00E254F5">
        <w:rPr>
          <w:b/>
          <w:i/>
          <w:lang w:eastAsia="el-GR"/>
        </w:rPr>
        <w:t>Fr. Luchaire</w:t>
      </w:r>
      <w:r w:rsidRPr="00E254F5">
        <w:rPr>
          <w:lang w:eastAsia="el-GR"/>
        </w:rPr>
        <w:t xml:space="preserve">, «Le Conseil constitutionnel et l'assistance médicale à la procréation», </w:t>
      </w:r>
      <w:r w:rsidRPr="00E254F5">
        <w:rPr>
          <w:i/>
          <w:lang w:eastAsia="el-GR"/>
        </w:rPr>
        <w:t>Revue du droit public</w:t>
      </w:r>
      <w:r w:rsidRPr="00E254F5">
        <w:rPr>
          <w:lang w:eastAsia="el-GR"/>
        </w:rPr>
        <w:t xml:space="preserve">, 1.12.1994, </w:t>
      </w:r>
      <w:r w:rsidRPr="00E254F5">
        <w:rPr>
          <w:iCs/>
          <w:lang w:eastAsia="el-GR"/>
        </w:rPr>
        <w:t>n</w:t>
      </w:r>
      <w:r w:rsidRPr="00E254F5">
        <w:rPr>
          <w:iCs/>
          <w:vertAlign w:val="superscript"/>
          <w:lang w:eastAsia="el-GR"/>
        </w:rPr>
        <w:t>o</w:t>
      </w:r>
      <w:r w:rsidRPr="00E254F5">
        <w:rPr>
          <w:iCs/>
          <w:lang w:eastAsia="el-GR"/>
        </w:rPr>
        <w:t xml:space="preserve"> 6, σελ. 1647-1662</w:t>
      </w:r>
      <w:r w:rsidRPr="00E254F5">
        <w:rPr>
          <w:lang w:eastAsia="el-GR"/>
        </w:rPr>
        <w:t xml:space="preserve">; </w:t>
      </w:r>
      <w:r w:rsidRPr="00E254F5">
        <w:rPr>
          <w:b/>
          <w:i/>
          <w:lang w:eastAsia="el-GR"/>
        </w:rPr>
        <w:t>L. Favoreu</w:t>
      </w:r>
      <w:r>
        <w:rPr>
          <w:lang w:eastAsia="el-GR"/>
        </w:rPr>
        <w:t>, «Bioéthique</w:t>
      </w:r>
      <w:r w:rsidRPr="00E254F5">
        <w:rPr>
          <w:lang w:eastAsia="el-GR"/>
        </w:rPr>
        <w:t xml:space="preserve">», </w:t>
      </w:r>
      <w:r w:rsidRPr="00E254F5">
        <w:rPr>
          <w:i/>
          <w:lang w:eastAsia="el-GR"/>
        </w:rPr>
        <w:t>Revue française de droit constitutionnel</w:t>
      </w:r>
      <w:r w:rsidRPr="00E254F5">
        <w:rPr>
          <w:lang w:eastAsia="el-GR"/>
        </w:rPr>
        <w:t xml:space="preserve">, 1.12.1994, </w:t>
      </w:r>
      <w:r w:rsidRPr="00E254F5">
        <w:rPr>
          <w:iCs/>
          <w:lang w:eastAsia="el-GR"/>
        </w:rPr>
        <w:t>n</w:t>
      </w:r>
      <w:r w:rsidRPr="00E254F5">
        <w:rPr>
          <w:iCs/>
          <w:vertAlign w:val="superscript"/>
          <w:lang w:eastAsia="el-GR"/>
        </w:rPr>
        <w:t>o</w:t>
      </w:r>
      <w:r w:rsidRPr="00E254F5">
        <w:rPr>
          <w:iCs/>
          <w:lang w:eastAsia="el-GR"/>
        </w:rPr>
        <w:t xml:space="preserve"> 20, σελ. 799-811</w:t>
      </w:r>
      <w:r w:rsidRPr="00E254F5">
        <w:rPr>
          <w:lang w:eastAsia="el-GR"/>
        </w:rPr>
        <w:t xml:space="preserve">; </w:t>
      </w:r>
      <w:r w:rsidRPr="00E254F5">
        <w:rPr>
          <w:b/>
          <w:i/>
          <w:lang w:eastAsia="el-GR"/>
        </w:rPr>
        <w:t>B. Mathieu</w:t>
      </w:r>
      <w:r>
        <w:rPr>
          <w:lang w:eastAsia="el-GR"/>
        </w:rPr>
        <w:t>, «</w:t>
      </w:r>
      <w:r w:rsidRPr="00E254F5">
        <w:rPr>
          <w:lang w:eastAsia="el-GR"/>
        </w:rPr>
        <w:t>L'insuffisance des normes constitutionnelles face aux développements des sciences biomédicales</w:t>
      </w:r>
      <w:r>
        <w:rPr>
          <w:lang w:eastAsia="el-GR"/>
        </w:rPr>
        <w:t>»</w:t>
      </w:r>
      <w:r w:rsidRPr="00E254F5">
        <w:rPr>
          <w:lang w:eastAsia="el-GR"/>
        </w:rPr>
        <w:t xml:space="preserve">, </w:t>
      </w:r>
      <w:r w:rsidRPr="00E254F5">
        <w:rPr>
          <w:i/>
          <w:lang w:eastAsia="el-GR"/>
        </w:rPr>
        <w:t>Recueil Dalloz Sirey</w:t>
      </w:r>
      <w:r w:rsidRPr="00E254F5">
        <w:rPr>
          <w:lang w:eastAsia="el-GR"/>
        </w:rPr>
        <w:t>, 20.4.</w:t>
      </w:r>
      <w:r w:rsidRPr="00E254F5">
        <w:rPr>
          <w:iCs/>
          <w:lang w:eastAsia="el-GR"/>
        </w:rPr>
        <w:t>1995, n</w:t>
      </w:r>
      <w:r w:rsidRPr="00E254F5">
        <w:rPr>
          <w:iCs/>
          <w:vertAlign w:val="superscript"/>
          <w:lang w:eastAsia="el-GR"/>
        </w:rPr>
        <w:t>o</w:t>
      </w:r>
      <w:r w:rsidRPr="00E254F5">
        <w:rPr>
          <w:iCs/>
          <w:lang w:eastAsia="el-GR"/>
        </w:rPr>
        <w:t xml:space="preserve"> 16, σελ. 237-241</w:t>
      </w:r>
      <w:r w:rsidRPr="00E254F5">
        <w:rPr>
          <w:lang w:eastAsia="el-GR"/>
        </w:rPr>
        <w:t xml:space="preserve">; </w:t>
      </w:r>
      <w:r w:rsidRPr="00E254F5">
        <w:rPr>
          <w:b/>
          <w:i/>
          <w:lang w:eastAsia="el-GR"/>
        </w:rPr>
        <w:t>B. Edelman</w:t>
      </w:r>
      <w:r>
        <w:rPr>
          <w:lang w:eastAsia="el-GR"/>
        </w:rPr>
        <w:t>, «</w:t>
      </w:r>
      <w:r w:rsidRPr="00E254F5">
        <w:rPr>
          <w:lang w:eastAsia="el-GR"/>
        </w:rPr>
        <w:t>Le Conseil constitutionnel et l'embryon</w:t>
      </w:r>
      <w:r>
        <w:rPr>
          <w:lang w:eastAsia="el-GR"/>
        </w:rPr>
        <w:t>»</w:t>
      </w:r>
      <w:r w:rsidRPr="00E254F5">
        <w:rPr>
          <w:lang w:eastAsia="el-GR"/>
        </w:rPr>
        <w:t xml:space="preserve">, </w:t>
      </w:r>
      <w:r w:rsidRPr="00E254F5">
        <w:rPr>
          <w:i/>
          <w:lang w:eastAsia="el-GR"/>
        </w:rPr>
        <w:t>Recueil Dalloz Sirey</w:t>
      </w:r>
      <w:r w:rsidRPr="00E254F5">
        <w:rPr>
          <w:lang w:eastAsia="el-GR"/>
        </w:rPr>
        <w:t>, 20.7.</w:t>
      </w:r>
      <w:r w:rsidRPr="00E254F5">
        <w:rPr>
          <w:iCs/>
          <w:lang w:eastAsia="el-GR"/>
        </w:rPr>
        <w:t>1995, n</w:t>
      </w:r>
      <w:r w:rsidRPr="00E254F5">
        <w:rPr>
          <w:iCs/>
          <w:vertAlign w:val="superscript"/>
          <w:lang w:eastAsia="el-GR"/>
        </w:rPr>
        <w:t>o</w:t>
      </w:r>
      <w:r w:rsidRPr="00E254F5">
        <w:rPr>
          <w:iCs/>
          <w:lang w:eastAsia="el-GR"/>
        </w:rPr>
        <w:t xml:space="preserve"> 27, σελ. 205-210</w:t>
      </w:r>
      <w:r w:rsidRPr="00E254F5">
        <w:rPr>
          <w:lang w:eastAsia="el-GR"/>
        </w:rPr>
        <w:t xml:space="preserve">; </w:t>
      </w:r>
      <w:r w:rsidRPr="00E254F5">
        <w:rPr>
          <w:b/>
          <w:i/>
          <w:lang w:eastAsia="el-GR"/>
        </w:rPr>
        <w:t>D. Thouvenin</w:t>
      </w:r>
      <w:r>
        <w:rPr>
          <w:lang w:eastAsia="el-GR"/>
        </w:rPr>
        <w:t>, «</w:t>
      </w:r>
      <w:r w:rsidRPr="00E254F5">
        <w:rPr>
          <w:lang w:eastAsia="el-GR"/>
        </w:rPr>
        <w:t>Les lois n°94-548 du 1er juillet 1994, n°94-653 et n°94-654 du 29 juillet 1994 ou comment const</w:t>
      </w:r>
      <w:r>
        <w:rPr>
          <w:lang w:eastAsia="el-GR"/>
        </w:rPr>
        <w:t>ruire un droit de la bioéthique</w:t>
      </w:r>
      <w:r w:rsidRPr="00E254F5">
        <w:rPr>
          <w:lang w:eastAsia="el-GR"/>
        </w:rPr>
        <w:t xml:space="preserve">», </w:t>
      </w:r>
      <w:r w:rsidRPr="00E254F5">
        <w:rPr>
          <w:i/>
          <w:lang w:eastAsia="el-GR"/>
        </w:rPr>
        <w:t>Actualités législatives Dalloz</w:t>
      </w:r>
      <w:r w:rsidRPr="00E254F5">
        <w:rPr>
          <w:lang w:eastAsia="el-GR"/>
        </w:rPr>
        <w:t>, 23.11.</w:t>
      </w:r>
      <w:r w:rsidRPr="00E254F5">
        <w:rPr>
          <w:iCs/>
          <w:lang w:eastAsia="el-GR"/>
        </w:rPr>
        <w:t>1995, n</w:t>
      </w:r>
      <w:r w:rsidRPr="00E254F5">
        <w:rPr>
          <w:iCs/>
          <w:vertAlign w:val="superscript"/>
          <w:lang w:eastAsia="el-GR"/>
        </w:rPr>
        <w:t>o</w:t>
      </w:r>
      <w:r w:rsidRPr="00E254F5">
        <w:rPr>
          <w:iCs/>
          <w:lang w:eastAsia="el-GR"/>
        </w:rPr>
        <w:t xml:space="preserve"> 20, σελ. 179-216</w:t>
      </w:r>
      <w:r w:rsidRPr="00E254F5">
        <w:rPr>
          <w:lang w:eastAsia="el-GR"/>
        </w:rPr>
        <w:t xml:space="preserve">; </w:t>
      </w:r>
      <w:r w:rsidRPr="00E254F5">
        <w:rPr>
          <w:b/>
          <w:i/>
          <w:lang w:eastAsia="el-GR"/>
        </w:rPr>
        <w:t>J.-P. Duprat</w:t>
      </w:r>
      <w:r w:rsidRPr="00E254F5">
        <w:rPr>
          <w:lang w:eastAsia="el-GR"/>
        </w:rPr>
        <w:t xml:space="preserve">, </w:t>
      </w:r>
      <w:r>
        <w:rPr>
          <w:lang w:eastAsia="el-GR"/>
        </w:rPr>
        <w:t>«</w:t>
      </w:r>
      <w:r w:rsidRPr="00E254F5">
        <w:rPr>
          <w:lang w:eastAsia="el-GR"/>
        </w:rPr>
        <w:t>A la recherche d'une protection co</w:t>
      </w:r>
      <w:r>
        <w:rPr>
          <w:lang w:eastAsia="el-GR"/>
        </w:rPr>
        <w:t>nstitutionnelle du corps humain</w:t>
      </w:r>
      <w:r w:rsidRPr="00E254F5">
        <w:rPr>
          <w:lang w:eastAsia="el-GR"/>
        </w:rPr>
        <w:t>: la décision 94-343/344 DC du 27 juillet 1994</w:t>
      </w:r>
      <w:r>
        <w:rPr>
          <w:lang w:eastAsia="el-GR"/>
        </w:rPr>
        <w:t>»</w:t>
      </w:r>
      <w:r w:rsidRPr="00E254F5">
        <w:rPr>
          <w:lang w:eastAsia="el-GR"/>
        </w:rPr>
        <w:t xml:space="preserve">, </w:t>
      </w:r>
      <w:r w:rsidRPr="00E254F5">
        <w:rPr>
          <w:i/>
          <w:lang w:eastAsia="el-GR"/>
        </w:rPr>
        <w:t>Les Petites Affiches</w:t>
      </w:r>
      <w:r w:rsidRPr="00E254F5">
        <w:rPr>
          <w:lang w:eastAsia="el-GR"/>
        </w:rPr>
        <w:t xml:space="preserve">, </w:t>
      </w:r>
      <w:r w:rsidRPr="00E254F5">
        <w:rPr>
          <w:iCs/>
          <w:lang w:eastAsia="el-GR"/>
        </w:rPr>
        <w:t>14.12.1994, n</w:t>
      </w:r>
      <w:r w:rsidRPr="00E254F5">
        <w:rPr>
          <w:iCs/>
          <w:vertAlign w:val="superscript"/>
          <w:lang w:eastAsia="el-GR"/>
        </w:rPr>
        <w:t>o</w:t>
      </w:r>
      <w:r w:rsidRPr="00E254F5">
        <w:rPr>
          <w:iCs/>
          <w:lang w:eastAsia="el-GR"/>
        </w:rPr>
        <w:t xml:space="preserve"> 149, σελ. 34</w:t>
      </w:r>
      <w:r w:rsidRPr="00E254F5">
        <w:rPr>
          <w:lang w:eastAsia="el-GR"/>
        </w:rPr>
        <w:t xml:space="preserve">-40; </w:t>
      </w:r>
      <w:r w:rsidRPr="00E254F5">
        <w:rPr>
          <w:b/>
          <w:i/>
          <w:lang w:eastAsia="el-GR"/>
        </w:rPr>
        <w:t>M.-P. Deswartes</w:t>
      </w:r>
      <w:r w:rsidRPr="00E254F5">
        <w:rPr>
          <w:lang w:eastAsia="el-GR"/>
        </w:rPr>
        <w:t xml:space="preserve">, </w:t>
      </w:r>
      <w:r>
        <w:rPr>
          <w:lang w:eastAsia="el-GR"/>
        </w:rPr>
        <w:t>«</w:t>
      </w:r>
      <w:r w:rsidRPr="00E254F5">
        <w:rPr>
          <w:lang w:eastAsia="el-GR"/>
        </w:rPr>
        <w:t>Le droit à la vie dans la décision du Conseil constitutionnel du 29 juillet 1994</w:t>
      </w:r>
      <w:r>
        <w:rPr>
          <w:lang w:eastAsia="el-GR"/>
        </w:rPr>
        <w:t>»</w:t>
      </w:r>
      <w:r w:rsidRPr="00E254F5">
        <w:rPr>
          <w:lang w:eastAsia="el-GR"/>
        </w:rPr>
        <w:t xml:space="preserve">, </w:t>
      </w:r>
      <w:r w:rsidRPr="00E254F5">
        <w:rPr>
          <w:i/>
          <w:lang w:eastAsia="el-GR"/>
        </w:rPr>
        <w:t>Journal international de bioéthique</w:t>
      </w:r>
      <w:r w:rsidRPr="00E254F5">
        <w:rPr>
          <w:lang w:eastAsia="el-GR"/>
        </w:rPr>
        <w:t>, 1.3.</w:t>
      </w:r>
      <w:r w:rsidRPr="00E254F5">
        <w:rPr>
          <w:iCs/>
          <w:lang w:eastAsia="el-GR"/>
        </w:rPr>
        <w:t>1996, n</w:t>
      </w:r>
      <w:r w:rsidRPr="00E254F5">
        <w:rPr>
          <w:iCs/>
          <w:vertAlign w:val="superscript"/>
          <w:lang w:eastAsia="el-GR"/>
        </w:rPr>
        <w:t>o</w:t>
      </w:r>
      <w:r w:rsidRPr="00E254F5">
        <w:rPr>
          <w:iCs/>
          <w:lang w:eastAsia="el-GR"/>
        </w:rPr>
        <w:t xml:space="preserve"> 1, σελ. 10-15</w:t>
      </w:r>
      <w:r w:rsidRPr="00E254F5">
        <w:rPr>
          <w:lang w:eastAsia="el-GR"/>
        </w:rPr>
        <w:t xml:space="preserve">; </w:t>
      </w:r>
      <w:r w:rsidRPr="00E254F5">
        <w:rPr>
          <w:b/>
          <w:i/>
          <w:iCs/>
          <w:lang w:eastAsia="el-GR"/>
        </w:rPr>
        <w:t xml:space="preserve">G. </w:t>
      </w:r>
      <w:r w:rsidRPr="00E254F5">
        <w:rPr>
          <w:b/>
          <w:i/>
          <w:lang w:eastAsia="el-GR"/>
        </w:rPr>
        <w:t>Giudicelli-Delage</w:t>
      </w:r>
      <w:r w:rsidRPr="00E254F5">
        <w:rPr>
          <w:lang w:eastAsia="el-GR"/>
        </w:rPr>
        <w:t xml:space="preserve">, </w:t>
      </w:r>
      <w:r>
        <w:rPr>
          <w:lang w:eastAsia="el-GR"/>
        </w:rPr>
        <w:t>«</w:t>
      </w:r>
      <w:r w:rsidRPr="00E254F5">
        <w:rPr>
          <w:lang w:eastAsia="el-GR"/>
        </w:rPr>
        <w:t>Droit à la protection de la santé et droit pénal en France</w:t>
      </w:r>
      <w:r>
        <w:rPr>
          <w:lang w:eastAsia="el-GR"/>
        </w:rPr>
        <w:t>»</w:t>
      </w:r>
      <w:r w:rsidRPr="00E254F5">
        <w:rPr>
          <w:lang w:eastAsia="el-GR"/>
        </w:rPr>
        <w:t xml:space="preserve">, </w:t>
      </w:r>
      <w:r w:rsidRPr="00E254F5">
        <w:rPr>
          <w:i/>
          <w:lang w:eastAsia="el-GR"/>
        </w:rPr>
        <w:t>Revue de science criminelle et de droit pénal comparé</w:t>
      </w:r>
      <w:r w:rsidRPr="00E254F5">
        <w:rPr>
          <w:lang w:eastAsia="el-GR"/>
        </w:rPr>
        <w:t>, 1.1.</w:t>
      </w:r>
      <w:r w:rsidRPr="00E254F5">
        <w:rPr>
          <w:iCs/>
          <w:lang w:eastAsia="el-GR"/>
        </w:rPr>
        <w:t>1996, n</w:t>
      </w:r>
      <w:r w:rsidRPr="00E254F5">
        <w:rPr>
          <w:iCs/>
          <w:vertAlign w:val="superscript"/>
          <w:lang w:eastAsia="el-GR"/>
        </w:rPr>
        <w:t>o</w:t>
      </w:r>
      <w:r w:rsidRPr="00E254F5">
        <w:rPr>
          <w:iCs/>
          <w:lang w:eastAsia="el-GR"/>
        </w:rPr>
        <w:t xml:space="preserve"> 1, σελ. 13-30</w:t>
      </w:r>
      <w:r w:rsidRPr="00E254F5">
        <w:rPr>
          <w:lang w:eastAsia="el-GR"/>
        </w:rPr>
        <w:t xml:space="preserve">; </w:t>
      </w:r>
      <w:r w:rsidRPr="00E254F5">
        <w:rPr>
          <w:b/>
          <w:i/>
          <w:lang w:eastAsia="el-GR"/>
        </w:rPr>
        <w:t>A.-M. Le Bos-Le Pourhiet</w:t>
      </w:r>
      <w:r w:rsidRPr="00E254F5">
        <w:rPr>
          <w:lang w:eastAsia="el-GR"/>
        </w:rPr>
        <w:t xml:space="preserve">, </w:t>
      </w:r>
      <w:r>
        <w:rPr>
          <w:lang w:eastAsia="el-GR"/>
        </w:rPr>
        <w:t>«</w:t>
      </w:r>
      <w:r w:rsidRPr="00E254F5">
        <w:rPr>
          <w:lang w:eastAsia="el-GR"/>
        </w:rPr>
        <w:t>Le Conseil constitutionnel et l'éthique biomédicale</w:t>
      </w:r>
      <w:r>
        <w:rPr>
          <w:lang w:eastAsia="el-GR"/>
        </w:rPr>
        <w:t>»</w:t>
      </w:r>
      <w:r w:rsidRPr="00E254F5">
        <w:rPr>
          <w:lang w:eastAsia="el-GR"/>
        </w:rPr>
        <w:t xml:space="preserve">, </w:t>
      </w:r>
      <w:r w:rsidRPr="00E254F5">
        <w:rPr>
          <w:i/>
          <w:lang w:eastAsia="el-GR"/>
        </w:rPr>
        <w:t>Mélanges Dupuis</w:t>
      </w:r>
      <w:r w:rsidRPr="00E254F5">
        <w:rPr>
          <w:lang w:eastAsia="el-GR"/>
        </w:rPr>
        <w:t xml:space="preserve">, </w:t>
      </w:r>
      <w:r w:rsidRPr="00E254F5">
        <w:rPr>
          <w:iCs/>
          <w:lang w:eastAsia="el-GR"/>
        </w:rPr>
        <w:t>LGDJ, 1997</w:t>
      </w:r>
      <w:r w:rsidRPr="00E254F5">
        <w:rPr>
          <w:i/>
          <w:iCs/>
          <w:lang w:eastAsia="el-GR"/>
        </w:rPr>
        <w:t xml:space="preserve">, </w:t>
      </w:r>
      <w:r w:rsidRPr="00E254F5">
        <w:rPr>
          <w:iCs/>
          <w:lang w:eastAsia="el-GR"/>
        </w:rPr>
        <w:t>σελ. 213-225</w:t>
      </w:r>
      <w:r w:rsidRPr="00E254F5">
        <w:rPr>
          <w:lang w:eastAsia="el-GR"/>
        </w:rPr>
        <w:t xml:space="preserve">; Commission de Venise, </w:t>
      </w:r>
      <w:r w:rsidRPr="00E254F5">
        <w:rPr>
          <w:i/>
          <w:lang w:eastAsia="el-GR"/>
        </w:rPr>
        <w:t>Bulletin de jurisprudence constitutionnelle</w:t>
      </w:r>
      <w:r w:rsidRPr="00E254F5">
        <w:rPr>
          <w:lang w:eastAsia="el-GR"/>
        </w:rPr>
        <w:t xml:space="preserve">, </w:t>
      </w:r>
      <w:r w:rsidRPr="00E254F5">
        <w:rPr>
          <w:iCs/>
          <w:lang w:eastAsia="el-GR"/>
        </w:rPr>
        <w:t>1994-2, σελ. 125</w:t>
      </w:r>
      <w:r w:rsidRPr="00E254F5">
        <w:rPr>
          <w:lang w:eastAsia="el-GR"/>
        </w:rPr>
        <w:t xml:space="preserve">; </w:t>
      </w:r>
      <w:r w:rsidRPr="00E254F5">
        <w:rPr>
          <w:b/>
          <w:i/>
          <w:lang w:eastAsia="el-GR"/>
        </w:rPr>
        <w:t>A. M. M. Lebech</w:t>
      </w:r>
      <w:r>
        <w:rPr>
          <w:lang w:eastAsia="el-GR"/>
        </w:rPr>
        <w:t>, «</w:t>
      </w:r>
      <w:r w:rsidRPr="00E254F5">
        <w:rPr>
          <w:lang w:eastAsia="el-GR"/>
        </w:rPr>
        <w:t>Constitution de la dignité humaine</w:t>
      </w:r>
      <w:r>
        <w:rPr>
          <w:lang w:eastAsia="el-GR"/>
        </w:rPr>
        <w:t>»</w:t>
      </w:r>
      <w:r w:rsidRPr="00E254F5">
        <w:rPr>
          <w:lang w:eastAsia="el-GR"/>
        </w:rPr>
        <w:t xml:space="preserve">, </w:t>
      </w:r>
      <w:r w:rsidRPr="00E254F5">
        <w:rPr>
          <w:i/>
          <w:lang w:eastAsia="el-GR"/>
        </w:rPr>
        <w:t>Revue générale de droit médical</w:t>
      </w:r>
      <w:r w:rsidRPr="00E254F5">
        <w:rPr>
          <w:lang w:eastAsia="el-GR"/>
        </w:rPr>
        <w:t>, 1.10.</w:t>
      </w:r>
      <w:r w:rsidRPr="00E254F5">
        <w:rPr>
          <w:iCs/>
          <w:lang w:eastAsia="el-GR"/>
        </w:rPr>
        <w:t>2002, n</w:t>
      </w:r>
      <w:r w:rsidRPr="00E254F5">
        <w:rPr>
          <w:iCs/>
          <w:vertAlign w:val="superscript"/>
          <w:lang w:eastAsia="el-GR"/>
        </w:rPr>
        <w:t>o</w:t>
      </w:r>
      <w:r w:rsidRPr="00E254F5">
        <w:rPr>
          <w:iCs/>
          <w:lang w:eastAsia="el-GR"/>
        </w:rPr>
        <w:t xml:space="preserve"> 8, σελ. 55-67</w:t>
      </w:r>
      <w:r w:rsidRPr="00E254F5">
        <w:rPr>
          <w:lang w:eastAsia="el-GR"/>
        </w:rPr>
        <w:t xml:space="preserve">; </w:t>
      </w:r>
      <w:r w:rsidRPr="00E254F5">
        <w:rPr>
          <w:b/>
          <w:i/>
          <w:lang w:eastAsia="el-GR"/>
        </w:rPr>
        <w:t>L. Favoreu, L. Philip</w:t>
      </w:r>
      <w:r>
        <w:rPr>
          <w:lang w:eastAsia="el-GR"/>
        </w:rPr>
        <w:t>, «Bioéthique</w:t>
      </w:r>
      <w:r w:rsidRPr="00E254F5">
        <w:rPr>
          <w:lang w:eastAsia="el-GR"/>
        </w:rPr>
        <w:t xml:space="preserve">», </w:t>
      </w:r>
      <w:r w:rsidRPr="00E254F5">
        <w:rPr>
          <w:i/>
          <w:lang w:eastAsia="el-GR"/>
        </w:rPr>
        <w:t>Les grandes décisions du Conseil constitutionnel</w:t>
      </w:r>
      <w:r w:rsidRPr="00E254F5">
        <w:rPr>
          <w:lang w:eastAsia="el-GR"/>
        </w:rPr>
        <w:t xml:space="preserve">, </w:t>
      </w:r>
      <w:r w:rsidRPr="00E254F5">
        <w:rPr>
          <w:i/>
          <w:iCs/>
          <w:lang w:eastAsia="el-GR"/>
        </w:rPr>
        <w:t>Dalloz</w:t>
      </w:r>
      <w:r w:rsidRPr="00E254F5">
        <w:rPr>
          <w:iCs/>
          <w:lang w:eastAsia="el-GR"/>
        </w:rPr>
        <w:t>,</w:t>
      </w:r>
      <w:r w:rsidRPr="00E254F5">
        <w:rPr>
          <w:i/>
          <w:iCs/>
          <w:lang w:eastAsia="el-GR"/>
        </w:rPr>
        <w:t xml:space="preserve"> </w:t>
      </w:r>
      <w:r w:rsidRPr="00E254F5">
        <w:rPr>
          <w:iCs/>
          <w:lang w:eastAsia="el-GR"/>
        </w:rPr>
        <w:t>2009, σελ. 641-657</w:t>
      </w:r>
      <w:r w:rsidRPr="00E254F5">
        <w:rPr>
          <w:lang w:eastAsia="el-GR"/>
        </w:rPr>
        <w:t xml:space="preserve">. </w:t>
      </w:r>
    </w:p>
  </w:footnote>
  <w:footnote w:id="226">
    <w:p w14:paraId="03C9E9D1"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Εκτενέστερη παρουσίαση </w:t>
      </w:r>
      <w:r>
        <w:rPr>
          <w:lang w:val="el-GR"/>
        </w:rPr>
        <w:t>της απαγόρευσης της</w:t>
      </w:r>
      <w:r w:rsidRPr="00E254F5">
        <w:rPr>
          <w:lang w:val="el-GR"/>
        </w:rPr>
        <w:t xml:space="preserve"> κλωνοποίηση</w:t>
      </w:r>
      <w:r>
        <w:rPr>
          <w:lang w:val="el-GR"/>
        </w:rPr>
        <w:t>ς</w:t>
      </w:r>
      <w:r w:rsidRPr="00E254F5">
        <w:rPr>
          <w:lang w:val="el-GR"/>
        </w:rPr>
        <w:t>, αναπαραγωγική</w:t>
      </w:r>
      <w:r>
        <w:rPr>
          <w:lang w:val="el-GR"/>
        </w:rPr>
        <w:t>ς</w:t>
      </w:r>
      <w:r w:rsidRPr="00E254F5">
        <w:rPr>
          <w:lang w:val="el-GR"/>
        </w:rPr>
        <w:t xml:space="preserve"> και θεραπευτική</w:t>
      </w:r>
      <w:r>
        <w:rPr>
          <w:lang w:val="el-GR"/>
        </w:rPr>
        <w:t>ς</w:t>
      </w:r>
      <w:r w:rsidRPr="00E254F5">
        <w:rPr>
          <w:lang w:val="el-GR"/>
        </w:rPr>
        <w:t xml:space="preserve">, ακολουθεί στο αντίστοιχο κεφάλαιο, βλ. </w:t>
      </w:r>
      <w:r w:rsidRPr="00E254F5">
        <w:rPr>
          <w:i/>
        </w:rPr>
        <w:t>infra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_Ref273518454 \h </w:instrText>
      </w:r>
      <w:r w:rsidRPr="00E254F5">
        <w:rPr>
          <w:lang w:val="el-GR"/>
        </w:rPr>
      </w:r>
      <w:r w:rsidRPr="00E254F5">
        <w:rPr>
          <w:lang w:val="el-GR"/>
        </w:rPr>
        <w:fldChar w:fldCharType="separate"/>
      </w:r>
      <w:r w:rsidR="00B822F0">
        <w:rPr>
          <w:noProof/>
          <w:lang w:val="el-GR"/>
        </w:rPr>
        <w:t>179</w:t>
      </w:r>
      <w:r w:rsidRPr="00E254F5">
        <w:rPr>
          <w:lang w:val="el-GR"/>
        </w:rPr>
        <w:fldChar w:fldCharType="end"/>
      </w:r>
      <w:r w:rsidRPr="00E254F5">
        <w:rPr>
          <w:lang w:val="el-GR"/>
        </w:rPr>
        <w:t xml:space="preserve"> επ. </w:t>
      </w:r>
    </w:p>
  </w:footnote>
  <w:footnote w:id="227">
    <w:p w14:paraId="741B9AF7"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λεπτομέρειες σχετικά με την κρυοσυντήρηση των εμβρύων ή την τύχη των «πλεοναζόντων» εμβρύων, βλ. </w:t>
      </w:r>
      <w:r w:rsidRPr="00E254F5">
        <w:rPr>
          <w:i/>
        </w:rPr>
        <w:t>infra,</w:t>
      </w:r>
      <w:r w:rsidRPr="00E254F5">
        <w:t xml:space="preserve"> </w:t>
      </w:r>
      <w:r w:rsidRPr="00E254F5">
        <w:rPr>
          <w:lang w:val="el-GR"/>
        </w:rPr>
        <w:t>στο σχετικό κεφάλαιο Δ, στο οποίο γίνεται αναλυτική παρουσίαση των Ζητημάτων που αφορούν στο γεννητικό υλικό στο πλαίσιο της ιατρικά υ</w:t>
      </w:r>
      <w:r>
        <w:rPr>
          <w:lang w:val="el-GR"/>
        </w:rPr>
        <w:t xml:space="preserve">ποβοηθούμενης αναπαραγωγής, σελ. </w:t>
      </w:r>
      <w:r w:rsidRPr="00E254F5">
        <w:rPr>
          <w:lang w:val="el-GR"/>
        </w:rPr>
        <w:fldChar w:fldCharType="begin"/>
      </w:r>
      <w:r w:rsidRPr="00E254F5">
        <w:rPr>
          <w:lang w:val="el-GR"/>
        </w:rPr>
        <w:instrText xml:space="preserve"> PAGEREF _Ref273524717 \h </w:instrText>
      </w:r>
      <w:r w:rsidRPr="00E254F5">
        <w:rPr>
          <w:lang w:val="el-GR"/>
        </w:rPr>
      </w:r>
      <w:r w:rsidRPr="00E254F5">
        <w:rPr>
          <w:lang w:val="el-GR"/>
        </w:rPr>
        <w:fldChar w:fldCharType="separate"/>
      </w:r>
      <w:r w:rsidR="00B822F0">
        <w:rPr>
          <w:noProof/>
          <w:lang w:val="el-GR"/>
        </w:rPr>
        <w:t>110</w:t>
      </w:r>
      <w:r w:rsidRPr="00E254F5">
        <w:rPr>
          <w:lang w:val="el-GR"/>
        </w:rPr>
        <w:fldChar w:fldCharType="end"/>
      </w:r>
      <w:r w:rsidRPr="00E254F5">
        <w:rPr>
          <w:lang w:val="el-GR"/>
        </w:rPr>
        <w:t xml:space="preserve">επ. </w:t>
      </w:r>
    </w:p>
  </w:footnote>
  <w:footnote w:id="228">
    <w:p w14:paraId="6214DDBB"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Style w:val="Strong"/>
          <w:b w:val="0"/>
          <w:szCs w:val="20"/>
          <w:lang w:val="fr-FR"/>
        </w:rPr>
        <w:t>Arrêté du 22 août 2008 relatif au consentement et à la confirmation du consentement d'un couple ou du membre survivant en cas de décès de l'autre membre du couple à l'accueil de son ou de ses embryons par un couple tiers</w:t>
      </w:r>
      <w:r>
        <w:rPr>
          <w:rStyle w:val="Strong"/>
          <w:b w:val="0"/>
          <w:szCs w:val="20"/>
          <w:lang w:val="fr-FR"/>
        </w:rPr>
        <w:t xml:space="preserve">, διαθέσιμη σε : </w:t>
      </w:r>
      <w:hyperlink r:id="rId89" w:history="1">
        <w:r w:rsidRPr="00E254F5">
          <w:rPr>
            <w:rStyle w:val="Hyperlink"/>
            <w:szCs w:val="20"/>
            <w:lang w:val="fr-FR"/>
          </w:rPr>
          <w:t>http://www.legifrance.gouv.fr/affichTexte.do?cidTexte=JORFTEXT000019414863</w:t>
        </w:r>
      </w:hyperlink>
      <w:r w:rsidRPr="00E254F5">
        <w:rPr>
          <w:rStyle w:val="Strong"/>
          <w:b w:val="0"/>
          <w:szCs w:val="20"/>
          <w:lang w:val="fr-FR"/>
        </w:rPr>
        <w:t xml:space="preserve">. </w:t>
      </w:r>
    </w:p>
  </w:footnote>
  <w:footnote w:id="229">
    <w:p w14:paraId="558B2D44"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Fonts w:eastAsia="Calibri"/>
        </w:rPr>
        <w:t>ΙΙ.2 του Παραρτήματος της Υπουργικής απόφασης της 11</w:t>
      </w:r>
      <w:r w:rsidRPr="00E254F5">
        <w:rPr>
          <w:rFonts w:eastAsia="Calibri"/>
          <w:vertAlign w:val="superscript"/>
        </w:rPr>
        <w:t>ης</w:t>
      </w:r>
      <w:r w:rsidRPr="00E254F5">
        <w:rPr>
          <w:rFonts w:eastAsia="Calibri"/>
        </w:rPr>
        <w:t xml:space="preserve"> Απριλίου 2008 σχετικά με τους κανόνες καλών κλινικών και βιολογικών πρακτικών </w:t>
      </w:r>
      <w:r>
        <w:rPr>
          <w:rFonts w:eastAsia="Calibri"/>
        </w:rPr>
        <w:t>στην ιατρικά υποβοηθούμενη αναπαραγωγή</w:t>
      </w:r>
      <w:r w:rsidRPr="00E254F5">
        <w:rPr>
          <w:rFonts w:eastAsia="Calibri"/>
        </w:rPr>
        <w:t xml:space="preserve">. </w:t>
      </w:r>
    </w:p>
  </w:footnote>
  <w:footnote w:id="230">
    <w:p w14:paraId="57547DD7" w14:textId="77777777" w:rsidR="00E47260" w:rsidRPr="00E254F5" w:rsidRDefault="00E47260" w:rsidP="00CB7D04">
      <w:pPr>
        <w:pStyle w:val="FootnoteText"/>
        <w:rPr>
          <w:lang w:val="el-GR"/>
        </w:rPr>
      </w:pPr>
      <w:r w:rsidRPr="00E254F5">
        <w:rPr>
          <w:rStyle w:val="FootnoteReference"/>
          <w:szCs w:val="20"/>
        </w:rPr>
        <w:footnoteRef/>
      </w:r>
      <w:r w:rsidRPr="00E254F5">
        <w:t xml:space="preserve"> Βλ. </w:t>
      </w:r>
      <w:r w:rsidRPr="00E254F5">
        <w:rPr>
          <w:i/>
        </w:rPr>
        <w:t>supra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προΫποθέσεις_επιλογής_μεθόδου \h </w:instrText>
      </w:r>
      <w:r w:rsidRPr="00E254F5">
        <w:rPr>
          <w:lang w:val="el-GR"/>
        </w:rPr>
      </w:r>
      <w:r w:rsidRPr="00E254F5">
        <w:rPr>
          <w:lang w:val="el-GR"/>
        </w:rPr>
        <w:fldChar w:fldCharType="separate"/>
      </w:r>
      <w:r w:rsidR="00B822F0">
        <w:rPr>
          <w:noProof/>
          <w:lang w:val="el-GR"/>
        </w:rPr>
        <w:t>92</w:t>
      </w:r>
      <w:r w:rsidRPr="00E254F5">
        <w:rPr>
          <w:lang w:val="el-GR"/>
        </w:rPr>
        <w:fldChar w:fldCharType="end"/>
      </w:r>
      <w:r w:rsidRPr="00E254F5">
        <w:rPr>
          <w:lang w:val="el-GR"/>
        </w:rPr>
        <w:t xml:space="preserve">. </w:t>
      </w:r>
    </w:p>
  </w:footnote>
  <w:footnote w:id="231">
    <w:p w14:paraId="5F6C8FC6" w14:textId="77777777" w:rsidR="00E47260" w:rsidRPr="00EE4056" w:rsidRDefault="00E47260" w:rsidP="004042D4">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232">
    <w:p w14:paraId="62D483A2" w14:textId="77777777" w:rsidR="00E47260" w:rsidRPr="001D59D2" w:rsidRDefault="00E47260" w:rsidP="00FC33BA">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233">
    <w:p w14:paraId="0DCABC7D" w14:textId="77777777" w:rsidR="00E47260" w:rsidRPr="00E254F5" w:rsidRDefault="00E47260" w:rsidP="00CB7D04">
      <w:pPr>
        <w:pStyle w:val="FootnoteText"/>
        <w:rPr>
          <w:lang w:val="el-GR"/>
        </w:rPr>
      </w:pPr>
      <w:r w:rsidRPr="00E254F5">
        <w:rPr>
          <w:rStyle w:val="FootnoteReference"/>
          <w:szCs w:val="20"/>
        </w:rPr>
        <w:footnoteRef/>
      </w:r>
      <w:r w:rsidRPr="00E254F5">
        <w:t xml:space="preserve"> Όπως προαναφέρθηκε, αναφορικά με την </w:t>
      </w:r>
      <w:r w:rsidRPr="00E254F5">
        <w:rPr>
          <w:rFonts w:eastAsia="Calibri"/>
        </w:rPr>
        <w:t xml:space="preserve">αστική ευθύνη του ιατρού εφαρμογή βρίσκουν οι γενικές ερμηνευτικές αρχές για τις αστικές συνέπειες μιας παράνομης ιατρικής πράξης. Βλ. </w:t>
      </w:r>
      <w:r w:rsidRPr="00E254F5">
        <w:rPr>
          <w:rFonts w:eastAsia="Calibri"/>
          <w:i/>
        </w:rPr>
        <w:t>supra</w:t>
      </w:r>
      <w:r w:rsidRPr="00E254F5">
        <w:rPr>
          <w:rFonts w:eastAsia="Calibri"/>
        </w:rPr>
        <w:t xml:space="preserve">, υποσ. </w:t>
      </w:r>
      <w:r w:rsidRPr="00E254F5">
        <w:rPr>
          <w:rFonts w:eastAsia="Calibri"/>
        </w:rPr>
        <w:fldChar w:fldCharType="begin"/>
      </w:r>
      <w:r w:rsidRPr="00E254F5">
        <w:rPr>
          <w:rFonts w:eastAsia="Calibri"/>
        </w:rPr>
        <w:instrText xml:space="preserve"> NOTEREF _Ref273519409 \h </w:instrText>
      </w:r>
      <w:r w:rsidRPr="00E254F5">
        <w:rPr>
          <w:rFonts w:eastAsia="Calibri"/>
        </w:rPr>
      </w:r>
      <w:r w:rsidRPr="00E254F5">
        <w:rPr>
          <w:rFonts w:eastAsia="Calibri"/>
        </w:rPr>
        <w:fldChar w:fldCharType="separate"/>
      </w:r>
      <w:r w:rsidR="00B822F0">
        <w:rPr>
          <w:rFonts w:eastAsia="Calibri"/>
        </w:rPr>
        <w:t>168</w:t>
      </w:r>
      <w:r w:rsidRPr="00E254F5">
        <w:rPr>
          <w:rFonts w:eastAsia="Calibri"/>
        </w:rPr>
        <w:fldChar w:fldCharType="end"/>
      </w:r>
      <w:r w:rsidRPr="00E254F5">
        <w:rPr>
          <w:rFonts w:eastAsia="Calibri"/>
        </w:rPr>
        <w:t xml:space="preserve">, σελ. </w:t>
      </w:r>
      <w:r w:rsidRPr="00E254F5">
        <w:rPr>
          <w:rFonts w:eastAsia="Calibri"/>
        </w:rPr>
        <w:fldChar w:fldCharType="begin"/>
      </w:r>
      <w:r w:rsidRPr="00E254F5">
        <w:rPr>
          <w:rFonts w:eastAsia="Calibri"/>
        </w:rPr>
        <w:instrText xml:space="preserve"> PAGEREF _Ref273519412 \h </w:instrText>
      </w:r>
      <w:r w:rsidRPr="00E254F5">
        <w:rPr>
          <w:rFonts w:eastAsia="Calibri"/>
        </w:rPr>
      </w:r>
      <w:r w:rsidRPr="00E254F5">
        <w:rPr>
          <w:rFonts w:eastAsia="Calibri"/>
        </w:rPr>
        <w:fldChar w:fldCharType="separate"/>
      </w:r>
      <w:r w:rsidR="00B822F0">
        <w:rPr>
          <w:rFonts w:eastAsia="Calibri"/>
          <w:noProof/>
        </w:rPr>
        <w:t>71</w:t>
      </w:r>
      <w:r w:rsidRPr="00E254F5">
        <w:rPr>
          <w:rFonts w:eastAsia="Calibri"/>
        </w:rPr>
        <w:fldChar w:fldCharType="end"/>
      </w:r>
      <w:r w:rsidRPr="00E254F5">
        <w:rPr>
          <w:rFonts w:eastAsia="Calibri"/>
        </w:rPr>
        <w:t>.</w:t>
      </w:r>
    </w:p>
  </w:footnote>
  <w:footnote w:id="234">
    <w:p w14:paraId="35ADCAB2"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τη νομοθετική «υλοποίηση» των ανωτέρω ρυθμίσεων βλ. </w:t>
      </w:r>
      <w:r w:rsidRPr="00E254F5">
        <w:rPr>
          <w:i/>
        </w:rPr>
        <w:t>supra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Arrete_2008 \h </w:instrText>
      </w:r>
      <w:r w:rsidRPr="00E254F5">
        <w:rPr>
          <w:lang w:val="el-GR"/>
        </w:rPr>
      </w:r>
      <w:r w:rsidRPr="00E254F5">
        <w:rPr>
          <w:lang w:val="el-GR"/>
        </w:rPr>
        <w:fldChar w:fldCharType="separate"/>
      </w:r>
      <w:r w:rsidR="00B822F0">
        <w:rPr>
          <w:noProof/>
          <w:lang w:val="el-GR"/>
        </w:rPr>
        <w:t>36</w:t>
      </w:r>
      <w:r w:rsidRPr="00E254F5">
        <w:rPr>
          <w:lang w:val="el-GR"/>
        </w:rPr>
        <w:fldChar w:fldCharType="end"/>
      </w:r>
      <w:r w:rsidRPr="00E254F5">
        <w:rPr>
          <w:lang w:val="el-GR"/>
        </w:rPr>
        <w:t xml:space="preserve">επ. </w:t>
      </w:r>
    </w:p>
  </w:footnote>
  <w:footnote w:id="235">
    <w:p w14:paraId="6745ECD9" w14:textId="77777777" w:rsidR="00E47260" w:rsidRPr="00E254F5" w:rsidRDefault="00E47260" w:rsidP="00CB7D04">
      <w:pPr>
        <w:pStyle w:val="FootnoteText"/>
      </w:pPr>
      <w:r w:rsidRPr="00E254F5">
        <w:rPr>
          <w:rStyle w:val="FootnoteReference"/>
          <w:szCs w:val="20"/>
        </w:rPr>
        <w:footnoteRef/>
      </w:r>
      <w:r w:rsidRPr="00E254F5">
        <w:t xml:space="preserve"> Βλ. αναλυτικότερα </w:t>
      </w:r>
      <w:r w:rsidRPr="00E254F5">
        <w:rPr>
          <w:i/>
        </w:rPr>
        <w:t>supra</w:t>
      </w:r>
      <w:r w:rsidRPr="00E254F5">
        <w:t xml:space="preserve">, σελ. </w:t>
      </w:r>
      <w:r w:rsidRPr="00E254F5">
        <w:fldChar w:fldCharType="begin"/>
      </w:r>
      <w:r w:rsidRPr="00E254F5">
        <w:instrText xml:space="preserve"> PAGEREF Arrete_2008 \h </w:instrText>
      </w:r>
      <w:r w:rsidRPr="00E254F5">
        <w:fldChar w:fldCharType="separate"/>
      </w:r>
      <w:r w:rsidR="00B822F0">
        <w:rPr>
          <w:noProof/>
        </w:rPr>
        <w:t>36</w:t>
      </w:r>
      <w:r w:rsidRPr="00E254F5">
        <w:fldChar w:fldCharType="end"/>
      </w:r>
      <w:r w:rsidRPr="00E254F5">
        <w:t xml:space="preserve">επ. </w:t>
      </w:r>
    </w:p>
  </w:footnote>
  <w:footnote w:id="236">
    <w:p w14:paraId="7A03DDE9" w14:textId="77777777" w:rsidR="00E47260" w:rsidRPr="006B58FC" w:rsidRDefault="00E47260">
      <w:pPr>
        <w:pStyle w:val="FootnoteText"/>
        <w:rPr>
          <w:lang w:val="el-GR"/>
        </w:rPr>
      </w:pPr>
      <w:r>
        <w:rPr>
          <w:rStyle w:val="FootnoteReference"/>
        </w:rPr>
        <w:footnoteRef/>
      </w:r>
      <w:r>
        <w:t xml:space="preserve"> </w:t>
      </w:r>
      <w:r>
        <w:rPr>
          <w:lang w:val="el-GR"/>
        </w:rPr>
        <w:t xml:space="preserve">Βλ. </w:t>
      </w:r>
      <w:r w:rsidRPr="006B58FC">
        <w:rPr>
          <w:i/>
        </w:rPr>
        <w:t>infra</w:t>
      </w:r>
      <w:r>
        <w:t xml:space="preserve">, </w:t>
      </w:r>
      <w:r>
        <w:rPr>
          <w:lang w:val="el-GR"/>
        </w:rPr>
        <w:t xml:space="preserve">σελ. </w:t>
      </w:r>
      <w:r>
        <w:rPr>
          <w:lang w:val="el-GR"/>
        </w:rPr>
        <w:fldChar w:fldCharType="begin"/>
      </w:r>
      <w:r>
        <w:rPr>
          <w:lang w:val="el-GR"/>
        </w:rPr>
        <w:instrText xml:space="preserve"> PAGEREF _Ref275455504 \h </w:instrText>
      </w:r>
      <w:r>
        <w:rPr>
          <w:lang w:val="el-GR"/>
        </w:rPr>
      </w:r>
      <w:r>
        <w:rPr>
          <w:lang w:val="el-GR"/>
        </w:rPr>
        <w:fldChar w:fldCharType="separate"/>
      </w:r>
      <w:r w:rsidR="00B822F0">
        <w:rPr>
          <w:noProof/>
          <w:lang w:val="el-GR"/>
        </w:rPr>
        <w:t>143</w:t>
      </w:r>
      <w:r>
        <w:rPr>
          <w:lang w:val="el-GR"/>
        </w:rPr>
        <w:fldChar w:fldCharType="end"/>
      </w:r>
      <w:r>
        <w:rPr>
          <w:lang w:val="el-GR"/>
        </w:rPr>
        <w:t xml:space="preserve">επ. </w:t>
      </w:r>
    </w:p>
  </w:footnote>
  <w:footnote w:id="237">
    <w:p w14:paraId="01653E31" w14:textId="77777777" w:rsidR="00E47260" w:rsidRPr="00F35A2D" w:rsidRDefault="00E47260">
      <w:pPr>
        <w:pStyle w:val="FootnoteText"/>
      </w:pPr>
      <w:r>
        <w:rPr>
          <w:rStyle w:val="FootnoteReference"/>
        </w:rPr>
        <w:footnoteRef/>
      </w:r>
      <w:r>
        <w:t xml:space="preserve"> </w:t>
      </w:r>
      <w:r w:rsidRPr="00E254F5">
        <w:t xml:space="preserve">Agence de la Biomédecine, </w:t>
      </w:r>
      <w:r>
        <w:rPr>
          <w:i/>
        </w:rPr>
        <w:t>Rapport annuel 2012</w:t>
      </w:r>
      <w:r w:rsidRPr="00E254F5">
        <w:rPr>
          <w:i/>
        </w:rPr>
        <w:t>,</w:t>
      </w:r>
      <w:r>
        <w:rPr>
          <w:i/>
        </w:rPr>
        <w:t xml:space="preserve"> op.cit., </w:t>
      </w:r>
      <w:r>
        <w:rPr>
          <w:lang w:val="el-GR"/>
        </w:rPr>
        <w:t xml:space="preserve">σελ. 66. </w:t>
      </w:r>
    </w:p>
  </w:footnote>
  <w:footnote w:id="238">
    <w:p w14:paraId="240F8BBC"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Fonts w:eastAsia="Calibri"/>
        </w:rPr>
        <w:t>Υπουργική απόφαση της 11</w:t>
      </w:r>
      <w:r w:rsidRPr="00E254F5">
        <w:rPr>
          <w:rFonts w:eastAsia="Calibri"/>
          <w:vertAlign w:val="superscript"/>
        </w:rPr>
        <w:t>ης</w:t>
      </w:r>
      <w:r w:rsidRPr="00E254F5">
        <w:rPr>
          <w:rFonts w:eastAsia="Calibri"/>
        </w:rPr>
        <w:t xml:space="preserve"> Απριλίου 2008 σχετικά με τους κανόνες καλών κλινικών και βιολογικών πρακτικών </w:t>
      </w:r>
      <w:r>
        <w:rPr>
          <w:rFonts w:eastAsia="Calibri"/>
        </w:rPr>
        <w:t>στην ιατρικά υποβοηθούμενη αναπαραγωγή</w:t>
      </w:r>
      <w:r w:rsidRPr="00E254F5">
        <w:rPr>
          <w:rFonts w:eastAsia="Calibri"/>
        </w:rPr>
        <w:t>, όπως αυτή τροποποιήθηκε από την Απόφαση της 3</w:t>
      </w:r>
      <w:r w:rsidRPr="00E254F5">
        <w:rPr>
          <w:rFonts w:eastAsia="Calibri"/>
          <w:vertAlign w:val="superscript"/>
        </w:rPr>
        <w:t>ης</w:t>
      </w:r>
      <w:r w:rsidRPr="00E254F5">
        <w:rPr>
          <w:rFonts w:eastAsia="Calibri"/>
        </w:rPr>
        <w:t xml:space="preserve"> Αυγούστου 2010</w:t>
      </w:r>
      <w:r>
        <w:rPr>
          <w:rFonts w:eastAsia="Calibri"/>
        </w:rPr>
        <w:t xml:space="preserve">, διαθέσιμη σε: </w:t>
      </w:r>
      <w:hyperlink r:id="rId90" w:history="1">
        <w:r w:rsidRPr="00E254F5">
          <w:rPr>
            <w:rStyle w:val="Hyperlink"/>
            <w:szCs w:val="20"/>
            <w:lang w:val="fr-FR"/>
          </w:rPr>
          <w:t>http://www.juridique-biomedecine.fr/uploads/documents/arrt-du-11-avril-2008-relatif-aux-rgles-de-bonnes-pratiques-cliniques-et-biologiques-d-assistance-mdicale--la-procration-modifi-arrt-du-3-aot-2010.pdf</w:t>
        </w:r>
      </w:hyperlink>
      <w:r w:rsidRPr="00E254F5">
        <w:t xml:space="preserve">. </w:t>
      </w:r>
    </w:p>
  </w:footnote>
  <w:footnote w:id="239">
    <w:p w14:paraId="03706C0A" w14:textId="77777777" w:rsidR="00E47260" w:rsidRPr="00F4767A" w:rsidRDefault="00E47260" w:rsidP="00CB7D04">
      <w:pPr>
        <w:pStyle w:val="FootnoteText"/>
        <w:rPr>
          <w:lang w:val="el-GR"/>
        </w:rPr>
      </w:pPr>
      <w:r w:rsidRPr="00E254F5">
        <w:rPr>
          <w:rStyle w:val="FootnoteReference"/>
          <w:szCs w:val="20"/>
        </w:rPr>
        <w:footnoteRef/>
      </w:r>
      <w:r w:rsidRPr="00E254F5">
        <w:t xml:space="preserve"> Βλ. </w:t>
      </w:r>
      <w:r w:rsidRPr="00F4767A">
        <w:t xml:space="preserve">σχετικά Eρωτηματολόγιο [3.4], </w:t>
      </w:r>
      <w:r w:rsidRPr="00F4767A">
        <w:rPr>
          <w:i/>
        </w:rPr>
        <w:t>op.cit.</w:t>
      </w:r>
      <w:r w:rsidRPr="00F4767A">
        <w:t xml:space="preserve">, σημ. ΙΙ, 4.1, </w:t>
      </w:r>
      <w:r w:rsidRPr="00F4767A">
        <w:rPr>
          <w:lang w:val="el-GR"/>
        </w:rPr>
        <w:t xml:space="preserve">σελ. 5. </w:t>
      </w:r>
    </w:p>
  </w:footnote>
  <w:footnote w:id="240">
    <w:p w14:paraId="0AED7837" w14:textId="77777777" w:rsidR="00E47260" w:rsidRPr="00F4767A" w:rsidRDefault="00E47260" w:rsidP="00CB7D04">
      <w:pPr>
        <w:pStyle w:val="FootnoteText"/>
      </w:pPr>
      <w:r w:rsidRPr="00F4767A">
        <w:rPr>
          <w:rStyle w:val="FootnoteReference"/>
          <w:szCs w:val="20"/>
        </w:rPr>
        <w:footnoteRef/>
      </w:r>
      <w:r w:rsidRPr="00F4767A">
        <w:t xml:space="preserve"> Βλ. σχετικά Eρωτηματολόγιο [3.2], </w:t>
      </w:r>
      <w:r w:rsidRPr="00F4767A">
        <w:rPr>
          <w:i/>
        </w:rPr>
        <w:t xml:space="preserve">op.cit., </w:t>
      </w:r>
      <w:r w:rsidRPr="00F4767A">
        <w:t>σημ. ΙI, 4.1-4.3, σελ. 5-6.</w:t>
      </w:r>
    </w:p>
  </w:footnote>
  <w:footnote w:id="241">
    <w:p w14:paraId="53299721" w14:textId="77777777" w:rsidR="00E47260" w:rsidRPr="00E254F5" w:rsidRDefault="00E47260" w:rsidP="00CB7D04">
      <w:pPr>
        <w:pStyle w:val="FootnoteText"/>
        <w:rPr>
          <w:lang w:val="el-GR"/>
        </w:rPr>
      </w:pPr>
      <w:r w:rsidRPr="00F4767A">
        <w:rPr>
          <w:rStyle w:val="FootnoteReference"/>
          <w:szCs w:val="20"/>
        </w:rPr>
        <w:footnoteRef/>
      </w:r>
      <w:r w:rsidRPr="00F4767A">
        <w:t xml:space="preserve"> Βλ. σχετικά Eρωτηματολόγιο [3.4], </w:t>
      </w:r>
      <w:r w:rsidRPr="00F4767A">
        <w:rPr>
          <w:i/>
        </w:rPr>
        <w:t>op</w:t>
      </w:r>
      <w:r w:rsidRPr="0040515B">
        <w:rPr>
          <w:i/>
        </w:rPr>
        <w:t>.cit.</w:t>
      </w:r>
      <w:r>
        <w:rPr>
          <w:i/>
        </w:rPr>
        <w:t xml:space="preserve">, </w:t>
      </w:r>
      <w:r w:rsidRPr="00E254F5">
        <w:t xml:space="preserve">σημ. ΙΙ, 4.1, </w:t>
      </w:r>
      <w:r w:rsidRPr="00E254F5">
        <w:rPr>
          <w:lang w:val="el-GR"/>
        </w:rPr>
        <w:t xml:space="preserve">σελ. 5. </w:t>
      </w:r>
    </w:p>
  </w:footnote>
  <w:footnote w:id="242">
    <w:p w14:paraId="7D97B792" w14:textId="77777777" w:rsidR="00E47260" w:rsidRPr="00E254F5" w:rsidRDefault="00E47260" w:rsidP="00CB7D04">
      <w:pPr>
        <w:pStyle w:val="FootnoteText"/>
        <w:rPr>
          <w:lang w:val="el-GR"/>
        </w:rPr>
      </w:pPr>
      <w:r w:rsidRPr="00E254F5">
        <w:rPr>
          <w:rStyle w:val="FootnoteReference"/>
          <w:szCs w:val="20"/>
        </w:rPr>
        <w:footnoteRef/>
      </w:r>
      <w:r w:rsidRPr="00E254F5">
        <w:t xml:space="preserve"> Βλ. 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xml:space="preserve">, σελ. 5. </w:t>
      </w:r>
    </w:p>
  </w:footnote>
  <w:footnote w:id="243">
    <w:p w14:paraId="406A57D2"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Style w:val="FootnoteTextChar"/>
          <w:szCs w:val="20"/>
          <w:lang w:val="fr-FR"/>
        </w:rPr>
        <w:t xml:space="preserve">Agence de la Biomédecine, </w:t>
      </w:r>
      <w:r w:rsidRPr="00E254F5">
        <w:rPr>
          <w:rStyle w:val="FootnoteTextChar"/>
          <w:i/>
          <w:szCs w:val="20"/>
          <w:lang w:val="fr-FR"/>
        </w:rPr>
        <w:t>Listes des procédés biologiques régulièrement utilisés en AMP et des techniques visant à améliorer les procédés biologiques autorisés</w:t>
      </w:r>
      <w:r w:rsidRPr="00E254F5">
        <w:rPr>
          <w:rStyle w:val="FootnoteTextChar"/>
          <w:szCs w:val="20"/>
          <w:lang w:val="fr-FR"/>
        </w:rPr>
        <w:t xml:space="preserve">, Version du 6 novembre 2013, </w:t>
      </w:r>
      <w:r w:rsidRPr="00E254F5">
        <w:rPr>
          <w:rStyle w:val="FootnoteTextChar"/>
          <w:szCs w:val="20"/>
        </w:rPr>
        <w:t>σελ</w:t>
      </w:r>
      <w:r w:rsidRPr="00E254F5">
        <w:rPr>
          <w:rStyle w:val="FootnoteTextChar"/>
          <w:szCs w:val="20"/>
          <w:lang w:val="fr-FR"/>
        </w:rPr>
        <w:t xml:space="preserve">. 5. </w:t>
      </w:r>
    </w:p>
  </w:footnote>
  <w:footnote w:id="244">
    <w:p w14:paraId="4AB7EFD3" w14:textId="77777777" w:rsidR="00E47260" w:rsidRPr="00E254F5" w:rsidRDefault="00E47260" w:rsidP="00F13486">
      <w:pPr>
        <w:pStyle w:val="FootnoteText"/>
      </w:pPr>
      <w:bookmarkStart w:id="141" w:name="_Ref276109421"/>
      <w:r w:rsidRPr="00E254F5">
        <w:rPr>
          <w:rStyle w:val="FootnoteReference"/>
          <w:szCs w:val="20"/>
        </w:rPr>
        <w:footnoteRef/>
      </w:r>
      <w:r w:rsidRPr="00E254F5">
        <w:t xml:space="preserve"> </w:t>
      </w:r>
      <w:r w:rsidRPr="00E254F5">
        <w:rPr>
          <w:i/>
        </w:rPr>
        <w:t>Intracytoplasmic sperm injection</w:t>
      </w:r>
      <w:r w:rsidRPr="00E254F5">
        <w:t xml:space="preserve">, </w:t>
      </w:r>
      <w:r w:rsidRPr="00E254F5">
        <w:rPr>
          <w:lang w:val="el-GR"/>
        </w:rPr>
        <w:t xml:space="preserve">δηλαδή </w:t>
      </w:r>
      <w:r w:rsidRPr="00E254F5">
        <w:t xml:space="preserve">μικρέγχυση σπερματοζωαρίων στο κυτταρόπλασμα του ωαρίου. </w:t>
      </w:r>
      <w:bookmarkEnd w:id="141"/>
    </w:p>
  </w:footnote>
  <w:footnote w:id="245">
    <w:p w14:paraId="0D785802" w14:textId="77777777" w:rsidR="00E47260" w:rsidRPr="00E254F5" w:rsidRDefault="00E47260" w:rsidP="00CB7D04">
      <w:pPr>
        <w:pStyle w:val="FootnoteText"/>
      </w:pPr>
      <w:r w:rsidRPr="00E254F5">
        <w:rPr>
          <w:rStyle w:val="FootnoteReference"/>
          <w:szCs w:val="20"/>
        </w:rPr>
        <w:footnoteRef/>
      </w:r>
      <w:r w:rsidRPr="00E254F5">
        <w:t xml:space="preserve"> Βλ. 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xml:space="preserve">. σελ. 25. </w:t>
      </w:r>
    </w:p>
  </w:footnote>
  <w:footnote w:id="246">
    <w:p w14:paraId="5CD4FCD9" w14:textId="77777777" w:rsidR="00E47260" w:rsidRPr="00FD1110" w:rsidRDefault="00E47260" w:rsidP="00CB7D04">
      <w:pPr>
        <w:pStyle w:val="FootnoteText"/>
        <w:rPr>
          <w:lang w:val="el-GR"/>
        </w:rPr>
      </w:pPr>
      <w:r w:rsidRPr="00E254F5">
        <w:rPr>
          <w:rStyle w:val="FootnoteReference"/>
          <w:szCs w:val="20"/>
        </w:rPr>
        <w:footnoteRef/>
      </w:r>
      <w:r w:rsidRPr="00E254F5">
        <w:t xml:space="preserve"> </w:t>
      </w:r>
      <w:r w:rsidRPr="00FD1110">
        <w:t xml:space="preserve">Βλ. </w:t>
      </w:r>
      <w:r w:rsidRPr="00FD1110">
        <w:rPr>
          <w:i/>
        </w:rPr>
        <w:t>supra</w:t>
      </w:r>
      <w:r w:rsidRPr="00FD1110">
        <w:t>,</w:t>
      </w:r>
      <w:r>
        <w:rPr>
          <w:lang w:val="el-GR"/>
        </w:rPr>
        <w:t xml:space="preserve"> υποσημείωση αριθ. </w:t>
      </w:r>
      <w:r>
        <w:rPr>
          <w:lang w:val="el-GR"/>
        </w:rPr>
        <w:fldChar w:fldCharType="begin"/>
      </w:r>
      <w:r>
        <w:rPr>
          <w:lang w:val="el-GR"/>
        </w:rPr>
        <w:instrText xml:space="preserve"> NOTEREF _Ref276109411 \h </w:instrText>
      </w:r>
      <w:r>
        <w:rPr>
          <w:lang w:val="el-GR"/>
        </w:rPr>
      </w:r>
      <w:r>
        <w:rPr>
          <w:lang w:val="el-GR"/>
        </w:rPr>
        <w:fldChar w:fldCharType="separate"/>
      </w:r>
      <w:r w:rsidR="00B822F0">
        <w:rPr>
          <w:lang w:val="el-GR"/>
        </w:rPr>
        <w:t>244</w:t>
      </w:r>
      <w:r>
        <w:rPr>
          <w:lang w:val="el-GR"/>
        </w:rPr>
        <w:fldChar w:fldCharType="end"/>
      </w:r>
      <w:r>
        <w:rPr>
          <w:lang w:val="el-GR"/>
        </w:rPr>
        <w:t xml:space="preserve">. </w:t>
      </w:r>
    </w:p>
  </w:footnote>
  <w:footnote w:id="247">
    <w:p w14:paraId="71F4EC8B" w14:textId="77777777" w:rsidR="00E47260" w:rsidRPr="00E254F5" w:rsidRDefault="00E47260" w:rsidP="00CB7D04">
      <w:pPr>
        <w:pStyle w:val="FootnoteText"/>
      </w:pPr>
      <w:r w:rsidRPr="00E254F5">
        <w:rPr>
          <w:rStyle w:val="FootnoteReference"/>
          <w:szCs w:val="20"/>
        </w:rPr>
        <w:footnoteRef/>
      </w:r>
      <w:r w:rsidRPr="00E254F5">
        <w:t xml:space="preserve"> Βλ. 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σελ. 31</w:t>
      </w:r>
    </w:p>
  </w:footnote>
  <w:footnote w:id="248">
    <w:p w14:paraId="5C2376EC"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i/>
        </w:rPr>
        <w:t>Intracytoplasmic sperm injection</w:t>
      </w:r>
      <w:r w:rsidRPr="00E254F5">
        <w:t xml:space="preserve">, </w:t>
      </w:r>
      <w:r w:rsidRPr="00E254F5">
        <w:rPr>
          <w:lang w:val="el-GR"/>
        </w:rPr>
        <w:t xml:space="preserve">δηλαδή </w:t>
      </w:r>
      <w:r w:rsidRPr="00E254F5">
        <w:t xml:space="preserve">μικρέγχυση σπερματοζωαρίων στο κυτταρόπλασμα του ωαρίου. </w:t>
      </w:r>
    </w:p>
  </w:footnote>
  <w:footnote w:id="249">
    <w:p w14:paraId="57962143" w14:textId="77777777" w:rsidR="00E47260" w:rsidRPr="00CA0D5A" w:rsidRDefault="00E47260" w:rsidP="00CB7D04">
      <w:pPr>
        <w:pStyle w:val="FootnoteText"/>
        <w:rPr>
          <w:lang w:val="el-GR"/>
        </w:rPr>
      </w:pPr>
      <w:r w:rsidRPr="00E254F5">
        <w:rPr>
          <w:rStyle w:val="FootnoteReference"/>
          <w:szCs w:val="20"/>
        </w:rPr>
        <w:footnoteRef/>
      </w:r>
      <w:r w:rsidRPr="00E254F5">
        <w:t xml:space="preserve"> Βλ. </w:t>
      </w:r>
      <w:r w:rsidRPr="00CA0D5A">
        <w:t xml:space="preserve">σχετικά Eρωτηματολόγιο [3.4], </w:t>
      </w:r>
      <w:r w:rsidRPr="00CA0D5A">
        <w:rPr>
          <w:i/>
        </w:rPr>
        <w:t xml:space="preserve">op.cit., </w:t>
      </w:r>
      <w:r w:rsidRPr="00CA0D5A">
        <w:t xml:space="preserve">σημ. ΙΙ, 4.2, </w:t>
      </w:r>
      <w:r w:rsidRPr="00CA0D5A">
        <w:rPr>
          <w:lang w:val="el-GR"/>
        </w:rPr>
        <w:t xml:space="preserve">σελ. 6. </w:t>
      </w:r>
    </w:p>
  </w:footnote>
  <w:footnote w:id="250">
    <w:p w14:paraId="3586E5E6" w14:textId="77777777" w:rsidR="00E47260" w:rsidRPr="00CA0D5A" w:rsidRDefault="00E47260" w:rsidP="00CB7D04">
      <w:pPr>
        <w:pStyle w:val="FootnoteText"/>
      </w:pPr>
      <w:r w:rsidRPr="00CA0D5A">
        <w:rPr>
          <w:rStyle w:val="FootnoteReference"/>
          <w:szCs w:val="20"/>
        </w:rPr>
        <w:footnoteRef/>
      </w:r>
      <w:r w:rsidRPr="00CA0D5A">
        <w:t xml:space="preserve"> Βλ. σχετικά Eρωτηματολόγιο [3.3], </w:t>
      </w:r>
      <w:r w:rsidRPr="00CA0D5A">
        <w:rPr>
          <w:i/>
        </w:rPr>
        <w:t>op.cit.</w:t>
      </w:r>
      <w:r w:rsidRPr="00CA0D5A">
        <w:t xml:space="preserve">, σημ. ΙI, 4.2, σελ. 7. </w:t>
      </w:r>
    </w:p>
  </w:footnote>
  <w:footnote w:id="251">
    <w:p w14:paraId="132E8B3D" w14:textId="77777777" w:rsidR="00E47260" w:rsidRPr="00E254F5" w:rsidRDefault="00E47260" w:rsidP="00CB7D04">
      <w:pPr>
        <w:pStyle w:val="FootnoteText"/>
        <w:rPr>
          <w:lang w:val="el-GR"/>
        </w:rPr>
      </w:pPr>
      <w:r w:rsidRPr="00CA0D5A">
        <w:rPr>
          <w:rStyle w:val="FootnoteReference"/>
          <w:szCs w:val="20"/>
        </w:rPr>
        <w:footnoteRef/>
      </w:r>
      <w:r w:rsidRPr="00CA0D5A">
        <w:t xml:space="preserve"> </w:t>
      </w:r>
      <w:r w:rsidRPr="00CA0D5A">
        <w:rPr>
          <w:i/>
        </w:rPr>
        <w:t>Idem</w:t>
      </w:r>
      <w:r w:rsidRPr="00CA0D5A">
        <w:t xml:space="preserve">, </w:t>
      </w:r>
      <w:r w:rsidRPr="00CA0D5A">
        <w:rPr>
          <w:lang w:val="el-GR"/>
        </w:rPr>
        <w:t>σημ. ΙΙ. 4.3-4.4, σελ. 7.</w:t>
      </w:r>
      <w:r>
        <w:rPr>
          <w:lang w:val="el-GR"/>
        </w:rPr>
        <w:t xml:space="preserve"> </w:t>
      </w:r>
    </w:p>
  </w:footnote>
  <w:footnote w:id="252">
    <w:p w14:paraId="7BA05F19" w14:textId="77777777" w:rsidR="00E47260" w:rsidRPr="00E254F5" w:rsidRDefault="00E47260" w:rsidP="00CB7D04">
      <w:pPr>
        <w:pStyle w:val="FootnoteText"/>
        <w:rPr>
          <w:lang w:val="el-GR"/>
        </w:rPr>
      </w:pPr>
      <w:r w:rsidRPr="00E254F5">
        <w:rPr>
          <w:rStyle w:val="FootnoteReference"/>
          <w:szCs w:val="20"/>
        </w:rPr>
        <w:footnoteRef/>
      </w:r>
      <w:r w:rsidRPr="00E254F5">
        <w:t xml:space="preserve"> Βλ. Agence de la Biomédecine, </w:t>
      </w:r>
      <w:r w:rsidRPr="00E254F5">
        <w:rPr>
          <w:i/>
        </w:rPr>
        <w:t>Le rapport médical et scientifique de l'assistance médicale à la procréation et de la génétique humaines en France, Données AMP Vigilance 2013</w:t>
      </w:r>
      <w:r w:rsidRPr="00E254F5">
        <w:t xml:space="preserve">, σελ. 10 και 12, </w:t>
      </w:r>
      <w:r w:rsidRPr="00E254F5">
        <w:rPr>
          <w:lang w:val="el-GR"/>
        </w:rPr>
        <w:t xml:space="preserve">διαθέσιμο σε: </w:t>
      </w:r>
      <w:hyperlink r:id="rId91" w:history="1">
        <w:r w:rsidRPr="00E254F5">
          <w:rPr>
            <w:rStyle w:val="Hyperlink"/>
            <w:szCs w:val="20"/>
            <w:lang w:val="el-GR"/>
          </w:rPr>
          <w:t>http://www.agence-biomedecine.fr/annexes/bilan2013/donnees/vigilance/01-amp/synthese.htm</w:t>
        </w:r>
      </w:hyperlink>
      <w:r w:rsidRPr="00E254F5">
        <w:rPr>
          <w:lang w:val="el-GR"/>
        </w:rPr>
        <w:t xml:space="preserve">.  </w:t>
      </w:r>
    </w:p>
  </w:footnote>
  <w:footnote w:id="253">
    <w:p w14:paraId="526D4E46" w14:textId="77777777" w:rsidR="00E47260" w:rsidRPr="00E254F5" w:rsidRDefault="00E47260" w:rsidP="00CB7D04">
      <w:pPr>
        <w:pStyle w:val="FootnoteText"/>
      </w:pPr>
      <w:r w:rsidRPr="00E254F5">
        <w:rPr>
          <w:rStyle w:val="FootnoteReference"/>
          <w:szCs w:val="20"/>
        </w:rPr>
        <w:footnoteRef/>
      </w:r>
      <w:r w:rsidRPr="00E254F5">
        <w:t xml:space="preserve"> Για περισσότερες λεπτομέρειες βλ. </w:t>
      </w:r>
      <w:r w:rsidRPr="00E254F5">
        <w:rPr>
          <w:i/>
        </w:rPr>
        <w:t>supra</w:t>
      </w:r>
      <w:r w:rsidRPr="00E254F5">
        <w:t>, σελ.</w:t>
      </w:r>
      <w:r>
        <w:t xml:space="preserve"> </w:t>
      </w:r>
      <w:r>
        <w:fldChar w:fldCharType="begin"/>
      </w:r>
      <w:r>
        <w:instrText xml:space="preserve"> PAGEREF Διοικητική_1 \h </w:instrText>
      </w:r>
      <w:r>
        <w:fldChar w:fldCharType="separate"/>
      </w:r>
      <w:r w:rsidR="00B822F0">
        <w:rPr>
          <w:noProof/>
        </w:rPr>
        <w:t>38</w:t>
      </w:r>
      <w:r>
        <w:fldChar w:fldCharType="end"/>
      </w:r>
      <w:r>
        <w:t xml:space="preserve">επ. </w:t>
      </w:r>
    </w:p>
  </w:footnote>
  <w:footnote w:id="254">
    <w:p w14:paraId="4660A793" w14:textId="77777777" w:rsidR="00E47260" w:rsidRPr="00674E8C" w:rsidRDefault="00E47260" w:rsidP="00CB7D04">
      <w:pPr>
        <w:pStyle w:val="FootnoteText"/>
        <w:rPr>
          <w:lang w:val="el-GR"/>
        </w:rPr>
      </w:pPr>
      <w:r w:rsidRPr="00E254F5">
        <w:rPr>
          <w:rStyle w:val="FootnoteReference"/>
          <w:szCs w:val="20"/>
        </w:rPr>
        <w:footnoteRef/>
      </w:r>
      <w:r w:rsidRPr="00E254F5">
        <w:t xml:space="preserve"> Βλ. </w:t>
      </w:r>
      <w:r w:rsidRPr="00674E8C">
        <w:t xml:space="preserve">σχετικά Eρωτηματολόγιο [3.4], </w:t>
      </w:r>
      <w:r w:rsidRPr="00674E8C">
        <w:rPr>
          <w:i/>
        </w:rPr>
        <w:t xml:space="preserve">op.cit., </w:t>
      </w:r>
      <w:r w:rsidRPr="00674E8C">
        <w:t xml:space="preserve">σημ. ΙΙ, 4.4, </w:t>
      </w:r>
      <w:r w:rsidRPr="00674E8C">
        <w:rPr>
          <w:lang w:val="el-GR"/>
        </w:rPr>
        <w:t>σελ. 6.</w:t>
      </w:r>
    </w:p>
  </w:footnote>
  <w:footnote w:id="255">
    <w:p w14:paraId="05098B92" w14:textId="77777777" w:rsidR="00E47260" w:rsidRPr="00E254F5" w:rsidRDefault="00E47260" w:rsidP="00CB7D04">
      <w:pPr>
        <w:pStyle w:val="FootnoteText"/>
      </w:pPr>
      <w:r w:rsidRPr="00674E8C">
        <w:rPr>
          <w:rStyle w:val="FootnoteReference"/>
          <w:szCs w:val="20"/>
        </w:rPr>
        <w:footnoteRef/>
      </w:r>
      <w:r w:rsidRPr="00674E8C">
        <w:t xml:space="preserve"> Βλ. σχετικά Eρωτηματολόγιο [3.6], </w:t>
      </w:r>
      <w:r w:rsidRPr="00674E8C">
        <w:rPr>
          <w:i/>
        </w:rPr>
        <w:t>op.cit</w:t>
      </w:r>
      <w:r w:rsidRPr="00E84E55">
        <w:rPr>
          <w:i/>
        </w:rPr>
        <w:t>.</w:t>
      </w:r>
      <w:r>
        <w:t xml:space="preserve">, </w:t>
      </w:r>
      <w:r w:rsidRPr="00E254F5">
        <w:t xml:space="preserve">σημ. ΙΙ, 4.2, σελ. 6. </w:t>
      </w:r>
    </w:p>
  </w:footnote>
  <w:footnote w:id="256">
    <w:p w14:paraId="5A3C195C"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rStyle w:val="FootnoteTextChar"/>
          <w:szCs w:val="20"/>
          <w:lang w:val="fr-FR"/>
        </w:rPr>
        <w:t xml:space="preserve">Agence de la Biomédecine, </w:t>
      </w:r>
      <w:r w:rsidRPr="00E254F5">
        <w:rPr>
          <w:rStyle w:val="FootnoteTextChar"/>
          <w:i/>
          <w:szCs w:val="20"/>
          <w:lang w:val="fr-FR"/>
        </w:rPr>
        <w:t>Listes des procédés biologiques régulièrement utilisés en AMP et des techniques visant à améliorer les procédés biologiques autorisés</w:t>
      </w:r>
      <w:r w:rsidRPr="00E254F5">
        <w:rPr>
          <w:rStyle w:val="FootnoteTextChar"/>
          <w:szCs w:val="20"/>
          <w:lang w:val="fr-FR"/>
        </w:rPr>
        <w:t xml:space="preserve">, </w:t>
      </w:r>
      <w:r w:rsidRPr="00E254F5">
        <w:rPr>
          <w:rStyle w:val="FootnoteTextChar"/>
          <w:i/>
          <w:szCs w:val="20"/>
          <w:lang w:val="fr-FR"/>
        </w:rPr>
        <w:t>op.cit</w:t>
      </w:r>
      <w:r w:rsidRPr="00E254F5">
        <w:rPr>
          <w:rStyle w:val="FootnoteTextChar"/>
          <w:szCs w:val="20"/>
          <w:lang w:val="fr-FR"/>
        </w:rPr>
        <w:t xml:space="preserve">., </w:t>
      </w:r>
      <w:r w:rsidRPr="00E254F5">
        <w:rPr>
          <w:rStyle w:val="FootnoteTextChar"/>
          <w:szCs w:val="20"/>
        </w:rPr>
        <w:t>σελ</w:t>
      </w:r>
      <w:r w:rsidRPr="00E254F5">
        <w:rPr>
          <w:rStyle w:val="FootnoteTextChar"/>
          <w:szCs w:val="20"/>
          <w:lang w:val="fr-FR"/>
        </w:rPr>
        <w:t xml:space="preserve">. 18-29. </w:t>
      </w:r>
    </w:p>
  </w:footnote>
  <w:footnote w:id="257">
    <w:p w14:paraId="4EA5B689" w14:textId="7D0438DD" w:rsidR="00E47260" w:rsidRPr="00F4589C" w:rsidRDefault="00E47260" w:rsidP="00CB7D04">
      <w:pPr>
        <w:pStyle w:val="FootnoteText"/>
        <w:rPr>
          <w:lang w:val="el-GR"/>
        </w:rPr>
      </w:pPr>
      <w:r w:rsidRPr="00E254F5">
        <w:rPr>
          <w:rStyle w:val="FootnoteReference"/>
          <w:szCs w:val="20"/>
        </w:rPr>
        <w:footnoteRef/>
      </w:r>
      <w:r w:rsidRPr="00E254F5">
        <w:t xml:space="preserve"> </w:t>
      </w:r>
      <w:r w:rsidRPr="00E254F5">
        <w:rPr>
          <w:rStyle w:val="FootnoteTextChar"/>
          <w:i/>
          <w:szCs w:val="20"/>
          <w:lang w:val="fr-FR"/>
        </w:rPr>
        <w:t>Idem</w:t>
      </w:r>
      <w:r>
        <w:rPr>
          <w:rStyle w:val="FootnoteTextChar"/>
          <w:szCs w:val="20"/>
          <w:lang w:val="fr-FR"/>
        </w:rPr>
        <w:t xml:space="preserve">,  </w:t>
      </w:r>
      <w:r>
        <w:rPr>
          <w:rStyle w:val="FootnoteTextChar"/>
          <w:szCs w:val="20"/>
          <w:lang w:val="el-GR"/>
        </w:rPr>
        <w:t xml:space="preserve">σελ. 18-19. </w:t>
      </w:r>
    </w:p>
  </w:footnote>
  <w:footnote w:id="258">
    <w:p w14:paraId="465896FC"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Βλ. </w:t>
      </w:r>
      <w:r w:rsidRPr="00E254F5">
        <w:rPr>
          <w:i/>
        </w:rPr>
        <w:t>infra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ΟΔηγός \h </w:instrText>
      </w:r>
      <w:r w:rsidRPr="00E254F5">
        <w:rPr>
          <w:lang w:val="el-GR"/>
        </w:rPr>
      </w:r>
      <w:r w:rsidRPr="00E254F5">
        <w:rPr>
          <w:lang w:val="el-GR"/>
        </w:rPr>
        <w:fldChar w:fldCharType="separate"/>
      </w:r>
      <w:r w:rsidR="00B822F0">
        <w:rPr>
          <w:noProof/>
          <w:lang w:val="el-GR"/>
        </w:rPr>
        <w:t>122</w:t>
      </w:r>
      <w:r w:rsidRPr="00E254F5">
        <w:rPr>
          <w:lang w:val="el-GR"/>
        </w:rPr>
        <w:fldChar w:fldCharType="end"/>
      </w:r>
      <w:r w:rsidRPr="00E254F5">
        <w:rPr>
          <w:lang w:val="el-GR"/>
        </w:rPr>
        <w:t xml:space="preserve">. </w:t>
      </w:r>
    </w:p>
  </w:footnote>
  <w:footnote w:id="259">
    <w:p w14:paraId="4FA52CFE" w14:textId="1CAFE62D" w:rsidR="00E47260" w:rsidRPr="00E254F5" w:rsidRDefault="00E47260" w:rsidP="00CB7D04">
      <w:pPr>
        <w:pStyle w:val="FootnoteText"/>
        <w:rPr>
          <w:lang w:val="el-GR"/>
        </w:rPr>
      </w:pPr>
      <w:r w:rsidRPr="00E254F5">
        <w:rPr>
          <w:rStyle w:val="FootnoteReference"/>
          <w:szCs w:val="20"/>
        </w:rPr>
        <w:footnoteRef/>
      </w:r>
      <w:r w:rsidRPr="00E254F5">
        <w:t xml:space="preserve"> </w:t>
      </w:r>
      <w:bookmarkStart w:id="147" w:name="_Toc394082412"/>
      <w:r w:rsidRPr="00E254F5">
        <w:t xml:space="preserve">CE, </w:t>
      </w:r>
      <w:r w:rsidRPr="00E254F5">
        <w:rPr>
          <w:i/>
        </w:rPr>
        <w:t xml:space="preserve">Ομοσπονδία της ΙΥΑ και Ομοσπονδία των γενικών νοσοκομείων, </w:t>
      </w:r>
      <w:r w:rsidRPr="00E254F5">
        <w:t xml:space="preserve">21 Ιανουαρίου 1994 [αριθ. αίτησης: </w:t>
      </w:r>
      <w:r w:rsidRPr="00143092">
        <w:t>118858]</w:t>
      </w:r>
      <w:bookmarkEnd w:id="147"/>
      <w:r w:rsidRPr="00143092">
        <w:t xml:space="preserve">, </w:t>
      </w:r>
      <w:r>
        <w:rPr>
          <w:lang w:val="el-GR"/>
        </w:rPr>
        <w:t>διαθέσιμη σε</w:t>
      </w:r>
      <w:r w:rsidRPr="00143092">
        <w:rPr>
          <w:lang w:val="el-GR"/>
        </w:rPr>
        <w:t xml:space="preserve"> </w:t>
      </w:r>
      <w:r w:rsidRPr="00143092">
        <w:t>Legifrance – Δημόσια Υπηρεσία Διάδοσης Δικαίο:</w:t>
      </w:r>
      <w:r w:rsidRPr="00E254F5">
        <w:t xml:space="preserve"> </w:t>
      </w:r>
      <w:hyperlink r:id="rId92" w:history="1">
        <w:r w:rsidRPr="00E254F5">
          <w:rPr>
            <w:rStyle w:val="Hyperlink"/>
            <w:szCs w:val="20"/>
          </w:rPr>
          <w:t>http://www.legifrance.gouv.fr/affichJuriAdmin.do?oldAction=rechJuriAdmin&amp;idTexte=CETATEXT000007838032&amp;fastReqId=2128470518&amp;fastPos=12</w:t>
        </w:r>
      </w:hyperlink>
      <w:r w:rsidRPr="00E254F5">
        <w:t xml:space="preserve">. Βλ. σχετικά </w:t>
      </w:r>
      <w:r w:rsidRPr="00E254F5">
        <w:rPr>
          <w:i/>
          <w:lang w:eastAsia="el-GR"/>
        </w:rPr>
        <w:t>Revue de Droit Sanitaire et Social</w:t>
      </w:r>
      <w:r w:rsidRPr="00E254F5">
        <w:rPr>
          <w:lang w:eastAsia="el-GR"/>
        </w:rPr>
        <w:t>, 1994, n</w:t>
      </w:r>
      <w:r w:rsidRPr="00E254F5">
        <w:rPr>
          <w:rFonts w:cs="Courier New"/>
          <w:lang w:eastAsia="el-GR"/>
        </w:rPr>
        <w:t xml:space="preserve">° </w:t>
      </w:r>
      <w:r w:rsidRPr="00E254F5">
        <w:rPr>
          <w:lang w:eastAsia="el-GR"/>
        </w:rPr>
        <w:t>3, σελ. 444</w:t>
      </w:r>
      <w:r w:rsidRPr="00E254F5">
        <w:t>.</w:t>
      </w:r>
    </w:p>
  </w:footnote>
  <w:footnote w:id="260">
    <w:p w14:paraId="0EBBF840"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Style w:val="FootnoteTextChar"/>
          <w:szCs w:val="20"/>
          <w:lang w:val="fr-FR"/>
        </w:rPr>
        <w:t xml:space="preserve">Agence de la Biomédecine, </w:t>
      </w:r>
      <w:r w:rsidRPr="00E254F5">
        <w:rPr>
          <w:rStyle w:val="FootnoteTextChar"/>
          <w:i/>
          <w:szCs w:val="20"/>
          <w:lang w:val="fr-FR"/>
        </w:rPr>
        <w:t>Listes des procédés biologiques régulièrement utilisés en AMP et des techniques visant à améliorer les procédés biologiques autorisés</w:t>
      </w:r>
      <w:r w:rsidRPr="00E254F5">
        <w:rPr>
          <w:rStyle w:val="FootnoteTextChar"/>
          <w:szCs w:val="20"/>
          <w:lang w:val="fr-FR"/>
        </w:rPr>
        <w:t xml:space="preserve">, </w:t>
      </w:r>
      <w:r w:rsidRPr="00E254F5">
        <w:rPr>
          <w:rStyle w:val="FootnoteTextChar"/>
          <w:i/>
          <w:szCs w:val="20"/>
          <w:lang w:val="fr-FR"/>
        </w:rPr>
        <w:t>op.cit</w:t>
      </w:r>
      <w:r w:rsidRPr="00E254F5">
        <w:rPr>
          <w:rStyle w:val="FootnoteTextChar"/>
          <w:szCs w:val="20"/>
          <w:lang w:val="fr-FR"/>
        </w:rPr>
        <w:t xml:space="preserve">., </w:t>
      </w:r>
      <w:r w:rsidRPr="00E254F5">
        <w:rPr>
          <w:rStyle w:val="FootnoteTextChar"/>
          <w:szCs w:val="20"/>
        </w:rPr>
        <w:t>σελ</w:t>
      </w:r>
      <w:r w:rsidRPr="00E254F5">
        <w:rPr>
          <w:rStyle w:val="FootnoteTextChar"/>
          <w:szCs w:val="20"/>
          <w:lang w:val="fr-FR"/>
        </w:rPr>
        <w:t xml:space="preserve">. 18-19. </w:t>
      </w:r>
    </w:p>
  </w:footnote>
  <w:footnote w:id="261">
    <w:p w14:paraId="5C2F58E9"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rStyle w:val="FootnoteTextChar"/>
          <w:szCs w:val="20"/>
          <w:lang w:val="fr-FR"/>
        </w:rPr>
        <w:t xml:space="preserve">Agence de la Biomédecine, </w:t>
      </w:r>
      <w:r w:rsidRPr="00E254F5">
        <w:rPr>
          <w:rStyle w:val="FootnoteTextChar"/>
          <w:i/>
          <w:szCs w:val="20"/>
          <w:lang w:val="fr-FR"/>
        </w:rPr>
        <w:t>Listes des procédés biologiques régulièrement utilisés en AMP et des techniques visant à améliorer les procédés biologiques autorisés</w:t>
      </w:r>
      <w:r w:rsidRPr="00E254F5">
        <w:rPr>
          <w:rStyle w:val="FootnoteTextChar"/>
          <w:szCs w:val="20"/>
          <w:lang w:val="fr-FR"/>
        </w:rPr>
        <w:t xml:space="preserve">, </w:t>
      </w:r>
      <w:r w:rsidRPr="00E254F5">
        <w:rPr>
          <w:rStyle w:val="FootnoteTextChar"/>
          <w:i/>
          <w:szCs w:val="20"/>
          <w:lang w:val="fr-FR"/>
        </w:rPr>
        <w:t>op.cit</w:t>
      </w:r>
      <w:r w:rsidRPr="00E254F5">
        <w:rPr>
          <w:rStyle w:val="FootnoteTextChar"/>
          <w:szCs w:val="20"/>
          <w:lang w:val="fr-FR"/>
        </w:rPr>
        <w:t xml:space="preserve">., </w:t>
      </w:r>
      <w:r w:rsidRPr="00E254F5">
        <w:rPr>
          <w:rStyle w:val="FootnoteTextChar"/>
          <w:szCs w:val="20"/>
        </w:rPr>
        <w:t>σελ</w:t>
      </w:r>
      <w:r w:rsidRPr="00E254F5">
        <w:rPr>
          <w:rStyle w:val="FootnoteTextChar"/>
          <w:szCs w:val="20"/>
          <w:lang w:val="fr-FR"/>
        </w:rPr>
        <w:t xml:space="preserve">. 19-20. </w:t>
      </w:r>
    </w:p>
  </w:footnote>
  <w:footnote w:id="262">
    <w:p w14:paraId="1F72BC30"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Βλ. </w:t>
      </w:r>
      <w:r w:rsidRPr="00E254F5">
        <w:rPr>
          <w:i/>
        </w:rPr>
        <w:t>supra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ΟΔηγός \h </w:instrText>
      </w:r>
      <w:r w:rsidRPr="00E254F5">
        <w:rPr>
          <w:lang w:val="el-GR"/>
        </w:rPr>
      </w:r>
      <w:r w:rsidRPr="00E254F5">
        <w:rPr>
          <w:lang w:val="el-GR"/>
        </w:rPr>
        <w:fldChar w:fldCharType="separate"/>
      </w:r>
      <w:r w:rsidR="00B822F0">
        <w:rPr>
          <w:noProof/>
          <w:lang w:val="el-GR"/>
        </w:rPr>
        <w:t>122</w:t>
      </w:r>
      <w:r w:rsidRPr="00E254F5">
        <w:rPr>
          <w:lang w:val="el-GR"/>
        </w:rPr>
        <w:fldChar w:fldCharType="end"/>
      </w:r>
      <w:r w:rsidRPr="00E254F5">
        <w:rPr>
          <w:lang w:val="el-GR"/>
        </w:rPr>
        <w:t xml:space="preserve">. </w:t>
      </w:r>
    </w:p>
  </w:footnote>
  <w:footnote w:id="263">
    <w:p w14:paraId="0FAA333D"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πληροφορίες σχετικά βλ. </w:t>
      </w:r>
      <w:r w:rsidRPr="00E254F5">
        <w:rPr>
          <w:i/>
        </w:rPr>
        <w:t>supra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Cecos \h </w:instrText>
      </w:r>
      <w:r w:rsidRPr="00E254F5">
        <w:rPr>
          <w:lang w:val="el-GR"/>
        </w:rPr>
      </w:r>
      <w:r w:rsidRPr="00E254F5">
        <w:rPr>
          <w:lang w:val="el-GR"/>
        </w:rPr>
        <w:fldChar w:fldCharType="separate"/>
      </w:r>
      <w:r w:rsidR="00B822F0">
        <w:rPr>
          <w:noProof/>
          <w:lang w:val="el-GR"/>
        </w:rPr>
        <w:t>120</w:t>
      </w:r>
      <w:r w:rsidRPr="00E254F5">
        <w:rPr>
          <w:lang w:val="el-GR"/>
        </w:rPr>
        <w:fldChar w:fldCharType="end"/>
      </w:r>
      <w:r w:rsidRPr="00E254F5">
        <w:rPr>
          <w:lang w:val="el-GR"/>
        </w:rPr>
        <w:t xml:space="preserve">. </w:t>
      </w:r>
    </w:p>
  </w:footnote>
  <w:footnote w:id="264">
    <w:p w14:paraId="0F7C6EAD" w14:textId="06B0709E"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 </w:t>
      </w:r>
      <w:r w:rsidRPr="00E254F5">
        <w:t>CCNE,  </w:t>
      </w:r>
      <w:r w:rsidRPr="00E254F5">
        <w:rPr>
          <w:i/>
        </w:rPr>
        <w:t>Etat des études conduites par le Comité concernant les dons de gamètes et d’embryons</w:t>
      </w:r>
      <w:r w:rsidRPr="00E254F5">
        <w:t>, Avis n</w:t>
      </w:r>
      <w:r w:rsidRPr="00E254F5">
        <w:rPr>
          <w:vertAlign w:val="superscript"/>
        </w:rPr>
        <w:t>o</w:t>
      </w:r>
      <w:r>
        <w:t xml:space="preserve"> 18, 15 décembre 1989, διαθέσιμη σε: </w:t>
      </w:r>
      <w:hyperlink r:id="rId93" w:history="1">
        <w:r w:rsidRPr="00E254F5">
          <w:rPr>
            <w:rStyle w:val="Hyperlink"/>
            <w:szCs w:val="20"/>
            <w:lang w:val="fr-FR"/>
          </w:rPr>
          <w:t>http://www.ccne-ethique.fr/sites/default/files/publications/avis018.pdf</w:t>
        </w:r>
      </w:hyperlink>
      <w:r w:rsidRPr="00E254F5">
        <w:t xml:space="preserve">. </w:t>
      </w:r>
    </w:p>
  </w:footnote>
  <w:footnote w:id="265">
    <w:p w14:paraId="33AE8936" w14:textId="2EED22DA"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b/>
          <w:i/>
        </w:rPr>
        <w:t>A. Jouan</w:t>
      </w:r>
      <w:r w:rsidRPr="00E254F5">
        <w:t xml:space="preserve">, «Polemique autour de la congelation d’ovocytes», </w:t>
      </w:r>
      <w:r w:rsidRPr="00E254F5">
        <w:rPr>
          <w:i/>
        </w:rPr>
        <w:t>Le Figaro</w:t>
      </w:r>
      <w:r w:rsidRPr="00E254F5">
        <w:t xml:space="preserve">, 26 </w:t>
      </w:r>
      <w:r w:rsidRPr="00E254F5">
        <w:rPr>
          <w:lang w:val="el-GR"/>
        </w:rPr>
        <w:t>Μαρτίου 2010</w:t>
      </w:r>
      <w:r>
        <w:rPr>
          <w:lang w:val="el-GR"/>
        </w:rPr>
        <w:t xml:space="preserve">, διαθέσιμο σε: </w:t>
      </w:r>
      <w:hyperlink r:id="rId94" w:history="1">
        <w:r w:rsidRPr="00E254F5">
          <w:rPr>
            <w:rStyle w:val="Hyperlink"/>
            <w:szCs w:val="20"/>
            <w:lang w:val="el-GR"/>
          </w:rPr>
          <w:t>http://sante.lefigaro.fr/actualite/2010/03/26/10123-polemique-autour-congelation-dovocytes</w:t>
        </w:r>
      </w:hyperlink>
      <w:r w:rsidRPr="00E254F5">
        <w:rPr>
          <w:lang w:val="el-GR"/>
        </w:rPr>
        <w:t xml:space="preserve">. </w:t>
      </w:r>
    </w:p>
  </w:footnote>
  <w:footnote w:id="266">
    <w:p w14:paraId="49D2B675" w14:textId="77777777" w:rsidR="00E47260" w:rsidRPr="00E254F5" w:rsidRDefault="00E47260" w:rsidP="00CB7D04">
      <w:pPr>
        <w:pStyle w:val="FootnoteText"/>
        <w:rPr>
          <w:lang w:val="el-GR"/>
        </w:rPr>
      </w:pPr>
      <w:r w:rsidRPr="00E254F5">
        <w:rPr>
          <w:rStyle w:val="FootnoteReference"/>
          <w:szCs w:val="20"/>
        </w:rPr>
        <w:footnoteRef/>
      </w:r>
      <w:r w:rsidRPr="00E254F5">
        <w:t xml:space="preserve"> Doc. Sénat, n</w:t>
      </w:r>
      <w:r w:rsidRPr="00E254F5">
        <w:rPr>
          <w:vertAlign w:val="superscript"/>
        </w:rPr>
        <w:t>o</w:t>
      </w:r>
      <w:r w:rsidRPr="00E254F5">
        <w:t xml:space="preserve"> 236, </w:t>
      </w:r>
      <w:r w:rsidRPr="00E254F5">
        <w:rPr>
          <w:lang w:val="el-GR"/>
        </w:rPr>
        <w:t xml:space="preserve">σελ. 121. </w:t>
      </w:r>
    </w:p>
  </w:footnote>
  <w:footnote w:id="267">
    <w:p w14:paraId="33AE782D"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b/>
          <w:i/>
        </w:rPr>
        <w:t>S. Veil</w:t>
      </w:r>
      <w:r w:rsidRPr="00E254F5">
        <w:t xml:space="preserve">, </w:t>
      </w:r>
      <w:r w:rsidRPr="00E254F5">
        <w:rPr>
          <w:i/>
        </w:rPr>
        <w:t>JO Sénat</w:t>
      </w:r>
      <w:r w:rsidRPr="00E254F5">
        <w:t xml:space="preserve"> CR, 14 </w:t>
      </w:r>
      <w:r w:rsidRPr="00E254F5">
        <w:rPr>
          <w:lang w:val="el-GR"/>
        </w:rPr>
        <w:t xml:space="preserve">Ιανουαρίου 1994, σελ. 95. </w:t>
      </w:r>
    </w:p>
  </w:footnote>
  <w:footnote w:id="268">
    <w:p w14:paraId="47452FBD"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Βλ. σχετικά </w:t>
      </w:r>
      <w:r w:rsidRPr="00E254F5">
        <w:rPr>
          <w:b/>
          <w:i/>
        </w:rPr>
        <w:t>R.-C. Chian</w:t>
      </w:r>
      <w:r w:rsidRPr="00E254F5">
        <w:t xml:space="preserve">, «Vitrification des ovocytes et des embyrons: voie d’avenir», </w:t>
      </w:r>
      <w:r w:rsidRPr="00E254F5">
        <w:rPr>
          <w:i/>
        </w:rPr>
        <w:t>Journal de gynécologie obstétrique et biologie de la reproduction,</w:t>
      </w:r>
      <w:r w:rsidRPr="00E254F5">
        <w:t xml:space="preserve"> 2007, vol. 36, SUP2. </w:t>
      </w:r>
    </w:p>
  </w:footnote>
  <w:footnote w:id="269">
    <w:p w14:paraId="444533E3"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 </w:t>
      </w:r>
      <w:r w:rsidRPr="00E254F5">
        <w:t>Assemblée Nationale, 3</w:t>
      </w:r>
      <w:r w:rsidRPr="00E254F5">
        <w:rPr>
          <w:vertAlign w:val="superscript"/>
        </w:rPr>
        <w:t>e</w:t>
      </w:r>
      <w:r w:rsidRPr="00E254F5">
        <w:t xml:space="preserve"> Séance, 10 </w:t>
      </w:r>
      <w:r w:rsidRPr="00E254F5">
        <w:rPr>
          <w:lang w:val="el-GR"/>
        </w:rPr>
        <w:t>Φεβρουαρίου</w:t>
      </w:r>
      <w:r w:rsidRPr="00E254F5">
        <w:t xml:space="preserve"> 2011, </w:t>
      </w:r>
      <w:r w:rsidRPr="00E254F5">
        <w:rPr>
          <w:i/>
        </w:rPr>
        <w:t>JOAN CR</w:t>
      </w:r>
      <w:r w:rsidRPr="00E254F5">
        <w:t xml:space="preserve">, 11 Φεβρουαρίου 2011, </w:t>
      </w:r>
      <w:r w:rsidRPr="00E254F5">
        <w:rPr>
          <w:lang w:val="el-GR"/>
        </w:rPr>
        <w:t xml:space="preserve">σελ. 1032. </w:t>
      </w:r>
    </w:p>
  </w:footnote>
  <w:footnote w:id="270">
    <w:p w14:paraId="2DE45738"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rStyle w:val="FootnoteTextChar"/>
          <w:szCs w:val="20"/>
          <w:lang w:val="fr-FR"/>
        </w:rPr>
        <w:t xml:space="preserve">Agence de la Biomédecine, </w:t>
      </w:r>
      <w:r w:rsidRPr="00E254F5">
        <w:rPr>
          <w:rStyle w:val="FootnoteTextChar"/>
          <w:i/>
          <w:szCs w:val="20"/>
          <w:lang w:val="fr-FR"/>
        </w:rPr>
        <w:t>Listes des procédés biologiques régulièrement utilisés en AMP et des techniques visant à améliorer les procédés biologiques autorisés</w:t>
      </w:r>
      <w:r w:rsidRPr="00E254F5">
        <w:rPr>
          <w:rStyle w:val="FootnoteTextChar"/>
          <w:szCs w:val="20"/>
          <w:lang w:val="fr-FR"/>
        </w:rPr>
        <w:t xml:space="preserve">, </w:t>
      </w:r>
      <w:r w:rsidRPr="00E254F5">
        <w:rPr>
          <w:rStyle w:val="FootnoteTextChar"/>
          <w:i/>
          <w:szCs w:val="20"/>
          <w:lang w:val="fr-FR"/>
        </w:rPr>
        <w:t>op.cit</w:t>
      </w:r>
      <w:r w:rsidRPr="00E254F5">
        <w:rPr>
          <w:rStyle w:val="FootnoteTextChar"/>
          <w:szCs w:val="20"/>
          <w:lang w:val="fr-FR"/>
        </w:rPr>
        <w:t xml:space="preserve">., </w:t>
      </w:r>
      <w:r w:rsidRPr="00E254F5">
        <w:rPr>
          <w:rStyle w:val="FootnoteTextChar"/>
          <w:szCs w:val="20"/>
        </w:rPr>
        <w:t>σελ</w:t>
      </w:r>
      <w:r w:rsidRPr="00E254F5">
        <w:rPr>
          <w:rStyle w:val="FootnoteTextChar"/>
          <w:szCs w:val="20"/>
          <w:lang w:val="fr-FR"/>
        </w:rPr>
        <w:t xml:space="preserve">. 28-29. </w:t>
      </w:r>
    </w:p>
  </w:footnote>
  <w:footnote w:id="271">
    <w:p w14:paraId="2BF2CB53"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πληροφορίες βλ. </w:t>
      </w:r>
      <w:r w:rsidRPr="00E254F5">
        <w:t xml:space="preserve">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xml:space="preserve"> σελ. 13-14 </w:t>
      </w:r>
      <w:r w:rsidRPr="00E254F5">
        <w:rPr>
          <w:lang w:val="el-GR"/>
        </w:rPr>
        <w:t xml:space="preserve">και 39. </w:t>
      </w:r>
    </w:p>
  </w:footnote>
  <w:footnote w:id="272">
    <w:p w14:paraId="1C6EE9AD"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rStyle w:val="FootnoteTextChar"/>
          <w:szCs w:val="20"/>
          <w:lang w:val="fr-FR"/>
        </w:rPr>
        <w:t xml:space="preserve">Agence de la Biomédecine, </w:t>
      </w:r>
      <w:r w:rsidRPr="00E254F5">
        <w:rPr>
          <w:rStyle w:val="FootnoteTextChar"/>
          <w:i/>
          <w:szCs w:val="20"/>
          <w:lang w:val="fr-FR"/>
        </w:rPr>
        <w:t>Listes des procédés biologiques régulièrement utilisés en AMP et des techniques visant à améliorer les procédés biologiques autorisés</w:t>
      </w:r>
      <w:r w:rsidRPr="00E254F5">
        <w:rPr>
          <w:rStyle w:val="FootnoteTextChar"/>
          <w:szCs w:val="20"/>
          <w:lang w:val="fr-FR"/>
        </w:rPr>
        <w:t xml:space="preserve">, </w:t>
      </w:r>
      <w:r w:rsidRPr="00E254F5">
        <w:rPr>
          <w:rStyle w:val="FootnoteTextChar"/>
          <w:i/>
          <w:szCs w:val="20"/>
          <w:lang w:val="fr-FR"/>
        </w:rPr>
        <w:t>op.cit</w:t>
      </w:r>
      <w:r w:rsidRPr="00E254F5">
        <w:rPr>
          <w:rStyle w:val="FootnoteTextChar"/>
          <w:szCs w:val="20"/>
          <w:lang w:val="fr-FR"/>
        </w:rPr>
        <w:t xml:space="preserve">., </w:t>
      </w:r>
      <w:r w:rsidRPr="00E254F5">
        <w:rPr>
          <w:rStyle w:val="FootnoteTextChar"/>
          <w:szCs w:val="20"/>
        </w:rPr>
        <w:t>σελ</w:t>
      </w:r>
      <w:r w:rsidRPr="00E254F5">
        <w:rPr>
          <w:rStyle w:val="FootnoteTextChar"/>
          <w:szCs w:val="20"/>
          <w:lang w:val="fr-FR"/>
        </w:rPr>
        <w:t xml:space="preserve">. 23-25. </w:t>
      </w:r>
    </w:p>
  </w:footnote>
  <w:footnote w:id="273">
    <w:p w14:paraId="66074000"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πληροφορίες βλ. </w:t>
      </w:r>
      <w:r w:rsidRPr="00E254F5">
        <w:t xml:space="preserve">Agence de la Biomédecine, </w:t>
      </w:r>
      <w:r w:rsidRPr="00E254F5">
        <w:rPr>
          <w:i/>
        </w:rPr>
        <w:t>Le rapport médical et scientifique de l'assistance médicale à la procréation et de la génétique humaines en France, Activité d’Assistance Médicale à la Procréation 2012</w:t>
      </w:r>
      <w:r w:rsidRPr="00E254F5">
        <w:t xml:space="preserve">, </w:t>
      </w:r>
      <w:r w:rsidRPr="00E254F5">
        <w:rPr>
          <w:i/>
        </w:rPr>
        <w:t>op.cit.,</w:t>
      </w:r>
      <w:r w:rsidRPr="00E254F5">
        <w:t xml:space="preserve"> σελ. 13. </w:t>
      </w:r>
    </w:p>
  </w:footnote>
  <w:footnote w:id="274">
    <w:p w14:paraId="3F2F3C02"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Βλ. έτσι </w:t>
      </w:r>
      <w:r w:rsidRPr="00E254F5">
        <w:rPr>
          <w:b/>
          <w:i/>
        </w:rPr>
        <w:t>A.-M. Leroyer</w:t>
      </w:r>
      <w:r w:rsidRPr="00E254F5">
        <w:t xml:space="preserve">, </w:t>
      </w:r>
      <w:r w:rsidRPr="00E254F5">
        <w:rPr>
          <w:i/>
        </w:rPr>
        <w:t>Droit de la famille</w:t>
      </w:r>
      <w:r w:rsidRPr="00E254F5">
        <w:t xml:space="preserve">, </w:t>
      </w:r>
      <w:r w:rsidRPr="00E254F5">
        <w:rPr>
          <w:i/>
        </w:rPr>
        <w:t>op.cit.,</w:t>
      </w:r>
      <w:r w:rsidRPr="00E254F5">
        <w:t xml:space="preserve"> σελ. 296. </w:t>
      </w:r>
    </w:p>
  </w:footnote>
  <w:footnote w:id="275">
    <w:p w14:paraId="121DE3CF" w14:textId="77777777" w:rsidR="00E47260" w:rsidRPr="00E254F5" w:rsidRDefault="00E47260" w:rsidP="00CB7D04">
      <w:pPr>
        <w:pStyle w:val="FootnoteText"/>
        <w:rPr>
          <w:lang w:val="el-GR"/>
        </w:rPr>
      </w:pPr>
      <w:r w:rsidRPr="00E254F5">
        <w:rPr>
          <w:rStyle w:val="FootnoteReference"/>
          <w:szCs w:val="20"/>
        </w:rPr>
        <w:footnoteRef/>
      </w:r>
      <w:r w:rsidRPr="00E254F5">
        <w:t xml:space="preserve"> Βλ. </w:t>
      </w:r>
      <w:r w:rsidRPr="0067738A">
        <w:t xml:space="preserve">σχετικά Eρωτηματολόγιο [3.3], </w:t>
      </w:r>
      <w:r w:rsidRPr="0067738A">
        <w:rPr>
          <w:i/>
        </w:rPr>
        <w:t>op.cit.</w:t>
      </w:r>
      <w:r w:rsidRPr="0067738A">
        <w:t>, σημ</w:t>
      </w:r>
      <w:r w:rsidRPr="00E254F5">
        <w:t xml:space="preserve">. ΙI, 4.5, σελ. 7-8. </w:t>
      </w:r>
    </w:p>
  </w:footnote>
  <w:footnote w:id="276">
    <w:p w14:paraId="1FB92FD4" w14:textId="7D65EAFE"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Έχουν εκφραστεί αντιρρήσεις για την πρόβλεψη αυτή, η οποία αναγνωρίζει υπερβολική εξουσία στο επιζών πρόσωπο, </w:t>
      </w:r>
      <w:r>
        <w:rPr>
          <w:lang w:val="el-GR"/>
        </w:rPr>
        <w:t>που</w:t>
      </w:r>
      <w:r w:rsidRPr="00E254F5">
        <w:rPr>
          <w:lang w:val="el-GR"/>
        </w:rPr>
        <w:t xml:space="preserve"> ενδέχεται μάλιστα να μη συνδέεται βιολογικά με το έμβρυο για τη μοίρα του οποίου καλείται να αποφασίσει (όταν π.χ. το έμβρυο έχει συλληφθεί με δωρεά γεννητικού υλικού). </w:t>
      </w:r>
      <w:r w:rsidRPr="00E254F5">
        <w:t xml:space="preserve">Βλ. σχετικά </w:t>
      </w:r>
      <w:r w:rsidRPr="00E254F5">
        <w:rPr>
          <w:b/>
          <w:i/>
        </w:rPr>
        <w:t>Fr. Terré, D. Fenouillet</w:t>
      </w:r>
      <w:r w:rsidRPr="00E254F5">
        <w:t xml:space="preserve">, </w:t>
      </w:r>
      <w:r w:rsidRPr="00E254F5">
        <w:rPr>
          <w:i/>
        </w:rPr>
        <w:t>Droit civil. La famille</w:t>
      </w:r>
      <w:r w:rsidRPr="00E254F5">
        <w:t xml:space="preserve">, </w:t>
      </w:r>
      <w:r w:rsidRPr="00E254F5">
        <w:rPr>
          <w:i/>
        </w:rPr>
        <w:t>op.cit.</w:t>
      </w:r>
      <w:r w:rsidRPr="00E254F5">
        <w:t xml:space="preserve">, σελ. 754-755. </w:t>
      </w:r>
    </w:p>
  </w:footnote>
  <w:footnote w:id="277">
    <w:p w14:paraId="1E6C9143"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Δε μπορεί να μη σχολιαστεί, στο σημείο αυτό, η ομοιότητα των διατάξεων περί λήψης εμβρύων με αυτές που ρυθμίζουν το θεσμό της υιοθεσίας. Κάποιοι μάλιστα έχουν μιλήσει για </w:t>
      </w:r>
      <w:r w:rsidRPr="007A4195">
        <w:rPr>
          <w:b/>
          <w:lang w:val="el-GR"/>
        </w:rPr>
        <w:t>«προγεννητική υιοθεσία»</w:t>
      </w:r>
      <w:r w:rsidRPr="00E254F5">
        <w:rPr>
          <w:lang w:val="el-GR"/>
        </w:rPr>
        <w:t xml:space="preserve">. Βλ. </w:t>
      </w:r>
      <w:r w:rsidRPr="00E254F5">
        <w:rPr>
          <w:b/>
          <w:i/>
          <w:lang w:val="el-GR"/>
        </w:rPr>
        <w:t xml:space="preserve">J. </w:t>
      </w:r>
      <w:r w:rsidRPr="00E254F5">
        <w:rPr>
          <w:b/>
          <w:i/>
        </w:rPr>
        <w:t>Testart</w:t>
      </w:r>
      <w:r w:rsidRPr="00E254F5">
        <w:t xml:space="preserve">, </w:t>
      </w:r>
      <w:r w:rsidRPr="00E254F5">
        <w:rPr>
          <w:i/>
        </w:rPr>
        <w:t>L’oeuf transparent</w:t>
      </w:r>
      <w:r w:rsidRPr="00E254F5">
        <w:t xml:space="preserve">, Flammarion, 1986. </w:t>
      </w:r>
    </w:p>
  </w:footnote>
  <w:footnote w:id="278">
    <w:p w14:paraId="460D887D"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πληροφορίες σχετικά με την αρχή της ανωνυμίας του δότη βλ. επίσης </w:t>
      </w:r>
      <w:r w:rsidRPr="00E254F5">
        <w:rPr>
          <w:i/>
        </w:rPr>
        <w:t>infra</w:t>
      </w:r>
      <w:r w:rsidRPr="00E254F5">
        <w:t xml:space="preserve">, </w:t>
      </w:r>
      <w:r w:rsidRPr="00E254F5">
        <w:rPr>
          <w:lang w:val="el-GR"/>
        </w:rPr>
        <w:t xml:space="preserve">σελ. </w:t>
      </w:r>
      <w:r w:rsidRPr="00E254F5">
        <w:rPr>
          <w:lang w:val="el-GR"/>
        </w:rPr>
        <w:fldChar w:fldCharType="begin"/>
      </w:r>
      <w:r w:rsidRPr="00E254F5">
        <w:rPr>
          <w:lang w:val="el-GR"/>
        </w:rPr>
        <w:instrText xml:space="preserve"> PAGEREF _Ref274843385 \h </w:instrText>
      </w:r>
      <w:r w:rsidRPr="00E254F5">
        <w:rPr>
          <w:lang w:val="el-GR"/>
        </w:rPr>
      </w:r>
      <w:r w:rsidRPr="00E254F5">
        <w:rPr>
          <w:lang w:val="el-GR"/>
        </w:rPr>
        <w:fldChar w:fldCharType="separate"/>
      </w:r>
      <w:r w:rsidR="00B822F0">
        <w:rPr>
          <w:noProof/>
          <w:lang w:val="el-GR"/>
        </w:rPr>
        <w:t>184</w:t>
      </w:r>
      <w:r w:rsidRPr="00E254F5">
        <w:rPr>
          <w:lang w:val="el-GR"/>
        </w:rPr>
        <w:fldChar w:fldCharType="end"/>
      </w:r>
      <w:r w:rsidRPr="00E254F5">
        <w:rPr>
          <w:lang w:val="el-GR"/>
        </w:rPr>
        <w:t xml:space="preserve">επ. </w:t>
      </w:r>
    </w:p>
  </w:footnote>
  <w:footnote w:id="279">
    <w:p w14:paraId="1039F263" w14:textId="17D5AEAF"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lang w:val="el-GR"/>
        </w:rPr>
        <w:t xml:space="preserve"> Το ζητούμενο εδώ δεν είναι η επιτυχία της ιατρικά υποβοηθούμενης αναπαραγωγής, αλλά η προστασία του ίδιου του εμβρύου, καθώς επίσης και του εννόμου συμφέροντος των δοτών. Στις ανωτέρω διατάξεις υγειονομικής προστασίας πρέπει να προστεθούν και οι διατάξεις σχετικά με την προγενέστερη συλλογή των προϊόντων του </w:t>
      </w:r>
      <w:r>
        <w:rPr>
          <w:lang w:val="el-GR"/>
        </w:rPr>
        <w:t>ανθρωπίνου</w:t>
      </w:r>
      <w:r w:rsidRPr="00E254F5">
        <w:rPr>
          <w:lang w:val="el-GR"/>
        </w:rPr>
        <w:t xml:space="preserve"> σώματος (άρθρο </w:t>
      </w:r>
      <w:r w:rsidRPr="00E254F5">
        <w:t xml:space="preserve">L. </w:t>
      </w:r>
      <w:r w:rsidRPr="00E254F5">
        <w:rPr>
          <w:lang w:val="el-GR"/>
        </w:rPr>
        <w:t>1211-6</w:t>
      </w:r>
      <w:r>
        <w:rPr>
          <w:lang w:val="el-GR"/>
        </w:rPr>
        <w:t xml:space="preserve"> ΚΔΥ</w:t>
      </w:r>
      <w:r w:rsidRPr="00E254F5">
        <w:rPr>
          <w:lang w:val="el-GR"/>
        </w:rPr>
        <w:t xml:space="preserve">) και των γαμετών (άρθρα </w:t>
      </w:r>
      <w:r w:rsidRPr="00E254F5">
        <w:t xml:space="preserve">L. </w:t>
      </w:r>
      <w:r>
        <w:rPr>
          <w:lang w:val="el-GR"/>
        </w:rPr>
        <w:t>1244-5</w:t>
      </w:r>
      <w:r w:rsidRPr="00E254F5">
        <w:rPr>
          <w:lang w:val="el-GR"/>
        </w:rPr>
        <w:t>επ.</w:t>
      </w:r>
      <w:r>
        <w:rPr>
          <w:lang w:val="el-GR"/>
        </w:rPr>
        <w:t xml:space="preserve"> ΚΔΥ</w:t>
      </w:r>
      <w:r w:rsidRPr="00E254F5">
        <w:rPr>
          <w:lang w:val="el-GR"/>
        </w:rPr>
        <w:t xml:space="preserve">), καθώς επίσης και με τη γονιμοποίηση </w:t>
      </w:r>
      <w:r w:rsidRPr="00E254F5">
        <w:rPr>
          <w:i/>
        </w:rPr>
        <w:t>in vitro</w:t>
      </w:r>
      <w:r w:rsidRPr="00E254F5">
        <w:t xml:space="preserve"> </w:t>
      </w:r>
      <w:r w:rsidRPr="00E254F5">
        <w:rPr>
          <w:lang w:val="el-GR"/>
        </w:rPr>
        <w:t xml:space="preserve">των εμβρύων (άρθρο </w:t>
      </w:r>
      <w:r w:rsidRPr="00E254F5">
        <w:t>L. 2141-6, παρ. 6</w:t>
      </w:r>
      <w:r>
        <w:t>, ΚΔΥ</w:t>
      </w:r>
      <w:r w:rsidRPr="00E254F5">
        <w:rPr>
          <w:lang w:val="el-GR"/>
        </w:rPr>
        <w:t xml:space="preserve">). Στις διατάξεις αυτές προστίθενται επίσης και η απαγόρευση </w:t>
      </w:r>
      <w:r>
        <w:rPr>
          <w:lang w:val="el-GR"/>
        </w:rPr>
        <w:t>εκούσιας</w:t>
      </w:r>
      <w:r w:rsidRPr="00E254F5">
        <w:rPr>
          <w:lang w:val="el-GR"/>
        </w:rPr>
        <w:t xml:space="preserve"> </w:t>
      </w:r>
      <w:r>
        <w:rPr>
          <w:lang w:val="el-GR"/>
        </w:rPr>
        <w:t>χρήσης των γαμετών</w:t>
      </w:r>
      <w:r w:rsidRPr="00E254F5">
        <w:rPr>
          <w:lang w:val="el-GR"/>
        </w:rPr>
        <w:t xml:space="preserve"> του ίδιου δότη για περισσότερα από δέκα τέκνα (άρθρο </w:t>
      </w:r>
      <w:r w:rsidRPr="00E254F5">
        <w:t xml:space="preserve">L. </w:t>
      </w:r>
      <w:r w:rsidRPr="00E254F5">
        <w:rPr>
          <w:lang w:val="el-GR"/>
        </w:rPr>
        <w:t>1244-4</w:t>
      </w:r>
      <w:r>
        <w:rPr>
          <w:lang w:val="el-GR"/>
        </w:rPr>
        <w:t xml:space="preserve"> ΚΔΥ</w:t>
      </w:r>
      <w:r w:rsidRPr="00E254F5">
        <w:rPr>
          <w:lang w:val="el-GR"/>
        </w:rPr>
        <w:t xml:space="preserve">). </w:t>
      </w:r>
    </w:p>
  </w:footnote>
  <w:footnote w:id="280">
    <w:p w14:paraId="1A1484AD"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Βλ. σχετικά </w:t>
      </w:r>
      <w:r w:rsidRPr="00E254F5">
        <w:rPr>
          <w:b/>
          <w:i/>
        </w:rPr>
        <w:t>A.-M. Leroyer</w:t>
      </w:r>
      <w:r w:rsidRPr="00E254F5">
        <w:t xml:space="preserve">, </w:t>
      </w:r>
      <w:r w:rsidRPr="00E254F5">
        <w:rPr>
          <w:i/>
        </w:rPr>
        <w:t>Droit de la famille</w:t>
      </w:r>
      <w:r w:rsidRPr="00E254F5">
        <w:t xml:space="preserve">, </w:t>
      </w:r>
      <w:r w:rsidRPr="00E254F5">
        <w:rPr>
          <w:i/>
        </w:rPr>
        <w:t>op.cit.,</w:t>
      </w:r>
      <w:r w:rsidRPr="00E254F5">
        <w:t xml:space="preserve"> σελ. 297. </w:t>
      </w:r>
    </w:p>
  </w:footnote>
  <w:footnote w:id="281">
    <w:p w14:paraId="5510FD84" w14:textId="77777777" w:rsidR="00E47260" w:rsidRPr="00E254F5" w:rsidRDefault="00E47260" w:rsidP="00551903">
      <w:pPr>
        <w:pStyle w:val="FootnoteText"/>
        <w:rPr>
          <w:lang w:val="el-GR"/>
        </w:rPr>
      </w:pPr>
      <w:r w:rsidRPr="00E254F5">
        <w:rPr>
          <w:rStyle w:val="FootnoteReference"/>
          <w:szCs w:val="20"/>
        </w:rPr>
        <w:footnoteRef/>
      </w:r>
      <w:r w:rsidRPr="00E254F5">
        <w:t xml:space="preserve"> </w:t>
      </w:r>
      <w:r w:rsidRPr="00E254F5">
        <w:rPr>
          <w:lang w:val="el-GR"/>
        </w:rPr>
        <w:t xml:space="preserve">Για περισσότερες πληροφορίες βλ. </w:t>
      </w:r>
      <w:r w:rsidRPr="00E254F5">
        <w:rPr>
          <w:i/>
        </w:rPr>
        <w:t>infra</w:t>
      </w:r>
      <w:r w:rsidRPr="00E254F5">
        <w:t xml:space="preserve">, </w:t>
      </w:r>
      <w:r w:rsidRPr="00E254F5">
        <w:rPr>
          <w:lang w:val="el-GR"/>
        </w:rPr>
        <w:t xml:space="preserve">στο κεφάλαιο περί έρευνας επί του γεννητικού υλικού, σελ. </w:t>
      </w:r>
      <w:r w:rsidRPr="00E254F5">
        <w:rPr>
          <w:lang w:val="el-GR"/>
        </w:rPr>
        <w:fldChar w:fldCharType="begin"/>
      </w:r>
      <w:r w:rsidRPr="00E254F5">
        <w:rPr>
          <w:lang w:val="el-GR"/>
        </w:rPr>
        <w:instrText xml:space="preserve"> PAGEREF _Ref274675140 \h </w:instrText>
      </w:r>
      <w:r w:rsidRPr="00E254F5">
        <w:rPr>
          <w:lang w:val="el-GR"/>
        </w:rPr>
      </w:r>
      <w:r w:rsidRPr="00E254F5">
        <w:rPr>
          <w:lang w:val="el-GR"/>
        </w:rPr>
        <w:fldChar w:fldCharType="separate"/>
      </w:r>
      <w:r w:rsidR="00B822F0">
        <w:rPr>
          <w:noProof/>
          <w:lang w:val="el-GR"/>
        </w:rPr>
        <w:t>184</w:t>
      </w:r>
      <w:r w:rsidRPr="00E254F5">
        <w:rPr>
          <w:lang w:val="el-GR"/>
        </w:rPr>
        <w:fldChar w:fldCharType="end"/>
      </w:r>
      <w:r w:rsidRPr="00E254F5">
        <w:rPr>
          <w:lang w:val="el-GR"/>
        </w:rPr>
        <w:t xml:space="preserve">επ. </w:t>
      </w:r>
    </w:p>
  </w:footnote>
  <w:footnote w:id="282">
    <w:p w14:paraId="7431B0D6" w14:textId="77777777" w:rsidR="00E47260" w:rsidRPr="002F7899" w:rsidRDefault="00E47260" w:rsidP="00FB4862">
      <w:pPr>
        <w:pStyle w:val="FootnoteText"/>
        <w:rPr>
          <w:lang w:val="el-GR"/>
        </w:rPr>
      </w:pPr>
      <w:r w:rsidRPr="00E254F5">
        <w:rPr>
          <w:rStyle w:val="FootnoteReference"/>
          <w:szCs w:val="20"/>
        </w:rPr>
        <w:footnoteRef/>
      </w:r>
      <w:r w:rsidRPr="00E254F5">
        <w:t xml:space="preserve"> </w:t>
      </w:r>
      <w:r w:rsidRPr="00E254F5">
        <w:rPr>
          <w:lang w:val="el-GR"/>
        </w:rPr>
        <w:t xml:space="preserve">Για </w:t>
      </w:r>
      <w:r w:rsidRPr="002F7899">
        <w:rPr>
          <w:lang w:val="el-GR"/>
        </w:rPr>
        <w:t xml:space="preserve">περισσότερες πληροφορίες βλ. </w:t>
      </w:r>
      <w:r w:rsidRPr="002F7899">
        <w:rPr>
          <w:i/>
        </w:rPr>
        <w:t>infra</w:t>
      </w:r>
      <w:r w:rsidRPr="002F7899">
        <w:t xml:space="preserve">, </w:t>
      </w:r>
      <w:r w:rsidRPr="002F7899">
        <w:rPr>
          <w:lang w:val="el-GR"/>
        </w:rPr>
        <w:t xml:space="preserve">στο κεφάλαιο περί έρευνας επί του γεννητικού υλικού, σελ. </w:t>
      </w:r>
      <w:r w:rsidRPr="002F7899">
        <w:rPr>
          <w:lang w:val="el-GR"/>
        </w:rPr>
        <w:fldChar w:fldCharType="begin"/>
      </w:r>
      <w:r w:rsidRPr="002F7899">
        <w:rPr>
          <w:lang w:val="el-GR"/>
        </w:rPr>
        <w:instrText xml:space="preserve"> PAGEREF _Ref274675140 \h </w:instrText>
      </w:r>
      <w:r w:rsidRPr="002F7899">
        <w:rPr>
          <w:lang w:val="el-GR"/>
        </w:rPr>
      </w:r>
      <w:r w:rsidRPr="002F7899">
        <w:rPr>
          <w:lang w:val="el-GR"/>
        </w:rPr>
        <w:fldChar w:fldCharType="separate"/>
      </w:r>
      <w:r w:rsidR="00B822F0">
        <w:rPr>
          <w:noProof/>
          <w:lang w:val="el-GR"/>
        </w:rPr>
        <w:t>184</w:t>
      </w:r>
      <w:r w:rsidRPr="002F7899">
        <w:rPr>
          <w:lang w:val="el-GR"/>
        </w:rPr>
        <w:fldChar w:fldCharType="end"/>
      </w:r>
      <w:r w:rsidRPr="002F7899">
        <w:rPr>
          <w:lang w:val="el-GR"/>
        </w:rPr>
        <w:t xml:space="preserve">επ. </w:t>
      </w:r>
    </w:p>
  </w:footnote>
  <w:footnote w:id="283">
    <w:p w14:paraId="3ABFED1A" w14:textId="77777777" w:rsidR="00E47260" w:rsidRPr="00E254F5" w:rsidRDefault="00E47260" w:rsidP="00CB7D04">
      <w:pPr>
        <w:pStyle w:val="FootnoteText"/>
        <w:rPr>
          <w:lang w:val="el-GR"/>
        </w:rPr>
      </w:pPr>
      <w:r w:rsidRPr="002F7899">
        <w:rPr>
          <w:rStyle w:val="FootnoteReference"/>
          <w:szCs w:val="20"/>
        </w:rPr>
        <w:footnoteRef/>
      </w:r>
      <w:r w:rsidRPr="002F7899">
        <w:t xml:space="preserve"> Βλ. σχετικά</w:t>
      </w:r>
      <w:r>
        <w:rPr>
          <w:lang w:val="el-GR"/>
        </w:rPr>
        <w:t xml:space="preserve"> </w:t>
      </w:r>
      <w:r w:rsidRPr="002F7899">
        <w:t xml:space="preserve">Eρωτηματολόγιο [3.3], </w:t>
      </w:r>
      <w:r w:rsidRPr="002F7899">
        <w:rPr>
          <w:i/>
        </w:rPr>
        <w:t>op.cit.,</w:t>
      </w:r>
      <w:r w:rsidRPr="002F7899">
        <w:t xml:space="preserve"> σημ. ΙI, 4.5, σελ. 7; Eρωτηματολόγιο [3.4], </w:t>
      </w:r>
      <w:r w:rsidRPr="002F7899">
        <w:rPr>
          <w:i/>
        </w:rPr>
        <w:t xml:space="preserve">op.cit., </w:t>
      </w:r>
      <w:r w:rsidRPr="002F7899">
        <w:t xml:space="preserve">σημ. ΙΙ, 4.5, </w:t>
      </w:r>
      <w:r w:rsidRPr="002F7899">
        <w:rPr>
          <w:lang w:val="el-GR"/>
        </w:rPr>
        <w:t xml:space="preserve">σελ. 6; </w:t>
      </w:r>
      <w:r w:rsidRPr="002F7899">
        <w:t xml:space="preserve">Eρωτηματολόγιο [3.6], </w:t>
      </w:r>
      <w:r w:rsidRPr="002F7899">
        <w:rPr>
          <w:i/>
        </w:rPr>
        <w:t xml:space="preserve">op.cit., </w:t>
      </w:r>
      <w:r w:rsidRPr="002F7899">
        <w:t>σημ. ΙΙ, 4.4, σελ. 6-7</w:t>
      </w:r>
      <w:r w:rsidRPr="002F7899">
        <w:rPr>
          <w:lang w:val="el-GR"/>
        </w:rPr>
        <w:t>.</w:t>
      </w:r>
    </w:p>
  </w:footnote>
  <w:footnote w:id="284">
    <w:p w14:paraId="6FF7C1CE" w14:textId="77777777" w:rsidR="00E47260" w:rsidRPr="00FA47DE" w:rsidRDefault="00E47260" w:rsidP="00CB7D04">
      <w:pPr>
        <w:pStyle w:val="FootnoteText"/>
        <w:rPr>
          <w:lang w:val="el-GR"/>
        </w:rPr>
      </w:pPr>
      <w:r w:rsidRPr="00E254F5">
        <w:rPr>
          <w:rStyle w:val="FootnoteReference"/>
          <w:szCs w:val="20"/>
        </w:rPr>
        <w:footnoteRef/>
      </w:r>
      <w:r w:rsidRPr="00E254F5">
        <w:t xml:space="preserve"> Βλ. </w:t>
      </w:r>
      <w:r w:rsidRPr="00862729">
        <w:t xml:space="preserve">σχετικά </w:t>
      </w:r>
      <w:r w:rsidRPr="00FA47DE">
        <w:t xml:space="preserve">Eρωτηματολόγιο [3.3], </w:t>
      </w:r>
      <w:r w:rsidRPr="00FA47DE">
        <w:rPr>
          <w:i/>
        </w:rPr>
        <w:t>op.cit.</w:t>
      </w:r>
      <w:r w:rsidRPr="00FA47DE">
        <w:t xml:space="preserve">, σημ. ΙI, 4.5, σελ. 7. </w:t>
      </w:r>
    </w:p>
  </w:footnote>
  <w:footnote w:id="285">
    <w:p w14:paraId="0ED2E0FE" w14:textId="77777777" w:rsidR="00E47260" w:rsidRPr="00E254F5" w:rsidRDefault="00E47260" w:rsidP="00CB7D04">
      <w:pPr>
        <w:pStyle w:val="FootnoteText"/>
        <w:rPr>
          <w:lang w:val="el-GR"/>
        </w:rPr>
      </w:pPr>
      <w:r w:rsidRPr="00FA47DE">
        <w:rPr>
          <w:rStyle w:val="FootnoteReference"/>
          <w:szCs w:val="20"/>
        </w:rPr>
        <w:footnoteRef/>
      </w:r>
      <w:r w:rsidRPr="00FA47DE">
        <w:t xml:space="preserve"> Βλ. σχετικά Eρωτηματολόγιο [3.7</w:t>
      </w:r>
      <w:r w:rsidRPr="00E254F5">
        <w:t xml:space="preserve">], </w:t>
      </w:r>
      <w:r w:rsidRPr="00E84E55">
        <w:rPr>
          <w:i/>
        </w:rPr>
        <w:t>op.cit.</w:t>
      </w:r>
      <w:r>
        <w:t xml:space="preserve">, </w:t>
      </w:r>
      <w:r w:rsidRPr="00E254F5">
        <w:t xml:space="preserve">σημ. ΙΙ, 4.4, σελ. 8. </w:t>
      </w:r>
      <w:r w:rsidRPr="00E254F5">
        <w:rPr>
          <w:lang w:val="el-GR"/>
        </w:rPr>
        <w:t xml:space="preserve">Βλ. επίσης </w:t>
      </w:r>
      <w:r w:rsidRPr="00E254F5">
        <w:rPr>
          <w:b/>
          <w:i/>
        </w:rPr>
        <w:t>A. Bertrand-Mirkovic</w:t>
      </w:r>
      <w:r w:rsidRPr="00E254F5">
        <w:t xml:space="preserve">, </w:t>
      </w:r>
      <w:r w:rsidRPr="00E254F5">
        <w:rPr>
          <w:i/>
        </w:rPr>
        <w:t>Droit civil: Personnes, Famille</w:t>
      </w:r>
      <w:r w:rsidRPr="00E254F5">
        <w:t>, Studyrama, 2007, σελ. 420.</w:t>
      </w:r>
    </w:p>
  </w:footnote>
  <w:footnote w:id="286">
    <w:p w14:paraId="4B0E2C24" w14:textId="5513A379" w:rsidR="00E47260" w:rsidRPr="00E254F5" w:rsidRDefault="00E47260" w:rsidP="00CB7D04">
      <w:pPr>
        <w:pStyle w:val="FootnoteText"/>
        <w:rPr>
          <w:lang w:val="el-GR"/>
        </w:rPr>
      </w:pPr>
      <w:r w:rsidRPr="00E254F5">
        <w:rPr>
          <w:rStyle w:val="FootnoteReference"/>
          <w:szCs w:val="20"/>
        </w:rPr>
        <w:footnoteRef/>
      </w:r>
      <w:r w:rsidRPr="00E254F5">
        <w:t xml:space="preserve"> </w:t>
      </w:r>
      <w:bookmarkStart w:id="159" w:name="_Toc394082409"/>
      <w:r w:rsidRPr="00E254F5">
        <w:t xml:space="preserve">CAA de Douai, </w:t>
      </w:r>
      <w:r w:rsidRPr="00E254F5">
        <w:rPr>
          <w:i/>
        </w:rPr>
        <w:t xml:space="preserve">κ. και κυρία </w:t>
      </w:r>
      <w:r w:rsidRPr="00E254F5">
        <w:rPr>
          <w:rStyle w:val="hl"/>
          <w:i/>
          <w:szCs w:val="20"/>
          <w:lang w:val="fr-FR"/>
        </w:rPr>
        <w:t>Marc</w:t>
      </w:r>
      <w:r w:rsidRPr="00E254F5">
        <w:rPr>
          <w:rStyle w:val="hl"/>
          <w:i/>
          <w:szCs w:val="20"/>
        </w:rPr>
        <w:t xml:space="preserve"> </w:t>
      </w:r>
      <w:r w:rsidRPr="00E254F5">
        <w:rPr>
          <w:rStyle w:val="hl"/>
          <w:i/>
          <w:szCs w:val="20"/>
          <w:lang w:val="fr-FR"/>
        </w:rPr>
        <w:t>Tellier</w:t>
      </w:r>
      <w:r w:rsidRPr="00E254F5">
        <w:t xml:space="preserve"> </w:t>
      </w:r>
      <w:r w:rsidRPr="00E254F5">
        <w:rPr>
          <w:i/>
        </w:rPr>
        <w:t xml:space="preserve">κατά </w:t>
      </w:r>
      <w:r w:rsidRPr="00E254F5">
        <w:rPr>
          <w:rStyle w:val="hl"/>
          <w:i/>
          <w:szCs w:val="20"/>
        </w:rPr>
        <w:t xml:space="preserve">Πανεπιστημιακό Νοσοκομείο της </w:t>
      </w:r>
      <w:r w:rsidRPr="00E254F5">
        <w:rPr>
          <w:rStyle w:val="hl"/>
          <w:i/>
          <w:szCs w:val="20"/>
          <w:lang w:val="fr-FR"/>
        </w:rPr>
        <w:t>Amiens</w:t>
      </w:r>
      <w:r w:rsidRPr="00E254F5">
        <w:t>, 6 Δεκεμβρίου 2005</w:t>
      </w:r>
      <w:bookmarkEnd w:id="159"/>
      <w:r w:rsidRPr="00E254F5">
        <w:t xml:space="preserve"> [</w:t>
      </w:r>
      <w:r>
        <w:t>αριθ.: 04DA00376], διαθέσιμη σε</w:t>
      </w:r>
      <w:r w:rsidRPr="00E254F5">
        <w:t xml:space="preserve"> Legifrance – Δημόσια Υπηρεσία Διάδοσης Δικαίου: </w:t>
      </w:r>
      <w:hyperlink r:id="rId95" w:history="1">
        <w:r w:rsidRPr="00E254F5">
          <w:rPr>
            <w:rStyle w:val="Hyperlink"/>
            <w:szCs w:val="20"/>
          </w:rPr>
          <w:t>http://www.legifrance.gouv.fr/affichJuriAdmin.do?oldAction=rechJuriAdmin&amp;idTexte=CETATEXT000007604438&amp;fastReqId=1029346755&amp;fastPos=83</w:t>
        </w:r>
      </w:hyperlink>
      <w:r w:rsidRPr="00E254F5">
        <w:t xml:space="preserve">. </w:t>
      </w:r>
    </w:p>
  </w:footnote>
  <w:footnote w:id="287">
    <w:p w14:paraId="79C03FEF" w14:textId="77777777" w:rsidR="00E47260" w:rsidRPr="00E254F5" w:rsidRDefault="00E47260" w:rsidP="00CB7D04">
      <w:pPr>
        <w:pStyle w:val="FootnoteText"/>
        <w:rPr>
          <w:lang w:val="el-GR"/>
        </w:rPr>
      </w:pPr>
      <w:r w:rsidRPr="00E254F5">
        <w:rPr>
          <w:rStyle w:val="FootnoteReference"/>
          <w:szCs w:val="20"/>
        </w:rPr>
        <w:footnoteRef/>
      </w:r>
      <w:r w:rsidRPr="00E254F5">
        <w:t xml:space="preserve"> Για περισσότερες πληροφορίες σχετικά με την απόφαση βλ. </w:t>
      </w:r>
      <w:r w:rsidRPr="00E254F5">
        <w:rPr>
          <w:b/>
          <w:i/>
        </w:rPr>
        <w:t>P. Egéa</w:t>
      </w:r>
      <w:r w:rsidRPr="00E254F5">
        <w:t xml:space="preserve">, </w:t>
      </w:r>
      <w:r>
        <w:t>«</w:t>
      </w:r>
      <w:r w:rsidRPr="00E254F5">
        <w:t xml:space="preserve">En l'absence de projet parental du couple, la détérioration </w:t>
      </w:r>
      <w:r w:rsidRPr="00E254F5">
        <w:rPr>
          <w:rStyle w:val="hl"/>
          <w:szCs w:val="20"/>
          <w:lang w:val="fr-FR"/>
        </w:rPr>
        <w:t>d</w:t>
      </w:r>
      <w:r w:rsidRPr="00E254F5">
        <w:t xml:space="preserve">'embryons </w:t>
      </w:r>
      <w:r w:rsidRPr="00740A1C">
        <w:rPr>
          <w:i/>
        </w:rPr>
        <w:t>in vitro</w:t>
      </w:r>
      <w:r w:rsidRPr="00E254F5">
        <w:t xml:space="preserve"> causée par un établissement de santé n'est pas constitutive </w:t>
      </w:r>
      <w:r w:rsidRPr="00E254F5">
        <w:rPr>
          <w:rStyle w:val="hl"/>
          <w:szCs w:val="20"/>
          <w:lang w:val="fr-FR"/>
        </w:rPr>
        <w:t>d</w:t>
      </w:r>
      <w:r w:rsidRPr="00E254F5">
        <w:t>'un préjudice réparable en droit</w:t>
      </w:r>
      <w:r>
        <w:t>»</w:t>
      </w:r>
      <w:r w:rsidRPr="00E254F5">
        <w:t xml:space="preserve">, </w:t>
      </w:r>
      <w:r w:rsidRPr="00E254F5">
        <w:rPr>
          <w:i/>
        </w:rPr>
        <w:t>Revue Juridique Personnes et Famille</w:t>
      </w:r>
      <w:r w:rsidRPr="00E254F5">
        <w:t>, 1.6.2006, n</w:t>
      </w:r>
      <w:r w:rsidRPr="00E254F5">
        <w:rPr>
          <w:vertAlign w:val="superscript"/>
        </w:rPr>
        <w:t>o</w:t>
      </w:r>
      <w:r w:rsidRPr="00E254F5">
        <w:t xml:space="preserve"> 6, σελ. 10-12. </w:t>
      </w:r>
    </w:p>
  </w:footnote>
  <w:footnote w:id="288">
    <w:p w14:paraId="5771657D" w14:textId="77777777" w:rsidR="00E47260" w:rsidRPr="00EE4056" w:rsidRDefault="00E47260" w:rsidP="0088791B">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289">
    <w:p w14:paraId="2B530D09" w14:textId="77777777" w:rsidR="00E47260" w:rsidRPr="001D59D2" w:rsidRDefault="00E47260" w:rsidP="002F61A0">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290">
    <w:p w14:paraId="5F61B260" w14:textId="77777777" w:rsidR="00E47260" w:rsidRPr="00E254F5" w:rsidRDefault="00E47260" w:rsidP="00CB7D04">
      <w:pPr>
        <w:pStyle w:val="FootnoteText"/>
        <w:rPr>
          <w:lang w:val="el-GR"/>
        </w:rPr>
      </w:pPr>
      <w:r w:rsidRPr="00E254F5">
        <w:rPr>
          <w:rStyle w:val="FootnoteReference"/>
          <w:szCs w:val="20"/>
        </w:rPr>
        <w:footnoteRef/>
      </w:r>
      <w:r w:rsidRPr="00E254F5">
        <w:t xml:space="preserve"> </w:t>
      </w:r>
      <w:r w:rsidRPr="00E254F5">
        <w:rPr>
          <w:b/>
          <w:i/>
        </w:rPr>
        <w:t>J.-C. Galloux, H. Gaumont-Prat</w:t>
      </w:r>
      <w:r w:rsidRPr="00E254F5">
        <w:t xml:space="preserve">, «Droits et libertés corporels. Janvier 2013-Janvier 2014», </w:t>
      </w:r>
      <w:r w:rsidRPr="00E254F5">
        <w:rPr>
          <w:i/>
        </w:rPr>
        <w:t>Recueil Dalloz Sirey</w:t>
      </w:r>
      <w:r>
        <w:t xml:space="preserve">, 10.4.2014, </w:t>
      </w:r>
      <w:r w:rsidRPr="00E254F5">
        <w:t>n</w:t>
      </w:r>
      <w:r w:rsidRPr="00E254F5">
        <w:rPr>
          <w:vertAlign w:val="superscript"/>
        </w:rPr>
        <w:t xml:space="preserve">o </w:t>
      </w:r>
      <w:r w:rsidRPr="00E254F5">
        <w:t xml:space="preserve">14, </w:t>
      </w:r>
      <w:r w:rsidRPr="00E254F5">
        <w:rPr>
          <w:lang w:val="el-GR"/>
        </w:rPr>
        <w:t xml:space="preserve">σελ. 843. Βλ. επίσης </w:t>
      </w:r>
      <w:r w:rsidRPr="00E254F5">
        <w:rPr>
          <w:b/>
          <w:i/>
        </w:rPr>
        <w:t>J. Testart</w:t>
      </w:r>
      <w:r w:rsidRPr="00E254F5">
        <w:t xml:space="preserve">, </w:t>
      </w:r>
      <w:r w:rsidRPr="00E254F5">
        <w:rPr>
          <w:i/>
        </w:rPr>
        <w:t>Faire des enfants demain</w:t>
      </w:r>
      <w:r w:rsidRPr="00E254F5">
        <w:t xml:space="preserve">, Seuil, 2014. </w:t>
      </w:r>
    </w:p>
  </w:footnote>
  <w:footnote w:id="291">
    <w:p w14:paraId="1081C532" w14:textId="3778C055" w:rsidR="00E47260" w:rsidRPr="006D6B0E" w:rsidRDefault="00E47260" w:rsidP="0088676F">
      <w:pPr>
        <w:pStyle w:val="FootnoteText"/>
        <w:rPr>
          <w:lang w:val="el-GR"/>
        </w:rPr>
      </w:pPr>
      <w:r w:rsidRPr="00E254F5">
        <w:rPr>
          <w:rStyle w:val="FootnoteReference"/>
          <w:szCs w:val="20"/>
        </w:rPr>
        <w:footnoteRef/>
      </w:r>
      <w:r w:rsidRPr="00E254F5">
        <w:t xml:space="preserve"> Agence de la Biomédecine, </w:t>
      </w:r>
      <w:r>
        <w:rPr>
          <w:i/>
        </w:rPr>
        <w:t>Rapport annuel 2012</w:t>
      </w:r>
      <w:r w:rsidRPr="00E254F5">
        <w:rPr>
          <w:i/>
        </w:rPr>
        <w:t>,</w:t>
      </w:r>
      <w:r>
        <w:rPr>
          <w:i/>
        </w:rPr>
        <w:t xml:space="preserve"> op.cit., </w:t>
      </w:r>
      <w:r>
        <w:rPr>
          <w:lang w:val="el-GR"/>
        </w:rPr>
        <w:t xml:space="preserve">σελ. 67. </w:t>
      </w:r>
    </w:p>
  </w:footnote>
  <w:footnote w:id="292">
    <w:p w14:paraId="55A2D7A5" w14:textId="77777777" w:rsidR="00E47260" w:rsidRPr="00E86FBA" w:rsidRDefault="00E47260" w:rsidP="00F35A2D">
      <w:pPr>
        <w:pStyle w:val="FootnoteText"/>
        <w:rPr>
          <w:lang w:val="el-GR"/>
        </w:rPr>
      </w:pPr>
      <w:r>
        <w:rPr>
          <w:rStyle w:val="FootnoteReference"/>
        </w:rPr>
        <w:footnoteRef/>
      </w:r>
      <w:r>
        <w:t xml:space="preserve"> </w:t>
      </w:r>
      <w:r w:rsidRPr="00E254F5">
        <w:t xml:space="preserve">Agence de la Biomédecine, </w:t>
      </w:r>
      <w:r>
        <w:rPr>
          <w:i/>
        </w:rPr>
        <w:t>Rapport annuel 2012</w:t>
      </w:r>
      <w:r w:rsidRPr="00E254F5">
        <w:rPr>
          <w:i/>
        </w:rPr>
        <w:t>,</w:t>
      </w:r>
      <w:r>
        <w:rPr>
          <w:i/>
        </w:rPr>
        <w:t xml:space="preserve"> op.cit., </w:t>
      </w:r>
      <w:r>
        <w:rPr>
          <w:lang w:val="el-GR"/>
        </w:rPr>
        <w:t xml:space="preserve">σελ. 77. </w:t>
      </w:r>
    </w:p>
  </w:footnote>
  <w:footnote w:id="293">
    <w:p w14:paraId="6337BD2A" w14:textId="77777777" w:rsidR="00E47260" w:rsidRDefault="00E47260" w:rsidP="00CB7D04">
      <w:pPr>
        <w:pStyle w:val="FootnoteText"/>
      </w:pPr>
      <w:r>
        <w:rPr>
          <w:rStyle w:val="FootnoteReference"/>
        </w:rPr>
        <w:footnoteRef/>
      </w:r>
      <w:r>
        <w:t xml:space="preserve"> </w:t>
      </w:r>
      <w:r w:rsidRPr="00E254F5">
        <w:t>Agence de la Biomédecine</w:t>
      </w:r>
      <w:r w:rsidRPr="008250D5">
        <w:t xml:space="preserve">, </w:t>
      </w:r>
      <w:r w:rsidRPr="00317905">
        <w:rPr>
          <w:i/>
        </w:rPr>
        <w:t>Rapport d’information au Parlement et au Gouvernement sur le développement des connaissances et des techniques</w:t>
      </w:r>
      <w:r>
        <w:t xml:space="preserve">, </w:t>
      </w:r>
      <w:r>
        <w:rPr>
          <w:lang w:val="el-GR"/>
        </w:rPr>
        <w:t>επικαιροποίηση Σεπτέμβριος 2013, σελ. 40</w:t>
      </w:r>
      <w:r>
        <w:t xml:space="preserve">, διαθέσιμο σε: </w:t>
      </w:r>
      <w:hyperlink r:id="rId96" w:history="1">
        <w:r w:rsidRPr="00E26F00">
          <w:rPr>
            <w:rStyle w:val="Hyperlink"/>
          </w:rPr>
          <w:t>http://www.agence-biomedecine.fr/IMG/pdf/ripg_vdef.pdf</w:t>
        </w:r>
      </w:hyperlink>
      <w:r>
        <w:t xml:space="preserve">. </w:t>
      </w:r>
    </w:p>
  </w:footnote>
  <w:footnote w:id="294">
    <w:p w14:paraId="6C60E77F" w14:textId="77777777" w:rsidR="00E47260" w:rsidRPr="00E254F5" w:rsidRDefault="00E47260" w:rsidP="00CB7D04">
      <w:pPr>
        <w:pStyle w:val="FootnoteText"/>
      </w:pPr>
      <w:r w:rsidRPr="00E254F5">
        <w:rPr>
          <w:rStyle w:val="FootnoteReference"/>
          <w:szCs w:val="20"/>
        </w:rPr>
        <w:footnoteRef/>
      </w:r>
      <w:r w:rsidRPr="00E254F5">
        <w:t xml:space="preserve"> </w:t>
      </w:r>
      <w:r w:rsidRPr="00E254F5">
        <w:rPr>
          <w:lang w:val="el-GR"/>
        </w:rPr>
        <w:t xml:space="preserve">Βλ. σχετικά </w:t>
      </w:r>
      <w:r w:rsidRPr="00E254F5">
        <w:rPr>
          <w:b/>
          <w:i/>
        </w:rPr>
        <w:t>A.-M. Leroyer</w:t>
      </w:r>
      <w:r w:rsidRPr="00E254F5">
        <w:t xml:space="preserve">, </w:t>
      </w:r>
      <w:r w:rsidRPr="00E254F5">
        <w:rPr>
          <w:i/>
        </w:rPr>
        <w:t>Droit de la famille</w:t>
      </w:r>
      <w:r w:rsidRPr="00E254F5">
        <w:t xml:space="preserve">, </w:t>
      </w:r>
      <w:r w:rsidRPr="00E254F5">
        <w:rPr>
          <w:i/>
        </w:rPr>
        <w:t>op.cit.,</w:t>
      </w:r>
      <w:r w:rsidRPr="00E254F5">
        <w:t xml:space="preserve"> σελ. 294-295. </w:t>
      </w:r>
    </w:p>
  </w:footnote>
  <w:footnote w:id="295">
    <w:p w14:paraId="5C9DDAE9" w14:textId="77777777" w:rsidR="00E47260" w:rsidRPr="00E254F5" w:rsidRDefault="00E47260" w:rsidP="00CB7D04">
      <w:pPr>
        <w:pStyle w:val="FootnoteText"/>
      </w:pPr>
      <w:r w:rsidRPr="00E254F5">
        <w:rPr>
          <w:rStyle w:val="FootnoteReference"/>
          <w:b/>
          <w:szCs w:val="20"/>
        </w:rPr>
        <w:footnoteRef/>
      </w:r>
      <w:r w:rsidRPr="00E254F5">
        <w:t xml:space="preserve"> Η δεύτερη αυτή περίπτωση, η οποία στη γαλλόφωνη ορολογία περιγράφεται σκωπτικά ως «bébé‐médicament» («παιδί‐φάρμακο»), στην αγγλόφωνη πιο περιγραφικά ως “saviour sibling” ή “designer baby” και στην ελληνική ως «αδελφός‐σωτήρας» ή «σχεδιασμένο παιδί», παρουσιάζεται στην αμέσως επόμενη παράγραφο, βλ. </w:t>
      </w:r>
      <w:r w:rsidRPr="00E254F5">
        <w:rPr>
          <w:i/>
        </w:rPr>
        <w:t>infra</w:t>
      </w:r>
      <w:r w:rsidRPr="00E254F5">
        <w:t xml:space="preserve">, σελ. </w:t>
      </w:r>
      <w:r w:rsidRPr="00E254F5">
        <w:fldChar w:fldCharType="begin"/>
      </w:r>
      <w:r w:rsidRPr="00E254F5">
        <w:instrText xml:space="preserve"> PAGEREF _Ref274847296 \h </w:instrText>
      </w:r>
      <w:r w:rsidRPr="00E254F5">
        <w:fldChar w:fldCharType="separate"/>
      </w:r>
      <w:r w:rsidR="00B822F0">
        <w:rPr>
          <w:noProof/>
        </w:rPr>
        <w:t>153</w:t>
      </w:r>
      <w:r w:rsidRPr="00E254F5">
        <w:fldChar w:fldCharType="end"/>
      </w:r>
      <w:r w:rsidRPr="00E254F5">
        <w:t xml:space="preserve">επ. </w:t>
      </w:r>
    </w:p>
  </w:footnote>
  <w:footnote w:id="296">
    <w:p w14:paraId="2EE40C84" w14:textId="77777777" w:rsidR="00E47260" w:rsidRPr="008250D5" w:rsidRDefault="00E47260" w:rsidP="00CB7D04">
      <w:pPr>
        <w:pStyle w:val="FootnoteText"/>
      </w:pPr>
      <w:r w:rsidRPr="00E254F5">
        <w:rPr>
          <w:rStyle w:val="FootnoteReference"/>
          <w:b/>
          <w:szCs w:val="20"/>
        </w:rPr>
        <w:footnoteRef/>
      </w:r>
      <w:r w:rsidRPr="00E254F5">
        <w:t xml:space="preserve"> CCNE, </w:t>
      </w:r>
      <w:r w:rsidRPr="00E56290">
        <w:rPr>
          <w:i/>
        </w:rPr>
        <w:t>Avis sur les problèmes éthiques liés aux diagnost</w:t>
      </w:r>
      <w:r>
        <w:rPr>
          <w:i/>
        </w:rPr>
        <w:t>ics anténatals</w:t>
      </w:r>
      <w:r w:rsidRPr="00E56290">
        <w:rPr>
          <w:i/>
        </w:rPr>
        <w:t>: le diagnostic prénatal (DPN) et le diagnostic préimplantatoire (DPI)</w:t>
      </w:r>
      <w:r w:rsidRPr="00E254F5">
        <w:t>, Avis n</w:t>
      </w:r>
      <w:r w:rsidRPr="00E254F5">
        <w:rPr>
          <w:vertAlign w:val="superscript"/>
        </w:rPr>
        <w:t>o</w:t>
      </w:r>
      <w:r w:rsidRPr="00E254F5">
        <w:t xml:space="preserve"> 107, 15 </w:t>
      </w:r>
      <w:r w:rsidRPr="008250D5">
        <w:t xml:space="preserve">octobre 2009, διαθέσιμη σε: </w:t>
      </w:r>
      <w:hyperlink r:id="rId97" w:history="1">
        <w:r w:rsidRPr="008250D5">
          <w:rPr>
            <w:rStyle w:val="Hyperlink"/>
            <w:szCs w:val="20"/>
            <w:lang w:val="fr-FR"/>
          </w:rPr>
          <w:t>http://www.ccne-ethique.fr/sites/default/files/publications/avis_107.pdf</w:t>
        </w:r>
      </w:hyperlink>
      <w:r w:rsidRPr="008250D5">
        <w:t>.</w:t>
      </w:r>
    </w:p>
  </w:footnote>
  <w:footnote w:id="297">
    <w:p w14:paraId="7DC0DEB2" w14:textId="77777777" w:rsidR="00E47260" w:rsidRPr="00E254F5" w:rsidRDefault="00E47260" w:rsidP="00CB7D04">
      <w:pPr>
        <w:pStyle w:val="FootnoteText"/>
        <w:rPr>
          <w:lang w:val="el-GR"/>
        </w:rPr>
      </w:pPr>
      <w:r w:rsidRPr="00E254F5">
        <w:rPr>
          <w:rStyle w:val="FootnoteReference"/>
          <w:szCs w:val="20"/>
        </w:rPr>
        <w:footnoteRef/>
      </w:r>
      <w:r w:rsidRPr="00E254F5">
        <w:t xml:space="preserve"> I</w:t>
      </w:r>
      <w:r w:rsidRPr="00E254F5">
        <w:rPr>
          <w:i/>
        </w:rPr>
        <w:t>dem</w:t>
      </w:r>
      <w:r w:rsidRPr="00E254F5">
        <w:t xml:space="preserve">, </w:t>
      </w:r>
      <w:r w:rsidRPr="00E254F5">
        <w:rPr>
          <w:lang w:val="el-GR"/>
        </w:rPr>
        <w:t xml:space="preserve">σελ. 9 και 27. </w:t>
      </w:r>
    </w:p>
  </w:footnote>
  <w:footnote w:id="298">
    <w:p w14:paraId="6B2C3C16" w14:textId="77777777" w:rsidR="00E47260" w:rsidRPr="00E254F5" w:rsidRDefault="00E47260" w:rsidP="00CB7D04">
      <w:pPr>
        <w:pStyle w:val="FootnoteText"/>
      </w:pPr>
      <w:r w:rsidRPr="00E254F5">
        <w:rPr>
          <w:rStyle w:val="FootnoteReference"/>
          <w:szCs w:val="20"/>
        </w:rPr>
        <w:footnoteRef/>
      </w:r>
      <w:r w:rsidRPr="00E254F5">
        <w:t xml:space="preserve"> Assemblée Nationale, </w:t>
      </w:r>
      <w:r w:rsidRPr="00E254F5">
        <w:rPr>
          <w:i/>
        </w:rPr>
        <w:t>Rapport d’Information fait au nom de la Mission d’Information sur la Revision des Lois de Bioethique</w:t>
      </w:r>
      <w:r w:rsidRPr="00E254F5">
        <w:t>, n</w:t>
      </w:r>
      <w:r w:rsidRPr="00E254F5">
        <w:rPr>
          <w:vertAlign w:val="superscript"/>
        </w:rPr>
        <w:t>o</w:t>
      </w:r>
      <w:r w:rsidRPr="00E254F5">
        <w:t xml:space="preserve"> 2235, 20 janv</w:t>
      </w:r>
      <w:r>
        <w:t xml:space="preserve">ier 2010, σελ. 230, 231 και 519, διαθέσιμη σε: </w:t>
      </w:r>
      <w:hyperlink r:id="rId98" w:history="1">
        <w:r w:rsidRPr="00E254F5">
          <w:rPr>
            <w:rStyle w:val="Hyperlink"/>
            <w:szCs w:val="20"/>
          </w:rPr>
          <w:t>http://www.assemblee-nationale.fr/13/pdf/rap-info/i2235-t1.pdf</w:t>
        </w:r>
      </w:hyperlink>
      <w:r w:rsidRPr="00E254F5">
        <w:t xml:space="preserve">. </w:t>
      </w:r>
    </w:p>
  </w:footnote>
  <w:footnote w:id="299">
    <w:p w14:paraId="1B0A07B6" w14:textId="77777777" w:rsidR="00E47260" w:rsidRPr="004F770B" w:rsidRDefault="00E47260">
      <w:pPr>
        <w:pStyle w:val="FootnoteText"/>
        <w:rPr>
          <w:lang w:val="el-GR"/>
        </w:rPr>
      </w:pPr>
      <w:r>
        <w:rPr>
          <w:rStyle w:val="FootnoteReference"/>
        </w:rPr>
        <w:footnoteRef/>
      </w:r>
      <w:r>
        <w:t xml:space="preserve"> </w:t>
      </w:r>
      <w:r w:rsidRPr="00E254F5">
        <w:rPr>
          <w:lang w:val="el-GR"/>
        </w:rPr>
        <w:t>Bλ.</w:t>
      </w:r>
      <w:r w:rsidRPr="00E254F5">
        <w:t xml:space="preserve"> Agence de la Biomédecine, </w:t>
      </w:r>
      <w:r w:rsidRPr="00E254F5">
        <w:rPr>
          <w:i/>
        </w:rPr>
        <w:t xml:space="preserve">Le rapport médical et scientifique de l'assistance médicale à la procréation et de la génétique humaines en France, </w:t>
      </w:r>
      <w:r>
        <w:rPr>
          <w:i/>
        </w:rPr>
        <w:t>Diagnostic Pr</w:t>
      </w:r>
      <w:r w:rsidRPr="00E254F5">
        <w:t>é</w:t>
      </w:r>
      <w:r>
        <w:rPr>
          <w:i/>
        </w:rPr>
        <w:t>implantatoire</w:t>
      </w:r>
      <w:r w:rsidRPr="00E254F5">
        <w:rPr>
          <w:i/>
        </w:rPr>
        <w:t xml:space="preserve"> 2012</w:t>
      </w:r>
      <w:r w:rsidRPr="00E254F5">
        <w:t>,</w:t>
      </w:r>
      <w:r>
        <w:t xml:space="preserve"> σελ. 5, </w:t>
      </w:r>
      <w:r>
        <w:rPr>
          <w:lang w:val="el-GR"/>
        </w:rPr>
        <w:t xml:space="preserve">διαθέσιμο σε: </w:t>
      </w:r>
      <w:hyperlink r:id="rId99" w:history="1">
        <w:r w:rsidRPr="000435BE">
          <w:rPr>
            <w:rStyle w:val="Hyperlink"/>
            <w:lang w:val="el-GR"/>
          </w:rPr>
          <w:t>http://www.agence-biomedecine.fr/annexes/bilan2013/donnees/diag-prenat/03-preimpl/pdf/dpi.pdf</w:t>
        </w:r>
      </w:hyperlink>
      <w:r>
        <w:rPr>
          <w:lang w:val="el-GR"/>
        </w:rPr>
        <w:t xml:space="preserve">.  </w:t>
      </w:r>
    </w:p>
  </w:footnote>
  <w:footnote w:id="300">
    <w:p w14:paraId="6AD6A45C" w14:textId="77777777" w:rsidR="00E47260" w:rsidRPr="002B6985" w:rsidRDefault="00E47260">
      <w:pPr>
        <w:pStyle w:val="FootnoteText"/>
        <w:rPr>
          <w:lang w:val="el-GR"/>
        </w:rPr>
      </w:pPr>
      <w:r>
        <w:rPr>
          <w:rStyle w:val="FootnoteReference"/>
        </w:rPr>
        <w:footnoteRef/>
      </w:r>
      <w:r>
        <w:t xml:space="preserve"> I</w:t>
      </w:r>
      <w:r w:rsidRPr="002B6985">
        <w:rPr>
          <w:i/>
        </w:rPr>
        <w:t>dem</w:t>
      </w:r>
      <w:r>
        <w:t xml:space="preserve">, </w:t>
      </w:r>
      <w:r>
        <w:rPr>
          <w:lang w:val="el-GR"/>
        </w:rPr>
        <w:t xml:space="preserve">σελ. 6. </w:t>
      </w:r>
    </w:p>
  </w:footnote>
  <w:footnote w:id="301">
    <w:p w14:paraId="476C560E" w14:textId="77777777" w:rsidR="00E47260" w:rsidRPr="00BD754E" w:rsidRDefault="00E47260">
      <w:pPr>
        <w:pStyle w:val="FootnoteText"/>
        <w:rPr>
          <w:lang w:val="el-GR"/>
        </w:rPr>
      </w:pPr>
      <w:r>
        <w:rPr>
          <w:rStyle w:val="FootnoteReference"/>
        </w:rPr>
        <w:footnoteRef/>
      </w:r>
      <w:r>
        <w:t xml:space="preserve"> </w:t>
      </w:r>
      <w:r w:rsidRPr="00BD754E">
        <w:rPr>
          <w:i/>
        </w:rPr>
        <w:t>Idem</w:t>
      </w:r>
      <w:r>
        <w:t xml:space="preserve">, </w:t>
      </w:r>
      <w:r>
        <w:rPr>
          <w:lang w:val="el-GR"/>
        </w:rPr>
        <w:t xml:space="preserve">σελ. 15. </w:t>
      </w:r>
    </w:p>
  </w:footnote>
  <w:footnote w:id="302">
    <w:p w14:paraId="222E4203" w14:textId="77777777" w:rsidR="00E47260" w:rsidRPr="00137914" w:rsidRDefault="00E47260" w:rsidP="00CB7D04">
      <w:pPr>
        <w:pStyle w:val="FootnoteText"/>
        <w:rPr>
          <w:lang w:val="el-GR"/>
        </w:rPr>
      </w:pPr>
      <w:r w:rsidRPr="00E254F5">
        <w:rPr>
          <w:rStyle w:val="FootnoteReference"/>
          <w:szCs w:val="20"/>
        </w:rPr>
        <w:footnoteRef/>
      </w:r>
      <w:r w:rsidRPr="00E254F5">
        <w:t xml:space="preserve"> Βλ. </w:t>
      </w:r>
      <w:r w:rsidRPr="00137914">
        <w:t>σχετικά</w:t>
      </w:r>
      <w:r>
        <w:rPr>
          <w:lang w:val="el-GR"/>
        </w:rPr>
        <w:t xml:space="preserve"> </w:t>
      </w:r>
      <w:r w:rsidRPr="00137914">
        <w:t xml:space="preserve">Eρωτηματολόγιο [3.2], </w:t>
      </w:r>
      <w:r w:rsidRPr="00137914">
        <w:rPr>
          <w:i/>
        </w:rPr>
        <w:t xml:space="preserve">op.cit., </w:t>
      </w:r>
      <w:r w:rsidRPr="00137914">
        <w:t xml:space="preserve">σημ. ΙI, 5.1-5.2, σελ. 6; Eρωτηματολόγιο [3.3], </w:t>
      </w:r>
      <w:r w:rsidRPr="00137914">
        <w:rPr>
          <w:i/>
        </w:rPr>
        <w:t>op.cit.,</w:t>
      </w:r>
      <w:r w:rsidRPr="00137914">
        <w:t xml:space="preserve"> σημ. ΙI, 5.1-5.2, σελ. 8; Eρωτηματολόγιο [3.4], </w:t>
      </w:r>
      <w:r w:rsidRPr="00137914">
        <w:rPr>
          <w:i/>
        </w:rPr>
        <w:t xml:space="preserve">op.cit., </w:t>
      </w:r>
      <w:r w:rsidRPr="00137914">
        <w:t xml:space="preserve">σημ. ΙI, 5.1-5.2, </w:t>
      </w:r>
      <w:r w:rsidRPr="00137914">
        <w:rPr>
          <w:lang w:val="el-GR"/>
        </w:rPr>
        <w:t xml:space="preserve">σελ. 6-7. </w:t>
      </w:r>
    </w:p>
  </w:footnote>
  <w:footnote w:id="303">
    <w:p w14:paraId="63A72848" w14:textId="4D1D7F98" w:rsidR="00E47260" w:rsidRPr="00E254F5" w:rsidRDefault="00E47260" w:rsidP="00CB7D04">
      <w:pPr>
        <w:pStyle w:val="FootnoteText"/>
      </w:pPr>
      <w:r w:rsidRPr="00137914">
        <w:rPr>
          <w:rStyle w:val="FootnoteReference"/>
          <w:szCs w:val="20"/>
        </w:rPr>
        <w:footnoteRef/>
      </w:r>
      <w:r>
        <w:t xml:space="preserve"> CCNE,</w:t>
      </w:r>
      <w:r w:rsidRPr="00137914">
        <w:t> </w:t>
      </w:r>
      <w:r w:rsidRPr="00137914">
        <w:rPr>
          <w:i/>
        </w:rPr>
        <w:t>Avis sur les problèmes éthiques liés aux diagnostics anténatals: le diagnostic prénatal (DPN) et le diagnostic préimplantatoire (DPI)</w:t>
      </w:r>
      <w:r w:rsidRPr="00137914">
        <w:t xml:space="preserve">, </w:t>
      </w:r>
      <w:r w:rsidRPr="00137914">
        <w:rPr>
          <w:i/>
        </w:rPr>
        <w:t>op</w:t>
      </w:r>
      <w:r w:rsidRPr="00E254F5">
        <w:rPr>
          <w:i/>
        </w:rPr>
        <w:t>.cit.</w:t>
      </w:r>
      <w:r w:rsidRPr="00E254F5">
        <w:t xml:space="preserve">, </w:t>
      </w:r>
      <w:r w:rsidRPr="00E254F5">
        <w:rPr>
          <w:lang w:val="el-GR"/>
        </w:rPr>
        <w:t>σελ. 26</w:t>
      </w:r>
      <w:r w:rsidRPr="00E254F5">
        <w:t xml:space="preserve">. Βλ. σχετικά επίσης </w:t>
      </w:r>
      <w:r w:rsidRPr="00E254F5">
        <w:rPr>
          <w:b/>
          <w:i/>
        </w:rPr>
        <w:t>J.-C. Galloux, H. Gaumont-Prat</w:t>
      </w:r>
      <w:r w:rsidRPr="00E254F5">
        <w:t xml:space="preserve">, «Droits et libertés corporels», </w:t>
      </w:r>
      <w:r w:rsidRPr="00E254F5">
        <w:rPr>
          <w:i/>
        </w:rPr>
        <w:t>Recueil Dalloz Sirey</w:t>
      </w:r>
      <w:r w:rsidRPr="00E254F5">
        <w:t>, 2.2.2012,  n</w:t>
      </w:r>
      <w:r w:rsidRPr="00E254F5">
        <w:rPr>
          <w:vertAlign w:val="superscript"/>
        </w:rPr>
        <w:t xml:space="preserve">o </w:t>
      </w:r>
      <w:r w:rsidRPr="00E254F5">
        <w:t xml:space="preserve">5, </w:t>
      </w:r>
      <w:r w:rsidRPr="00E254F5">
        <w:rPr>
          <w:lang w:val="el-GR"/>
        </w:rPr>
        <w:t xml:space="preserve">σελ. 308. </w:t>
      </w:r>
    </w:p>
  </w:footnote>
  <w:footnote w:id="304">
    <w:p w14:paraId="1EC13F08" w14:textId="343E9723" w:rsidR="00E47260" w:rsidRPr="00AC2B51" w:rsidRDefault="00E47260" w:rsidP="00CB7D04">
      <w:pPr>
        <w:pStyle w:val="FootnoteText"/>
        <w:rPr>
          <w:lang w:val="el-GR"/>
        </w:rPr>
      </w:pPr>
      <w:r w:rsidRPr="00E254F5">
        <w:rPr>
          <w:rStyle w:val="FootnoteReference"/>
          <w:szCs w:val="20"/>
        </w:rPr>
        <w:footnoteRef/>
      </w:r>
      <w:r w:rsidRPr="00E254F5">
        <w:t xml:space="preserve"> Βλ. σχετικά</w:t>
      </w:r>
      <w:r w:rsidRPr="00E254F5">
        <w:rPr>
          <w:lang w:val="el-GR"/>
        </w:rPr>
        <w:t>:</w:t>
      </w:r>
      <w:r w:rsidRPr="00E254F5">
        <w:t xml:space="preserve"> 25 Ιουνίου 2014 συνέντευξη της Kar</w:t>
      </w:r>
      <w:r w:rsidRPr="00E254F5">
        <w:rPr>
          <w:lang w:val="el-GR"/>
        </w:rPr>
        <w:t>è</w:t>
      </w:r>
      <w:r w:rsidRPr="00E254F5">
        <w:t>ne</w:t>
      </w:r>
      <w:r w:rsidRPr="00E254F5">
        <w:rPr>
          <w:lang w:val="el-GR"/>
        </w:rPr>
        <w:t xml:space="preserve"> </w:t>
      </w:r>
      <w:r w:rsidRPr="00AC2B51">
        <w:t xml:space="preserve">Parizer, Παράρτημα [I], Eρωτηματολόγιο [3.1], σημ. </w:t>
      </w:r>
      <w:r>
        <w:t xml:space="preserve">ΙΙ, </w:t>
      </w:r>
      <w:r w:rsidRPr="00AC2B51">
        <w:t xml:space="preserve">5.2, σελ. 5; </w:t>
      </w:r>
      <w:r w:rsidRPr="00AC2B51">
        <w:rPr>
          <w:lang w:val="el-GR"/>
        </w:rPr>
        <w:t>E</w:t>
      </w:r>
      <w:r w:rsidRPr="00AC2B51">
        <w:t xml:space="preserve">ρωτηματολόγιο [3.5], </w:t>
      </w:r>
      <w:r w:rsidRPr="00AC2B51">
        <w:rPr>
          <w:i/>
        </w:rPr>
        <w:t xml:space="preserve">op.cit., </w:t>
      </w:r>
      <w:r w:rsidRPr="00AC2B51">
        <w:t xml:space="preserve">σημ. ΙΙ, 5.2, σελ. 6-7; Eρωτηματολόγιο [3.6], </w:t>
      </w:r>
      <w:r w:rsidRPr="00AC2B51">
        <w:rPr>
          <w:i/>
        </w:rPr>
        <w:t>op.cit.</w:t>
      </w:r>
      <w:r w:rsidRPr="00AC2B51">
        <w:t xml:space="preserve">, σημ. ΙΙ, 5.1-5.2, σελ. 7; </w:t>
      </w:r>
      <w:r w:rsidRPr="00AC2B51">
        <w:rPr>
          <w:lang w:val="el-GR"/>
        </w:rPr>
        <w:t xml:space="preserve">29 Ιουνίου 2014 συνέντευξη της </w:t>
      </w:r>
      <w:r w:rsidRPr="00AC2B51">
        <w:t>H</w:t>
      </w:r>
      <w:r w:rsidRPr="00AC2B51">
        <w:rPr>
          <w:lang w:val="el-GR"/>
        </w:rPr>
        <w:t>é</w:t>
      </w:r>
      <w:r w:rsidRPr="00AC2B51">
        <w:t>l</w:t>
      </w:r>
      <w:r w:rsidRPr="00AC2B51">
        <w:rPr>
          <w:lang w:val="el-GR"/>
        </w:rPr>
        <w:t>è</w:t>
      </w:r>
      <w:r w:rsidRPr="00AC2B51">
        <w:t>ne</w:t>
      </w:r>
      <w:r w:rsidRPr="00AC2B51">
        <w:rPr>
          <w:lang w:val="el-GR"/>
        </w:rPr>
        <w:t xml:space="preserve"> </w:t>
      </w:r>
      <w:r w:rsidRPr="00AC2B51">
        <w:t>Gaumont</w:t>
      </w:r>
      <w:r w:rsidRPr="00AC2B51">
        <w:rPr>
          <w:lang w:val="el-GR"/>
        </w:rPr>
        <w:t>-</w:t>
      </w:r>
      <w:r w:rsidRPr="00AC2B51">
        <w:t xml:space="preserve">Prat, </w:t>
      </w:r>
      <w:r w:rsidRPr="00AC2B51">
        <w:rPr>
          <w:lang w:val="el-GR"/>
        </w:rPr>
        <w:t>Παράρτημα [I], Eρωτηματολόγιο [3.8], σημ. ΙΙ, 5.2, σελ. 5</w:t>
      </w:r>
    </w:p>
  </w:footnote>
  <w:footnote w:id="305">
    <w:p w14:paraId="769BC675" w14:textId="77777777" w:rsidR="00E47260" w:rsidRPr="00E254F5" w:rsidRDefault="00E47260" w:rsidP="00CB7D04">
      <w:pPr>
        <w:pStyle w:val="FootnoteText"/>
      </w:pPr>
      <w:r w:rsidRPr="00AC2B51">
        <w:rPr>
          <w:rStyle w:val="FootnoteReference"/>
          <w:szCs w:val="20"/>
        </w:rPr>
        <w:footnoteRef/>
      </w:r>
      <w:r w:rsidRPr="00AC2B51">
        <w:t xml:space="preserve"> Βλ. σχετικά Eρωτηματολόγιο [3.7], </w:t>
      </w:r>
      <w:r w:rsidRPr="00AC2B51">
        <w:rPr>
          <w:i/>
        </w:rPr>
        <w:t>op.cit.</w:t>
      </w:r>
      <w:r w:rsidRPr="00AC2B51">
        <w:t>, σημ. ΙΙ, 5.1-5.2, σελ</w:t>
      </w:r>
      <w:r w:rsidRPr="00E254F5">
        <w:t xml:space="preserve">. 9. </w:t>
      </w:r>
    </w:p>
  </w:footnote>
  <w:footnote w:id="306">
    <w:p w14:paraId="51196B51" w14:textId="5BD0610F" w:rsidR="00E47260" w:rsidRPr="00E254F5" w:rsidRDefault="00E47260" w:rsidP="00CB7D04">
      <w:pPr>
        <w:pStyle w:val="FootnoteText"/>
        <w:rPr>
          <w:lang w:val="el-GR"/>
        </w:rPr>
      </w:pPr>
      <w:r w:rsidRPr="00E254F5">
        <w:rPr>
          <w:rStyle w:val="FootnoteReference"/>
          <w:szCs w:val="20"/>
        </w:rPr>
        <w:footnoteRef/>
      </w:r>
      <w:r w:rsidRPr="00E254F5">
        <w:t xml:space="preserve"> Βλ. Conseil Constitutionnel, Déc. n</w:t>
      </w:r>
      <w:r w:rsidRPr="00E254F5">
        <w:rPr>
          <w:vertAlign w:val="superscript"/>
        </w:rPr>
        <w:t>o</w:t>
      </w:r>
      <w:r w:rsidRPr="00E254F5">
        <w:t xml:space="preserve"> 94-343/344 DC, 27 Ιουλίου 1994, </w:t>
      </w:r>
      <w:r w:rsidRPr="00E254F5">
        <w:rPr>
          <w:i/>
        </w:rPr>
        <w:t xml:space="preserve">Νόμος σχετικά με το σεβασμό του </w:t>
      </w:r>
      <w:r>
        <w:rPr>
          <w:i/>
        </w:rPr>
        <w:t>ανθρωπίνου</w:t>
      </w:r>
      <w:r w:rsidRPr="00E254F5">
        <w:rPr>
          <w:i/>
        </w:rPr>
        <w:t xml:space="preserve"> σώματος και Νόμος σχετικά με τη δωρεά και τη χρήση των στοιχείων και προϊόντων του </w:t>
      </w:r>
      <w:r>
        <w:rPr>
          <w:i/>
        </w:rPr>
        <w:t>ανθρωπίνου</w:t>
      </w:r>
      <w:r w:rsidRPr="00E254F5">
        <w:rPr>
          <w:i/>
        </w:rPr>
        <w:t xml:space="preserve"> σώματος, την ΙΥΑ και την προγεννητική διάγνωση</w:t>
      </w:r>
      <w:r w:rsidRPr="00E254F5">
        <w:t>, Επίσημη Εφημερίδα 29</w:t>
      </w:r>
      <w:r w:rsidRPr="00E254F5">
        <w:rPr>
          <w:vertAlign w:val="superscript"/>
        </w:rPr>
        <w:t>ης</w:t>
      </w:r>
      <w:r w:rsidRPr="00E254F5">
        <w:t xml:space="preserve"> Ιουλίου 1994, σελ. 11024, διαθέσιμη στην Επίσημη Ιστοσελίδα </w:t>
      </w:r>
      <w:r>
        <w:t xml:space="preserve">του </w:t>
      </w:r>
      <w:r w:rsidRPr="00E254F5">
        <w:t xml:space="preserve">Συνταγματικού Συμβουλίου: </w:t>
      </w:r>
      <w:hyperlink r:id="rId100" w:history="1">
        <w:r w:rsidRPr="00E254F5">
          <w:rPr>
            <w:rStyle w:val="Hyperlink"/>
            <w:szCs w:val="20"/>
          </w:rPr>
          <w:t>http://www.conseil-constitutionnel.fr/conseil-constitutionnel/francais/les-decisions/acces-par-date/decisions-depuis-1959/1994/94-343/344-dc/decision-n-94-343-344-dc-du-27-juillet-1994.10566.html</w:t>
        </w:r>
      </w:hyperlink>
      <w:r w:rsidRPr="00E254F5">
        <w:t xml:space="preserve">. </w:t>
      </w:r>
    </w:p>
  </w:footnote>
  <w:footnote w:id="307">
    <w:p w14:paraId="5736E328" w14:textId="31B80E36" w:rsidR="00E47260" w:rsidRPr="00E254F5" w:rsidRDefault="00E47260" w:rsidP="00CB7D04">
      <w:pPr>
        <w:pStyle w:val="FootnoteText"/>
      </w:pPr>
      <w:r w:rsidRPr="00E254F5">
        <w:rPr>
          <w:rStyle w:val="FootnoteReference"/>
          <w:szCs w:val="20"/>
        </w:rPr>
        <w:footnoteRef/>
      </w:r>
      <w:r w:rsidRPr="00E254F5">
        <w:t xml:space="preserve"> Η απόφαση αυτή του Συνταγματικού Συμβουλίου σχετικά με</w:t>
      </w:r>
      <w:r>
        <w:t xml:space="preserve"> τη συνταγματικότητα των πρώτων</w:t>
      </w:r>
      <w:r w:rsidRPr="00E254F5">
        <w:t xml:space="preserve"> </w:t>
      </w:r>
      <w:r>
        <w:rPr>
          <w:i/>
        </w:rPr>
        <w:t>Νόμων</w:t>
      </w:r>
      <w:r w:rsidRPr="00CA45DA">
        <w:rPr>
          <w:i/>
        </w:rPr>
        <w:t xml:space="preserve"> περί </w:t>
      </w:r>
      <w:r>
        <w:rPr>
          <w:i/>
        </w:rPr>
        <w:t>Β</w:t>
      </w:r>
      <w:r w:rsidRPr="00CA45DA">
        <w:rPr>
          <w:i/>
        </w:rPr>
        <w:t>ιοηθικής</w:t>
      </w:r>
      <w:r w:rsidRPr="00E254F5">
        <w:t xml:space="preserve"> σχολιάστηκε από μεγάλη μερίδα γάλλων νομικών. Για περισσότερες πληροφορίες σχετικά βλ. «Commentaire des lois», Dictionnaire Permanent Bioéthique et Biotechnologies, </w:t>
      </w:r>
      <w:r>
        <w:t>Éd.</w:t>
      </w:r>
      <w:r w:rsidRPr="00E254F5">
        <w:t xml:space="preserve"> législatives, Montrouge, 1</w:t>
      </w:r>
      <w:r w:rsidRPr="00E254F5">
        <w:rPr>
          <w:vertAlign w:val="superscript"/>
        </w:rPr>
        <w:t>er</w:t>
      </w:r>
      <w:r w:rsidRPr="00E254F5">
        <w:t xml:space="preserve"> septembre 1994 (bull. 10); </w:t>
      </w:r>
      <w:r w:rsidRPr="00E254F5">
        <w:rPr>
          <w:b/>
          <w:i/>
        </w:rPr>
        <w:t>B. Mathieu</w:t>
      </w:r>
      <w:r w:rsidRPr="00E254F5">
        <w:t xml:space="preserve">, </w:t>
      </w:r>
      <w:r>
        <w:t>«Bioéthique</w:t>
      </w:r>
      <w:r w:rsidRPr="00E254F5">
        <w:t xml:space="preserve">: un juge constitutionnel réservé face aux défis de la science», </w:t>
      </w:r>
      <w:r w:rsidRPr="00E254F5">
        <w:rPr>
          <w:i/>
        </w:rPr>
        <w:t>Revue française de droit administratif</w:t>
      </w:r>
      <w:r w:rsidRPr="00E254F5">
        <w:t>, 9.10.</w:t>
      </w:r>
      <w:r w:rsidRPr="00E254F5">
        <w:rPr>
          <w:iCs/>
        </w:rPr>
        <w:t>1994, n</w:t>
      </w:r>
      <w:r w:rsidRPr="00E254F5">
        <w:rPr>
          <w:iCs/>
          <w:vertAlign w:val="superscript"/>
        </w:rPr>
        <w:t>o</w:t>
      </w:r>
      <w:r w:rsidRPr="00E254F5">
        <w:rPr>
          <w:iCs/>
        </w:rPr>
        <w:t xml:space="preserve"> 5, σελ. 1019-1032</w:t>
      </w:r>
      <w:r w:rsidRPr="00E254F5">
        <w:t xml:space="preserve">; </w:t>
      </w:r>
      <w:r w:rsidRPr="00E254F5">
        <w:rPr>
          <w:b/>
          <w:i/>
        </w:rPr>
        <w:t>Ch. Byk</w:t>
      </w:r>
      <w:r w:rsidRPr="00E254F5">
        <w:t xml:space="preserve">, «La loi relative au respect du corps humain», </w:t>
      </w:r>
      <w:r w:rsidRPr="00E254F5">
        <w:rPr>
          <w:i/>
        </w:rPr>
        <w:t>JCP G Semaine juridique</w:t>
      </w:r>
      <w:r w:rsidRPr="00E254F5">
        <w:t xml:space="preserve">, </w:t>
      </w:r>
      <w:r w:rsidRPr="00E254F5">
        <w:rPr>
          <w:iCs/>
        </w:rPr>
        <w:t>28.8.1994, n</w:t>
      </w:r>
      <w:r w:rsidRPr="00E254F5">
        <w:rPr>
          <w:iCs/>
          <w:vertAlign w:val="superscript"/>
        </w:rPr>
        <w:t>o</w:t>
      </w:r>
      <w:r w:rsidRPr="00E254F5">
        <w:rPr>
          <w:iCs/>
        </w:rPr>
        <w:t xml:space="preserve"> 39, σελ. 405-414; </w:t>
      </w:r>
      <w:r w:rsidRPr="00E254F5">
        <w:rPr>
          <w:b/>
          <w:i/>
          <w:iCs/>
        </w:rPr>
        <w:t xml:space="preserve">Μ. </w:t>
      </w:r>
      <w:r w:rsidRPr="00E254F5">
        <w:rPr>
          <w:b/>
          <w:i/>
        </w:rPr>
        <w:t>Delmas-Marty</w:t>
      </w:r>
      <w:r w:rsidRPr="00E254F5">
        <w:t xml:space="preserve">, «Le crime contre l'humanité, les droits de l'homme et l'irréductible humain», </w:t>
      </w:r>
      <w:r w:rsidRPr="00E254F5">
        <w:rPr>
          <w:i/>
        </w:rPr>
        <w:t>Revue de science criminelle et de droit pénal comparé</w:t>
      </w:r>
      <w:r w:rsidRPr="00E254F5">
        <w:t>, 1.7.</w:t>
      </w:r>
      <w:r w:rsidRPr="00E254F5">
        <w:rPr>
          <w:iCs/>
        </w:rPr>
        <w:t>1994, n</w:t>
      </w:r>
      <w:r w:rsidRPr="00E254F5">
        <w:rPr>
          <w:iCs/>
          <w:vertAlign w:val="superscript"/>
        </w:rPr>
        <w:t>o</w:t>
      </w:r>
      <w:r w:rsidRPr="00E254F5">
        <w:rPr>
          <w:iCs/>
        </w:rPr>
        <w:t xml:space="preserve"> 3, σελ. 477</w:t>
      </w:r>
      <w:r w:rsidRPr="00E254F5">
        <w:t xml:space="preserve">-490; </w:t>
      </w:r>
      <w:r w:rsidRPr="00E254F5">
        <w:rPr>
          <w:b/>
          <w:i/>
        </w:rPr>
        <w:t>Fr. Luchaire</w:t>
      </w:r>
      <w:r w:rsidRPr="00E254F5">
        <w:t xml:space="preserve">, «Le Conseil constitutionnel et l'assistance médicale à la procréation», </w:t>
      </w:r>
      <w:r w:rsidRPr="00E254F5">
        <w:rPr>
          <w:i/>
        </w:rPr>
        <w:t>Revue du droit public</w:t>
      </w:r>
      <w:r w:rsidRPr="00E254F5">
        <w:t xml:space="preserve">, 1.12.1994, </w:t>
      </w:r>
      <w:r w:rsidRPr="00E254F5">
        <w:rPr>
          <w:iCs/>
        </w:rPr>
        <w:t>n</w:t>
      </w:r>
      <w:r w:rsidRPr="00E254F5">
        <w:rPr>
          <w:iCs/>
          <w:vertAlign w:val="superscript"/>
        </w:rPr>
        <w:t>o</w:t>
      </w:r>
      <w:r w:rsidRPr="00E254F5">
        <w:rPr>
          <w:iCs/>
        </w:rPr>
        <w:t xml:space="preserve"> 6, σελ. 1647-1662</w:t>
      </w:r>
      <w:r w:rsidRPr="00E254F5">
        <w:t xml:space="preserve">; </w:t>
      </w:r>
      <w:r w:rsidRPr="00E254F5">
        <w:rPr>
          <w:b/>
          <w:i/>
        </w:rPr>
        <w:t>L. Favoreu</w:t>
      </w:r>
      <w:r w:rsidRPr="00E254F5">
        <w:t xml:space="preserve">, </w:t>
      </w:r>
      <w:r>
        <w:t>«</w:t>
      </w:r>
      <w:r w:rsidRPr="00E254F5">
        <w:t>Bioéthique</w:t>
      </w:r>
      <w:r>
        <w:t>»</w:t>
      </w:r>
      <w:r w:rsidRPr="00E254F5">
        <w:t xml:space="preserve">, </w:t>
      </w:r>
      <w:r w:rsidRPr="00E254F5">
        <w:rPr>
          <w:i/>
        </w:rPr>
        <w:t>Revue française de droit constitutionnel</w:t>
      </w:r>
      <w:r w:rsidRPr="00E254F5">
        <w:t xml:space="preserve">, 1.12.1994, </w:t>
      </w:r>
      <w:r w:rsidRPr="00E254F5">
        <w:rPr>
          <w:iCs/>
        </w:rPr>
        <w:t>n</w:t>
      </w:r>
      <w:r w:rsidRPr="00E254F5">
        <w:rPr>
          <w:iCs/>
          <w:vertAlign w:val="superscript"/>
        </w:rPr>
        <w:t>o</w:t>
      </w:r>
      <w:r w:rsidRPr="00E254F5">
        <w:rPr>
          <w:iCs/>
        </w:rPr>
        <w:t xml:space="preserve"> 20, σελ. 799-811</w:t>
      </w:r>
      <w:r w:rsidRPr="00E254F5">
        <w:t xml:space="preserve">; </w:t>
      </w:r>
      <w:r w:rsidRPr="00E254F5">
        <w:rPr>
          <w:b/>
          <w:i/>
        </w:rPr>
        <w:t>B. Mathieu</w:t>
      </w:r>
      <w:r w:rsidRPr="00E254F5">
        <w:t>, </w:t>
      </w:r>
      <w:r>
        <w:t>«</w:t>
      </w:r>
      <w:r w:rsidRPr="00E254F5">
        <w:t>L'insuffisance des normes constitutionnelles face aux développements des sciences biomédicales</w:t>
      </w:r>
      <w:r>
        <w:t>»</w:t>
      </w:r>
      <w:r w:rsidRPr="00E254F5">
        <w:t xml:space="preserve">, </w:t>
      </w:r>
      <w:r w:rsidRPr="00E254F5">
        <w:rPr>
          <w:i/>
        </w:rPr>
        <w:t>Recueil Dalloz Sirey</w:t>
      </w:r>
      <w:r w:rsidRPr="00E254F5">
        <w:t>, 20.4.</w:t>
      </w:r>
      <w:r w:rsidRPr="00E254F5">
        <w:rPr>
          <w:iCs/>
        </w:rPr>
        <w:t>1995, n</w:t>
      </w:r>
      <w:r w:rsidRPr="00E254F5">
        <w:rPr>
          <w:iCs/>
          <w:vertAlign w:val="superscript"/>
        </w:rPr>
        <w:t>o</w:t>
      </w:r>
      <w:r w:rsidRPr="00E254F5">
        <w:rPr>
          <w:iCs/>
        </w:rPr>
        <w:t xml:space="preserve"> 16, σελ. 237-241</w:t>
      </w:r>
      <w:r w:rsidRPr="00E254F5">
        <w:t xml:space="preserve">; </w:t>
      </w:r>
      <w:r w:rsidRPr="00E254F5">
        <w:rPr>
          <w:b/>
          <w:i/>
        </w:rPr>
        <w:t>B. Edelman</w:t>
      </w:r>
      <w:r w:rsidRPr="00E254F5">
        <w:t xml:space="preserve">, </w:t>
      </w:r>
      <w:r>
        <w:t>«</w:t>
      </w:r>
      <w:r w:rsidRPr="00E254F5">
        <w:t>Le Conseil constitutionnel et l'embryon</w:t>
      </w:r>
      <w:r>
        <w:t>»</w:t>
      </w:r>
      <w:r w:rsidRPr="00E254F5">
        <w:t xml:space="preserve">, </w:t>
      </w:r>
      <w:r w:rsidRPr="00E254F5">
        <w:rPr>
          <w:i/>
        </w:rPr>
        <w:t>Recueil Dalloz Sirey</w:t>
      </w:r>
      <w:r w:rsidRPr="00E254F5">
        <w:t>, 20.7.</w:t>
      </w:r>
      <w:r w:rsidRPr="00E254F5">
        <w:rPr>
          <w:iCs/>
        </w:rPr>
        <w:t>1995, n</w:t>
      </w:r>
      <w:r w:rsidRPr="00E254F5">
        <w:rPr>
          <w:iCs/>
          <w:vertAlign w:val="superscript"/>
        </w:rPr>
        <w:t>o</w:t>
      </w:r>
      <w:r w:rsidRPr="00E254F5">
        <w:rPr>
          <w:iCs/>
        </w:rPr>
        <w:t xml:space="preserve"> 27, σελ. 205-210</w:t>
      </w:r>
      <w:r w:rsidRPr="00E254F5">
        <w:t xml:space="preserve">; </w:t>
      </w:r>
      <w:r w:rsidRPr="00E254F5">
        <w:rPr>
          <w:b/>
          <w:i/>
        </w:rPr>
        <w:t>D. Thouvenin</w:t>
      </w:r>
      <w:r w:rsidRPr="00E254F5">
        <w:t xml:space="preserve">, </w:t>
      </w:r>
      <w:r>
        <w:t>«</w:t>
      </w:r>
      <w:r w:rsidRPr="00E254F5">
        <w:t>Les lois n°94-548 du 1er juillet 1994, n°94-653 et n°94-654 du 29 juillet 1994 ou comment construire un droit de la bioéthique</w:t>
      </w:r>
      <w:r>
        <w:t>»</w:t>
      </w:r>
      <w:r w:rsidRPr="00E254F5">
        <w:t xml:space="preserve">, </w:t>
      </w:r>
      <w:r w:rsidRPr="00E254F5">
        <w:rPr>
          <w:i/>
        </w:rPr>
        <w:t>Actualités législatives Dalloz</w:t>
      </w:r>
      <w:r w:rsidRPr="00E254F5">
        <w:t>, 23.11.</w:t>
      </w:r>
      <w:r w:rsidRPr="00E254F5">
        <w:rPr>
          <w:iCs/>
        </w:rPr>
        <w:t>1995, n</w:t>
      </w:r>
      <w:r w:rsidRPr="00E254F5">
        <w:rPr>
          <w:iCs/>
          <w:vertAlign w:val="superscript"/>
        </w:rPr>
        <w:t>o</w:t>
      </w:r>
      <w:r w:rsidRPr="00E254F5">
        <w:rPr>
          <w:iCs/>
        </w:rPr>
        <w:t xml:space="preserve"> 20, σελ. 179-216</w:t>
      </w:r>
      <w:r w:rsidRPr="00E254F5">
        <w:t xml:space="preserve">; </w:t>
      </w:r>
      <w:r w:rsidRPr="00E254F5">
        <w:rPr>
          <w:b/>
          <w:i/>
        </w:rPr>
        <w:t>J.-P. Duprat</w:t>
      </w:r>
      <w:r w:rsidRPr="00E254F5">
        <w:t xml:space="preserve">, </w:t>
      </w:r>
      <w:r>
        <w:t>«</w:t>
      </w:r>
      <w:r w:rsidRPr="00E254F5">
        <w:t>A la recherche d'une protection constitutionnelle du corps humain : la décision 94-343/344 DC du 27 juillet 1994</w:t>
      </w:r>
      <w:r>
        <w:t>»</w:t>
      </w:r>
      <w:r w:rsidRPr="00E254F5">
        <w:t xml:space="preserve">, </w:t>
      </w:r>
      <w:r w:rsidRPr="00E254F5">
        <w:rPr>
          <w:i/>
        </w:rPr>
        <w:t>Les Petites Affiches</w:t>
      </w:r>
      <w:r w:rsidRPr="00E254F5">
        <w:t xml:space="preserve">, </w:t>
      </w:r>
      <w:r w:rsidRPr="00E254F5">
        <w:rPr>
          <w:iCs/>
        </w:rPr>
        <w:t>14.12.1994, n</w:t>
      </w:r>
      <w:r w:rsidRPr="00E254F5">
        <w:rPr>
          <w:iCs/>
          <w:vertAlign w:val="superscript"/>
        </w:rPr>
        <w:t>o</w:t>
      </w:r>
      <w:r w:rsidRPr="00E254F5">
        <w:rPr>
          <w:iCs/>
        </w:rPr>
        <w:t xml:space="preserve"> 149, σελ. 34</w:t>
      </w:r>
      <w:r w:rsidRPr="00E254F5">
        <w:t xml:space="preserve">-40; </w:t>
      </w:r>
      <w:r w:rsidRPr="00E254F5">
        <w:rPr>
          <w:b/>
          <w:i/>
        </w:rPr>
        <w:t>M.-P. Deswartes</w:t>
      </w:r>
      <w:r w:rsidRPr="00E254F5">
        <w:t xml:space="preserve">, </w:t>
      </w:r>
      <w:r>
        <w:t>«</w:t>
      </w:r>
      <w:r w:rsidRPr="00E254F5">
        <w:t>Le droit à la vie dans la décision du Conseil constitutionnel du 29 juillet 1994</w:t>
      </w:r>
      <w:r>
        <w:t>»</w:t>
      </w:r>
      <w:r w:rsidRPr="00E254F5">
        <w:t xml:space="preserve">, </w:t>
      </w:r>
      <w:r w:rsidRPr="00E254F5">
        <w:rPr>
          <w:i/>
        </w:rPr>
        <w:t>Journal international de bioéthique</w:t>
      </w:r>
      <w:r w:rsidRPr="00E254F5">
        <w:t>, 1.3.</w:t>
      </w:r>
      <w:r w:rsidRPr="00E254F5">
        <w:rPr>
          <w:iCs/>
        </w:rPr>
        <w:t>1996, n</w:t>
      </w:r>
      <w:r w:rsidRPr="00E254F5">
        <w:rPr>
          <w:iCs/>
          <w:vertAlign w:val="superscript"/>
        </w:rPr>
        <w:t>o</w:t>
      </w:r>
      <w:r w:rsidRPr="00E254F5">
        <w:rPr>
          <w:iCs/>
        </w:rPr>
        <w:t xml:space="preserve"> 1, σελ. 10-15</w:t>
      </w:r>
      <w:r w:rsidRPr="00E254F5">
        <w:t xml:space="preserve">; </w:t>
      </w:r>
      <w:r w:rsidRPr="00E254F5">
        <w:rPr>
          <w:b/>
          <w:i/>
          <w:iCs/>
        </w:rPr>
        <w:t xml:space="preserve">G. </w:t>
      </w:r>
      <w:r w:rsidRPr="00E254F5">
        <w:rPr>
          <w:b/>
          <w:i/>
        </w:rPr>
        <w:t>Giudicelli-Delage</w:t>
      </w:r>
      <w:r w:rsidRPr="00E254F5">
        <w:t xml:space="preserve">, </w:t>
      </w:r>
      <w:r>
        <w:t>«</w:t>
      </w:r>
      <w:r w:rsidRPr="00E254F5">
        <w:t>Droit à la protection de la santé et droit pénal en France</w:t>
      </w:r>
      <w:r>
        <w:t>»</w:t>
      </w:r>
      <w:r w:rsidRPr="00E254F5">
        <w:t xml:space="preserve">, </w:t>
      </w:r>
      <w:r w:rsidRPr="00E254F5">
        <w:rPr>
          <w:i/>
        </w:rPr>
        <w:t>Revue de science criminelle et de droit pénal comparé</w:t>
      </w:r>
      <w:r w:rsidRPr="00E254F5">
        <w:t>, 1.1.</w:t>
      </w:r>
      <w:r w:rsidRPr="00E254F5">
        <w:rPr>
          <w:iCs/>
        </w:rPr>
        <w:t>1996, n</w:t>
      </w:r>
      <w:r w:rsidRPr="00E254F5">
        <w:rPr>
          <w:iCs/>
          <w:vertAlign w:val="superscript"/>
        </w:rPr>
        <w:t>o</w:t>
      </w:r>
      <w:r w:rsidRPr="00E254F5">
        <w:rPr>
          <w:iCs/>
        </w:rPr>
        <w:t xml:space="preserve"> 1, σελ. 13-30</w:t>
      </w:r>
      <w:r w:rsidRPr="00E254F5">
        <w:t xml:space="preserve">; </w:t>
      </w:r>
      <w:r w:rsidRPr="00E254F5">
        <w:rPr>
          <w:b/>
          <w:i/>
        </w:rPr>
        <w:t>A.-M. Le Bos-Le Pourhiet</w:t>
      </w:r>
      <w:r w:rsidRPr="00E254F5">
        <w:t xml:space="preserve">, </w:t>
      </w:r>
      <w:r>
        <w:t>«</w:t>
      </w:r>
      <w:r w:rsidRPr="00E254F5">
        <w:t>Le Conseil constitutionnel et l'éthique biomédicale</w:t>
      </w:r>
      <w:r>
        <w:t>»</w:t>
      </w:r>
      <w:r w:rsidRPr="00E254F5">
        <w:t xml:space="preserve">, </w:t>
      </w:r>
      <w:r w:rsidRPr="00E254F5">
        <w:rPr>
          <w:i/>
        </w:rPr>
        <w:t>Mélanges Dupuis</w:t>
      </w:r>
      <w:r w:rsidRPr="00E254F5">
        <w:t xml:space="preserve">, </w:t>
      </w:r>
      <w:r w:rsidRPr="00E254F5">
        <w:rPr>
          <w:iCs/>
        </w:rPr>
        <w:t>LGDJ, 1997</w:t>
      </w:r>
      <w:r w:rsidRPr="00E254F5">
        <w:rPr>
          <w:i/>
          <w:iCs/>
        </w:rPr>
        <w:t xml:space="preserve">, </w:t>
      </w:r>
      <w:r w:rsidRPr="00E254F5">
        <w:rPr>
          <w:iCs/>
        </w:rPr>
        <w:t>σελ. 213-225</w:t>
      </w:r>
      <w:r w:rsidRPr="00E254F5">
        <w:t xml:space="preserve">; Commission de Venise, </w:t>
      </w:r>
      <w:r w:rsidRPr="00E254F5">
        <w:rPr>
          <w:i/>
        </w:rPr>
        <w:t>Bulletin on constitutional case-law</w:t>
      </w:r>
      <w:r w:rsidRPr="00E254F5">
        <w:t xml:space="preserve">, </w:t>
      </w:r>
      <w:r w:rsidRPr="00E254F5">
        <w:rPr>
          <w:iCs/>
        </w:rPr>
        <w:t>1994-2, σελ. 121 και 125</w:t>
      </w:r>
      <w:r w:rsidRPr="00E254F5">
        <w:t xml:space="preserve">; </w:t>
      </w:r>
      <w:r w:rsidRPr="00E254F5">
        <w:rPr>
          <w:b/>
          <w:i/>
        </w:rPr>
        <w:t>A. M. M. Lebech</w:t>
      </w:r>
      <w:r w:rsidRPr="00E254F5">
        <w:t xml:space="preserve">, </w:t>
      </w:r>
      <w:r>
        <w:t>«</w:t>
      </w:r>
      <w:r w:rsidRPr="00E254F5">
        <w:t>Constitution de la dignité humaine</w:t>
      </w:r>
      <w:r>
        <w:t>»</w:t>
      </w:r>
      <w:r w:rsidRPr="00E254F5">
        <w:t xml:space="preserve">, </w:t>
      </w:r>
      <w:r w:rsidRPr="00E254F5">
        <w:rPr>
          <w:i/>
        </w:rPr>
        <w:t>Revue générale de droit médical</w:t>
      </w:r>
      <w:r w:rsidRPr="00E254F5">
        <w:t>, 1.10.</w:t>
      </w:r>
      <w:r w:rsidRPr="00E254F5">
        <w:rPr>
          <w:iCs/>
        </w:rPr>
        <w:t>2002, n</w:t>
      </w:r>
      <w:r w:rsidRPr="00E254F5">
        <w:rPr>
          <w:iCs/>
          <w:vertAlign w:val="superscript"/>
        </w:rPr>
        <w:t>o</w:t>
      </w:r>
      <w:r w:rsidRPr="00E254F5">
        <w:rPr>
          <w:iCs/>
        </w:rPr>
        <w:t xml:space="preserve"> 8, σελ. 55-67</w:t>
      </w:r>
      <w:r w:rsidRPr="00E254F5">
        <w:t xml:space="preserve">; </w:t>
      </w:r>
      <w:r w:rsidRPr="00E254F5">
        <w:rPr>
          <w:b/>
          <w:i/>
        </w:rPr>
        <w:t>L. Favoreu, L. Philip</w:t>
      </w:r>
      <w:r w:rsidRPr="00E254F5">
        <w:t xml:space="preserve">, </w:t>
      </w:r>
      <w:r>
        <w:t>«</w:t>
      </w:r>
      <w:r w:rsidRPr="00E254F5">
        <w:t>Bioéthique</w:t>
      </w:r>
      <w:r>
        <w:t>»</w:t>
      </w:r>
      <w:r w:rsidRPr="00E254F5">
        <w:t xml:space="preserve">, </w:t>
      </w:r>
      <w:r w:rsidRPr="00E254F5">
        <w:rPr>
          <w:i/>
        </w:rPr>
        <w:t>Les grandes décisions du Conseil constitutionnel</w:t>
      </w:r>
      <w:r w:rsidRPr="00E254F5">
        <w:t xml:space="preserve">, </w:t>
      </w:r>
      <w:r w:rsidRPr="00E254F5">
        <w:rPr>
          <w:iCs/>
        </w:rPr>
        <w:t>Dalloz,</w:t>
      </w:r>
      <w:r w:rsidRPr="00E254F5">
        <w:rPr>
          <w:i/>
          <w:iCs/>
        </w:rPr>
        <w:t xml:space="preserve"> </w:t>
      </w:r>
      <w:r w:rsidRPr="00E254F5">
        <w:rPr>
          <w:iCs/>
        </w:rPr>
        <w:t>2009, σελ. 641-657</w:t>
      </w:r>
      <w:r w:rsidRPr="00E254F5">
        <w:t xml:space="preserve">. </w:t>
      </w:r>
    </w:p>
  </w:footnote>
  <w:footnote w:id="308">
    <w:p w14:paraId="5116109D" w14:textId="77777777" w:rsidR="00E47260" w:rsidRPr="00EE4056" w:rsidRDefault="00E47260" w:rsidP="00E50D9B">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309">
    <w:p w14:paraId="400A44D5" w14:textId="77777777" w:rsidR="00E47260" w:rsidRPr="001D59D2" w:rsidRDefault="00E47260" w:rsidP="00E50D9B">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310">
    <w:p w14:paraId="6FB56279" w14:textId="77777777" w:rsidR="00E47260" w:rsidRPr="007937F2" w:rsidRDefault="00E47260" w:rsidP="00CB7D04">
      <w:pPr>
        <w:pStyle w:val="FootnoteText"/>
        <w:rPr>
          <w:lang w:val="el-GR"/>
        </w:rPr>
      </w:pPr>
      <w:r>
        <w:rPr>
          <w:rStyle w:val="FootnoteReference"/>
        </w:rPr>
        <w:footnoteRef/>
      </w:r>
      <w:r>
        <w:t xml:space="preserve"> </w:t>
      </w:r>
      <w:r>
        <w:rPr>
          <w:lang w:val="el-GR"/>
        </w:rPr>
        <w:t xml:space="preserve">Παρουσίαση και περεταίρω ανάλυση της τεχνικής της διπλής προεμφυτευτικής διάγνωσης έχει ήδη γίνει σε προηγούμενο σχετικό κεφάλαιο. Βλ. </w:t>
      </w:r>
      <w:r w:rsidRPr="00F6784E">
        <w:rPr>
          <w:i/>
        </w:rPr>
        <w:t>supra</w:t>
      </w:r>
      <w:r>
        <w:t xml:space="preserve">, </w:t>
      </w:r>
      <w:r>
        <w:rPr>
          <w:lang w:val="el-GR"/>
        </w:rPr>
        <w:t xml:space="preserve">σελ. </w:t>
      </w:r>
      <w:r>
        <w:rPr>
          <w:lang w:val="el-GR"/>
        </w:rPr>
        <w:fldChar w:fldCharType="begin"/>
      </w:r>
      <w:r>
        <w:rPr>
          <w:lang w:val="el-GR"/>
        </w:rPr>
        <w:instrText xml:space="preserve"> PAGEREF _Ref275339709 \h </w:instrText>
      </w:r>
      <w:r>
        <w:rPr>
          <w:lang w:val="el-GR"/>
        </w:rPr>
      </w:r>
      <w:r>
        <w:rPr>
          <w:lang w:val="el-GR"/>
        </w:rPr>
        <w:fldChar w:fldCharType="separate"/>
      </w:r>
      <w:r w:rsidR="00B822F0">
        <w:rPr>
          <w:noProof/>
          <w:lang w:val="el-GR"/>
        </w:rPr>
        <w:t>45</w:t>
      </w:r>
      <w:r>
        <w:rPr>
          <w:lang w:val="el-GR"/>
        </w:rPr>
        <w:fldChar w:fldCharType="end"/>
      </w:r>
      <w:r>
        <w:rPr>
          <w:lang w:val="el-GR"/>
        </w:rPr>
        <w:t xml:space="preserve">επ. </w:t>
      </w:r>
    </w:p>
  </w:footnote>
  <w:footnote w:id="311">
    <w:p w14:paraId="1C8FC035" w14:textId="77777777" w:rsidR="00E47260" w:rsidRPr="006C496E" w:rsidRDefault="00E47260" w:rsidP="00CB7D04">
      <w:pPr>
        <w:pStyle w:val="FootnoteText"/>
      </w:pPr>
      <w:r>
        <w:rPr>
          <w:rStyle w:val="FootnoteReference"/>
        </w:rPr>
        <w:footnoteRef/>
      </w:r>
      <w:r>
        <w:t xml:space="preserve"> </w:t>
      </w:r>
      <w:r w:rsidRPr="00E254F5">
        <w:t xml:space="preserve">Βλ. </w:t>
      </w:r>
      <w:r w:rsidRPr="006C496E">
        <w:t xml:space="preserve">σχετικά Eρωτηματολόγιο [3.4], </w:t>
      </w:r>
      <w:r w:rsidRPr="006C496E">
        <w:rPr>
          <w:i/>
        </w:rPr>
        <w:t xml:space="preserve">op.cit., </w:t>
      </w:r>
      <w:r w:rsidRPr="006C496E">
        <w:t xml:space="preserve">σημ. ΙΙ, 5.4-5.5, </w:t>
      </w:r>
      <w:r w:rsidRPr="006C496E">
        <w:rPr>
          <w:lang w:val="el-GR"/>
        </w:rPr>
        <w:t xml:space="preserve">σελ. 7. </w:t>
      </w:r>
    </w:p>
  </w:footnote>
  <w:footnote w:id="312">
    <w:p w14:paraId="51CD7BA8" w14:textId="6038E132" w:rsidR="00E47260" w:rsidRPr="007931CE" w:rsidRDefault="00E47260" w:rsidP="00CB7D04">
      <w:pPr>
        <w:pStyle w:val="FootnoteText"/>
        <w:rPr>
          <w:lang w:val="el-GR"/>
        </w:rPr>
      </w:pPr>
      <w:r w:rsidRPr="006C496E">
        <w:rPr>
          <w:rStyle w:val="FootnoteReference"/>
        </w:rPr>
        <w:footnoteRef/>
      </w:r>
      <w:r w:rsidRPr="006C496E">
        <w:t xml:space="preserve"> Βλ. σχετικά</w:t>
      </w:r>
      <w:r w:rsidRPr="006C496E">
        <w:rPr>
          <w:lang w:val="el-GR"/>
        </w:rPr>
        <w:t xml:space="preserve"> </w:t>
      </w:r>
      <w:r w:rsidRPr="006C496E">
        <w:t xml:space="preserve">Eρωτηματολόγιο [3.1], </w:t>
      </w:r>
      <w:r w:rsidRPr="006C496E">
        <w:rPr>
          <w:i/>
        </w:rPr>
        <w:t xml:space="preserve">op.cit., </w:t>
      </w:r>
      <w:r w:rsidRPr="006C496E">
        <w:t xml:space="preserve">σημ. </w:t>
      </w:r>
      <w:r>
        <w:t xml:space="preserve">ΙΙ, </w:t>
      </w:r>
      <w:r w:rsidRPr="006C496E">
        <w:t xml:space="preserve">5.3-5.4, σελ. 6; Eρωτηματολόγιο [3.2], </w:t>
      </w:r>
      <w:r w:rsidRPr="006C496E">
        <w:rPr>
          <w:i/>
        </w:rPr>
        <w:t xml:space="preserve">op.cit., </w:t>
      </w:r>
      <w:r w:rsidRPr="006C496E">
        <w:t xml:space="preserve">σημ. ΙI, 5.4, σελ. 6-7; Eρωτηματολόγιο [3.3], </w:t>
      </w:r>
      <w:r w:rsidRPr="006C496E">
        <w:rPr>
          <w:i/>
        </w:rPr>
        <w:t xml:space="preserve">op.cit., </w:t>
      </w:r>
      <w:r w:rsidRPr="006C496E">
        <w:t xml:space="preserve">σημ. ΙI, 5.4, σελ. 8; Eρωτηματολόγιο [3.4], </w:t>
      </w:r>
      <w:r w:rsidRPr="006C496E">
        <w:rPr>
          <w:i/>
        </w:rPr>
        <w:t xml:space="preserve">op.cit., </w:t>
      </w:r>
      <w:r w:rsidRPr="006C496E">
        <w:t xml:space="preserve">σημ. ΙI, 5.4-5.5, </w:t>
      </w:r>
      <w:r w:rsidRPr="006C496E">
        <w:rPr>
          <w:lang w:val="el-GR"/>
        </w:rPr>
        <w:t>σελ. 7</w:t>
      </w:r>
      <w:r w:rsidRPr="006C496E">
        <w:t xml:space="preserve">; Eρωτηματολόγιο [3.5], </w:t>
      </w:r>
      <w:r w:rsidRPr="006C496E">
        <w:rPr>
          <w:i/>
        </w:rPr>
        <w:t xml:space="preserve">op.cit., </w:t>
      </w:r>
      <w:r w:rsidRPr="006C496E">
        <w:t xml:space="preserve">σημ. ΙΙ, 5.3-5.4, σελ. 7; Eρωτηματολόγιο [3.6], </w:t>
      </w:r>
      <w:r w:rsidRPr="006C496E">
        <w:rPr>
          <w:i/>
        </w:rPr>
        <w:t xml:space="preserve">op.cit., </w:t>
      </w:r>
      <w:r w:rsidRPr="006C496E">
        <w:t xml:space="preserve">σημ. ΙΙ, 5.3-5.4, σελ. 7; Eρωτηματολόγιο [3.7], </w:t>
      </w:r>
      <w:r w:rsidRPr="006C496E">
        <w:rPr>
          <w:i/>
        </w:rPr>
        <w:t xml:space="preserve">op.cit., </w:t>
      </w:r>
      <w:r w:rsidRPr="006C496E">
        <w:t xml:space="preserve">σημ. ΙI, 5.3-5.4, σελ. 9 και Eρωτηματολόγιο [3.8], </w:t>
      </w:r>
      <w:r w:rsidRPr="006C496E">
        <w:rPr>
          <w:i/>
        </w:rPr>
        <w:t xml:space="preserve">op.cit., </w:t>
      </w:r>
      <w:r w:rsidRPr="006C496E">
        <w:t>σημ. ΙΙ,</w:t>
      </w:r>
      <w:r>
        <w:t xml:space="preserve"> 5.3</w:t>
      </w:r>
      <w:r w:rsidRPr="00E254F5">
        <w:t>, σελ. 5</w:t>
      </w:r>
      <w:r>
        <w:t xml:space="preserve">. </w:t>
      </w:r>
    </w:p>
  </w:footnote>
  <w:footnote w:id="313">
    <w:p w14:paraId="530DC408" w14:textId="77777777" w:rsidR="00E47260" w:rsidRPr="000A518C" w:rsidRDefault="00E47260" w:rsidP="00CB7D04">
      <w:pPr>
        <w:pStyle w:val="FootnoteText"/>
        <w:rPr>
          <w:lang w:val="el-GR"/>
        </w:rPr>
      </w:pPr>
      <w:r>
        <w:rPr>
          <w:rStyle w:val="FootnoteReference"/>
        </w:rPr>
        <w:footnoteRef/>
      </w:r>
      <w:r>
        <w:t xml:space="preserve"> </w:t>
      </w:r>
      <w:r w:rsidRPr="000A518C">
        <w:t xml:space="preserve">Βλ. Eρωτηματολόγιο [3.6], </w:t>
      </w:r>
      <w:r w:rsidRPr="000A518C">
        <w:rPr>
          <w:i/>
        </w:rPr>
        <w:t>op.cit.</w:t>
      </w:r>
      <w:r w:rsidRPr="000A518C">
        <w:t xml:space="preserve">, σημ. ΙΙ, 5.4, σελ. 7. </w:t>
      </w:r>
    </w:p>
  </w:footnote>
  <w:footnote w:id="314">
    <w:p w14:paraId="5226453D" w14:textId="77777777" w:rsidR="00E47260" w:rsidRPr="000A518C" w:rsidRDefault="00E47260" w:rsidP="00CB7D04">
      <w:pPr>
        <w:pStyle w:val="FootnoteText"/>
        <w:rPr>
          <w:lang w:val="el-GR"/>
        </w:rPr>
      </w:pPr>
      <w:r w:rsidRPr="000A518C">
        <w:rPr>
          <w:rStyle w:val="FootnoteReference"/>
        </w:rPr>
        <w:footnoteRef/>
      </w:r>
      <w:r w:rsidRPr="000A518C">
        <w:t xml:space="preserve"> Βλ. την Eρωτηματολόγιο [3.7], </w:t>
      </w:r>
      <w:r w:rsidRPr="000A518C">
        <w:rPr>
          <w:i/>
        </w:rPr>
        <w:t>op.cit.</w:t>
      </w:r>
      <w:r w:rsidRPr="000A518C">
        <w:t xml:space="preserve">, σημ. ΙI, 5.4, σελ. 9. </w:t>
      </w:r>
    </w:p>
  </w:footnote>
  <w:footnote w:id="315">
    <w:p w14:paraId="6B7B29C1" w14:textId="77777777" w:rsidR="00E47260" w:rsidRPr="00EE4056" w:rsidRDefault="00E47260" w:rsidP="000A518C">
      <w:pPr>
        <w:pStyle w:val="FootnoteText"/>
        <w:rPr>
          <w:lang w:val="el-GR"/>
        </w:rPr>
      </w:pPr>
      <w:r w:rsidRPr="000A518C">
        <w:rPr>
          <w:rStyle w:val="FootnoteReference"/>
        </w:rPr>
        <w:footnoteRef/>
      </w:r>
      <w:r w:rsidRPr="000A518C">
        <w:t xml:space="preserve"> </w:t>
      </w:r>
      <w:r w:rsidRPr="000A518C">
        <w:rPr>
          <w:lang w:val="el-GR"/>
        </w:rPr>
        <w:t>Για περισσότερες πληροφορίες</w:t>
      </w:r>
      <w:r>
        <w:rPr>
          <w:lang w:val="el-GR"/>
        </w:rPr>
        <w:t xml:space="preserve">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316">
    <w:p w14:paraId="1C6A15FF" w14:textId="77777777" w:rsidR="00E47260" w:rsidRPr="001D59D2" w:rsidRDefault="00E47260" w:rsidP="008A71E7">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317">
    <w:p w14:paraId="213B294D" w14:textId="77777777" w:rsidR="00E47260" w:rsidRPr="00530F03" w:rsidRDefault="00E47260" w:rsidP="00CB7D04">
      <w:pPr>
        <w:pStyle w:val="FootnoteText"/>
      </w:pPr>
      <w:r w:rsidRPr="00F84EC4">
        <w:rPr>
          <w:rStyle w:val="FootnoteReference"/>
        </w:rPr>
        <w:footnoteRef/>
      </w:r>
      <w:r w:rsidRPr="00F84EC4">
        <w:t xml:space="preserve"> </w:t>
      </w:r>
      <w:r w:rsidRPr="00F84EC4">
        <w:rPr>
          <w:lang w:val="el-GR"/>
        </w:rPr>
        <w:t xml:space="preserve">Βλ. </w:t>
      </w:r>
      <w:r w:rsidRPr="00530F03">
        <w:rPr>
          <w:i/>
          <w:lang w:val="el-GR"/>
        </w:rPr>
        <w:t>supra</w:t>
      </w:r>
      <w:r w:rsidRPr="00530F03">
        <w:rPr>
          <w:lang w:val="el-GR"/>
        </w:rPr>
        <w:t xml:space="preserve">, σελ. </w:t>
      </w:r>
      <w:r w:rsidRPr="00530F03">
        <w:rPr>
          <w:lang w:val="el-GR"/>
        </w:rPr>
        <w:fldChar w:fldCharType="begin"/>
      </w:r>
      <w:r w:rsidRPr="00530F03">
        <w:rPr>
          <w:lang w:val="el-GR"/>
        </w:rPr>
        <w:instrText xml:space="preserve"> PAGEREF _Ref275455504 \h </w:instrText>
      </w:r>
      <w:r w:rsidRPr="00530F03">
        <w:rPr>
          <w:lang w:val="el-GR"/>
        </w:rPr>
      </w:r>
      <w:r w:rsidRPr="00530F03">
        <w:rPr>
          <w:lang w:val="el-GR"/>
        </w:rPr>
        <w:fldChar w:fldCharType="separate"/>
      </w:r>
      <w:r w:rsidR="00B822F0">
        <w:rPr>
          <w:noProof/>
          <w:lang w:val="el-GR"/>
        </w:rPr>
        <w:t>143</w:t>
      </w:r>
      <w:r w:rsidRPr="00530F03">
        <w:rPr>
          <w:lang w:val="el-GR"/>
        </w:rPr>
        <w:fldChar w:fldCharType="end"/>
      </w:r>
      <w:r w:rsidRPr="00530F03">
        <w:rPr>
          <w:lang w:val="el-GR"/>
        </w:rPr>
        <w:t xml:space="preserve">επ. </w:t>
      </w:r>
    </w:p>
  </w:footnote>
  <w:footnote w:id="318">
    <w:p w14:paraId="75AC3747" w14:textId="01241FF2" w:rsidR="00E47260" w:rsidRPr="007931CE" w:rsidRDefault="00E47260" w:rsidP="00CB7D04">
      <w:pPr>
        <w:pStyle w:val="FootnoteText"/>
        <w:rPr>
          <w:lang w:val="el-GR"/>
        </w:rPr>
      </w:pPr>
      <w:r w:rsidRPr="00530F03">
        <w:rPr>
          <w:rStyle w:val="FootnoteReference"/>
        </w:rPr>
        <w:footnoteRef/>
      </w:r>
      <w:r w:rsidRPr="00530F03">
        <w:t xml:space="preserve"> Βλ. </w:t>
      </w:r>
      <w:r w:rsidRPr="00530F03">
        <w:rPr>
          <w:lang w:val="el-GR"/>
        </w:rPr>
        <w:t>σ</w:t>
      </w:r>
      <w:r w:rsidRPr="00530F03">
        <w:t>χετικά</w:t>
      </w:r>
      <w:r w:rsidRPr="00530F03">
        <w:rPr>
          <w:lang w:val="el-GR"/>
        </w:rPr>
        <w:t xml:space="preserve"> </w:t>
      </w:r>
      <w:r w:rsidRPr="00530F03">
        <w:t xml:space="preserve">Eρωτηματολόγιο [3.1], </w:t>
      </w:r>
      <w:r w:rsidRPr="00530F03">
        <w:rPr>
          <w:i/>
        </w:rPr>
        <w:t xml:space="preserve">op.cit., </w:t>
      </w:r>
      <w:r w:rsidRPr="00530F03">
        <w:t xml:space="preserve">σημ. </w:t>
      </w:r>
      <w:r>
        <w:t xml:space="preserve">ΙΙ, </w:t>
      </w:r>
      <w:r w:rsidRPr="00530F03">
        <w:t xml:space="preserve">5.5, σελ. 6; Eρωτηματολόγιο [3.2], </w:t>
      </w:r>
      <w:r w:rsidRPr="00530F03">
        <w:rPr>
          <w:i/>
        </w:rPr>
        <w:t xml:space="preserve">op.cit., </w:t>
      </w:r>
      <w:r w:rsidRPr="00530F03">
        <w:t xml:space="preserve">σημ. ΙI, 5.7, σελ. 7; Eρωτηματολόγιο [3.3], </w:t>
      </w:r>
      <w:r w:rsidRPr="00530F03">
        <w:rPr>
          <w:i/>
        </w:rPr>
        <w:t xml:space="preserve">op.cit., </w:t>
      </w:r>
      <w:r w:rsidRPr="00530F03">
        <w:t xml:space="preserve">σημ. ΙI, 5.7, σελ. 8; Eρωτηματολόγιο [3.4], </w:t>
      </w:r>
      <w:r w:rsidRPr="00530F03">
        <w:rPr>
          <w:i/>
        </w:rPr>
        <w:t xml:space="preserve">op.cit., </w:t>
      </w:r>
      <w:r w:rsidRPr="00530F03">
        <w:t xml:space="preserve">σημ. ΙI, 5.4-5.5, </w:t>
      </w:r>
      <w:r w:rsidRPr="00530F03">
        <w:rPr>
          <w:lang w:val="el-GR"/>
        </w:rPr>
        <w:t>σελ. 7</w:t>
      </w:r>
      <w:r w:rsidRPr="00530F03">
        <w:t xml:space="preserve">; Eρωτηματολόγιο [3.5], </w:t>
      </w:r>
      <w:r w:rsidRPr="00530F03">
        <w:rPr>
          <w:i/>
        </w:rPr>
        <w:t xml:space="preserve">op.cit., </w:t>
      </w:r>
      <w:r w:rsidRPr="00530F03">
        <w:t>σημ. ΙΙ, 5.5, σελ. 7 και Eρωτηματολόγιο</w:t>
      </w:r>
      <w:r w:rsidRPr="00F84EC4">
        <w:t xml:space="preserve"> [3.8], </w:t>
      </w:r>
      <w:r w:rsidRPr="0040515B">
        <w:rPr>
          <w:i/>
        </w:rPr>
        <w:t>op.cit.</w:t>
      </w:r>
      <w:r>
        <w:rPr>
          <w:i/>
        </w:rPr>
        <w:t xml:space="preserve">, </w:t>
      </w:r>
      <w:r w:rsidRPr="00F84EC4">
        <w:t>σημ. ΙΙ, 5.5, σελ. 6.</w:t>
      </w:r>
      <w:r>
        <w:t xml:space="preserve"> </w:t>
      </w:r>
    </w:p>
  </w:footnote>
  <w:footnote w:id="319">
    <w:p w14:paraId="6AD1837F" w14:textId="77777777" w:rsidR="00E47260" w:rsidRPr="000359CB" w:rsidRDefault="00E47260" w:rsidP="00CB7D04">
      <w:pPr>
        <w:pStyle w:val="FootnoteText"/>
        <w:rPr>
          <w:lang w:val="el-GR"/>
        </w:rPr>
      </w:pPr>
      <w:r>
        <w:rPr>
          <w:rStyle w:val="FootnoteReference"/>
        </w:rPr>
        <w:footnoteRef/>
      </w:r>
      <w:r>
        <w:t xml:space="preserve"> Βλ</w:t>
      </w:r>
      <w:r w:rsidRPr="000359CB">
        <w:t xml:space="preserve">. Eρωτηματολόγιο [3.6], </w:t>
      </w:r>
      <w:r w:rsidRPr="000359CB">
        <w:rPr>
          <w:i/>
        </w:rPr>
        <w:t xml:space="preserve">op.cit., </w:t>
      </w:r>
      <w:r w:rsidRPr="000359CB">
        <w:t>σημ. ΙΙ, 5.5-5.6 (</w:t>
      </w:r>
      <w:r w:rsidRPr="000359CB">
        <w:rPr>
          <w:lang w:val="el-GR"/>
        </w:rPr>
        <w:t>α</w:t>
      </w:r>
      <w:r w:rsidRPr="000359CB">
        <w:t>), σελ. 8.</w:t>
      </w:r>
    </w:p>
  </w:footnote>
  <w:footnote w:id="320">
    <w:p w14:paraId="02AE7DC6" w14:textId="77777777" w:rsidR="00E47260" w:rsidRPr="000359CB" w:rsidRDefault="00E47260" w:rsidP="00CB7D04">
      <w:pPr>
        <w:pStyle w:val="FootnoteText"/>
        <w:rPr>
          <w:lang w:val="el-GR"/>
        </w:rPr>
      </w:pPr>
      <w:r w:rsidRPr="000359CB">
        <w:rPr>
          <w:rStyle w:val="FootnoteReference"/>
        </w:rPr>
        <w:footnoteRef/>
      </w:r>
      <w:r w:rsidRPr="000359CB">
        <w:t xml:space="preserve"> Βλ. σχετικά Eρωτηματολόγιο [3.4], </w:t>
      </w:r>
      <w:r w:rsidRPr="000359CB">
        <w:rPr>
          <w:i/>
        </w:rPr>
        <w:t xml:space="preserve">op.cit., </w:t>
      </w:r>
      <w:r w:rsidRPr="000359CB">
        <w:t xml:space="preserve">σημ. ΙΙ, 5.7-5.8, </w:t>
      </w:r>
      <w:r w:rsidRPr="000359CB">
        <w:rPr>
          <w:lang w:val="el-GR"/>
        </w:rPr>
        <w:t>σελ. 7.</w:t>
      </w:r>
    </w:p>
  </w:footnote>
  <w:footnote w:id="321">
    <w:p w14:paraId="7B1BD849" w14:textId="77777777" w:rsidR="00E47260" w:rsidRPr="000359CB" w:rsidRDefault="00E47260" w:rsidP="00CB7D04">
      <w:pPr>
        <w:pStyle w:val="FootnoteText"/>
      </w:pPr>
      <w:r w:rsidRPr="000359CB">
        <w:rPr>
          <w:rStyle w:val="FootnoteReference"/>
        </w:rPr>
        <w:footnoteRef/>
      </w:r>
      <w:r w:rsidRPr="000359CB">
        <w:t xml:space="preserve"> Βλ. σχετικά Eρωτηματολόγιο [3.7], </w:t>
      </w:r>
      <w:r w:rsidRPr="000359CB">
        <w:rPr>
          <w:i/>
        </w:rPr>
        <w:t xml:space="preserve">op.cit., </w:t>
      </w:r>
      <w:r w:rsidRPr="000359CB">
        <w:t>σημ. ΙΙ, 5.5-5.6, σελ. 9-10.</w:t>
      </w:r>
    </w:p>
  </w:footnote>
  <w:footnote w:id="322">
    <w:p w14:paraId="76457409" w14:textId="77777777" w:rsidR="00E47260" w:rsidRPr="00BC4010" w:rsidRDefault="00E47260" w:rsidP="00CB7D04">
      <w:pPr>
        <w:pStyle w:val="FootnoteText"/>
        <w:rPr>
          <w:lang w:val="el-GR"/>
        </w:rPr>
      </w:pPr>
      <w:r w:rsidRPr="000359CB">
        <w:rPr>
          <w:rStyle w:val="FootnoteReference"/>
        </w:rPr>
        <w:footnoteRef/>
      </w:r>
      <w:r w:rsidRPr="000359CB">
        <w:t xml:space="preserve"> </w:t>
      </w:r>
      <w:r w:rsidRPr="000359CB">
        <w:rPr>
          <w:lang w:val="el-GR"/>
        </w:rPr>
        <w:t xml:space="preserve">Βλ. </w:t>
      </w:r>
      <w:r w:rsidRPr="000359CB">
        <w:rPr>
          <w:i/>
        </w:rPr>
        <w:t>supra</w:t>
      </w:r>
      <w:r w:rsidRPr="000359CB">
        <w:t xml:space="preserve">, </w:t>
      </w:r>
      <w:r w:rsidRPr="000359CB">
        <w:rPr>
          <w:lang w:val="el-GR"/>
        </w:rPr>
        <w:t xml:space="preserve">σελ. </w:t>
      </w:r>
      <w:r w:rsidRPr="000359CB">
        <w:rPr>
          <w:lang w:val="el-GR"/>
        </w:rPr>
        <w:fldChar w:fldCharType="begin"/>
      </w:r>
      <w:r w:rsidRPr="000359CB">
        <w:rPr>
          <w:lang w:val="el-GR"/>
        </w:rPr>
        <w:instrText xml:space="preserve"> PAGEREF IVG_selective \h </w:instrText>
      </w:r>
      <w:r w:rsidRPr="000359CB">
        <w:rPr>
          <w:lang w:val="el-GR"/>
        </w:rPr>
      </w:r>
      <w:r w:rsidRPr="000359CB">
        <w:rPr>
          <w:lang w:val="el-GR"/>
        </w:rPr>
        <w:fldChar w:fldCharType="separate"/>
      </w:r>
      <w:r w:rsidR="00B822F0">
        <w:rPr>
          <w:noProof/>
          <w:lang w:val="el-GR"/>
        </w:rPr>
        <w:t>155</w:t>
      </w:r>
      <w:r w:rsidRPr="000359CB">
        <w:rPr>
          <w:lang w:val="el-GR"/>
        </w:rPr>
        <w:fldChar w:fldCharType="end"/>
      </w:r>
      <w:r w:rsidRPr="000359CB">
        <w:rPr>
          <w:lang w:val="el-GR"/>
        </w:rPr>
        <w:t>.</w:t>
      </w:r>
      <w:r>
        <w:rPr>
          <w:lang w:val="el-GR"/>
        </w:rPr>
        <w:t xml:space="preserve"> </w:t>
      </w:r>
    </w:p>
  </w:footnote>
  <w:footnote w:id="323">
    <w:p w14:paraId="5886E5B0" w14:textId="77777777" w:rsidR="00E47260" w:rsidRPr="00EE4056" w:rsidRDefault="00E47260" w:rsidP="006120EB">
      <w:pPr>
        <w:pStyle w:val="FootnoteText"/>
        <w:rPr>
          <w:lang w:val="el-GR"/>
        </w:rPr>
      </w:pPr>
      <w:r w:rsidRPr="000A518C">
        <w:rPr>
          <w:rStyle w:val="FootnoteReference"/>
        </w:rPr>
        <w:footnoteRef/>
      </w:r>
      <w:r w:rsidRPr="000A518C">
        <w:t xml:space="preserve"> </w:t>
      </w:r>
      <w:r w:rsidRPr="000A518C">
        <w:rPr>
          <w:lang w:val="el-GR"/>
        </w:rPr>
        <w:t>Για περισσότερες πληροφορίες</w:t>
      </w:r>
      <w:r>
        <w:rPr>
          <w:lang w:val="el-GR"/>
        </w:rPr>
        <w:t xml:space="preserve">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324">
    <w:p w14:paraId="4A268095" w14:textId="77777777" w:rsidR="00E47260" w:rsidRPr="001D59D2" w:rsidRDefault="00E47260" w:rsidP="006120EB">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325">
    <w:p w14:paraId="07C286D5" w14:textId="398E26B7" w:rsidR="00E47260" w:rsidRPr="00D003A9" w:rsidRDefault="00E47260">
      <w:pPr>
        <w:pStyle w:val="FootnoteText"/>
        <w:rPr>
          <w:lang w:val="el-GR"/>
        </w:rPr>
      </w:pPr>
      <w:r>
        <w:rPr>
          <w:rStyle w:val="FootnoteReference"/>
        </w:rPr>
        <w:footnoteRef/>
      </w:r>
      <w:r>
        <w:t xml:space="preserve"> </w:t>
      </w:r>
      <w:r>
        <w:rPr>
          <w:lang w:val="el-GR"/>
        </w:rPr>
        <w:t xml:space="preserve">Βλ. </w:t>
      </w:r>
      <w:r w:rsidRPr="00D003A9">
        <w:rPr>
          <w:i/>
        </w:rPr>
        <w:t>supra</w:t>
      </w:r>
      <w:r>
        <w:t xml:space="preserve">, </w:t>
      </w:r>
      <w:r>
        <w:rPr>
          <w:lang w:val="el-GR"/>
        </w:rPr>
        <w:t xml:space="preserve">σελ. </w:t>
      </w:r>
      <w:r>
        <w:rPr>
          <w:lang w:val="el-GR"/>
        </w:rPr>
        <w:fldChar w:fldCharType="begin"/>
      </w:r>
      <w:r>
        <w:rPr>
          <w:lang w:val="el-GR"/>
        </w:rPr>
        <w:instrText xml:space="preserve"> PAGEREF _Ref276409409 \h </w:instrText>
      </w:r>
      <w:r>
        <w:rPr>
          <w:lang w:val="el-GR"/>
        </w:rPr>
      </w:r>
      <w:r>
        <w:rPr>
          <w:lang w:val="el-GR"/>
        </w:rPr>
        <w:fldChar w:fldCharType="separate"/>
      </w:r>
      <w:r w:rsidR="00B822F0">
        <w:rPr>
          <w:noProof/>
          <w:lang w:val="el-GR"/>
        </w:rPr>
        <w:t>53</w:t>
      </w:r>
      <w:r>
        <w:rPr>
          <w:lang w:val="el-GR"/>
        </w:rPr>
        <w:fldChar w:fldCharType="end"/>
      </w:r>
      <w:r>
        <w:rPr>
          <w:lang w:val="el-GR"/>
        </w:rPr>
        <w:t xml:space="preserve">. </w:t>
      </w:r>
    </w:p>
  </w:footnote>
  <w:footnote w:id="326">
    <w:p w14:paraId="1D0083A9" w14:textId="3EC31B53" w:rsidR="00E47260" w:rsidRPr="00D003A9" w:rsidRDefault="00E47260">
      <w:pPr>
        <w:pStyle w:val="FootnoteText"/>
        <w:rPr>
          <w:lang w:val="el-GR"/>
        </w:rPr>
      </w:pPr>
      <w:r>
        <w:rPr>
          <w:rStyle w:val="FootnoteReference"/>
        </w:rPr>
        <w:footnoteRef/>
      </w:r>
      <w:r>
        <w:t xml:space="preserve"> </w:t>
      </w:r>
      <w:r>
        <w:rPr>
          <w:lang w:val="el-GR"/>
        </w:rPr>
        <w:t xml:space="preserve">Βλ. </w:t>
      </w:r>
      <w:r w:rsidRPr="00D003A9">
        <w:rPr>
          <w:i/>
        </w:rPr>
        <w:t>supra</w:t>
      </w:r>
      <w:r>
        <w:t xml:space="preserve">, </w:t>
      </w:r>
      <w:r>
        <w:rPr>
          <w:lang w:val="el-GR"/>
        </w:rPr>
        <w:t xml:space="preserve">σελ. </w:t>
      </w:r>
      <w:r>
        <w:rPr>
          <w:lang w:val="el-GR"/>
        </w:rPr>
        <w:fldChar w:fldCharType="begin"/>
      </w:r>
      <w:r>
        <w:rPr>
          <w:lang w:val="el-GR"/>
        </w:rPr>
        <w:instrText xml:space="preserve"> PAGEREF _Ref276409653 \h </w:instrText>
      </w:r>
      <w:r>
        <w:rPr>
          <w:lang w:val="el-GR"/>
        </w:rPr>
      </w:r>
      <w:r>
        <w:rPr>
          <w:lang w:val="el-GR"/>
        </w:rPr>
        <w:fldChar w:fldCharType="separate"/>
      </w:r>
      <w:r w:rsidR="00B822F0">
        <w:rPr>
          <w:noProof/>
          <w:lang w:val="el-GR"/>
        </w:rPr>
        <w:t>81</w:t>
      </w:r>
      <w:r>
        <w:rPr>
          <w:lang w:val="el-GR"/>
        </w:rPr>
        <w:fldChar w:fldCharType="end"/>
      </w:r>
      <w:r>
        <w:rPr>
          <w:lang w:val="el-GR"/>
        </w:rPr>
        <w:t xml:space="preserve">επ. </w:t>
      </w:r>
    </w:p>
  </w:footnote>
  <w:footnote w:id="327">
    <w:p w14:paraId="3D919935" w14:textId="5222BDBF" w:rsidR="00E47260" w:rsidRPr="00FD11DF" w:rsidRDefault="00E47260">
      <w:pPr>
        <w:pStyle w:val="FootnoteText"/>
        <w:rPr>
          <w:lang w:val="el-GR"/>
        </w:rPr>
      </w:pPr>
      <w:r>
        <w:rPr>
          <w:rStyle w:val="FootnoteReference"/>
        </w:rPr>
        <w:footnoteRef/>
      </w:r>
      <w:r>
        <w:t xml:space="preserve"> </w:t>
      </w:r>
      <w:r>
        <w:rPr>
          <w:lang w:val="el-GR"/>
        </w:rPr>
        <w:t xml:space="preserve">Βλ. για περισσότερες λεπτομέρειες </w:t>
      </w:r>
      <w:r w:rsidRPr="00FD11DF">
        <w:rPr>
          <w:i/>
        </w:rPr>
        <w:t>infra</w:t>
      </w:r>
      <w:r>
        <w:t xml:space="preserve">, </w:t>
      </w:r>
      <w:r>
        <w:rPr>
          <w:lang w:val="el-GR"/>
        </w:rPr>
        <w:t xml:space="preserve">σελ. </w:t>
      </w:r>
      <w:r>
        <w:rPr>
          <w:lang w:val="el-GR"/>
        </w:rPr>
        <w:fldChar w:fldCharType="begin"/>
      </w:r>
      <w:r>
        <w:rPr>
          <w:lang w:val="el-GR"/>
        </w:rPr>
        <w:instrText xml:space="preserve"> PAGEREF CCAass_2008 \h </w:instrText>
      </w:r>
      <w:r>
        <w:rPr>
          <w:lang w:val="el-GR"/>
        </w:rPr>
      </w:r>
      <w:r>
        <w:rPr>
          <w:lang w:val="el-GR"/>
        </w:rPr>
        <w:fldChar w:fldCharType="separate"/>
      </w:r>
      <w:r w:rsidR="00B822F0">
        <w:rPr>
          <w:noProof/>
          <w:lang w:val="el-GR"/>
        </w:rPr>
        <w:t>166</w:t>
      </w:r>
      <w:r>
        <w:rPr>
          <w:lang w:val="el-GR"/>
        </w:rPr>
        <w:fldChar w:fldCharType="end"/>
      </w:r>
      <w:r>
        <w:rPr>
          <w:lang w:val="el-GR"/>
        </w:rPr>
        <w:t xml:space="preserve">επ. </w:t>
      </w:r>
    </w:p>
  </w:footnote>
  <w:footnote w:id="328">
    <w:p w14:paraId="26CC6DE0" w14:textId="67FCCAB1" w:rsidR="00E47260" w:rsidRPr="00E5684F" w:rsidRDefault="00E47260" w:rsidP="007E519C">
      <w:pPr>
        <w:spacing w:before="0" w:after="0" w:line="240" w:lineRule="auto"/>
        <w:ind w:firstLine="0"/>
        <w:rPr>
          <w:lang w:val="fr-FR"/>
        </w:rPr>
      </w:pPr>
      <w:r w:rsidRPr="00E5684F">
        <w:rPr>
          <w:rStyle w:val="FootnoteReference"/>
          <w:sz w:val="20"/>
          <w:szCs w:val="20"/>
        </w:rPr>
        <w:footnoteRef/>
      </w:r>
      <w:r w:rsidRPr="00E5684F">
        <w:rPr>
          <w:sz w:val="20"/>
          <w:szCs w:val="20"/>
        </w:rPr>
        <w:t xml:space="preserve"> </w:t>
      </w:r>
      <w:r w:rsidRPr="00E5684F">
        <w:rPr>
          <w:sz w:val="20"/>
          <w:szCs w:val="20"/>
          <w:lang w:val="fr-FR"/>
        </w:rPr>
        <w:t>TGI</w:t>
      </w:r>
      <w:r w:rsidRPr="00E5684F">
        <w:rPr>
          <w:sz w:val="20"/>
          <w:szCs w:val="20"/>
        </w:rPr>
        <w:t xml:space="preserve"> </w:t>
      </w:r>
      <w:r w:rsidRPr="00E5684F">
        <w:rPr>
          <w:sz w:val="20"/>
          <w:szCs w:val="20"/>
          <w:lang w:val="fr-FR"/>
        </w:rPr>
        <w:t>de</w:t>
      </w:r>
      <w:r w:rsidRPr="00E5684F">
        <w:rPr>
          <w:sz w:val="20"/>
          <w:szCs w:val="20"/>
        </w:rPr>
        <w:t xml:space="preserve"> </w:t>
      </w:r>
      <w:r w:rsidRPr="00E5684F">
        <w:rPr>
          <w:sz w:val="20"/>
          <w:szCs w:val="20"/>
          <w:lang w:val="fr-FR"/>
        </w:rPr>
        <w:t>Cr</w:t>
      </w:r>
      <w:r w:rsidRPr="00E5684F">
        <w:rPr>
          <w:sz w:val="20"/>
          <w:szCs w:val="20"/>
        </w:rPr>
        <w:t>é</w:t>
      </w:r>
      <w:r w:rsidRPr="00E5684F">
        <w:rPr>
          <w:sz w:val="20"/>
          <w:szCs w:val="20"/>
          <w:lang w:val="fr-FR"/>
        </w:rPr>
        <w:t>teil</w:t>
      </w:r>
      <w:r w:rsidRPr="00E5684F">
        <w:rPr>
          <w:sz w:val="20"/>
          <w:szCs w:val="20"/>
        </w:rPr>
        <w:t>, 1</w:t>
      </w:r>
      <w:r w:rsidRPr="00E5684F">
        <w:rPr>
          <w:sz w:val="20"/>
          <w:szCs w:val="20"/>
          <w:vertAlign w:val="superscript"/>
        </w:rPr>
        <w:t>η</w:t>
      </w:r>
      <w:r w:rsidRPr="00E5684F">
        <w:rPr>
          <w:sz w:val="20"/>
          <w:szCs w:val="20"/>
        </w:rPr>
        <w:t xml:space="preserve"> Αυγούστου 1984 [υπόθεση</w:t>
      </w:r>
      <w:r w:rsidRPr="00E5684F">
        <w:rPr>
          <w:i/>
          <w:sz w:val="20"/>
          <w:szCs w:val="20"/>
          <w:lang w:val="fr-FR"/>
        </w:rPr>
        <w:t xml:space="preserve"> Parpalaix</w:t>
      </w:r>
      <w:r w:rsidRPr="00E5684F">
        <w:rPr>
          <w:i/>
          <w:sz w:val="20"/>
          <w:szCs w:val="20"/>
        </w:rPr>
        <w:t>]</w:t>
      </w:r>
      <w:r>
        <w:rPr>
          <w:sz w:val="20"/>
          <w:szCs w:val="20"/>
        </w:rPr>
        <w:t>, μερική αναπαραγωγή της απόφασης σε</w:t>
      </w:r>
      <w:r w:rsidRPr="00E5684F">
        <w:rPr>
          <w:sz w:val="20"/>
          <w:szCs w:val="20"/>
        </w:rPr>
        <w:t xml:space="preserve"> </w:t>
      </w:r>
      <w:r w:rsidRPr="00E5684F">
        <w:rPr>
          <w:i/>
          <w:sz w:val="20"/>
          <w:szCs w:val="20"/>
          <w:lang w:val="fr-FR"/>
        </w:rPr>
        <w:t>La</w:t>
      </w:r>
      <w:r w:rsidRPr="00E5684F">
        <w:rPr>
          <w:i/>
          <w:sz w:val="20"/>
          <w:szCs w:val="20"/>
        </w:rPr>
        <w:t xml:space="preserve"> </w:t>
      </w:r>
      <w:r w:rsidRPr="00E5684F">
        <w:rPr>
          <w:i/>
          <w:sz w:val="20"/>
          <w:szCs w:val="20"/>
          <w:lang w:val="fr-FR"/>
        </w:rPr>
        <w:t>Gazette</w:t>
      </w:r>
      <w:r w:rsidRPr="00E5684F">
        <w:rPr>
          <w:i/>
          <w:sz w:val="20"/>
          <w:szCs w:val="20"/>
        </w:rPr>
        <w:t xml:space="preserve"> </w:t>
      </w:r>
      <w:r w:rsidRPr="00E5684F">
        <w:rPr>
          <w:i/>
          <w:sz w:val="20"/>
          <w:szCs w:val="20"/>
          <w:lang w:val="fr-FR"/>
        </w:rPr>
        <w:t>du</w:t>
      </w:r>
      <w:r w:rsidRPr="00E5684F">
        <w:rPr>
          <w:i/>
          <w:sz w:val="20"/>
          <w:szCs w:val="20"/>
        </w:rPr>
        <w:t xml:space="preserve"> </w:t>
      </w:r>
      <w:r w:rsidRPr="00E5684F">
        <w:rPr>
          <w:i/>
          <w:sz w:val="20"/>
          <w:szCs w:val="20"/>
          <w:lang w:val="fr-FR"/>
        </w:rPr>
        <w:t>Palais</w:t>
      </w:r>
      <w:r w:rsidRPr="00E5684F">
        <w:rPr>
          <w:sz w:val="20"/>
          <w:szCs w:val="20"/>
        </w:rPr>
        <w:t xml:space="preserve">, </w:t>
      </w:r>
      <w:r w:rsidRPr="00E5684F">
        <w:rPr>
          <w:sz w:val="20"/>
          <w:szCs w:val="20"/>
          <w:lang w:val="fr-FR"/>
        </w:rPr>
        <w:t>n</w:t>
      </w:r>
      <w:r w:rsidRPr="00E5684F">
        <w:rPr>
          <w:sz w:val="20"/>
          <w:szCs w:val="20"/>
          <w:vertAlign w:val="superscript"/>
          <w:lang w:val="fr-FR"/>
        </w:rPr>
        <w:t>o</w:t>
      </w:r>
      <w:r w:rsidRPr="00E5684F">
        <w:rPr>
          <w:sz w:val="20"/>
          <w:szCs w:val="20"/>
        </w:rPr>
        <w:t xml:space="preserve"> 2, 1984, σελ. 560. Βλ. σχετικά </w:t>
      </w:r>
      <w:r w:rsidRPr="00E5684F">
        <w:rPr>
          <w:b/>
          <w:i/>
          <w:sz w:val="20"/>
          <w:szCs w:val="20"/>
          <w:lang w:val="fr-FR"/>
        </w:rPr>
        <w:t>J.-Y. Nau</w:t>
      </w:r>
      <w:r w:rsidRPr="00E5684F">
        <w:rPr>
          <w:sz w:val="20"/>
          <w:szCs w:val="20"/>
          <w:lang w:val="fr-FR"/>
        </w:rPr>
        <w:t xml:space="preserve">, «Affaire Justel: le sperme en héritage», </w:t>
      </w:r>
      <w:r w:rsidRPr="00E5684F">
        <w:rPr>
          <w:i/>
          <w:sz w:val="20"/>
          <w:szCs w:val="20"/>
          <w:lang w:val="fr-FR"/>
        </w:rPr>
        <w:t>Slate.fr</w:t>
      </w:r>
      <w:r w:rsidRPr="00E5684F">
        <w:rPr>
          <w:sz w:val="20"/>
          <w:szCs w:val="20"/>
          <w:lang w:val="fr-FR"/>
        </w:rPr>
        <w:t xml:space="preserve">, 23.9.2009, </w:t>
      </w:r>
      <w:r w:rsidRPr="00E5684F">
        <w:rPr>
          <w:sz w:val="20"/>
          <w:szCs w:val="20"/>
        </w:rPr>
        <w:t>διαθέσιμο</w:t>
      </w:r>
      <w:r w:rsidRPr="00E5684F">
        <w:rPr>
          <w:sz w:val="20"/>
          <w:szCs w:val="20"/>
          <w:lang w:val="fr-FR"/>
        </w:rPr>
        <w:t xml:space="preserve"> </w:t>
      </w:r>
      <w:r w:rsidRPr="00E5684F">
        <w:rPr>
          <w:sz w:val="20"/>
          <w:szCs w:val="20"/>
        </w:rPr>
        <w:t>σε</w:t>
      </w:r>
      <w:r w:rsidRPr="00E5684F">
        <w:rPr>
          <w:sz w:val="20"/>
          <w:szCs w:val="20"/>
          <w:lang w:val="fr-FR"/>
        </w:rPr>
        <w:t xml:space="preserve">: </w:t>
      </w:r>
      <w:hyperlink r:id="rId101" w:history="1">
        <w:r w:rsidRPr="00E5684F">
          <w:rPr>
            <w:rStyle w:val="Hyperlink"/>
            <w:sz w:val="20"/>
            <w:szCs w:val="20"/>
            <w:lang w:val="fr-FR"/>
          </w:rPr>
          <w:t>http://www.slate.fr/story/10679/affaire-justel-le-sperme-en-heritage</w:t>
        </w:r>
      </w:hyperlink>
      <w:r w:rsidRPr="00E5684F">
        <w:rPr>
          <w:sz w:val="20"/>
          <w:szCs w:val="20"/>
          <w:lang w:val="fr-FR"/>
        </w:rPr>
        <w:t>;</w:t>
      </w:r>
      <w:r>
        <w:rPr>
          <w:sz w:val="20"/>
          <w:szCs w:val="20"/>
          <w:lang w:val="fr-FR"/>
        </w:rPr>
        <w:t xml:space="preserve"> </w:t>
      </w:r>
      <w:r w:rsidRPr="00E5684F">
        <w:rPr>
          <w:b/>
          <w:i/>
          <w:sz w:val="20"/>
          <w:szCs w:val="20"/>
          <w:lang w:val="fr-FR"/>
        </w:rPr>
        <w:t>F. Piec-Vansteeger</w:t>
      </w:r>
      <w:r>
        <w:rPr>
          <w:sz w:val="20"/>
          <w:szCs w:val="20"/>
          <w:lang w:val="fr-FR"/>
        </w:rPr>
        <w:t>, «</w:t>
      </w:r>
      <w:r w:rsidRPr="00E5684F">
        <w:rPr>
          <w:sz w:val="20"/>
          <w:szCs w:val="20"/>
          <w:lang w:val="fr-FR"/>
        </w:rPr>
        <w:t xml:space="preserve">De la filiation issue de la procréation médicalement assistée Problèmes liés à l'application de la Loi sur la bioéthique du 29 juillet 1994 en droit de la filiation», </w:t>
      </w:r>
      <w:r w:rsidRPr="00E5684F">
        <w:rPr>
          <w:i/>
          <w:sz w:val="20"/>
          <w:szCs w:val="20"/>
          <w:lang w:val="fr-FR"/>
        </w:rPr>
        <w:t>JCP N Semaine Juridique</w:t>
      </w:r>
      <w:r w:rsidRPr="00E5684F">
        <w:rPr>
          <w:sz w:val="20"/>
          <w:szCs w:val="20"/>
          <w:lang w:val="fr-FR"/>
        </w:rPr>
        <w:t>, 13.1.1995, n</w:t>
      </w:r>
      <w:r w:rsidRPr="00E5684F">
        <w:rPr>
          <w:sz w:val="20"/>
          <w:szCs w:val="20"/>
          <w:vertAlign w:val="superscript"/>
          <w:lang w:val="fr-FR"/>
        </w:rPr>
        <w:t>o</w:t>
      </w:r>
      <w:r w:rsidRPr="00E5684F">
        <w:rPr>
          <w:sz w:val="20"/>
          <w:szCs w:val="20"/>
          <w:lang w:val="fr-FR"/>
        </w:rPr>
        <w:t xml:space="preserve"> 2, </w:t>
      </w:r>
      <w:r w:rsidRPr="00E5684F">
        <w:rPr>
          <w:sz w:val="20"/>
          <w:szCs w:val="20"/>
        </w:rPr>
        <w:t>σελ</w:t>
      </w:r>
      <w:r>
        <w:rPr>
          <w:sz w:val="20"/>
          <w:szCs w:val="20"/>
          <w:lang w:val="fr-FR"/>
        </w:rPr>
        <w:t>. 59-67</w:t>
      </w:r>
      <w:r w:rsidRPr="00E5684F">
        <w:rPr>
          <w:sz w:val="20"/>
          <w:szCs w:val="20"/>
          <w:lang w:val="fr-FR"/>
        </w:rPr>
        <w:t>;</w:t>
      </w:r>
      <w:r>
        <w:rPr>
          <w:sz w:val="20"/>
          <w:szCs w:val="20"/>
          <w:lang w:val="fr-FR"/>
        </w:rPr>
        <w:t xml:space="preserve"> </w:t>
      </w:r>
      <w:r w:rsidRPr="00E5684F">
        <w:rPr>
          <w:b/>
          <w:i/>
          <w:sz w:val="20"/>
          <w:szCs w:val="20"/>
          <w:lang w:val="fr-FR"/>
        </w:rPr>
        <w:t>N. Assager</w:t>
      </w:r>
      <w:r w:rsidRPr="00E5684F">
        <w:rPr>
          <w:sz w:val="20"/>
          <w:szCs w:val="20"/>
          <w:lang w:val="fr-FR"/>
        </w:rPr>
        <w:t xml:space="preserve">, </w:t>
      </w:r>
      <w:r w:rsidRPr="00E5684F">
        <w:rPr>
          <w:i/>
          <w:sz w:val="20"/>
          <w:szCs w:val="20"/>
          <w:lang w:val="fr-FR"/>
        </w:rPr>
        <w:t>Les droits de l’enfant à naître</w:t>
      </w:r>
      <w:r w:rsidRPr="007E519C">
        <w:rPr>
          <w:rStyle w:val="FootnoteTextChar"/>
          <w:sz w:val="20"/>
          <w:szCs w:val="20"/>
        </w:rPr>
        <w:t>, Éd.Bruylant</w:t>
      </w:r>
      <w:r w:rsidRPr="00E5684F">
        <w:rPr>
          <w:sz w:val="20"/>
          <w:szCs w:val="20"/>
          <w:lang w:val="fr-FR"/>
        </w:rPr>
        <w:t xml:space="preserve">, 1997, </w:t>
      </w:r>
      <w:r w:rsidRPr="00E5684F">
        <w:rPr>
          <w:sz w:val="20"/>
          <w:szCs w:val="20"/>
        </w:rPr>
        <w:t>σελ</w:t>
      </w:r>
      <w:r w:rsidRPr="00E5684F">
        <w:rPr>
          <w:sz w:val="20"/>
          <w:szCs w:val="20"/>
          <w:lang w:val="fr-FR"/>
        </w:rPr>
        <w:t xml:space="preserve">. 433 κ. </w:t>
      </w:r>
      <w:r w:rsidRPr="00E5684F">
        <w:rPr>
          <w:sz w:val="20"/>
          <w:szCs w:val="20"/>
        </w:rPr>
        <w:t>επ</w:t>
      </w:r>
      <w:r w:rsidRPr="00E5684F">
        <w:rPr>
          <w:sz w:val="20"/>
          <w:szCs w:val="20"/>
          <w:lang w:val="fr-FR"/>
        </w:rPr>
        <w:t>.;</w:t>
      </w:r>
      <w:r>
        <w:rPr>
          <w:sz w:val="20"/>
          <w:szCs w:val="20"/>
          <w:lang w:val="fr-FR"/>
        </w:rPr>
        <w:t xml:space="preserve"> </w:t>
      </w:r>
      <w:r w:rsidRPr="00E5684F">
        <w:rPr>
          <w:i/>
          <w:sz w:val="20"/>
          <w:szCs w:val="20"/>
          <w:lang w:val="fr-FR"/>
        </w:rPr>
        <w:t>La Gazette du Palais</w:t>
      </w:r>
      <w:r w:rsidRPr="00E5684F">
        <w:rPr>
          <w:sz w:val="20"/>
          <w:szCs w:val="20"/>
          <w:lang w:val="fr-FR"/>
        </w:rPr>
        <w:t>, n</w:t>
      </w:r>
      <w:r w:rsidRPr="00E5684F">
        <w:rPr>
          <w:sz w:val="20"/>
          <w:szCs w:val="20"/>
          <w:vertAlign w:val="superscript"/>
          <w:lang w:val="fr-FR"/>
        </w:rPr>
        <w:t>o</w:t>
      </w:r>
      <w:r w:rsidRPr="00E5684F">
        <w:rPr>
          <w:sz w:val="20"/>
          <w:szCs w:val="20"/>
          <w:lang w:val="fr-FR"/>
        </w:rPr>
        <w:t xml:space="preserve"> 2, 1984, </w:t>
      </w:r>
      <w:r w:rsidRPr="00E5684F">
        <w:rPr>
          <w:sz w:val="20"/>
          <w:szCs w:val="20"/>
        </w:rPr>
        <w:t>σελ</w:t>
      </w:r>
      <w:r w:rsidRPr="00E5684F">
        <w:rPr>
          <w:sz w:val="20"/>
          <w:szCs w:val="20"/>
          <w:lang w:val="fr-FR"/>
        </w:rPr>
        <w:t>. 560.</w:t>
      </w:r>
    </w:p>
  </w:footnote>
  <w:footnote w:id="329">
    <w:p w14:paraId="26C25E43" w14:textId="3A30D272" w:rsidR="00E47260" w:rsidRPr="00137919" w:rsidRDefault="00E47260" w:rsidP="00A56144">
      <w:pPr>
        <w:pStyle w:val="FootnoteText"/>
        <w:rPr>
          <w:lang w:val="el-GR"/>
        </w:rPr>
      </w:pPr>
      <w:r>
        <w:rPr>
          <w:rStyle w:val="FootnoteReference"/>
        </w:rPr>
        <w:footnoteRef/>
      </w:r>
      <w:r>
        <w:t xml:space="preserve"> Σημειώνεται, για την ιστορία, ότι οι προσπάθειες μεταθανάτιας γονιμοποίησης της κυρίας Parpalaix</w:t>
      </w:r>
      <w:r>
        <w:rPr>
          <w:lang w:val="el-GR"/>
        </w:rPr>
        <w:t xml:space="preserve"> δεν ευοδώθηκαν</w:t>
      </w:r>
      <w:r>
        <w:t xml:space="preserve"> τελικά. </w:t>
      </w:r>
    </w:p>
  </w:footnote>
  <w:footnote w:id="330">
    <w:p w14:paraId="78500C10" w14:textId="13DF0CC3" w:rsidR="00E47260" w:rsidRPr="00A56144" w:rsidRDefault="00E47260" w:rsidP="00A56144">
      <w:pPr>
        <w:pStyle w:val="FootnoteText"/>
        <w:rPr>
          <w:lang w:val="el-GR"/>
        </w:rPr>
      </w:pPr>
      <w:r>
        <w:rPr>
          <w:rStyle w:val="FootnoteReference"/>
        </w:rPr>
        <w:footnoteRef/>
      </w:r>
      <w:r>
        <w:t xml:space="preserve"> </w:t>
      </w:r>
      <w:r w:rsidRPr="00390B86">
        <w:rPr>
          <w:lang w:val="fr-FR"/>
        </w:rPr>
        <w:t>TGI</w:t>
      </w:r>
      <w:r w:rsidRPr="00390B86">
        <w:t xml:space="preserve"> </w:t>
      </w:r>
      <w:r w:rsidRPr="00390B86">
        <w:rPr>
          <w:lang w:val="fr-FR"/>
        </w:rPr>
        <w:t>de</w:t>
      </w:r>
      <w:r w:rsidRPr="00390B86">
        <w:t xml:space="preserve"> </w:t>
      </w:r>
      <w:r w:rsidRPr="00390B86">
        <w:rPr>
          <w:lang w:val="fr-FR"/>
        </w:rPr>
        <w:t>Toulouse</w:t>
      </w:r>
      <w:r w:rsidRPr="00390B86">
        <w:t>, 26 Μαρτίου 1991</w:t>
      </w:r>
      <w:r>
        <w:t>, μ</w:t>
      </w:r>
      <w:r w:rsidRPr="00390B86">
        <w:t>ερική</w:t>
      </w:r>
      <w:r w:rsidRPr="00234941">
        <w:rPr>
          <w:lang w:val="fr-FR"/>
        </w:rPr>
        <w:t xml:space="preserve"> </w:t>
      </w:r>
      <w:r w:rsidRPr="00390B86">
        <w:t>αναπαραγωγή</w:t>
      </w:r>
      <w:r w:rsidRPr="00234941">
        <w:rPr>
          <w:lang w:val="fr-FR"/>
        </w:rPr>
        <w:t xml:space="preserve"> </w:t>
      </w:r>
      <w:r>
        <w:rPr>
          <w:lang w:val="fr-FR"/>
        </w:rPr>
        <w:t xml:space="preserve">της </w:t>
      </w:r>
      <w:r w:rsidRPr="00390B86">
        <w:t>απόφασης</w:t>
      </w:r>
      <w:r>
        <w:rPr>
          <w:lang w:val="fr-FR"/>
        </w:rPr>
        <w:t xml:space="preserve"> σε</w:t>
      </w:r>
      <w:r w:rsidRPr="00234941">
        <w:rPr>
          <w:lang w:val="fr-FR"/>
        </w:rPr>
        <w:t xml:space="preserve"> </w:t>
      </w:r>
      <w:r w:rsidRPr="00234941">
        <w:rPr>
          <w:i/>
          <w:lang w:val="fr-FR"/>
        </w:rPr>
        <w:t>Revue Trimestrielle de Droit Civil</w:t>
      </w:r>
      <w:r w:rsidRPr="00234941">
        <w:rPr>
          <w:lang w:val="fr-FR"/>
        </w:rPr>
        <w:t xml:space="preserve">, </w:t>
      </w:r>
      <w:r>
        <w:rPr>
          <w:lang w:val="fr-FR"/>
        </w:rPr>
        <w:t>1991,</w:t>
      </w:r>
      <w:r w:rsidRPr="00234941">
        <w:rPr>
          <w:lang w:val="fr-FR"/>
        </w:rPr>
        <w:t xml:space="preserve"> </w:t>
      </w:r>
      <w:r>
        <w:t>σελ</w:t>
      </w:r>
      <w:r w:rsidRPr="00234941">
        <w:rPr>
          <w:lang w:val="fr-FR"/>
        </w:rPr>
        <w:t xml:space="preserve">. </w:t>
      </w:r>
      <w:r>
        <w:rPr>
          <w:lang w:val="fr-FR"/>
        </w:rPr>
        <w:t>31</w:t>
      </w:r>
      <w:r w:rsidRPr="00234941">
        <w:rPr>
          <w:lang w:val="fr-FR"/>
        </w:rPr>
        <w:t>0</w:t>
      </w:r>
      <w:r>
        <w:rPr>
          <w:lang w:val="fr-FR"/>
        </w:rPr>
        <w:t>.</w:t>
      </w:r>
    </w:p>
  </w:footnote>
  <w:footnote w:id="331">
    <w:p w14:paraId="3B7E2F13" w14:textId="6EF94098" w:rsidR="00E47260" w:rsidRPr="00271B6A" w:rsidRDefault="00E47260" w:rsidP="00271B6A">
      <w:pPr>
        <w:spacing w:before="0" w:after="0" w:line="240" w:lineRule="auto"/>
        <w:ind w:firstLine="0"/>
        <w:rPr>
          <w:rStyle w:val="FootnoteTextChar"/>
        </w:rPr>
      </w:pPr>
      <w:r w:rsidRPr="00271B6A">
        <w:rPr>
          <w:rStyle w:val="FootnoteReference"/>
          <w:sz w:val="20"/>
          <w:szCs w:val="20"/>
        </w:rPr>
        <w:footnoteRef/>
      </w:r>
      <w:r w:rsidRPr="00271B6A">
        <w:rPr>
          <w:sz w:val="20"/>
          <w:szCs w:val="20"/>
        </w:rPr>
        <w:t xml:space="preserve"> </w:t>
      </w:r>
      <w:r w:rsidRPr="00271B6A">
        <w:rPr>
          <w:sz w:val="20"/>
          <w:szCs w:val="20"/>
          <w:lang w:val="fr-FR"/>
        </w:rPr>
        <w:t>TGI</w:t>
      </w:r>
      <w:r w:rsidRPr="00271B6A">
        <w:rPr>
          <w:sz w:val="20"/>
          <w:szCs w:val="20"/>
        </w:rPr>
        <w:t xml:space="preserve"> </w:t>
      </w:r>
      <w:r w:rsidRPr="00271B6A">
        <w:rPr>
          <w:sz w:val="20"/>
          <w:szCs w:val="20"/>
          <w:lang w:val="fr-FR"/>
        </w:rPr>
        <w:t>de Rennes</w:t>
      </w:r>
      <w:r w:rsidRPr="00271B6A">
        <w:rPr>
          <w:sz w:val="20"/>
          <w:szCs w:val="20"/>
        </w:rPr>
        <w:t>, 30 Ιουνίου 1993, μερική</w:t>
      </w:r>
      <w:r w:rsidRPr="00271B6A">
        <w:rPr>
          <w:sz w:val="20"/>
          <w:szCs w:val="20"/>
          <w:lang w:val="fr-FR"/>
        </w:rPr>
        <w:t xml:space="preserve"> </w:t>
      </w:r>
      <w:r w:rsidRPr="00271B6A">
        <w:rPr>
          <w:sz w:val="20"/>
          <w:szCs w:val="20"/>
        </w:rPr>
        <w:t>αναπαραγωγή</w:t>
      </w:r>
      <w:r w:rsidRPr="00271B6A">
        <w:rPr>
          <w:sz w:val="20"/>
          <w:szCs w:val="20"/>
          <w:lang w:val="fr-FR"/>
        </w:rPr>
        <w:t xml:space="preserve"> </w:t>
      </w:r>
      <w:r>
        <w:rPr>
          <w:sz w:val="20"/>
          <w:szCs w:val="20"/>
          <w:lang w:val="fr-FR"/>
        </w:rPr>
        <w:t xml:space="preserve">της </w:t>
      </w:r>
      <w:r w:rsidRPr="00271B6A">
        <w:rPr>
          <w:sz w:val="20"/>
          <w:szCs w:val="20"/>
        </w:rPr>
        <w:t>απόφασης</w:t>
      </w:r>
      <w:r w:rsidRPr="00271B6A">
        <w:rPr>
          <w:sz w:val="20"/>
          <w:szCs w:val="20"/>
          <w:lang w:val="fr-FR"/>
        </w:rPr>
        <w:t xml:space="preserve"> </w:t>
      </w:r>
      <w:r w:rsidRPr="00271B6A">
        <w:rPr>
          <w:sz w:val="20"/>
          <w:szCs w:val="20"/>
        </w:rPr>
        <w:t>σε</w:t>
      </w:r>
      <w:r w:rsidRPr="00271B6A">
        <w:rPr>
          <w:sz w:val="20"/>
          <w:szCs w:val="20"/>
          <w:lang w:val="fr-FR"/>
        </w:rPr>
        <w:t xml:space="preserve"> </w:t>
      </w:r>
      <w:r w:rsidRPr="00271B6A">
        <w:rPr>
          <w:b/>
          <w:i/>
          <w:sz w:val="20"/>
          <w:szCs w:val="20"/>
          <w:lang w:val="fr-FR"/>
        </w:rPr>
        <w:t>J.-C. Galloux</w:t>
      </w:r>
      <w:r w:rsidRPr="00271B6A">
        <w:rPr>
          <w:sz w:val="20"/>
          <w:szCs w:val="20"/>
          <w:lang w:val="fr-FR"/>
        </w:rPr>
        <w:t xml:space="preserve">, «Le statut des gamètes humains en droit français contemporain», </w:t>
      </w:r>
      <w:r w:rsidRPr="00271B6A">
        <w:rPr>
          <w:i/>
          <w:sz w:val="20"/>
          <w:szCs w:val="20"/>
          <w:lang w:val="fr-FR"/>
        </w:rPr>
        <w:t>Revue de droit de McGill</w:t>
      </w:r>
      <w:r w:rsidRPr="00271B6A">
        <w:rPr>
          <w:sz w:val="20"/>
          <w:szCs w:val="20"/>
          <w:lang w:val="fr-FR"/>
        </w:rPr>
        <w:t>, 1995, n</w:t>
      </w:r>
      <w:r w:rsidRPr="00271B6A">
        <w:rPr>
          <w:sz w:val="20"/>
          <w:szCs w:val="20"/>
          <w:vertAlign w:val="superscript"/>
          <w:lang w:val="fr-FR"/>
        </w:rPr>
        <w:t>o</w:t>
      </w:r>
      <w:r w:rsidRPr="00271B6A">
        <w:rPr>
          <w:sz w:val="20"/>
          <w:szCs w:val="20"/>
          <w:lang w:val="fr-FR"/>
        </w:rPr>
        <w:t xml:space="preserve"> 40, </w:t>
      </w:r>
      <w:r w:rsidRPr="00271B6A">
        <w:rPr>
          <w:sz w:val="20"/>
          <w:szCs w:val="20"/>
        </w:rPr>
        <w:t>σελ</w:t>
      </w:r>
      <w:r w:rsidRPr="00271B6A">
        <w:rPr>
          <w:sz w:val="20"/>
          <w:szCs w:val="20"/>
          <w:lang w:val="fr-FR"/>
        </w:rPr>
        <w:t xml:space="preserve">. 1005. </w:t>
      </w:r>
      <w:r w:rsidRPr="00271B6A">
        <w:rPr>
          <w:rStyle w:val="FootnoteTextChar"/>
          <w:sz w:val="20"/>
          <w:szCs w:val="20"/>
        </w:rPr>
        <w:t xml:space="preserve">Βλ. σχετικά επίσης </w:t>
      </w:r>
      <w:r w:rsidRPr="00271B6A">
        <w:rPr>
          <w:rStyle w:val="FootnoteTextChar"/>
          <w:i/>
          <w:sz w:val="20"/>
          <w:szCs w:val="20"/>
        </w:rPr>
        <w:t>JCP G Semaine Juridique</w:t>
      </w:r>
      <w:r w:rsidRPr="00271B6A">
        <w:rPr>
          <w:rStyle w:val="FootnoteTextChar"/>
          <w:sz w:val="20"/>
          <w:szCs w:val="20"/>
        </w:rPr>
        <w:t xml:space="preserve">, 1994, II, 22250, σχόλια C. Neirinck. </w:t>
      </w:r>
    </w:p>
  </w:footnote>
  <w:footnote w:id="332">
    <w:p w14:paraId="76275C3D" w14:textId="6B300A6A" w:rsidR="00E47260" w:rsidRPr="00F953D2" w:rsidRDefault="00E47260">
      <w:pPr>
        <w:pStyle w:val="FootnoteText"/>
        <w:rPr>
          <w:lang w:val="el-GR"/>
        </w:rPr>
      </w:pPr>
      <w:r>
        <w:rPr>
          <w:rStyle w:val="FootnoteReference"/>
        </w:rPr>
        <w:footnoteRef/>
      </w:r>
      <w:r>
        <w:t xml:space="preserve"> </w:t>
      </w:r>
      <w:r w:rsidRPr="00390B86">
        <w:rPr>
          <w:lang w:val="fr-FR"/>
        </w:rPr>
        <w:t>TGI</w:t>
      </w:r>
      <w:r w:rsidRPr="00390B86">
        <w:t xml:space="preserve"> </w:t>
      </w:r>
      <w:r>
        <w:rPr>
          <w:lang w:val="fr-FR"/>
        </w:rPr>
        <w:t>d</w:t>
      </w:r>
      <w:r w:rsidRPr="00445D3E">
        <w:t>’</w:t>
      </w:r>
      <w:r>
        <w:rPr>
          <w:lang w:val="fr-FR"/>
        </w:rPr>
        <w:t>Angers</w:t>
      </w:r>
      <w:r w:rsidRPr="00B166F8">
        <w:t>,</w:t>
      </w:r>
      <w:r>
        <w:t xml:space="preserve"> 10 Νοεμβρίου 1992, μ</w:t>
      </w:r>
      <w:r w:rsidRPr="00390B86">
        <w:t>ερική</w:t>
      </w:r>
      <w:r w:rsidRPr="006615AF">
        <w:rPr>
          <w:lang w:val="fr-FR"/>
        </w:rPr>
        <w:t xml:space="preserve"> </w:t>
      </w:r>
      <w:r w:rsidRPr="00390B86">
        <w:t>αναπαραγωγή</w:t>
      </w:r>
      <w:r w:rsidRPr="006615AF">
        <w:rPr>
          <w:lang w:val="fr-FR"/>
        </w:rPr>
        <w:t xml:space="preserve"> </w:t>
      </w:r>
      <w:r>
        <w:rPr>
          <w:lang w:val="fr-FR"/>
        </w:rPr>
        <w:t xml:space="preserve">της </w:t>
      </w:r>
      <w:r w:rsidRPr="00390B86">
        <w:t>απόφασης</w:t>
      </w:r>
      <w:r>
        <w:rPr>
          <w:lang w:val="fr-FR"/>
        </w:rPr>
        <w:t xml:space="preserve"> σε </w:t>
      </w:r>
      <w:r w:rsidRPr="000B63D0">
        <w:rPr>
          <w:b/>
          <w:i/>
          <w:lang w:val="fr-FR"/>
        </w:rPr>
        <w:t>F. Piec-Vansteeger</w:t>
      </w:r>
      <w:r>
        <w:rPr>
          <w:lang w:val="fr-FR"/>
        </w:rPr>
        <w:t>, «</w:t>
      </w:r>
      <w:r w:rsidRPr="003C6A7D">
        <w:rPr>
          <w:lang w:val="fr-FR"/>
        </w:rPr>
        <w:t>De la filiation issue de la procréation médicalement assistée Problèmes liés à l'application de la Loi sur la bioéthique du 29 juillet 1994 en droit de la filiation</w:t>
      </w:r>
      <w:r>
        <w:rPr>
          <w:lang w:val="fr-FR"/>
        </w:rPr>
        <w:t xml:space="preserve">», </w:t>
      </w:r>
      <w:r w:rsidRPr="003C6A7D">
        <w:rPr>
          <w:i/>
          <w:lang w:val="fr-FR"/>
        </w:rPr>
        <w:t>JCP N Semaine Juridique</w:t>
      </w:r>
      <w:r>
        <w:rPr>
          <w:lang w:val="fr-FR"/>
        </w:rPr>
        <w:t>, 13.1.1995, n</w:t>
      </w:r>
      <w:r w:rsidRPr="003C6A7D">
        <w:rPr>
          <w:vertAlign w:val="superscript"/>
          <w:lang w:val="fr-FR"/>
        </w:rPr>
        <w:t>o</w:t>
      </w:r>
      <w:r>
        <w:rPr>
          <w:lang w:val="fr-FR"/>
        </w:rPr>
        <w:t xml:space="preserve"> 2, </w:t>
      </w:r>
      <w:r>
        <w:t>σελ</w:t>
      </w:r>
      <w:r w:rsidRPr="003C6A7D">
        <w:rPr>
          <w:lang w:val="fr-FR"/>
        </w:rPr>
        <w:t>. 59-67</w:t>
      </w:r>
      <w:r>
        <w:rPr>
          <w:lang w:val="fr-FR"/>
        </w:rPr>
        <w:t xml:space="preserve">. </w:t>
      </w:r>
    </w:p>
  </w:footnote>
  <w:footnote w:id="333">
    <w:p w14:paraId="3C584881" w14:textId="16E8786C" w:rsidR="00E47260" w:rsidRPr="00DB38CA" w:rsidRDefault="00E47260" w:rsidP="00DB38CA">
      <w:pPr>
        <w:spacing w:before="0" w:after="0" w:line="240" w:lineRule="auto"/>
        <w:ind w:firstLine="0"/>
        <w:rPr>
          <w:sz w:val="20"/>
          <w:szCs w:val="20"/>
        </w:rPr>
      </w:pPr>
      <w:r w:rsidRPr="00DB38CA">
        <w:rPr>
          <w:rStyle w:val="FootnoteReference"/>
          <w:sz w:val="20"/>
          <w:szCs w:val="20"/>
        </w:rPr>
        <w:footnoteRef/>
      </w:r>
      <w:r w:rsidRPr="00DB38CA">
        <w:rPr>
          <w:sz w:val="20"/>
          <w:szCs w:val="20"/>
        </w:rPr>
        <w:t xml:space="preserve"> </w:t>
      </w:r>
      <w:r w:rsidRPr="00DB38CA">
        <w:rPr>
          <w:b/>
          <w:i/>
          <w:sz w:val="20"/>
          <w:szCs w:val="20"/>
        </w:rPr>
        <w:t>J. Hauser</w:t>
      </w:r>
      <w:r w:rsidRPr="00DB38CA">
        <w:rPr>
          <w:sz w:val="20"/>
          <w:szCs w:val="20"/>
        </w:rPr>
        <w:t xml:space="preserve">, </w:t>
      </w:r>
      <w:r>
        <w:rPr>
          <w:sz w:val="20"/>
          <w:szCs w:val="20"/>
        </w:rPr>
        <w:t>«</w:t>
      </w:r>
      <w:r w:rsidRPr="00DB38CA">
        <w:rPr>
          <w:sz w:val="20"/>
          <w:szCs w:val="20"/>
        </w:rPr>
        <w:t>Note sous Tribunal de Grande Instance de Rennes, Ordonnance de référé, 15 octobre 2009</w:t>
      </w:r>
      <w:r>
        <w:rPr>
          <w:sz w:val="20"/>
          <w:szCs w:val="20"/>
        </w:rPr>
        <w:t xml:space="preserve">», </w:t>
      </w:r>
      <w:r w:rsidRPr="00DB38CA">
        <w:rPr>
          <w:i/>
          <w:sz w:val="20"/>
          <w:szCs w:val="20"/>
        </w:rPr>
        <w:t>Revue Trimestrielle Droit Civil</w:t>
      </w:r>
      <w:r w:rsidRPr="00DB38CA">
        <w:rPr>
          <w:sz w:val="20"/>
          <w:szCs w:val="20"/>
        </w:rPr>
        <w:t xml:space="preserve">, </w:t>
      </w:r>
      <w:r>
        <w:rPr>
          <w:sz w:val="20"/>
          <w:szCs w:val="20"/>
        </w:rPr>
        <w:t>1.1.</w:t>
      </w:r>
      <w:r w:rsidRPr="00DB38CA">
        <w:rPr>
          <w:sz w:val="20"/>
          <w:szCs w:val="20"/>
        </w:rPr>
        <w:t xml:space="preserve">2010, </w:t>
      </w:r>
      <w:r>
        <w:rPr>
          <w:sz w:val="20"/>
          <w:szCs w:val="20"/>
        </w:rPr>
        <w:t>n</w:t>
      </w:r>
      <w:r w:rsidRPr="00DB38CA">
        <w:rPr>
          <w:sz w:val="20"/>
          <w:szCs w:val="20"/>
          <w:vertAlign w:val="superscript"/>
        </w:rPr>
        <w:t>o</w:t>
      </w:r>
      <w:r>
        <w:rPr>
          <w:sz w:val="20"/>
          <w:szCs w:val="20"/>
        </w:rPr>
        <w:t xml:space="preserve"> 1, </w:t>
      </w:r>
      <w:r w:rsidRPr="00DB38CA">
        <w:rPr>
          <w:sz w:val="20"/>
          <w:szCs w:val="20"/>
        </w:rPr>
        <w:t>σελ. 95.</w:t>
      </w:r>
    </w:p>
  </w:footnote>
  <w:footnote w:id="334">
    <w:p w14:paraId="3BAC8944" w14:textId="2D0C86CF" w:rsidR="00E47260" w:rsidRPr="00925C9B" w:rsidRDefault="00E47260">
      <w:pPr>
        <w:pStyle w:val="FootnoteText"/>
        <w:rPr>
          <w:lang w:val="el-GR"/>
        </w:rPr>
      </w:pPr>
      <w:r>
        <w:rPr>
          <w:rStyle w:val="FootnoteReference"/>
        </w:rPr>
        <w:footnoteRef/>
      </w:r>
      <w:r>
        <w:t xml:space="preserve"> CA</w:t>
      </w:r>
      <w:r w:rsidRPr="00545839">
        <w:t xml:space="preserve"> de Re</w:t>
      </w:r>
      <w:r>
        <w:t xml:space="preserve">nnes, 20 juin 2010 </w:t>
      </w:r>
      <w:r w:rsidRPr="00390B86">
        <w:t xml:space="preserve">[αριθ. αίτησης: </w:t>
      </w:r>
      <w:r>
        <w:t>09/07299</w:t>
      </w:r>
      <w:r w:rsidRPr="00390B86">
        <w:t>]</w:t>
      </w:r>
      <w:r>
        <w:t xml:space="preserve">, διαθέσιμη στην ιστοσελία Δημόσια Αρωγή του Νοσοκομείου των Παρισίων (Assistance publique, Hopital de Paris), διαθέσιμη σε: </w:t>
      </w:r>
      <w:hyperlink r:id="rId102" w:history="1">
        <w:r w:rsidRPr="00D62357">
          <w:rPr>
            <w:rStyle w:val="Hyperlink"/>
            <w:lang w:val="fr-FR"/>
          </w:rPr>
          <w:t>http://basedaj.aphp.fr/daj/public/index/display/id_theme/414/id_fiche/8060</w:t>
        </w:r>
      </w:hyperlink>
      <w:r>
        <w:rPr>
          <w:lang w:val="fr-FR"/>
        </w:rPr>
        <w:t xml:space="preserve"> και </w:t>
      </w:r>
      <w:r w:rsidRPr="00390B86">
        <w:rPr>
          <w:lang w:val="fr-FR"/>
        </w:rPr>
        <w:t>TGI</w:t>
      </w:r>
      <w:r w:rsidRPr="00390B86">
        <w:t xml:space="preserve"> </w:t>
      </w:r>
      <w:r w:rsidRPr="00390B86">
        <w:rPr>
          <w:lang w:val="fr-FR"/>
        </w:rPr>
        <w:t>de</w:t>
      </w:r>
      <w:r w:rsidRPr="00390B86">
        <w:t xml:space="preserve"> </w:t>
      </w:r>
      <w:r w:rsidRPr="00390B86">
        <w:rPr>
          <w:lang w:val="fr-FR"/>
        </w:rPr>
        <w:t>Rennes</w:t>
      </w:r>
      <w:r w:rsidRPr="00390B86">
        <w:t xml:space="preserve">, </w:t>
      </w:r>
      <w:r w:rsidRPr="00390B86">
        <w:rPr>
          <w:lang w:val="fr-FR"/>
        </w:rPr>
        <w:t>Ord</w:t>
      </w:r>
      <w:r w:rsidRPr="00390B86">
        <w:t xml:space="preserve">. </w:t>
      </w:r>
      <w:r w:rsidRPr="00390B86">
        <w:rPr>
          <w:lang w:val="fr-FR"/>
        </w:rPr>
        <w:t>R</w:t>
      </w:r>
      <w:r w:rsidRPr="00390B86">
        <w:t>é</w:t>
      </w:r>
      <w:r w:rsidRPr="00390B86">
        <w:rPr>
          <w:lang w:val="fr-FR"/>
        </w:rPr>
        <w:t>f</w:t>
      </w:r>
      <w:r w:rsidRPr="00390B86">
        <w:t>., 15 Οκτωβρίου 2014 [αριθ. αίτησης: 09/00588]</w:t>
      </w:r>
      <w:r>
        <w:t>, μ</w:t>
      </w:r>
      <w:r w:rsidRPr="00390B86">
        <w:t>ερική</w:t>
      </w:r>
      <w:r w:rsidRPr="00390B86">
        <w:rPr>
          <w:lang w:val="fr-FR"/>
        </w:rPr>
        <w:t xml:space="preserve"> </w:t>
      </w:r>
      <w:r w:rsidRPr="00390B86">
        <w:t>αναπαραγωγή</w:t>
      </w:r>
      <w:r w:rsidRPr="00390B86">
        <w:rPr>
          <w:lang w:val="fr-FR"/>
        </w:rPr>
        <w:t xml:space="preserve"> </w:t>
      </w:r>
      <w:r>
        <w:rPr>
          <w:lang w:val="fr-FR"/>
        </w:rPr>
        <w:t xml:space="preserve">της </w:t>
      </w:r>
      <w:r w:rsidRPr="00390B86">
        <w:t>απόφασης</w:t>
      </w:r>
      <w:r w:rsidRPr="00390B86">
        <w:rPr>
          <w:lang w:val="fr-FR"/>
        </w:rPr>
        <w:t xml:space="preserve"> </w:t>
      </w:r>
      <w:r>
        <w:rPr>
          <w:lang w:val="fr-FR"/>
        </w:rPr>
        <w:t xml:space="preserve">σε </w:t>
      </w:r>
      <w:r w:rsidRPr="00925C9B">
        <w:rPr>
          <w:b/>
          <w:i/>
          <w:lang w:val="fr-FR"/>
        </w:rPr>
        <w:t>M. Contin</w:t>
      </w:r>
      <w:r>
        <w:rPr>
          <w:lang w:val="fr-FR"/>
        </w:rPr>
        <w:t>, «</w:t>
      </w:r>
      <w:r w:rsidRPr="00390B86">
        <w:rPr>
          <w:lang w:val="fr-FR"/>
        </w:rPr>
        <w:t>Procréer par delà la m</w:t>
      </w:r>
      <w:r>
        <w:rPr>
          <w:lang w:val="fr-FR"/>
        </w:rPr>
        <w:t>ort</w:t>
      </w:r>
      <w:r w:rsidRPr="00390B86">
        <w:rPr>
          <w:lang w:val="fr-FR"/>
        </w:rPr>
        <w:t>? A propos de l'</w:t>
      </w:r>
      <w:r w:rsidRPr="00390B86">
        <w:rPr>
          <w:rStyle w:val="hl"/>
          <w:lang w:val="fr-FR"/>
        </w:rPr>
        <w:t>ordonnance</w:t>
      </w:r>
      <w:r w:rsidRPr="00390B86">
        <w:rPr>
          <w:lang w:val="fr-FR"/>
        </w:rPr>
        <w:t xml:space="preserve"> de </w:t>
      </w:r>
      <w:r w:rsidRPr="00390B86">
        <w:rPr>
          <w:rStyle w:val="hl"/>
          <w:lang w:val="fr-FR"/>
        </w:rPr>
        <w:t>référé</w:t>
      </w:r>
      <w:r w:rsidRPr="00390B86">
        <w:rPr>
          <w:lang w:val="fr-FR"/>
        </w:rPr>
        <w:t xml:space="preserve"> du </w:t>
      </w:r>
      <w:r w:rsidRPr="00390B86">
        <w:rPr>
          <w:rStyle w:val="hl"/>
          <w:lang w:val="fr-FR"/>
        </w:rPr>
        <w:t>Tribunal</w:t>
      </w:r>
      <w:r w:rsidRPr="00390B86">
        <w:rPr>
          <w:lang w:val="fr-FR"/>
        </w:rPr>
        <w:t xml:space="preserve"> de </w:t>
      </w:r>
      <w:r w:rsidRPr="00390B86">
        <w:rPr>
          <w:rStyle w:val="hl"/>
          <w:lang w:val="fr-FR"/>
        </w:rPr>
        <w:t>grande instance</w:t>
      </w:r>
      <w:r w:rsidRPr="00390B86">
        <w:rPr>
          <w:lang w:val="fr-FR"/>
        </w:rPr>
        <w:t xml:space="preserve"> de </w:t>
      </w:r>
      <w:r w:rsidRPr="00390B86">
        <w:rPr>
          <w:rStyle w:val="hl"/>
          <w:lang w:val="fr-FR"/>
        </w:rPr>
        <w:t>Rennes</w:t>
      </w:r>
      <w:r w:rsidRPr="00390B86">
        <w:rPr>
          <w:lang w:val="fr-FR"/>
        </w:rPr>
        <w:t xml:space="preserve"> du </w:t>
      </w:r>
      <w:r>
        <w:rPr>
          <w:rStyle w:val="hl"/>
          <w:lang w:val="fr-FR"/>
        </w:rPr>
        <w:t>15 octobre 2009</w:t>
      </w:r>
      <w:r w:rsidRPr="00390B86">
        <w:rPr>
          <w:rStyle w:val="hl"/>
          <w:lang w:val="fr-FR"/>
        </w:rPr>
        <w:t xml:space="preserve">», </w:t>
      </w:r>
      <w:r w:rsidRPr="00390B86">
        <w:rPr>
          <w:rStyle w:val="hl"/>
          <w:i/>
          <w:lang w:val="fr-FR"/>
        </w:rPr>
        <w:t>Revue Juridique de l’Ouest</w:t>
      </w:r>
      <w:r w:rsidRPr="00390B86">
        <w:rPr>
          <w:rStyle w:val="hl"/>
          <w:lang w:val="fr-FR"/>
        </w:rPr>
        <w:t xml:space="preserve">, 1.4.2010, </w:t>
      </w:r>
      <w:r w:rsidRPr="00390B86">
        <w:rPr>
          <w:lang w:val="fr-FR"/>
        </w:rPr>
        <w:t>n</w:t>
      </w:r>
      <w:r w:rsidRPr="00390B86">
        <w:rPr>
          <w:vertAlign w:val="superscript"/>
          <w:lang w:val="fr-FR"/>
        </w:rPr>
        <w:t>o</w:t>
      </w:r>
      <w:r w:rsidRPr="00390B86">
        <w:rPr>
          <w:lang w:val="fr-FR"/>
        </w:rPr>
        <w:t xml:space="preserve"> 2, </w:t>
      </w:r>
      <w:r w:rsidRPr="00390B86">
        <w:t>σελ</w:t>
      </w:r>
      <w:r w:rsidRPr="00390B86">
        <w:rPr>
          <w:lang w:val="fr-FR"/>
        </w:rPr>
        <w:t>. 127-157</w:t>
      </w:r>
      <w:r>
        <w:rPr>
          <w:lang w:val="fr-FR"/>
        </w:rPr>
        <w:t>.</w:t>
      </w:r>
    </w:p>
  </w:footnote>
  <w:footnote w:id="335">
    <w:p w14:paraId="72CCC4C9" w14:textId="220141E2" w:rsidR="00E47260" w:rsidRPr="00FF1AA6" w:rsidRDefault="00E47260" w:rsidP="00527348">
      <w:pPr>
        <w:spacing w:before="0" w:after="0" w:line="240" w:lineRule="auto"/>
        <w:ind w:firstLine="0"/>
      </w:pPr>
      <w:r w:rsidRPr="00216380">
        <w:rPr>
          <w:rStyle w:val="FootnoteReference"/>
          <w:sz w:val="20"/>
          <w:szCs w:val="20"/>
        </w:rPr>
        <w:footnoteRef/>
      </w:r>
      <w:r w:rsidRPr="00216380">
        <w:rPr>
          <w:sz w:val="20"/>
          <w:szCs w:val="20"/>
        </w:rPr>
        <w:t xml:space="preserve"> Βλ. Σχετικά </w:t>
      </w:r>
      <w:r w:rsidRPr="00216380">
        <w:rPr>
          <w:b/>
          <w:i/>
          <w:sz w:val="20"/>
          <w:szCs w:val="20"/>
          <w:lang w:val="fr-FR"/>
        </w:rPr>
        <w:t>A. Mirkovic</w:t>
      </w:r>
      <w:r w:rsidRPr="00216380">
        <w:rPr>
          <w:sz w:val="20"/>
          <w:szCs w:val="20"/>
          <w:lang w:val="fr-FR"/>
        </w:rPr>
        <w:t>, «</w:t>
      </w:r>
      <w:r w:rsidRPr="00216380">
        <w:rPr>
          <w:sz w:val="20"/>
          <w:szCs w:val="20"/>
        </w:rPr>
        <w:t>Un enfant ne peut être conçu après le décès de son père»,</w:t>
      </w:r>
      <w:r w:rsidRPr="00216380">
        <w:rPr>
          <w:sz w:val="20"/>
          <w:szCs w:val="20"/>
          <w:lang w:val="fr-FR"/>
        </w:rPr>
        <w:t xml:space="preserve"> </w:t>
      </w:r>
      <w:r w:rsidRPr="00216380">
        <w:rPr>
          <w:i/>
          <w:sz w:val="20"/>
          <w:szCs w:val="20"/>
          <w:lang w:val="fr-FR"/>
        </w:rPr>
        <w:t>JCP G Semaine Juridique</w:t>
      </w:r>
      <w:r w:rsidRPr="00216380">
        <w:rPr>
          <w:sz w:val="20"/>
          <w:szCs w:val="20"/>
          <w:lang w:val="fr-FR"/>
        </w:rPr>
        <w:t>, 13.9.2010, n</w:t>
      </w:r>
      <w:r w:rsidRPr="00216380">
        <w:rPr>
          <w:sz w:val="20"/>
          <w:szCs w:val="20"/>
          <w:vertAlign w:val="superscript"/>
          <w:lang w:val="fr-FR"/>
        </w:rPr>
        <w:t>o</w:t>
      </w:r>
      <w:r w:rsidRPr="00216380">
        <w:rPr>
          <w:sz w:val="20"/>
          <w:szCs w:val="20"/>
          <w:lang w:val="fr-FR"/>
        </w:rPr>
        <w:t xml:space="preserve"> 37, </w:t>
      </w:r>
      <w:r w:rsidRPr="00216380">
        <w:rPr>
          <w:sz w:val="20"/>
          <w:szCs w:val="20"/>
        </w:rPr>
        <w:t>σελ</w:t>
      </w:r>
      <w:r w:rsidRPr="00216380">
        <w:rPr>
          <w:sz w:val="20"/>
          <w:szCs w:val="20"/>
          <w:lang w:val="fr-FR"/>
        </w:rPr>
        <w:t>. 1670-1673</w:t>
      </w:r>
      <w:r>
        <w:rPr>
          <w:sz w:val="20"/>
          <w:szCs w:val="20"/>
          <w:lang w:val="en-US"/>
        </w:rPr>
        <w:t>;</w:t>
      </w:r>
      <w:r w:rsidRPr="00216380">
        <w:rPr>
          <w:sz w:val="20"/>
          <w:szCs w:val="20"/>
          <w:lang w:val="fr-FR"/>
        </w:rPr>
        <w:t xml:space="preserve"> </w:t>
      </w:r>
      <w:r w:rsidRPr="00216380">
        <w:rPr>
          <w:b/>
          <w:i/>
          <w:sz w:val="20"/>
          <w:szCs w:val="20"/>
          <w:lang w:val="fr-FR"/>
        </w:rPr>
        <w:t>M. Contin</w:t>
      </w:r>
      <w:r>
        <w:rPr>
          <w:sz w:val="20"/>
          <w:szCs w:val="20"/>
          <w:lang w:val="fr-FR"/>
        </w:rPr>
        <w:t>, «</w:t>
      </w:r>
      <w:r w:rsidRPr="00216380">
        <w:rPr>
          <w:sz w:val="20"/>
          <w:szCs w:val="20"/>
          <w:lang w:val="fr-FR"/>
        </w:rPr>
        <w:t>Procréer par delà la mort ? A propos de l'</w:t>
      </w:r>
      <w:r w:rsidRPr="00216380">
        <w:rPr>
          <w:rStyle w:val="hl"/>
          <w:sz w:val="20"/>
          <w:szCs w:val="20"/>
          <w:lang w:val="fr-FR"/>
        </w:rPr>
        <w:t>ordonnance</w:t>
      </w:r>
      <w:r w:rsidRPr="00216380">
        <w:rPr>
          <w:sz w:val="20"/>
          <w:szCs w:val="20"/>
          <w:lang w:val="fr-FR"/>
        </w:rPr>
        <w:t xml:space="preserve"> de </w:t>
      </w:r>
      <w:r w:rsidRPr="00216380">
        <w:rPr>
          <w:rStyle w:val="hl"/>
          <w:sz w:val="20"/>
          <w:szCs w:val="20"/>
          <w:lang w:val="fr-FR"/>
        </w:rPr>
        <w:t>référé</w:t>
      </w:r>
      <w:r w:rsidRPr="00216380">
        <w:rPr>
          <w:sz w:val="20"/>
          <w:szCs w:val="20"/>
          <w:lang w:val="fr-FR"/>
        </w:rPr>
        <w:t xml:space="preserve"> du </w:t>
      </w:r>
      <w:r w:rsidRPr="00216380">
        <w:rPr>
          <w:rStyle w:val="hl"/>
          <w:sz w:val="20"/>
          <w:szCs w:val="20"/>
          <w:lang w:val="fr-FR"/>
        </w:rPr>
        <w:t>Tribunal</w:t>
      </w:r>
      <w:r w:rsidRPr="00216380">
        <w:rPr>
          <w:sz w:val="20"/>
          <w:szCs w:val="20"/>
          <w:lang w:val="fr-FR"/>
        </w:rPr>
        <w:t xml:space="preserve"> de </w:t>
      </w:r>
      <w:r w:rsidRPr="00216380">
        <w:rPr>
          <w:rStyle w:val="hl"/>
          <w:sz w:val="20"/>
          <w:szCs w:val="20"/>
          <w:lang w:val="fr-FR"/>
        </w:rPr>
        <w:t>grande instance</w:t>
      </w:r>
      <w:r w:rsidRPr="00216380">
        <w:rPr>
          <w:sz w:val="20"/>
          <w:szCs w:val="20"/>
          <w:lang w:val="fr-FR"/>
        </w:rPr>
        <w:t xml:space="preserve"> de </w:t>
      </w:r>
      <w:r w:rsidRPr="00216380">
        <w:rPr>
          <w:rStyle w:val="hl"/>
          <w:sz w:val="20"/>
          <w:szCs w:val="20"/>
          <w:lang w:val="fr-FR"/>
        </w:rPr>
        <w:t>Rennes</w:t>
      </w:r>
      <w:r w:rsidRPr="00216380">
        <w:rPr>
          <w:sz w:val="20"/>
          <w:szCs w:val="20"/>
          <w:lang w:val="fr-FR"/>
        </w:rPr>
        <w:t xml:space="preserve"> du </w:t>
      </w:r>
      <w:r w:rsidRPr="00216380">
        <w:rPr>
          <w:rStyle w:val="hl"/>
          <w:sz w:val="20"/>
          <w:szCs w:val="20"/>
          <w:lang w:val="fr-FR"/>
        </w:rPr>
        <w:t xml:space="preserve">15 octobre 2009», </w:t>
      </w:r>
      <w:r w:rsidRPr="00216380">
        <w:rPr>
          <w:rStyle w:val="hl"/>
          <w:i/>
          <w:sz w:val="20"/>
          <w:szCs w:val="20"/>
          <w:lang w:val="fr-FR"/>
        </w:rPr>
        <w:t>Revue Juridique de l’Ouest</w:t>
      </w:r>
      <w:r w:rsidRPr="00216380">
        <w:rPr>
          <w:rStyle w:val="hl"/>
          <w:sz w:val="20"/>
          <w:szCs w:val="20"/>
          <w:lang w:val="fr-FR"/>
        </w:rPr>
        <w:t xml:space="preserve">, 1.4.2010, </w:t>
      </w:r>
      <w:r w:rsidRPr="00216380">
        <w:rPr>
          <w:sz w:val="20"/>
          <w:szCs w:val="20"/>
          <w:lang w:val="fr-FR"/>
        </w:rPr>
        <w:t>n</w:t>
      </w:r>
      <w:r w:rsidRPr="00216380">
        <w:rPr>
          <w:sz w:val="20"/>
          <w:szCs w:val="20"/>
          <w:vertAlign w:val="superscript"/>
          <w:lang w:val="fr-FR"/>
        </w:rPr>
        <w:t>o</w:t>
      </w:r>
      <w:r w:rsidRPr="00216380">
        <w:rPr>
          <w:sz w:val="20"/>
          <w:szCs w:val="20"/>
          <w:lang w:val="fr-FR"/>
        </w:rPr>
        <w:t xml:space="preserve"> 2, </w:t>
      </w:r>
      <w:r w:rsidRPr="00216380">
        <w:rPr>
          <w:sz w:val="20"/>
          <w:szCs w:val="20"/>
        </w:rPr>
        <w:t>σελ</w:t>
      </w:r>
      <w:r>
        <w:rPr>
          <w:sz w:val="20"/>
          <w:szCs w:val="20"/>
          <w:lang w:val="fr-FR"/>
        </w:rPr>
        <w:t>. 127-157</w:t>
      </w:r>
      <w:r w:rsidRPr="00216380">
        <w:rPr>
          <w:sz w:val="20"/>
          <w:szCs w:val="20"/>
          <w:lang w:val="fr-FR"/>
        </w:rPr>
        <w:t>;</w:t>
      </w:r>
      <w:r>
        <w:rPr>
          <w:sz w:val="20"/>
          <w:szCs w:val="20"/>
          <w:lang w:val="fr-FR"/>
        </w:rPr>
        <w:t xml:space="preserve"> </w:t>
      </w:r>
      <w:r w:rsidRPr="00216380">
        <w:rPr>
          <w:b/>
          <w:i/>
          <w:sz w:val="20"/>
          <w:szCs w:val="20"/>
          <w:lang w:val="fr-FR"/>
        </w:rPr>
        <w:t>Ch. Byk</w:t>
      </w:r>
      <w:r w:rsidRPr="00216380">
        <w:rPr>
          <w:sz w:val="20"/>
          <w:szCs w:val="20"/>
          <w:lang w:val="fr-FR"/>
        </w:rPr>
        <w:t>, «</w:t>
      </w:r>
      <w:r>
        <w:rPr>
          <w:sz w:val="20"/>
          <w:szCs w:val="20"/>
          <w:lang w:val="fr-FR"/>
        </w:rPr>
        <w:t>Bioéthique</w:t>
      </w:r>
      <w:r w:rsidRPr="00216380">
        <w:rPr>
          <w:sz w:val="20"/>
          <w:szCs w:val="20"/>
          <w:lang w:val="fr-FR"/>
        </w:rPr>
        <w:t xml:space="preserve">», </w:t>
      </w:r>
      <w:r w:rsidRPr="00216380">
        <w:rPr>
          <w:i/>
          <w:sz w:val="20"/>
          <w:szCs w:val="20"/>
          <w:lang w:val="fr-FR"/>
        </w:rPr>
        <w:t>JCP G Semaine Juridique</w:t>
      </w:r>
      <w:r w:rsidRPr="00216380">
        <w:rPr>
          <w:sz w:val="20"/>
          <w:szCs w:val="20"/>
          <w:lang w:val="fr-FR"/>
        </w:rPr>
        <w:t>, 15.3.2010, n</w:t>
      </w:r>
      <w:r w:rsidRPr="00216380">
        <w:rPr>
          <w:sz w:val="20"/>
          <w:szCs w:val="20"/>
          <w:vertAlign w:val="superscript"/>
          <w:lang w:val="fr-FR"/>
        </w:rPr>
        <w:t>o</w:t>
      </w:r>
      <w:r>
        <w:rPr>
          <w:sz w:val="20"/>
          <w:szCs w:val="20"/>
          <w:lang w:val="fr-FR"/>
        </w:rPr>
        <w:t xml:space="preserve"> 11, σελ. 557-563</w:t>
      </w:r>
      <w:r w:rsidRPr="00216380">
        <w:rPr>
          <w:sz w:val="20"/>
          <w:szCs w:val="20"/>
          <w:lang w:val="fr-FR"/>
        </w:rPr>
        <w:t>;</w:t>
      </w:r>
      <w:r>
        <w:rPr>
          <w:sz w:val="20"/>
          <w:szCs w:val="20"/>
          <w:lang w:val="fr-FR"/>
        </w:rPr>
        <w:t xml:space="preserve"> </w:t>
      </w:r>
      <w:r w:rsidRPr="00216380">
        <w:rPr>
          <w:b/>
          <w:i/>
          <w:sz w:val="20"/>
          <w:szCs w:val="20"/>
          <w:lang w:val="fr-FR"/>
        </w:rPr>
        <w:t>Th. Garé</w:t>
      </w:r>
      <w:r>
        <w:rPr>
          <w:sz w:val="20"/>
          <w:szCs w:val="20"/>
          <w:lang w:val="fr-FR"/>
        </w:rPr>
        <w:t>, «</w:t>
      </w:r>
      <w:r w:rsidRPr="00216380">
        <w:rPr>
          <w:sz w:val="20"/>
          <w:szCs w:val="20"/>
          <w:lang w:val="fr-FR"/>
        </w:rPr>
        <w:t xml:space="preserve">La procréation post mortem </w:t>
      </w:r>
      <w:r>
        <w:rPr>
          <w:sz w:val="20"/>
          <w:szCs w:val="20"/>
          <w:lang w:val="fr-FR"/>
        </w:rPr>
        <w:t>est interdite en droit français</w:t>
      </w:r>
      <w:r w:rsidRPr="00216380">
        <w:rPr>
          <w:sz w:val="20"/>
          <w:szCs w:val="20"/>
          <w:lang w:val="fr-FR"/>
        </w:rPr>
        <w:t xml:space="preserve">», </w:t>
      </w:r>
      <w:r w:rsidRPr="00216380">
        <w:rPr>
          <w:i/>
          <w:sz w:val="20"/>
          <w:szCs w:val="20"/>
          <w:lang w:val="fr-FR"/>
        </w:rPr>
        <w:t>Revue Juridique Personnes et Famille</w:t>
      </w:r>
      <w:r w:rsidRPr="00216380">
        <w:rPr>
          <w:sz w:val="20"/>
          <w:szCs w:val="20"/>
          <w:lang w:val="fr-FR"/>
        </w:rPr>
        <w:t>, 1.2.2010, n</w:t>
      </w:r>
      <w:r w:rsidRPr="00216380">
        <w:rPr>
          <w:sz w:val="20"/>
          <w:szCs w:val="20"/>
          <w:vertAlign w:val="superscript"/>
          <w:lang w:val="fr-FR"/>
        </w:rPr>
        <w:t>o</w:t>
      </w:r>
      <w:r>
        <w:rPr>
          <w:sz w:val="20"/>
          <w:szCs w:val="20"/>
          <w:lang w:val="fr-FR"/>
        </w:rPr>
        <w:t xml:space="preserve"> 2, σελ. 28</w:t>
      </w:r>
      <w:r w:rsidRPr="00216380">
        <w:rPr>
          <w:sz w:val="20"/>
          <w:szCs w:val="20"/>
          <w:lang w:val="fr-FR"/>
        </w:rPr>
        <w:t>;</w:t>
      </w:r>
      <w:r>
        <w:rPr>
          <w:sz w:val="20"/>
          <w:szCs w:val="20"/>
          <w:lang w:val="fr-FR"/>
        </w:rPr>
        <w:t xml:space="preserve"> </w:t>
      </w:r>
      <w:r w:rsidRPr="00216380">
        <w:rPr>
          <w:b/>
          <w:i/>
          <w:sz w:val="20"/>
          <w:szCs w:val="20"/>
          <w:lang w:val="fr-FR"/>
        </w:rPr>
        <w:t>J. Hauser</w:t>
      </w:r>
      <w:r>
        <w:rPr>
          <w:sz w:val="20"/>
          <w:szCs w:val="20"/>
          <w:lang w:val="fr-FR"/>
        </w:rPr>
        <w:t>, «</w:t>
      </w:r>
      <w:r w:rsidRPr="00216380">
        <w:rPr>
          <w:sz w:val="20"/>
          <w:szCs w:val="20"/>
          <w:lang w:val="fr-FR"/>
        </w:rPr>
        <w:t xml:space="preserve">Note sous </w:t>
      </w:r>
      <w:r w:rsidRPr="00216380">
        <w:rPr>
          <w:rStyle w:val="hl"/>
          <w:sz w:val="20"/>
          <w:szCs w:val="20"/>
          <w:lang w:val="fr-FR"/>
        </w:rPr>
        <w:t>Tribunal</w:t>
      </w:r>
      <w:r w:rsidRPr="00216380">
        <w:rPr>
          <w:sz w:val="20"/>
          <w:szCs w:val="20"/>
          <w:lang w:val="fr-FR"/>
        </w:rPr>
        <w:t xml:space="preserve"> de </w:t>
      </w:r>
      <w:r w:rsidRPr="00216380">
        <w:rPr>
          <w:rStyle w:val="hl"/>
          <w:sz w:val="20"/>
          <w:szCs w:val="20"/>
          <w:lang w:val="fr-FR"/>
        </w:rPr>
        <w:t>Grande Instance</w:t>
      </w:r>
      <w:r w:rsidRPr="00216380">
        <w:rPr>
          <w:sz w:val="20"/>
          <w:szCs w:val="20"/>
          <w:lang w:val="fr-FR"/>
        </w:rPr>
        <w:t xml:space="preserve"> de </w:t>
      </w:r>
      <w:r w:rsidRPr="00216380">
        <w:rPr>
          <w:rStyle w:val="hl"/>
          <w:sz w:val="20"/>
          <w:szCs w:val="20"/>
          <w:lang w:val="fr-FR"/>
        </w:rPr>
        <w:t>Rennes</w:t>
      </w:r>
      <w:r w:rsidRPr="00216380">
        <w:rPr>
          <w:sz w:val="20"/>
          <w:szCs w:val="20"/>
          <w:lang w:val="fr-FR"/>
        </w:rPr>
        <w:t xml:space="preserve">, </w:t>
      </w:r>
      <w:r w:rsidRPr="00216380">
        <w:rPr>
          <w:rStyle w:val="hl"/>
          <w:sz w:val="20"/>
          <w:szCs w:val="20"/>
          <w:lang w:val="fr-FR"/>
        </w:rPr>
        <w:t>Ordonnance</w:t>
      </w:r>
      <w:r w:rsidRPr="00216380">
        <w:rPr>
          <w:sz w:val="20"/>
          <w:szCs w:val="20"/>
          <w:lang w:val="fr-FR"/>
        </w:rPr>
        <w:t xml:space="preserve"> de </w:t>
      </w:r>
      <w:r w:rsidRPr="00216380">
        <w:rPr>
          <w:rStyle w:val="hl"/>
          <w:sz w:val="20"/>
          <w:szCs w:val="20"/>
          <w:lang w:val="fr-FR"/>
        </w:rPr>
        <w:t>référé</w:t>
      </w:r>
      <w:r w:rsidRPr="00216380">
        <w:rPr>
          <w:sz w:val="20"/>
          <w:szCs w:val="20"/>
          <w:lang w:val="fr-FR"/>
        </w:rPr>
        <w:t xml:space="preserve">, </w:t>
      </w:r>
      <w:r w:rsidRPr="00216380">
        <w:rPr>
          <w:rStyle w:val="hl"/>
          <w:sz w:val="20"/>
          <w:szCs w:val="20"/>
          <w:lang w:val="fr-FR"/>
        </w:rPr>
        <w:t>15 oc</w:t>
      </w:r>
      <w:r>
        <w:rPr>
          <w:rStyle w:val="hl"/>
          <w:sz w:val="20"/>
          <w:szCs w:val="20"/>
          <w:lang w:val="fr-FR"/>
        </w:rPr>
        <w:t>tobre 2009</w:t>
      </w:r>
      <w:r w:rsidRPr="00216380">
        <w:rPr>
          <w:rStyle w:val="hl"/>
          <w:sz w:val="20"/>
          <w:szCs w:val="20"/>
          <w:lang w:val="fr-FR"/>
        </w:rPr>
        <w:t xml:space="preserve">», </w:t>
      </w:r>
      <w:r w:rsidRPr="00216380">
        <w:rPr>
          <w:rStyle w:val="hl"/>
          <w:i/>
          <w:sz w:val="20"/>
          <w:szCs w:val="20"/>
          <w:lang w:val="fr-FR"/>
        </w:rPr>
        <w:t>Revue Trimestrielle de Droit Civil</w:t>
      </w:r>
      <w:r w:rsidRPr="00216380">
        <w:rPr>
          <w:rStyle w:val="hl"/>
          <w:sz w:val="20"/>
          <w:szCs w:val="20"/>
          <w:lang w:val="fr-FR"/>
        </w:rPr>
        <w:t xml:space="preserve">, 1.1.2010, </w:t>
      </w:r>
      <w:r w:rsidRPr="00216380">
        <w:rPr>
          <w:sz w:val="20"/>
          <w:szCs w:val="20"/>
          <w:lang w:val="fr-FR"/>
        </w:rPr>
        <w:t>n</w:t>
      </w:r>
      <w:r w:rsidRPr="00216380">
        <w:rPr>
          <w:sz w:val="20"/>
          <w:szCs w:val="20"/>
          <w:vertAlign w:val="superscript"/>
          <w:lang w:val="fr-FR"/>
        </w:rPr>
        <w:t>o</w:t>
      </w:r>
      <w:r>
        <w:rPr>
          <w:sz w:val="20"/>
          <w:szCs w:val="20"/>
          <w:lang w:val="fr-FR"/>
        </w:rPr>
        <w:t xml:space="preserve"> 2, σελ. 93-95</w:t>
      </w:r>
      <w:r w:rsidRPr="00216380">
        <w:rPr>
          <w:sz w:val="20"/>
          <w:szCs w:val="20"/>
          <w:lang w:val="fr-FR"/>
        </w:rPr>
        <w:t>;</w:t>
      </w:r>
      <w:r>
        <w:rPr>
          <w:sz w:val="20"/>
          <w:szCs w:val="20"/>
          <w:lang w:val="fr-FR"/>
        </w:rPr>
        <w:t xml:space="preserve"> </w:t>
      </w:r>
      <w:r w:rsidRPr="00216380">
        <w:rPr>
          <w:b/>
          <w:i/>
          <w:sz w:val="20"/>
          <w:szCs w:val="20"/>
          <w:lang w:val="fr-FR"/>
        </w:rPr>
        <w:t>E. Pouliquen</w:t>
      </w:r>
      <w:r>
        <w:rPr>
          <w:sz w:val="20"/>
          <w:szCs w:val="20"/>
          <w:lang w:val="fr-FR"/>
        </w:rPr>
        <w:t>, «</w:t>
      </w:r>
      <w:r w:rsidRPr="00216380">
        <w:rPr>
          <w:sz w:val="20"/>
          <w:szCs w:val="20"/>
          <w:lang w:val="fr-FR"/>
        </w:rPr>
        <w:t>Insémination post mortem : le j</w:t>
      </w:r>
      <w:r>
        <w:rPr>
          <w:sz w:val="20"/>
          <w:szCs w:val="20"/>
          <w:lang w:val="fr-FR"/>
        </w:rPr>
        <w:t>uge ne fait qu'appliquer la loi</w:t>
      </w:r>
      <w:r w:rsidRPr="00216380">
        <w:rPr>
          <w:sz w:val="20"/>
          <w:szCs w:val="20"/>
          <w:lang w:val="fr-FR"/>
        </w:rPr>
        <w:t xml:space="preserve">», </w:t>
      </w:r>
      <w:r w:rsidRPr="00216380">
        <w:rPr>
          <w:i/>
          <w:sz w:val="20"/>
          <w:szCs w:val="20"/>
          <w:lang w:val="fr-FR"/>
        </w:rPr>
        <w:t>Revue Lamy Droit Civil</w:t>
      </w:r>
      <w:r w:rsidRPr="00216380">
        <w:rPr>
          <w:sz w:val="20"/>
          <w:szCs w:val="20"/>
          <w:lang w:val="fr-FR"/>
        </w:rPr>
        <w:t>, 1.12.2009, n</w:t>
      </w:r>
      <w:r w:rsidRPr="00216380">
        <w:rPr>
          <w:sz w:val="20"/>
          <w:szCs w:val="20"/>
          <w:vertAlign w:val="superscript"/>
          <w:lang w:val="fr-FR"/>
        </w:rPr>
        <w:t>o</w:t>
      </w:r>
      <w:r>
        <w:rPr>
          <w:sz w:val="20"/>
          <w:szCs w:val="20"/>
          <w:lang w:val="fr-FR"/>
        </w:rPr>
        <w:t xml:space="preserve"> 66, σελ. 37</w:t>
      </w:r>
      <w:r w:rsidRPr="00216380">
        <w:rPr>
          <w:sz w:val="20"/>
          <w:szCs w:val="20"/>
          <w:lang w:val="fr-FR"/>
        </w:rPr>
        <w:t>;</w:t>
      </w:r>
      <w:r>
        <w:rPr>
          <w:sz w:val="20"/>
          <w:szCs w:val="20"/>
          <w:lang w:val="fr-FR"/>
        </w:rPr>
        <w:t xml:space="preserve"> </w:t>
      </w:r>
      <w:r w:rsidRPr="00216380">
        <w:rPr>
          <w:b/>
          <w:i/>
          <w:sz w:val="20"/>
          <w:szCs w:val="20"/>
          <w:lang w:val="fr-FR"/>
        </w:rPr>
        <w:t>J.-R. Binet</w:t>
      </w:r>
      <w:r w:rsidRPr="00216380">
        <w:rPr>
          <w:sz w:val="20"/>
          <w:szCs w:val="20"/>
          <w:lang w:val="fr-FR"/>
        </w:rPr>
        <w:t xml:space="preserve">, «Pas de restitution des paillettes sur </w:t>
      </w:r>
      <w:r w:rsidRPr="00216380">
        <w:rPr>
          <w:rStyle w:val="hl"/>
          <w:sz w:val="20"/>
          <w:szCs w:val="20"/>
          <w:lang w:val="fr-FR"/>
        </w:rPr>
        <w:t>ordonnance</w:t>
      </w:r>
      <w:r w:rsidRPr="00216380">
        <w:rPr>
          <w:sz w:val="20"/>
          <w:szCs w:val="20"/>
          <w:lang w:val="fr-FR"/>
        </w:rPr>
        <w:t>! A propos de l'</w:t>
      </w:r>
      <w:r w:rsidRPr="00216380">
        <w:rPr>
          <w:rStyle w:val="hl"/>
          <w:sz w:val="20"/>
          <w:szCs w:val="20"/>
          <w:lang w:val="fr-FR"/>
        </w:rPr>
        <w:t>ordonnance</w:t>
      </w:r>
      <w:r w:rsidRPr="00216380">
        <w:rPr>
          <w:sz w:val="20"/>
          <w:szCs w:val="20"/>
          <w:lang w:val="fr-FR"/>
        </w:rPr>
        <w:t xml:space="preserve"> des </w:t>
      </w:r>
      <w:r w:rsidRPr="00216380">
        <w:rPr>
          <w:rStyle w:val="hl"/>
          <w:sz w:val="20"/>
          <w:szCs w:val="20"/>
          <w:lang w:val="fr-FR"/>
        </w:rPr>
        <w:t>référés</w:t>
      </w:r>
      <w:r w:rsidRPr="00216380">
        <w:rPr>
          <w:sz w:val="20"/>
          <w:szCs w:val="20"/>
          <w:lang w:val="fr-FR"/>
        </w:rPr>
        <w:t xml:space="preserve"> du TGI de </w:t>
      </w:r>
      <w:r w:rsidRPr="00216380">
        <w:rPr>
          <w:rStyle w:val="hl"/>
          <w:sz w:val="20"/>
          <w:szCs w:val="20"/>
          <w:lang w:val="fr-FR"/>
        </w:rPr>
        <w:t>Rennes</w:t>
      </w:r>
      <w:r w:rsidRPr="00216380">
        <w:rPr>
          <w:sz w:val="20"/>
          <w:szCs w:val="20"/>
          <w:lang w:val="fr-FR"/>
        </w:rPr>
        <w:t xml:space="preserve"> du </w:t>
      </w:r>
      <w:r>
        <w:rPr>
          <w:rStyle w:val="hl"/>
          <w:sz w:val="20"/>
          <w:szCs w:val="20"/>
          <w:lang w:val="fr-FR"/>
        </w:rPr>
        <w:t>15 octobre 2009</w:t>
      </w:r>
      <w:r w:rsidRPr="00216380">
        <w:rPr>
          <w:rStyle w:val="hl"/>
          <w:sz w:val="20"/>
          <w:szCs w:val="20"/>
          <w:lang w:val="fr-FR"/>
        </w:rPr>
        <w:t xml:space="preserve">», </w:t>
      </w:r>
      <w:r w:rsidRPr="00216380">
        <w:rPr>
          <w:i/>
          <w:sz w:val="20"/>
          <w:szCs w:val="20"/>
          <w:lang w:val="fr-FR"/>
        </w:rPr>
        <w:t>JCP G Semaine Juridique Semaine Juridique</w:t>
      </w:r>
      <w:r w:rsidRPr="00216380">
        <w:rPr>
          <w:sz w:val="20"/>
          <w:szCs w:val="20"/>
          <w:lang w:val="fr-FR"/>
        </w:rPr>
        <w:t>, 26.10.2009, n</w:t>
      </w:r>
      <w:r w:rsidRPr="00216380">
        <w:rPr>
          <w:sz w:val="20"/>
          <w:szCs w:val="20"/>
          <w:vertAlign w:val="superscript"/>
          <w:lang w:val="fr-FR"/>
        </w:rPr>
        <w:t>o</w:t>
      </w:r>
      <w:r w:rsidRPr="00216380">
        <w:rPr>
          <w:sz w:val="20"/>
          <w:szCs w:val="20"/>
          <w:lang w:val="fr-FR"/>
        </w:rPr>
        <w:t xml:space="preserve"> 44, </w:t>
      </w:r>
      <w:r w:rsidRPr="00216380">
        <w:rPr>
          <w:sz w:val="20"/>
          <w:szCs w:val="20"/>
        </w:rPr>
        <w:t>σελ</w:t>
      </w:r>
      <w:r>
        <w:rPr>
          <w:sz w:val="20"/>
          <w:szCs w:val="20"/>
          <w:lang w:val="fr-FR"/>
        </w:rPr>
        <w:t>. 11-13</w:t>
      </w:r>
      <w:r w:rsidRPr="00216380">
        <w:rPr>
          <w:sz w:val="20"/>
          <w:szCs w:val="20"/>
          <w:lang w:val="fr-FR"/>
        </w:rPr>
        <w:t>;</w:t>
      </w:r>
      <w:r>
        <w:rPr>
          <w:sz w:val="20"/>
          <w:szCs w:val="20"/>
          <w:lang w:val="fr-FR"/>
        </w:rPr>
        <w:t xml:space="preserve"> </w:t>
      </w:r>
      <w:r w:rsidRPr="00216380">
        <w:rPr>
          <w:b/>
          <w:i/>
          <w:sz w:val="20"/>
          <w:szCs w:val="20"/>
          <w:lang w:val="fr-FR"/>
        </w:rPr>
        <w:t>E. Pierroux</w:t>
      </w:r>
      <w:r>
        <w:rPr>
          <w:sz w:val="20"/>
          <w:szCs w:val="20"/>
          <w:lang w:val="fr-FR"/>
        </w:rPr>
        <w:t>, «</w:t>
      </w:r>
      <w:r w:rsidRPr="00216380">
        <w:rPr>
          <w:sz w:val="20"/>
          <w:szCs w:val="20"/>
          <w:lang w:val="fr-FR"/>
        </w:rPr>
        <w:t>Note sous Tribunal de grande instance de Rennes, Ordonnance de réf</w:t>
      </w:r>
      <w:r>
        <w:rPr>
          <w:sz w:val="20"/>
          <w:szCs w:val="20"/>
          <w:lang w:val="fr-FR"/>
        </w:rPr>
        <w:t>éré, 15 octobre 2009</w:t>
      </w:r>
      <w:r w:rsidRPr="00216380">
        <w:rPr>
          <w:sz w:val="20"/>
          <w:szCs w:val="20"/>
          <w:lang w:val="fr-FR"/>
        </w:rPr>
        <w:t>; Le sperme en hé</w:t>
      </w:r>
      <w:r>
        <w:rPr>
          <w:sz w:val="20"/>
          <w:szCs w:val="20"/>
          <w:lang w:val="fr-FR"/>
        </w:rPr>
        <w:t>ritage : un cadeau empoisonné?</w:t>
      </w:r>
      <w:r w:rsidRPr="00216380">
        <w:rPr>
          <w:sz w:val="20"/>
          <w:szCs w:val="20"/>
          <w:lang w:val="fr-FR"/>
        </w:rPr>
        <w:t xml:space="preserve">», </w:t>
      </w:r>
      <w:r w:rsidRPr="00216380">
        <w:rPr>
          <w:i/>
          <w:sz w:val="20"/>
          <w:szCs w:val="20"/>
          <w:lang w:val="fr-FR"/>
        </w:rPr>
        <w:t>La Gazette du Palais</w:t>
      </w:r>
      <w:r w:rsidRPr="00216380">
        <w:rPr>
          <w:sz w:val="20"/>
          <w:szCs w:val="20"/>
          <w:lang w:val="fr-FR"/>
        </w:rPr>
        <w:t>, 20.11.2009, n</w:t>
      </w:r>
      <w:r w:rsidRPr="00216380">
        <w:rPr>
          <w:sz w:val="20"/>
          <w:szCs w:val="20"/>
          <w:vertAlign w:val="superscript"/>
          <w:lang w:val="fr-FR"/>
        </w:rPr>
        <w:t>o</w:t>
      </w:r>
      <w:r w:rsidRPr="00216380">
        <w:rPr>
          <w:sz w:val="20"/>
          <w:szCs w:val="20"/>
          <w:lang w:val="fr-FR"/>
        </w:rPr>
        <w:t xml:space="preserve"> 324-325, </w:t>
      </w:r>
      <w:r w:rsidRPr="00216380">
        <w:rPr>
          <w:sz w:val="20"/>
          <w:szCs w:val="20"/>
        </w:rPr>
        <w:t>σελ</w:t>
      </w:r>
      <w:r w:rsidRPr="00216380">
        <w:rPr>
          <w:sz w:val="20"/>
          <w:szCs w:val="20"/>
          <w:lang w:val="fr-FR"/>
        </w:rPr>
        <w:t>. 10-14</w:t>
      </w:r>
      <w:r>
        <w:rPr>
          <w:sz w:val="20"/>
          <w:szCs w:val="20"/>
          <w:lang w:val="fr-FR"/>
        </w:rPr>
        <w:t xml:space="preserve">. </w:t>
      </w:r>
    </w:p>
  </w:footnote>
  <w:footnote w:id="336">
    <w:p w14:paraId="17EFDEA6" w14:textId="5EFF4B79" w:rsidR="00E47260" w:rsidRPr="00527348" w:rsidRDefault="00E47260" w:rsidP="00527348">
      <w:pPr>
        <w:pStyle w:val="FootnoteText"/>
        <w:rPr>
          <w:lang w:val="el-GR"/>
        </w:rPr>
      </w:pPr>
      <w:r>
        <w:rPr>
          <w:rStyle w:val="FootnoteReference"/>
        </w:rPr>
        <w:footnoteRef/>
      </w:r>
      <w:r>
        <w:t xml:space="preserve"> </w:t>
      </w:r>
      <w:r w:rsidRPr="00390B86">
        <w:t>CCass, 1</w:t>
      </w:r>
      <w:r w:rsidRPr="00390B86">
        <w:rPr>
          <w:vertAlign w:val="superscript"/>
        </w:rPr>
        <w:t>e</w:t>
      </w:r>
      <w:r w:rsidRPr="00390B86">
        <w:t xml:space="preserve"> Civile, </w:t>
      </w:r>
      <w:r>
        <w:t>2 Απριλίου 2008</w:t>
      </w:r>
      <w:r w:rsidRPr="00390B86">
        <w:t xml:space="preserve"> [αριθ. αίτησης αναίρεσης: </w:t>
      </w:r>
      <w:r w:rsidRPr="00543F9D">
        <w:t>06-10256 07-11639]</w:t>
      </w:r>
      <w:r>
        <w:t xml:space="preserve">, διαθέσιμη σε </w:t>
      </w:r>
      <w:r w:rsidRPr="00390B86">
        <w:t xml:space="preserve">Legifrance – Δημόσια Υπηρεσία Διάδοσης Δικαίου: </w:t>
      </w:r>
      <w:hyperlink r:id="rId103" w:history="1">
        <w:r w:rsidRPr="000E1CF9">
          <w:rPr>
            <w:rStyle w:val="Hyperlink"/>
          </w:rPr>
          <w:t>http://www.legifrance.gouv.fr/affichJuriJudi.do?oldAction=rechJuriJudi&amp;idTexte=JURITEXT000018597127&amp;fastReqId=11396073&amp;fastPos=1</w:t>
        </w:r>
      </w:hyperlink>
      <w:r>
        <w:t xml:space="preserve">. </w:t>
      </w:r>
    </w:p>
  </w:footnote>
  <w:footnote w:id="337">
    <w:p w14:paraId="3AD3EF55" w14:textId="75AC8B4B" w:rsidR="00E47260" w:rsidRPr="005923D5" w:rsidRDefault="00E47260" w:rsidP="005923D5">
      <w:pPr>
        <w:pStyle w:val="FootnoteText"/>
        <w:rPr>
          <w:lang w:val="el-GR"/>
        </w:rPr>
      </w:pPr>
      <w:r>
        <w:rPr>
          <w:rStyle w:val="FootnoteReference"/>
        </w:rPr>
        <w:footnoteRef/>
      </w:r>
      <w:r>
        <w:t xml:space="preserve"> Βλ. σχετικά </w:t>
      </w:r>
      <w:r w:rsidRPr="003C11F3">
        <w:rPr>
          <w:b/>
          <w:i/>
        </w:rPr>
        <w:t>M. Lebeau</w:t>
      </w:r>
      <w:r>
        <w:t xml:space="preserve">, </w:t>
      </w:r>
      <w:r w:rsidRPr="00390B86">
        <w:rPr>
          <w:lang w:val="fr-FR"/>
        </w:rPr>
        <w:t>«</w:t>
      </w:r>
      <w:r>
        <w:t>De l'application immédiate de l'article 16-11 du Code civil</w:t>
      </w:r>
      <w:r w:rsidRPr="00390B86">
        <w:rPr>
          <w:rStyle w:val="hl"/>
          <w:lang w:val="fr-FR"/>
        </w:rPr>
        <w:t>»</w:t>
      </w:r>
      <w:r>
        <w:rPr>
          <w:rStyle w:val="hl"/>
          <w:lang w:val="fr-FR"/>
        </w:rPr>
        <w:t xml:space="preserve">, </w:t>
      </w:r>
      <w:r w:rsidRPr="00925A99">
        <w:rPr>
          <w:i/>
        </w:rPr>
        <w:t>Les Petites Affiches</w:t>
      </w:r>
      <w:r>
        <w:t>, 3.3.2009, n</w:t>
      </w:r>
      <w:r w:rsidRPr="00925A99">
        <w:rPr>
          <w:vertAlign w:val="superscript"/>
        </w:rPr>
        <w:t>o</w:t>
      </w:r>
      <w:r>
        <w:t xml:space="preserve"> 44, σελ. 5-14; </w:t>
      </w:r>
      <w:r w:rsidRPr="003C11F3">
        <w:rPr>
          <w:b/>
          <w:i/>
          <w:lang w:val="fr-FR"/>
        </w:rPr>
        <w:t>Ch. Byk</w:t>
      </w:r>
      <w:r>
        <w:rPr>
          <w:lang w:val="fr-FR"/>
        </w:rPr>
        <w:t>, «Bioéthique</w:t>
      </w:r>
      <w:r w:rsidRPr="00390B86">
        <w:rPr>
          <w:lang w:val="fr-FR"/>
        </w:rPr>
        <w:t xml:space="preserve">», </w:t>
      </w:r>
      <w:r w:rsidRPr="00390B86">
        <w:rPr>
          <w:i/>
          <w:lang w:val="fr-FR"/>
        </w:rPr>
        <w:t>JCP G Semaine Juridique</w:t>
      </w:r>
      <w:r>
        <w:rPr>
          <w:lang w:val="fr-FR"/>
        </w:rPr>
        <w:t>, 18.2.2009</w:t>
      </w:r>
      <w:r w:rsidRPr="00390B86">
        <w:rPr>
          <w:lang w:val="fr-FR"/>
        </w:rPr>
        <w:t>, n</w:t>
      </w:r>
      <w:r w:rsidRPr="00390B86">
        <w:rPr>
          <w:vertAlign w:val="superscript"/>
          <w:lang w:val="fr-FR"/>
        </w:rPr>
        <w:t>o</w:t>
      </w:r>
      <w:r>
        <w:rPr>
          <w:lang w:val="fr-FR"/>
        </w:rPr>
        <w:t xml:space="preserve"> 8</w:t>
      </w:r>
      <w:r w:rsidRPr="00390B86">
        <w:rPr>
          <w:lang w:val="fr-FR"/>
        </w:rPr>
        <w:t xml:space="preserve">, </w:t>
      </w:r>
      <w:r w:rsidRPr="00390B86">
        <w:t>σελ</w:t>
      </w:r>
      <w:r w:rsidRPr="00390B86">
        <w:rPr>
          <w:lang w:val="fr-FR"/>
        </w:rPr>
        <w:t xml:space="preserve">. </w:t>
      </w:r>
      <w:r>
        <w:rPr>
          <w:lang w:val="fr-FR"/>
        </w:rPr>
        <w:t>20-24</w:t>
      </w:r>
      <w:r w:rsidRPr="00390B86">
        <w:rPr>
          <w:lang w:val="fr-FR"/>
        </w:rPr>
        <w:t>;</w:t>
      </w:r>
      <w:r>
        <w:rPr>
          <w:lang w:val="fr-FR"/>
        </w:rPr>
        <w:t xml:space="preserve"> </w:t>
      </w:r>
      <w:r w:rsidRPr="003C11F3">
        <w:rPr>
          <w:b/>
          <w:i/>
          <w:lang w:val="fr-FR"/>
        </w:rPr>
        <w:t>J. Rubellin-Devichi, A. Gouttenoire, Ch. Coutant-Lapalus, et autres</w:t>
      </w:r>
      <w:r>
        <w:rPr>
          <w:lang w:val="fr-FR"/>
        </w:rPr>
        <w:t>, «Droit de la famille</w:t>
      </w:r>
      <w:r w:rsidRPr="00390B86">
        <w:rPr>
          <w:lang w:val="fr-FR"/>
        </w:rPr>
        <w:t xml:space="preserve">», </w:t>
      </w:r>
      <w:r w:rsidRPr="00390B86">
        <w:rPr>
          <w:i/>
          <w:lang w:val="fr-FR"/>
        </w:rPr>
        <w:t>JCP G Semaine Juridique</w:t>
      </w:r>
      <w:r w:rsidRPr="00390B86">
        <w:rPr>
          <w:lang w:val="fr-FR"/>
        </w:rPr>
        <w:t>, 7.1.2009, n</w:t>
      </w:r>
      <w:r w:rsidRPr="00390B86">
        <w:rPr>
          <w:vertAlign w:val="superscript"/>
          <w:lang w:val="fr-FR"/>
        </w:rPr>
        <w:t>o</w:t>
      </w:r>
      <w:r>
        <w:rPr>
          <w:lang w:val="fr-FR"/>
        </w:rPr>
        <w:t xml:space="preserve"> 1, σελ. 26-32</w:t>
      </w:r>
      <w:r w:rsidRPr="00390B86">
        <w:rPr>
          <w:lang w:val="fr-FR"/>
        </w:rPr>
        <w:t>;</w:t>
      </w:r>
      <w:r>
        <w:rPr>
          <w:lang w:val="fr-FR"/>
        </w:rPr>
        <w:t xml:space="preserve"> </w:t>
      </w:r>
      <w:r w:rsidRPr="003C11F3">
        <w:rPr>
          <w:b/>
          <w:i/>
          <w:lang w:val="fr-FR"/>
        </w:rPr>
        <w:t>J. Massip</w:t>
      </w:r>
      <w:r>
        <w:rPr>
          <w:lang w:val="fr-FR"/>
        </w:rPr>
        <w:t>, «Jurisprudence</w:t>
      </w:r>
      <w:r w:rsidRPr="00390B86">
        <w:rPr>
          <w:lang w:val="fr-FR"/>
        </w:rPr>
        <w:t xml:space="preserve">», </w:t>
      </w:r>
      <w:r w:rsidRPr="00390B86">
        <w:rPr>
          <w:rStyle w:val="hl"/>
          <w:i/>
          <w:lang w:val="fr-FR"/>
        </w:rPr>
        <w:t>Répertoire du Notariat Defrénois</w:t>
      </w:r>
      <w:r>
        <w:rPr>
          <w:rStyle w:val="hl"/>
          <w:lang w:val="fr-FR"/>
        </w:rPr>
        <w:t>, 30.9.2008</w:t>
      </w:r>
      <w:r w:rsidRPr="00390B86">
        <w:rPr>
          <w:rStyle w:val="hl"/>
          <w:lang w:val="fr-FR"/>
        </w:rPr>
        <w:t>, n</w:t>
      </w:r>
      <w:r w:rsidRPr="00390B86">
        <w:rPr>
          <w:rStyle w:val="hl"/>
          <w:vertAlign w:val="superscript"/>
          <w:lang w:val="fr-FR"/>
        </w:rPr>
        <w:t>o</w:t>
      </w:r>
      <w:r>
        <w:rPr>
          <w:rStyle w:val="hl"/>
          <w:lang w:val="fr-FR"/>
        </w:rPr>
        <w:t xml:space="preserve"> 16</w:t>
      </w:r>
      <w:r w:rsidRPr="00390B86">
        <w:rPr>
          <w:rStyle w:val="hl"/>
          <w:lang w:val="fr-FR"/>
        </w:rPr>
        <w:t xml:space="preserve">, </w:t>
      </w:r>
      <w:r w:rsidRPr="00390B86">
        <w:rPr>
          <w:rStyle w:val="hl"/>
        </w:rPr>
        <w:t>σελ</w:t>
      </w:r>
      <w:r w:rsidRPr="00390B86">
        <w:rPr>
          <w:rStyle w:val="hl"/>
          <w:lang w:val="fr-FR"/>
        </w:rPr>
        <w:t xml:space="preserve">. </w:t>
      </w:r>
      <w:r>
        <w:rPr>
          <w:rStyle w:val="hl"/>
          <w:lang w:val="fr-FR"/>
        </w:rPr>
        <w:t>1842-1846</w:t>
      </w:r>
      <w:r w:rsidRPr="00390B86">
        <w:rPr>
          <w:rStyle w:val="hl"/>
          <w:lang w:val="fr-FR"/>
        </w:rPr>
        <w:t>;</w:t>
      </w:r>
      <w:r>
        <w:rPr>
          <w:rStyle w:val="hl"/>
          <w:lang w:val="fr-FR"/>
        </w:rPr>
        <w:t xml:space="preserve"> </w:t>
      </w:r>
      <w:r w:rsidRPr="003C11F3">
        <w:rPr>
          <w:b/>
          <w:i/>
        </w:rPr>
        <w:t>J.-R. Binet</w:t>
      </w:r>
      <w:r>
        <w:t xml:space="preserve">, </w:t>
      </w:r>
      <w:r>
        <w:rPr>
          <w:lang w:val="fr-FR"/>
        </w:rPr>
        <w:t>«</w:t>
      </w:r>
      <w:r>
        <w:t xml:space="preserve">L'article 16-11 du Code civil relatif aux mesures d'expertise génétique </w:t>
      </w:r>
      <w:r w:rsidRPr="00912C28">
        <w:rPr>
          <w:i/>
        </w:rPr>
        <w:t>post mortem</w:t>
      </w:r>
      <w:r>
        <w:t xml:space="preserve"> est d'application immédiate</w:t>
      </w:r>
      <w:r w:rsidRPr="00390B86">
        <w:rPr>
          <w:lang w:val="fr-FR"/>
        </w:rPr>
        <w:t>»</w:t>
      </w:r>
      <w:r>
        <w:rPr>
          <w:lang w:val="fr-FR"/>
        </w:rPr>
        <w:t xml:space="preserve">, </w:t>
      </w:r>
      <w:r w:rsidRPr="00390B86">
        <w:rPr>
          <w:i/>
          <w:lang w:val="fr-FR"/>
        </w:rPr>
        <w:t>JCP G Semaine Juridique</w:t>
      </w:r>
      <w:r w:rsidRPr="00390B86">
        <w:rPr>
          <w:lang w:val="fr-FR"/>
        </w:rPr>
        <w:t xml:space="preserve">, </w:t>
      </w:r>
      <w:r>
        <w:rPr>
          <w:lang w:val="fr-FR"/>
        </w:rPr>
        <w:t>9</w:t>
      </w:r>
      <w:r w:rsidRPr="00390B86">
        <w:rPr>
          <w:lang w:val="fr-FR"/>
        </w:rPr>
        <w:t>.</w:t>
      </w:r>
      <w:r>
        <w:rPr>
          <w:lang w:val="fr-FR"/>
        </w:rPr>
        <w:t>7.2008</w:t>
      </w:r>
      <w:r w:rsidRPr="00390B86">
        <w:rPr>
          <w:lang w:val="fr-FR"/>
        </w:rPr>
        <w:t>, n</w:t>
      </w:r>
      <w:r w:rsidRPr="00390B86">
        <w:rPr>
          <w:vertAlign w:val="superscript"/>
          <w:lang w:val="fr-FR"/>
        </w:rPr>
        <w:t>o</w:t>
      </w:r>
      <w:r>
        <w:rPr>
          <w:lang w:val="fr-FR"/>
        </w:rPr>
        <w:t xml:space="preserve"> 28</w:t>
      </w:r>
      <w:r w:rsidRPr="00390B86">
        <w:rPr>
          <w:lang w:val="fr-FR"/>
        </w:rPr>
        <w:t xml:space="preserve">, σελ. </w:t>
      </w:r>
      <w:r>
        <w:rPr>
          <w:lang w:val="fr-FR"/>
        </w:rPr>
        <w:t>40-43</w:t>
      </w:r>
      <w:r w:rsidRPr="00390B86">
        <w:rPr>
          <w:lang w:val="fr-FR"/>
        </w:rPr>
        <w:t>;</w:t>
      </w:r>
      <w:r>
        <w:rPr>
          <w:lang w:val="fr-FR"/>
        </w:rPr>
        <w:t xml:space="preserve"> </w:t>
      </w:r>
      <w:r w:rsidRPr="003C11F3">
        <w:rPr>
          <w:b/>
          <w:i/>
        </w:rPr>
        <w:t>Th. Garré</w:t>
      </w:r>
      <w:r>
        <w:t xml:space="preserve">, </w:t>
      </w:r>
      <w:r>
        <w:rPr>
          <w:lang w:val="fr-FR"/>
        </w:rPr>
        <w:t>«</w:t>
      </w:r>
      <w:r>
        <w:t>L'article 16-11, alinéa 2 du Code civil interdisant, sauf accord exprès, les expertises post mortem est d'application immédiate</w:t>
      </w:r>
      <w:r w:rsidRPr="00390B86">
        <w:rPr>
          <w:lang w:val="fr-FR"/>
        </w:rPr>
        <w:t>»</w:t>
      </w:r>
      <w:r>
        <w:rPr>
          <w:lang w:val="fr-FR"/>
        </w:rPr>
        <w:t xml:space="preserve">, </w:t>
      </w:r>
      <w:r w:rsidRPr="000D039E">
        <w:rPr>
          <w:i/>
          <w:lang w:val="fr-FR"/>
        </w:rPr>
        <w:t>Revue Juridique Personnes et Famille</w:t>
      </w:r>
      <w:r>
        <w:rPr>
          <w:lang w:val="fr-FR"/>
        </w:rPr>
        <w:t>, 1.7.2008, n</w:t>
      </w:r>
      <w:r w:rsidRPr="000D039E">
        <w:rPr>
          <w:vertAlign w:val="superscript"/>
          <w:lang w:val="fr-FR"/>
        </w:rPr>
        <w:t>o</w:t>
      </w:r>
      <w:r>
        <w:rPr>
          <w:lang w:val="fr-FR"/>
        </w:rPr>
        <w:t xml:space="preserve"> 7, </w:t>
      </w:r>
      <w:r>
        <w:t xml:space="preserve">σελ. 22-24; </w:t>
      </w:r>
      <w:r w:rsidRPr="003C11F3">
        <w:rPr>
          <w:b/>
          <w:i/>
        </w:rPr>
        <w:t>H</w:t>
      </w:r>
      <w:r w:rsidRPr="005923D5">
        <w:rPr>
          <w:b/>
          <w:i/>
        </w:rPr>
        <w:t>. Croze, M. Douchy-Oudot, J. Junillon, et autres</w:t>
      </w:r>
      <w:r>
        <w:t>, «Action en recherche de paternité</w:t>
      </w:r>
      <w:r w:rsidRPr="00390B86">
        <w:rPr>
          <w:lang w:val="fr-FR"/>
        </w:rPr>
        <w:t>»</w:t>
      </w:r>
      <w:r>
        <w:rPr>
          <w:lang w:val="fr-FR"/>
        </w:rPr>
        <w:t xml:space="preserve">, </w:t>
      </w:r>
      <w:r w:rsidRPr="000D039E">
        <w:rPr>
          <w:i/>
          <w:lang w:val="fr-FR"/>
        </w:rPr>
        <w:t>Proc</w:t>
      </w:r>
      <w:r w:rsidRPr="000D039E">
        <w:rPr>
          <w:i/>
        </w:rPr>
        <w:t>é</w:t>
      </w:r>
      <w:r w:rsidRPr="000D039E">
        <w:rPr>
          <w:i/>
          <w:lang w:val="fr-FR"/>
        </w:rPr>
        <w:t>dures</w:t>
      </w:r>
      <w:r>
        <w:rPr>
          <w:lang w:val="fr-FR"/>
        </w:rPr>
        <w:t>, 1.6.2008, n</w:t>
      </w:r>
      <w:r w:rsidRPr="000D039E">
        <w:rPr>
          <w:vertAlign w:val="superscript"/>
          <w:lang w:val="fr-FR"/>
        </w:rPr>
        <w:t>o</w:t>
      </w:r>
      <w:r>
        <w:rPr>
          <w:lang w:val="fr-FR"/>
        </w:rPr>
        <w:t xml:space="preserve"> 6, </w:t>
      </w:r>
      <w:r>
        <w:t xml:space="preserve">σελ. 21-22; </w:t>
      </w:r>
      <w:r w:rsidRPr="005923D5">
        <w:rPr>
          <w:b/>
          <w:i/>
        </w:rPr>
        <w:t>G. Marraud des Grottes</w:t>
      </w:r>
      <w:r>
        <w:t>, «Des conditions de l'identification post mortem par empreintes génétiques</w:t>
      </w:r>
      <w:r w:rsidRPr="00390B86">
        <w:rPr>
          <w:lang w:val="fr-FR"/>
        </w:rPr>
        <w:t>»</w:t>
      </w:r>
      <w:r>
        <w:rPr>
          <w:lang w:val="fr-FR"/>
        </w:rPr>
        <w:t xml:space="preserve">, </w:t>
      </w:r>
      <w:r w:rsidRPr="00DA5034">
        <w:rPr>
          <w:i/>
          <w:lang w:val="fr-FR"/>
        </w:rPr>
        <w:t>Revue Lamy Droit Civil</w:t>
      </w:r>
      <w:r>
        <w:rPr>
          <w:lang w:val="fr-FR"/>
        </w:rPr>
        <w:t>, 1.5.2008, n</w:t>
      </w:r>
      <w:r w:rsidRPr="000D039E">
        <w:rPr>
          <w:vertAlign w:val="superscript"/>
          <w:lang w:val="fr-FR"/>
        </w:rPr>
        <w:t>o</w:t>
      </w:r>
      <w:r>
        <w:rPr>
          <w:lang w:val="fr-FR"/>
        </w:rPr>
        <w:t xml:space="preserve"> 49, </w:t>
      </w:r>
      <w:r>
        <w:t xml:space="preserve">σελ. 47-48; </w:t>
      </w:r>
      <w:r w:rsidRPr="005923D5">
        <w:rPr>
          <w:b/>
          <w:i/>
        </w:rPr>
        <w:t>A. Legoux</w:t>
      </w:r>
      <w:r>
        <w:t>, «</w:t>
      </w:r>
      <w:r w:rsidRPr="00DA5034">
        <w:t>Note sous Cour de cassation, première Chambre civile, 2 avril 2008, pourvois numéro 06-10.256 et 07-11.639</w:t>
      </w:r>
      <w:r w:rsidRPr="00390B86">
        <w:rPr>
          <w:lang w:val="fr-FR"/>
        </w:rPr>
        <w:t>»</w:t>
      </w:r>
      <w:r>
        <w:rPr>
          <w:lang w:val="fr-FR"/>
        </w:rPr>
        <w:t xml:space="preserve">, </w:t>
      </w:r>
      <w:r w:rsidRPr="00DA5034">
        <w:rPr>
          <w:i/>
          <w:lang w:val="fr-FR"/>
        </w:rPr>
        <w:t>La Gazette du Palais</w:t>
      </w:r>
      <w:r>
        <w:rPr>
          <w:lang w:val="fr-FR"/>
        </w:rPr>
        <w:t>, 9.4.2008, n</w:t>
      </w:r>
      <w:r w:rsidRPr="000D039E">
        <w:rPr>
          <w:vertAlign w:val="superscript"/>
          <w:lang w:val="fr-FR"/>
        </w:rPr>
        <w:t>o</w:t>
      </w:r>
      <w:r>
        <w:rPr>
          <w:lang w:val="fr-FR"/>
        </w:rPr>
        <w:t xml:space="preserve"> 100, </w:t>
      </w:r>
      <w:r>
        <w:t>σελ. 5-7.</w:t>
      </w:r>
    </w:p>
  </w:footnote>
  <w:footnote w:id="338">
    <w:p w14:paraId="00A46359" w14:textId="1084F3B2" w:rsidR="00E47260" w:rsidRPr="00DE3482" w:rsidRDefault="00E47260">
      <w:pPr>
        <w:pStyle w:val="FootnoteText"/>
        <w:rPr>
          <w:lang w:val="el-GR"/>
        </w:rPr>
      </w:pPr>
      <w:r>
        <w:rPr>
          <w:rStyle w:val="FootnoteReference"/>
        </w:rPr>
        <w:footnoteRef/>
      </w:r>
      <w:r>
        <w:t xml:space="preserve"> </w:t>
      </w:r>
      <w:r>
        <w:rPr>
          <w:lang w:val="el-GR"/>
        </w:rPr>
        <w:t xml:space="preserve">Βλ. έτσι </w:t>
      </w:r>
      <w:r w:rsidRPr="00E2588A">
        <w:rPr>
          <w:b/>
          <w:i/>
        </w:rPr>
        <w:t>A. Mirkovic</w:t>
      </w:r>
      <w:r>
        <w:t>, «Le transfert d'embryon post mortem: comment sortir de l'impasse?</w:t>
      </w:r>
      <w:r w:rsidRPr="00390B86">
        <w:rPr>
          <w:lang w:val="fr-FR"/>
        </w:rPr>
        <w:t>»</w:t>
      </w:r>
      <w:r>
        <w:rPr>
          <w:lang w:val="fr-FR"/>
        </w:rPr>
        <w:t xml:space="preserve">, </w:t>
      </w:r>
      <w:r w:rsidRPr="00E2588A">
        <w:rPr>
          <w:i/>
          <w:lang w:val="fr-FR"/>
        </w:rPr>
        <w:t>Droit de la Famille</w:t>
      </w:r>
      <w:r>
        <w:rPr>
          <w:lang w:val="fr-FR"/>
        </w:rPr>
        <w:t>, 1.6.2009, n</w:t>
      </w:r>
      <w:r w:rsidRPr="00E2588A">
        <w:rPr>
          <w:vertAlign w:val="superscript"/>
          <w:lang w:val="fr-FR"/>
        </w:rPr>
        <w:t>o</w:t>
      </w:r>
      <w:r>
        <w:rPr>
          <w:lang w:val="fr-FR"/>
        </w:rPr>
        <w:t xml:space="preserve"> 6, </w:t>
      </w:r>
      <w:r>
        <w:rPr>
          <w:lang w:val="el-GR"/>
        </w:rPr>
        <w:t>σελ. 9-12</w:t>
      </w:r>
    </w:p>
  </w:footnote>
  <w:footnote w:id="339">
    <w:p w14:paraId="6F7A69D0" w14:textId="367B0687" w:rsidR="00E47260" w:rsidRPr="0080681C" w:rsidRDefault="00E47260" w:rsidP="0080681C">
      <w:pPr>
        <w:pStyle w:val="FootnoteText"/>
      </w:pPr>
      <w:r>
        <w:rPr>
          <w:rStyle w:val="FootnoteReference"/>
        </w:rPr>
        <w:footnoteRef/>
      </w:r>
      <w:r>
        <w:t xml:space="preserve"> </w:t>
      </w:r>
      <w:r>
        <w:rPr>
          <w:lang w:val="el-GR"/>
        </w:rPr>
        <w:t xml:space="preserve">Βλ. έτσι </w:t>
      </w:r>
      <w:r w:rsidRPr="007C2BC2">
        <w:rPr>
          <w:b/>
          <w:i/>
        </w:rPr>
        <w:t>G. Raoul-Cormeil</w:t>
      </w:r>
      <w:r>
        <w:t>, «Le sort des embryons in vitro, post mortem patris</w:t>
      </w:r>
      <w:r w:rsidRPr="00390B86">
        <w:rPr>
          <w:lang w:val="fr-FR"/>
        </w:rPr>
        <w:t>»</w:t>
      </w:r>
      <w:r>
        <w:rPr>
          <w:lang w:val="fr-FR"/>
        </w:rPr>
        <w:t xml:space="preserve">, </w:t>
      </w:r>
      <w:r w:rsidRPr="00390B86">
        <w:rPr>
          <w:i/>
          <w:lang w:val="fr-FR"/>
        </w:rPr>
        <w:t>JCP G Semaine Juridique</w:t>
      </w:r>
      <w:r w:rsidRPr="00390B86">
        <w:rPr>
          <w:lang w:val="fr-FR"/>
        </w:rPr>
        <w:t xml:space="preserve">, </w:t>
      </w:r>
      <w:r>
        <w:rPr>
          <w:lang w:val="fr-FR"/>
        </w:rPr>
        <w:t>23.5.2011</w:t>
      </w:r>
      <w:r w:rsidRPr="00390B86">
        <w:rPr>
          <w:lang w:val="fr-FR"/>
        </w:rPr>
        <w:t>, n</w:t>
      </w:r>
      <w:r w:rsidRPr="00390B86">
        <w:rPr>
          <w:vertAlign w:val="superscript"/>
          <w:lang w:val="fr-FR"/>
        </w:rPr>
        <w:t>o</w:t>
      </w:r>
      <w:r>
        <w:rPr>
          <w:lang w:val="fr-FR"/>
        </w:rPr>
        <w:t xml:space="preserve"> 21</w:t>
      </w:r>
      <w:r w:rsidRPr="00390B86">
        <w:rPr>
          <w:lang w:val="fr-FR"/>
        </w:rPr>
        <w:t xml:space="preserve">, σελ. </w:t>
      </w:r>
      <w:r>
        <w:rPr>
          <w:lang w:val="fr-FR"/>
        </w:rPr>
        <w:t xml:space="preserve">1022-1023. </w:t>
      </w:r>
    </w:p>
  </w:footnote>
  <w:footnote w:id="340">
    <w:p w14:paraId="402FC269" w14:textId="75F945B2" w:rsidR="00E47260" w:rsidRPr="0080681C" w:rsidRDefault="00E47260">
      <w:pPr>
        <w:pStyle w:val="FootnoteText"/>
        <w:rPr>
          <w:lang w:val="el-GR"/>
        </w:rPr>
      </w:pPr>
      <w:r>
        <w:rPr>
          <w:rStyle w:val="FootnoteReference"/>
        </w:rPr>
        <w:footnoteRef/>
      </w:r>
      <w:r>
        <w:t xml:space="preserve"> Βλ. </w:t>
      </w:r>
      <w:r w:rsidRPr="0080681C">
        <w:rPr>
          <w:i/>
        </w:rPr>
        <w:t>supra</w:t>
      </w:r>
      <w:r>
        <w:t xml:space="preserve">,  </w:t>
      </w:r>
      <w:r>
        <w:rPr>
          <w:lang w:val="el-GR"/>
        </w:rPr>
        <w:t xml:space="preserve">σελ. </w:t>
      </w:r>
      <w:r>
        <w:rPr>
          <w:lang w:val="el-GR"/>
        </w:rPr>
        <w:fldChar w:fldCharType="begin"/>
      </w:r>
      <w:r>
        <w:rPr>
          <w:lang w:val="el-GR"/>
        </w:rPr>
        <w:instrText xml:space="preserve"> PAGEREF υαλοποίηση_ωαρίων \h </w:instrText>
      </w:r>
      <w:r>
        <w:rPr>
          <w:lang w:val="el-GR"/>
        </w:rPr>
      </w:r>
      <w:r>
        <w:rPr>
          <w:lang w:val="el-GR"/>
        </w:rPr>
        <w:fldChar w:fldCharType="separate"/>
      </w:r>
      <w:r w:rsidR="00B822F0">
        <w:rPr>
          <w:noProof/>
          <w:lang w:val="el-GR"/>
        </w:rPr>
        <w:t>125</w:t>
      </w:r>
      <w:r>
        <w:rPr>
          <w:lang w:val="el-GR"/>
        </w:rPr>
        <w:fldChar w:fldCharType="end"/>
      </w:r>
      <w:r>
        <w:rPr>
          <w:lang w:val="el-GR"/>
        </w:rPr>
        <w:t xml:space="preserve">επ. </w:t>
      </w:r>
    </w:p>
  </w:footnote>
  <w:footnote w:id="341">
    <w:p w14:paraId="09F5B031" w14:textId="4F83C746" w:rsidR="00E47260" w:rsidRPr="006456F7" w:rsidRDefault="00E47260">
      <w:pPr>
        <w:pStyle w:val="FootnoteText"/>
        <w:rPr>
          <w:lang w:val="el-GR"/>
        </w:rPr>
      </w:pPr>
      <w:r>
        <w:rPr>
          <w:rStyle w:val="FootnoteReference"/>
        </w:rPr>
        <w:footnoteRef/>
      </w:r>
      <w:r>
        <w:t xml:space="preserve"> </w:t>
      </w:r>
      <w:r w:rsidRPr="00390B86">
        <w:t>CCass, 1</w:t>
      </w:r>
      <w:r w:rsidRPr="00390B86">
        <w:rPr>
          <w:vertAlign w:val="superscript"/>
        </w:rPr>
        <w:t>e</w:t>
      </w:r>
      <w:r w:rsidRPr="00390B86">
        <w:t xml:space="preserve"> Civile, 9 Ιανουαρίου 1996 [αριθ. αίτησης αναίρεσης: 94-15998]</w:t>
      </w:r>
      <w:r>
        <w:t xml:space="preserve">, διαθέσιμη σε </w:t>
      </w:r>
      <w:r w:rsidRPr="00390B86">
        <w:t xml:space="preserve">Legifrance – Δημόσια Υπηρεσία Διάδοσης Δικαίου: </w:t>
      </w:r>
      <w:hyperlink r:id="rId104" w:history="1">
        <w:r w:rsidRPr="00390B86">
          <w:rPr>
            <w:rStyle w:val="Hyperlink"/>
          </w:rPr>
          <w:t>http://www.legifrance.gouv.fr/affichJuriJudi.do?oldAction=rechJuriJudi&amp;idTexte=JURITEXT000007035539&amp;fastReqId=1315587180&amp;fastPos=46</w:t>
        </w:r>
      </w:hyperlink>
      <w:r w:rsidRPr="006456F7">
        <w:t>.</w:t>
      </w:r>
    </w:p>
  </w:footnote>
  <w:footnote w:id="342">
    <w:p w14:paraId="31374414" w14:textId="0BA3EEFE" w:rsidR="00E47260" w:rsidRPr="00124D24" w:rsidRDefault="00E47260" w:rsidP="00124D24">
      <w:pPr>
        <w:spacing w:before="0" w:after="0" w:line="240" w:lineRule="auto"/>
        <w:ind w:firstLine="0"/>
        <w:rPr>
          <w:sz w:val="20"/>
          <w:szCs w:val="20"/>
          <w:lang w:val="fr-FR"/>
        </w:rPr>
      </w:pPr>
      <w:r w:rsidRPr="00124D24">
        <w:rPr>
          <w:rStyle w:val="FootnoteReference"/>
          <w:sz w:val="20"/>
          <w:szCs w:val="20"/>
        </w:rPr>
        <w:footnoteRef/>
      </w:r>
      <w:r w:rsidRPr="00124D24">
        <w:rPr>
          <w:sz w:val="20"/>
          <w:szCs w:val="20"/>
        </w:rPr>
        <w:t xml:space="preserve"> Βλ. σχετικά </w:t>
      </w:r>
      <w:r w:rsidRPr="00124D24">
        <w:rPr>
          <w:b/>
          <w:i/>
          <w:sz w:val="20"/>
          <w:szCs w:val="20"/>
          <w:lang w:val="fr-FR"/>
        </w:rPr>
        <w:t>Ch. Byk</w:t>
      </w:r>
      <w:r w:rsidRPr="00124D24">
        <w:rPr>
          <w:sz w:val="20"/>
          <w:szCs w:val="20"/>
          <w:lang w:val="fr-FR"/>
        </w:rPr>
        <w:t xml:space="preserve">, «L'embryon jurisprudentiel», </w:t>
      </w:r>
      <w:r w:rsidRPr="00124D24">
        <w:rPr>
          <w:i/>
          <w:sz w:val="20"/>
          <w:szCs w:val="20"/>
          <w:lang w:val="fr-FR"/>
        </w:rPr>
        <w:t>La Gazette du Palais</w:t>
      </w:r>
      <w:r w:rsidRPr="00124D24">
        <w:rPr>
          <w:sz w:val="20"/>
          <w:szCs w:val="20"/>
          <w:lang w:val="fr-FR"/>
        </w:rPr>
        <w:t>, 24.10.1997, n</w:t>
      </w:r>
      <w:r w:rsidRPr="00124D24">
        <w:rPr>
          <w:sz w:val="20"/>
          <w:szCs w:val="20"/>
          <w:vertAlign w:val="superscript"/>
          <w:lang w:val="fr-FR"/>
        </w:rPr>
        <w:t>o</w:t>
      </w:r>
      <w:r w:rsidRPr="00124D24">
        <w:rPr>
          <w:sz w:val="20"/>
          <w:szCs w:val="20"/>
          <w:lang w:val="fr-FR"/>
        </w:rPr>
        <w:t xml:space="preserve"> 297, σελ. 46-52; </w:t>
      </w:r>
      <w:r w:rsidRPr="00124D24">
        <w:rPr>
          <w:b/>
          <w:i/>
          <w:sz w:val="20"/>
          <w:szCs w:val="20"/>
          <w:lang w:val="fr-FR"/>
        </w:rPr>
        <w:t>C. Neirinck</w:t>
      </w:r>
      <w:r w:rsidRPr="00124D24">
        <w:rPr>
          <w:sz w:val="20"/>
          <w:szCs w:val="20"/>
          <w:lang w:val="fr-FR"/>
        </w:rPr>
        <w:t xml:space="preserve">, «Le transfert d'embryons post mortem est impossible ; Note sous Cour de cassation, première Chambre civile, 9 janvier 1996, Madame P. contre Centre hospitalier de la Grave (arrêt numéro 59 P)», </w:t>
      </w:r>
      <w:r w:rsidRPr="00124D24">
        <w:rPr>
          <w:i/>
          <w:sz w:val="20"/>
          <w:szCs w:val="20"/>
          <w:lang w:val="fr-FR"/>
        </w:rPr>
        <w:t>JCP G Semaine Juridique</w:t>
      </w:r>
      <w:r w:rsidRPr="00124D24">
        <w:rPr>
          <w:sz w:val="20"/>
          <w:szCs w:val="20"/>
          <w:lang w:val="fr-FR"/>
        </w:rPr>
        <w:t>, 1.11.1996, n</w:t>
      </w:r>
      <w:r w:rsidRPr="00124D24">
        <w:rPr>
          <w:sz w:val="20"/>
          <w:szCs w:val="20"/>
          <w:vertAlign w:val="superscript"/>
          <w:lang w:val="fr-FR"/>
        </w:rPr>
        <w:t>o</w:t>
      </w:r>
      <w:r w:rsidRPr="00124D24">
        <w:rPr>
          <w:sz w:val="20"/>
          <w:szCs w:val="20"/>
          <w:lang w:val="fr-FR"/>
        </w:rPr>
        <w:t xml:space="preserve"> 44, σελ. 1560-1562; </w:t>
      </w:r>
      <w:r w:rsidRPr="00124D24">
        <w:rPr>
          <w:b/>
          <w:i/>
          <w:sz w:val="20"/>
          <w:szCs w:val="20"/>
          <w:lang w:val="fr-FR"/>
        </w:rPr>
        <w:t>J. Bonneau</w:t>
      </w:r>
      <w:r w:rsidRPr="00124D24">
        <w:rPr>
          <w:sz w:val="20"/>
          <w:szCs w:val="20"/>
          <w:lang w:val="fr-FR"/>
        </w:rPr>
        <w:t xml:space="preserve">, «Note sous </w:t>
      </w:r>
      <w:r w:rsidRPr="00124D24">
        <w:rPr>
          <w:rStyle w:val="hl"/>
          <w:sz w:val="20"/>
          <w:szCs w:val="20"/>
          <w:lang w:val="fr-FR"/>
        </w:rPr>
        <w:t>Cour</w:t>
      </w:r>
      <w:r w:rsidRPr="00124D24">
        <w:rPr>
          <w:sz w:val="20"/>
          <w:szCs w:val="20"/>
          <w:lang w:val="fr-FR"/>
        </w:rPr>
        <w:t xml:space="preserve"> de </w:t>
      </w:r>
      <w:r w:rsidRPr="00124D24">
        <w:rPr>
          <w:rStyle w:val="hl"/>
          <w:sz w:val="20"/>
          <w:szCs w:val="20"/>
          <w:lang w:val="fr-FR"/>
        </w:rPr>
        <w:t>cassation</w:t>
      </w:r>
      <w:r w:rsidRPr="00124D24">
        <w:rPr>
          <w:sz w:val="20"/>
          <w:szCs w:val="20"/>
          <w:lang w:val="fr-FR"/>
        </w:rPr>
        <w:t xml:space="preserve">, </w:t>
      </w:r>
      <w:r w:rsidRPr="00124D24">
        <w:rPr>
          <w:rStyle w:val="hl"/>
          <w:sz w:val="20"/>
          <w:szCs w:val="20"/>
          <w:lang w:val="fr-FR"/>
        </w:rPr>
        <w:t>première Chambre civile</w:t>
      </w:r>
      <w:r w:rsidRPr="00124D24">
        <w:rPr>
          <w:sz w:val="20"/>
          <w:szCs w:val="20"/>
          <w:lang w:val="fr-FR"/>
        </w:rPr>
        <w:t xml:space="preserve">, </w:t>
      </w:r>
      <w:r w:rsidRPr="00124D24">
        <w:rPr>
          <w:rStyle w:val="hl"/>
          <w:sz w:val="20"/>
          <w:szCs w:val="20"/>
          <w:lang w:val="fr-FR"/>
        </w:rPr>
        <w:t>9 janvier 1996</w:t>
      </w:r>
      <w:r w:rsidRPr="00124D24">
        <w:rPr>
          <w:sz w:val="20"/>
          <w:szCs w:val="20"/>
          <w:lang w:val="fr-FR"/>
        </w:rPr>
        <w:t xml:space="preserve">, Madame P. contre Centre Hospitalier de La Grave», </w:t>
      </w:r>
      <w:r w:rsidRPr="00124D24">
        <w:rPr>
          <w:i/>
          <w:sz w:val="20"/>
          <w:szCs w:val="20"/>
          <w:lang w:val="fr-FR"/>
        </w:rPr>
        <w:t>La Gazette du Palais</w:t>
      </w:r>
      <w:r w:rsidRPr="00124D24">
        <w:rPr>
          <w:sz w:val="20"/>
          <w:szCs w:val="20"/>
          <w:lang w:val="fr-FR"/>
        </w:rPr>
        <w:t>, 14.7.1996, n</w:t>
      </w:r>
      <w:r w:rsidRPr="00124D24">
        <w:rPr>
          <w:sz w:val="20"/>
          <w:szCs w:val="20"/>
          <w:vertAlign w:val="superscript"/>
          <w:lang w:val="fr-FR"/>
        </w:rPr>
        <w:t>o</w:t>
      </w:r>
      <w:r w:rsidRPr="00124D24">
        <w:rPr>
          <w:sz w:val="20"/>
          <w:szCs w:val="20"/>
          <w:lang w:val="fr-FR"/>
        </w:rPr>
        <w:t xml:space="preserve"> 196; </w:t>
      </w:r>
      <w:r w:rsidRPr="00124D24">
        <w:rPr>
          <w:b/>
          <w:i/>
          <w:sz w:val="20"/>
          <w:szCs w:val="20"/>
          <w:lang w:val="fr-FR"/>
        </w:rPr>
        <w:t>A. Cheynet de Beaupré Terrasson de Fougères</w:t>
      </w:r>
      <w:r w:rsidRPr="00124D24">
        <w:rPr>
          <w:sz w:val="20"/>
          <w:szCs w:val="20"/>
          <w:lang w:val="fr-FR"/>
        </w:rPr>
        <w:t xml:space="preserve">, «Le devenir des embryons conçus in vitro après dissolution du couple parental; Note sous un arrêt de la </w:t>
      </w:r>
      <w:r w:rsidRPr="00124D24">
        <w:rPr>
          <w:rStyle w:val="hl"/>
          <w:sz w:val="20"/>
          <w:szCs w:val="20"/>
          <w:lang w:val="fr-FR"/>
        </w:rPr>
        <w:t>première Chambre civile</w:t>
      </w:r>
      <w:r w:rsidRPr="00124D24">
        <w:rPr>
          <w:sz w:val="20"/>
          <w:szCs w:val="20"/>
          <w:lang w:val="fr-FR"/>
        </w:rPr>
        <w:t xml:space="preserve"> de la </w:t>
      </w:r>
      <w:r w:rsidRPr="00124D24">
        <w:rPr>
          <w:rStyle w:val="hl"/>
          <w:sz w:val="20"/>
          <w:szCs w:val="20"/>
          <w:lang w:val="fr-FR"/>
        </w:rPr>
        <w:t>Cour</w:t>
      </w:r>
      <w:r w:rsidRPr="00124D24">
        <w:rPr>
          <w:sz w:val="20"/>
          <w:szCs w:val="20"/>
          <w:lang w:val="fr-FR"/>
        </w:rPr>
        <w:t xml:space="preserve"> de </w:t>
      </w:r>
      <w:r w:rsidRPr="00124D24">
        <w:rPr>
          <w:rStyle w:val="hl"/>
          <w:sz w:val="20"/>
          <w:szCs w:val="20"/>
          <w:lang w:val="fr-FR"/>
        </w:rPr>
        <w:t>cassation</w:t>
      </w:r>
      <w:r w:rsidRPr="00124D24">
        <w:rPr>
          <w:sz w:val="20"/>
          <w:szCs w:val="20"/>
          <w:lang w:val="fr-FR"/>
        </w:rPr>
        <w:t xml:space="preserve">, </w:t>
      </w:r>
      <w:r w:rsidRPr="00124D24">
        <w:rPr>
          <w:rStyle w:val="hl"/>
          <w:sz w:val="20"/>
          <w:szCs w:val="20"/>
          <w:lang w:val="fr-FR"/>
        </w:rPr>
        <w:t xml:space="preserve">9 janvier 1996 », </w:t>
      </w:r>
      <w:r w:rsidRPr="00124D24">
        <w:rPr>
          <w:rStyle w:val="hl"/>
          <w:i/>
          <w:sz w:val="20"/>
          <w:szCs w:val="20"/>
          <w:lang w:val="fr-FR"/>
        </w:rPr>
        <w:t>Revue de droit sanitaire et social</w:t>
      </w:r>
      <w:r w:rsidRPr="00124D24">
        <w:rPr>
          <w:rStyle w:val="hl"/>
          <w:sz w:val="20"/>
          <w:szCs w:val="20"/>
          <w:lang w:val="fr-FR"/>
        </w:rPr>
        <w:t xml:space="preserve">, 1.7.1996, </w:t>
      </w:r>
      <w:r w:rsidRPr="00124D24">
        <w:rPr>
          <w:sz w:val="20"/>
          <w:szCs w:val="20"/>
          <w:lang w:val="fr-FR"/>
        </w:rPr>
        <w:t>n</w:t>
      </w:r>
      <w:r w:rsidRPr="00124D24">
        <w:rPr>
          <w:sz w:val="20"/>
          <w:szCs w:val="20"/>
          <w:vertAlign w:val="superscript"/>
          <w:lang w:val="fr-FR"/>
        </w:rPr>
        <w:t>o</w:t>
      </w:r>
      <w:r w:rsidRPr="00124D24">
        <w:rPr>
          <w:sz w:val="20"/>
          <w:szCs w:val="20"/>
          <w:lang w:val="fr-FR"/>
        </w:rPr>
        <w:t xml:space="preserve"> 3, σελ. 623-631. </w:t>
      </w:r>
    </w:p>
  </w:footnote>
  <w:footnote w:id="343">
    <w:p w14:paraId="23372C74" w14:textId="0739D3EF" w:rsidR="00E47260" w:rsidRPr="00E81934" w:rsidRDefault="00E47260">
      <w:pPr>
        <w:pStyle w:val="FootnoteText"/>
        <w:rPr>
          <w:lang w:val="el-GR"/>
        </w:rPr>
      </w:pPr>
      <w:r>
        <w:rPr>
          <w:rStyle w:val="FootnoteReference"/>
        </w:rPr>
        <w:footnoteRef/>
      </w:r>
      <w:r>
        <w:t xml:space="preserve"> </w:t>
      </w:r>
      <w:r w:rsidRPr="00E254F5">
        <w:t xml:space="preserve">Βλ. Conseil d’État, </w:t>
      </w:r>
      <w:r>
        <w:rPr>
          <w:i/>
        </w:rPr>
        <w:t>Les lois de b</w:t>
      </w:r>
      <w:r w:rsidRPr="00E254F5">
        <w:rPr>
          <w:i/>
        </w:rPr>
        <w:t>io</w:t>
      </w:r>
      <w:r>
        <w:rPr>
          <w:i/>
        </w:rPr>
        <w:t>éthique: cinq ans apr</w:t>
      </w:r>
      <w:r w:rsidRPr="00E254F5">
        <w:rPr>
          <w:i/>
        </w:rPr>
        <w:t>è</w:t>
      </w:r>
      <w:r>
        <w:rPr>
          <w:i/>
        </w:rPr>
        <w:t>s</w:t>
      </w:r>
      <w:r w:rsidRPr="00E254F5">
        <w:rPr>
          <w:i/>
        </w:rPr>
        <w:t xml:space="preserve">, </w:t>
      </w:r>
      <w:r>
        <w:t xml:space="preserve">La Documentation Française, 1999, </w:t>
      </w:r>
      <w:r>
        <w:rPr>
          <w:lang w:val="el-GR"/>
        </w:rPr>
        <w:t xml:space="preserve">σελ. 44, διαθέσιμο σε: </w:t>
      </w:r>
      <w:hyperlink r:id="rId105" w:history="1">
        <w:r w:rsidRPr="00A41600">
          <w:rPr>
            <w:rStyle w:val="Hyperlink"/>
            <w:lang w:val="el-GR"/>
          </w:rPr>
          <w:t>http://www.ladocumentationfrancaise.fr/var/storage/rapports-publics/994001756/0000.pdf</w:t>
        </w:r>
      </w:hyperlink>
      <w:r>
        <w:rPr>
          <w:lang w:val="el-GR"/>
        </w:rPr>
        <w:t xml:space="preserve">. </w:t>
      </w:r>
    </w:p>
  </w:footnote>
  <w:footnote w:id="344">
    <w:p w14:paraId="3644A1FC" w14:textId="3128B0DD" w:rsidR="00E47260" w:rsidRPr="009606BD" w:rsidRDefault="00E47260">
      <w:pPr>
        <w:pStyle w:val="FootnoteText"/>
      </w:pPr>
      <w:r>
        <w:rPr>
          <w:rStyle w:val="FootnoteReference"/>
        </w:rPr>
        <w:footnoteRef/>
      </w:r>
      <w:r>
        <w:t xml:space="preserve"> </w:t>
      </w:r>
      <w:r w:rsidRPr="00DF5D13">
        <w:rPr>
          <w:b/>
          <w:i/>
        </w:rPr>
        <w:t>P. Morin</w:t>
      </w:r>
      <w:r>
        <w:t xml:space="preserve">, </w:t>
      </w:r>
      <w:r w:rsidRPr="00124D24">
        <w:rPr>
          <w:szCs w:val="20"/>
          <w:lang w:val="fr-FR"/>
        </w:rPr>
        <w:t>«</w:t>
      </w:r>
      <w:r>
        <w:t>L'interdiction opportune de l'implantation "post mortem" d'embryon</w:t>
      </w:r>
      <w:r w:rsidRPr="00124D24">
        <w:rPr>
          <w:szCs w:val="20"/>
          <w:lang w:val="fr-FR"/>
        </w:rPr>
        <w:t>»</w:t>
      </w:r>
      <w:r>
        <w:rPr>
          <w:szCs w:val="20"/>
          <w:lang w:val="fr-FR"/>
        </w:rPr>
        <w:t xml:space="preserve">, </w:t>
      </w:r>
      <w:r w:rsidRPr="00390B86">
        <w:rPr>
          <w:rStyle w:val="hl"/>
          <w:i/>
          <w:lang w:val="fr-FR"/>
        </w:rPr>
        <w:t>Répertoire du Notariat Defrénois</w:t>
      </w:r>
      <w:r>
        <w:rPr>
          <w:rStyle w:val="hl"/>
          <w:lang w:val="fr-FR"/>
        </w:rPr>
        <w:t>, 15.3.2004</w:t>
      </w:r>
      <w:r w:rsidRPr="00390B86">
        <w:rPr>
          <w:rStyle w:val="hl"/>
          <w:lang w:val="fr-FR"/>
        </w:rPr>
        <w:t>, n</w:t>
      </w:r>
      <w:r w:rsidRPr="00390B86">
        <w:rPr>
          <w:rStyle w:val="hl"/>
          <w:vertAlign w:val="superscript"/>
          <w:lang w:val="fr-FR"/>
        </w:rPr>
        <w:t>o</w:t>
      </w:r>
      <w:r>
        <w:rPr>
          <w:rStyle w:val="hl"/>
          <w:lang w:val="fr-FR"/>
        </w:rPr>
        <w:t xml:space="preserve"> 5</w:t>
      </w:r>
      <w:r w:rsidRPr="00390B86">
        <w:rPr>
          <w:rStyle w:val="hl"/>
          <w:lang w:val="fr-FR"/>
        </w:rPr>
        <w:t xml:space="preserve">, </w:t>
      </w:r>
      <w:r w:rsidRPr="00390B86">
        <w:rPr>
          <w:rStyle w:val="hl"/>
        </w:rPr>
        <w:t>σελ</w:t>
      </w:r>
      <w:r w:rsidRPr="00390B86">
        <w:rPr>
          <w:rStyle w:val="hl"/>
          <w:lang w:val="fr-FR"/>
        </w:rPr>
        <w:t xml:space="preserve">. </w:t>
      </w:r>
      <w:r>
        <w:rPr>
          <w:rStyle w:val="hl"/>
          <w:lang w:val="fr-FR"/>
        </w:rPr>
        <w:t xml:space="preserve">355-363. </w:t>
      </w:r>
    </w:p>
  </w:footnote>
  <w:footnote w:id="345">
    <w:p w14:paraId="1BF4545B" w14:textId="64497700" w:rsidR="00E47260" w:rsidRPr="00E15778" w:rsidRDefault="00E47260">
      <w:pPr>
        <w:pStyle w:val="FootnoteText"/>
        <w:rPr>
          <w:lang w:val="el-GR"/>
        </w:rPr>
      </w:pPr>
      <w:r>
        <w:rPr>
          <w:rStyle w:val="FootnoteReference"/>
        </w:rPr>
        <w:footnoteRef/>
      </w:r>
      <w:r>
        <w:t xml:space="preserve"> </w:t>
      </w:r>
      <w:r w:rsidRPr="00E254F5">
        <w:t xml:space="preserve">Βλ. Conseil d’État, </w:t>
      </w:r>
      <w:r w:rsidRPr="00E254F5">
        <w:rPr>
          <w:i/>
        </w:rPr>
        <w:t>La Revision des Lois de Bioéthique, Étude adoptée par l’Assemblée Générale Plénière</w:t>
      </w:r>
      <w:r w:rsidRPr="00E254F5">
        <w:t>, le 9 avril 2009, La Documentation Française</w:t>
      </w:r>
      <w:r>
        <w:t xml:space="preserve">, </w:t>
      </w:r>
      <w:r>
        <w:rPr>
          <w:lang w:val="el-GR"/>
        </w:rPr>
        <w:t xml:space="preserve">σελ. 38. </w:t>
      </w:r>
    </w:p>
  </w:footnote>
  <w:footnote w:id="346">
    <w:p w14:paraId="7E8A1CCE" w14:textId="5BB8F9DD" w:rsidR="00E47260" w:rsidRPr="00A70CCF" w:rsidRDefault="00E47260" w:rsidP="00955E7A">
      <w:pPr>
        <w:pStyle w:val="FootnoteText"/>
        <w:rPr>
          <w:lang w:val="el-GR"/>
        </w:rPr>
      </w:pPr>
      <w:r>
        <w:rPr>
          <w:rStyle w:val="FootnoteReference"/>
        </w:rPr>
        <w:footnoteRef/>
      </w:r>
      <w:r>
        <w:t xml:space="preserve"> OPECST, </w:t>
      </w:r>
      <w:r w:rsidRPr="00A70CCF">
        <w:rPr>
          <w:i/>
        </w:rPr>
        <w:t>Rapport sur l’</w:t>
      </w:r>
      <w:r w:rsidRPr="00A70CCF">
        <w:rPr>
          <w:rStyle w:val="hl"/>
          <w:i/>
          <w:lang w:val="fr-FR"/>
        </w:rPr>
        <w:t>é</w:t>
      </w:r>
      <w:r w:rsidRPr="00A70CCF">
        <w:rPr>
          <w:i/>
        </w:rPr>
        <w:t>valuation de l’application de la loi relative à la bio</w:t>
      </w:r>
      <w:r w:rsidRPr="00A70CCF">
        <w:rPr>
          <w:rStyle w:val="hl"/>
          <w:i/>
          <w:lang w:val="fr-FR"/>
        </w:rPr>
        <w:t>é</w:t>
      </w:r>
      <w:r w:rsidRPr="00A70CCF">
        <w:rPr>
          <w:i/>
        </w:rPr>
        <w:t>thique</w:t>
      </w:r>
      <w:r>
        <w:t>, D</w:t>
      </w:r>
      <w:r w:rsidRPr="00A70CCF">
        <w:rPr>
          <w:rStyle w:val="hl"/>
          <w:lang w:val="fr-FR"/>
        </w:rPr>
        <w:t>é</w:t>
      </w:r>
      <w:r>
        <w:t xml:space="preserve">c. 2008, Tom. 1, </w:t>
      </w:r>
      <w:r>
        <w:rPr>
          <w:lang w:val="el-GR"/>
        </w:rPr>
        <w:t xml:space="preserve">διαθέσιμη σε: </w:t>
      </w:r>
      <w:hyperlink r:id="rId106" w:history="1">
        <w:r w:rsidRPr="00A41600">
          <w:rPr>
            <w:rStyle w:val="Hyperlink"/>
            <w:lang w:val="el-GR"/>
          </w:rPr>
          <w:t>http://www.assemblee-nationale.fr/13/rap-off/i1325-tI.asp</w:t>
        </w:r>
      </w:hyperlink>
      <w:r>
        <w:rPr>
          <w:lang w:val="el-GR"/>
        </w:rPr>
        <w:t xml:space="preserve">, σελ. 127. </w:t>
      </w:r>
    </w:p>
  </w:footnote>
  <w:footnote w:id="347">
    <w:p w14:paraId="645A46AF" w14:textId="77777777" w:rsidR="00E47260" w:rsidRPr="00E254F5" w:rsidRDefault="00E47260" w:rsidP="00F77520">
      <w:pPr>
        <w:pStyle w:val="FootnoteText"/>
      </w:pPr>
      <w:r w:rsidRPr="00E254F5">
        <w:rPr>
          <w:rStyle w:val="FootnoteReference"/>
          <w:szCs w:val="20"/>
        </w:rPr>
        <w:footnoteRef/>
      </w:r>
      <w:r w:rsidRPr="00E254F5">
        <w:t xml:space="preserve"> CCNE, </w:t>
      </w:r>
      <w:r w:rsidRPr="00E254F5">
        <w:rPr>
          <w:i/>
        </w:rPr>
        <w:t>Avis n° 40 du 17 décembre 1993 sur le transfert d'embryons après décès du conjoint (ou du concubin)</w:t>
      </w:r>
      <w:r>
        <w:t xml:space="preserve">, διαθέσιμη σε: </w:t>
      </w:r>
      <w:hyperlink r:id="rId107" w:history="1">
        <w:r w:rsidRPr="00E254F5">
          <w:rPr>
            <w:rStyle w:val="Hyperlink"/>
            <w:szCs w:val="20"/>
            <w:lang w:val="fr-FR"/>
          </w:rPr>
          <w:t>http://www.ccne-ethique.fr/sites/default/files/publications/avis040.pdf</w:t>
        </w:r>
      </w:hyperlink>
      <w:r w:rsidRPr="00E254F5">
        <w:t>.</w:t>
      </w:r>
    </w:p>
  </w:footnote>
  <w:footnote w:id="348">
    <w:p w14:paraId="58A35A83" w14:textId="77777777" w:rsidR="00E47260" w:rsidRPr="00E254F5" w:rsidRDefault="00E47260" w:rsidP="00FA686B">
      <w:pPr>
        <w:pStyle w:val="FootnoteText"/>
      </w:pPr>
      <w:r w:rsidRPr="00E254F5">
        <w:rPr>
          <w:rStyle w:val="FootnoteReference"/>
          <w:szCs w:val="20"/>
        </w:rPr>
        <w:footnoteRef/>
      </w:r>
      <w:r w:rsidRPr="00E254F5">
        <w:t xml:space="preserve"> CCNE, </w:t>
      </w:r>
      <w:r w:rsidRPr="00E254F5">
        <w:rPr>
          <w:i/>
        </w:rPr>
        <w:t>Avis n° 60 du 25 juin 1998 sur le réexamen des lois bioéthique</w:t>
      </w:r>
      <w:r>
        <w:t xml:space="preserve">, διαθέσιμη σε: </w:t>
      </w:r>
      <w:hyperlink r:id="rId108" w:history="1">
        <w:r w:rsidRPr="00E254F5">
          <w:rPr>
            <w:rStyle w:val="Hyperlink"/>
            <w:szCs w:val="20"/>
            <w:lang w:val="fr-FR"/>
          </w:rPr>
          <w:t>http://www.ccne-ethique.fr/sites/default/files/publications/avis060.pdf</w:t>
        </w:r>
      </w:hyperlink>
      <w:r w:rsidRPr="00E254F5">
        <w:t>.</w:t>
      </w:r>
    </w:p>
  </w:footnote>
  <w:footnote w:id="349">
    <w:p w14:paraId="75A91A3F" w14:textId="77777777" w:rsidR="00E47260" w:rsidRPr="00903564" w:rsidRDefault="00E47260" w:rsidP="00F17658">
      <w:pPr>
        <w:pStyle w:val="FootnoteText"/>
      </w:pPr>
      <w:r w:rsidRPr="00E254F5">
        <w:rPr>
          <w:rStyle w:val="FootnoteReference"/>
          <w:szCs w:val="20"/>
        </w:rPr>
        <w:footnoteRef/>
      </w:r>
      <w:r w:rsidRPr="00E254F5">
        <w:t xml:space="preserve"> CCNE, </w:t>
      </w:r>
      <w:r w:rsidRPr="00E254F5">
        <w:rPr>
          <w:i/>
        </w:rPr>
        <w:t>Avis n° 67 du 27 janvier 2000 sur l’avant-projet des lois de bioéthique</w:t>
      </w:r>
      <w:r>
        <w:t xml:space="preserve">, διαθέσιμη σε: </w:t>
      </w:r>
      <w:hyperlink r:id="rId109" w:history="1">
        <w:r w:rsidRPr="00903564">
          <w:rPr>
            <w:rStyle w:val="Hyperlink"/>
            <w:szCs w:val="20"/>
            <w:lang w:val="fr-FR"/>
          </w:rPr>
          <w:t>http://www.ccne-ethique.fr/sites/default/files/publications/avis067.pdf</w:t>
        </w:r>
      </w:hyperlink>
      <w:r w:rsidRPr="00903564">
        <w:t>.</w:t>
      </w:r>
    </w:p>
  </w:footnote>
  <w:footnote w:id="350">
    <w:p w14:paraId="41CA924E" w14:textId="77E34E0B" w:rsidR="00E47260" w:rsidRPr="00922332" w:rsidRDefault="00E47260" w:rsidP="00922332">
      <w:pPr>
        <w:spacing w:before="0" w:after="0" w:line="240" w:lineRule="auto"/>
        <w:ind w:firstLine="0"/>
        <w:rPr>
          <w:rFonts w:ascii="Times" w:hAnsi="Times" w:cs="Times"/>
          <w:sz w:val="20"/>
          <w:szCs w:val="20"/>
          <w:lang w:val="en-US" w:eastAsia="en-US"/>
        </w:rPr>
      </w:pPr>
      <w:r w:rsidRPr="00922332">
        <w:rPr>
          <w:rStyle w:val="FootnoteReference"/>
          <w:sz w:val="20"/>
          <w:szCs w:val="20"/>
        </w:rPr>
        <w:footnoteRef/>
      </w:r>
      <w:r w:rsidRPr="00922332">
        <w:rPr>
          <w:sz w:val="20"/>
          <w:szCs w:val="20"/>
        </w:rPr>
        <w:t xml:space="preserve"> Βλ. Conseil d’État, </w:t>
      </w:r>
      <w:r w:rsidRPr="00922332">
        <w:rPr>
          <w:i/>
          <w:sz w:val="20"/>
          <w:szCs w:val="20"/>
        </w:rPr>
        <w:t xml:space="preserve">Les lois de bioéthique: cinq ans après, </w:t>
      </w:r>
      <w:r w:rsidRPr="00922332">
        <w:rPr>
          <w:sz w:val="20"/>
          <w:szCs w:val="20"/>
        </w:rPr>
        <w:t xml:space="preserve">1999, </w:t>
      </w:r>
      <w:r w:rsidRPr="00922332">
        <w:rPr>
          <w:i/>
          <w:sz w:val="20"/>
          <w:szCs w:val="20"/>
        </w:rPr>
        <w:t>op.cit.</w:t>
      </w:r>
      <w:r w:rsidRPr="00922332">
        <w:rPr>
          <w:sz w:val="20"/>
          <w:szCs w:val="20"/>
        </w:rPr>
        <w:t xml:space="preserve">; OPECST, </w:t>
      </w:r>
      <w:r w:rsidRPr="00922332">
        <w:rPr>
          <w:i/>
          <w:sz w:val="20"/>
          <w:szCs w:val="20"/>
        </w:rPr>
        <w:t>Rapport sur l’</w:t>
      </w:r>
      <w:r w:rsidRPr="00922332">
        <w:rPr>
          <w:rStyle w:val="hl"/>
          <w:i/>
          <w:sz w:val="20"/>
          <w:szCs w:val="20"/>
          <w:lang w:val="fr-FR"/>
        </w:rPr>
        <w:t>é</w:t>
      </w:r>
      <w:r w:rsidRPr="00922332">
        <w:rPr>
          <w:i/>
          <w:sz w:val="20"/>
          <w:szCs w:val="20"/>
        </w:rPr>
        <w:t>valuation de l’application de la loi Ν</w:t>
      </w:r>
      <w:r w:rsidRPr="00922332">
        <w:rPr>
          <w:i/>
          <w:sz w:val="20"/>
          <w:szCs w:val="20"/>
          <w:vertAlign w:val="superscript"/>
        </w:rPr>
        <w:t>ο</w:t>
      </w:r>
      <w:r w:rsidRPr="00922332">
        <w:rPr>
          <w:i/>
          <w:sz w:val="20"/>
          <w:szCs w:val="20"/>
        </w:rPr>
        <w:t xml:space="preserve"> 94-654 du 29 juillet 1994</w:t>
      </w:r>
      <w:r w:rsidRPr="00922332">
        <w:rPr>
          <w:sz w:val="20"/>
          <w:szCs w:val="20"/>
        </w:rPr>
        <w:t>, D</w:t>
      </w:r>
      <w:r w:rsidRPr="00922332">
        <w:rPr>
          <w:rStyle w:val="hl"/>
          <w:sz w:val="20"/>
          <w:szCs w:val="20"/>
          <w:lang w:val="fr-FR"/>
        </w:rPr>
        <w:t>é</w:t>
      </w:r>
      <w:r w:rsidRPr="00922332">
        <w:rPr>
          <w:sz w:val="20"/>
          <w:szCs w:val="20"/>
        </w:rPr>
        <w:t xml:space="preserve">c. 2008, </w:t>
      </w:r>
      <w:r w:rsidRPr="00922332">
        <w:rPr>
          <w:i/>
          <w:sz w:val="20"/>
          <w:szCs w:val="20"/>
        </w:rPr>
        <w:t>op.cit.</w:t>
      </w:r>
      <w:r w:rsidRPr="00922332">
        <w:rPr>
          <w:sz w:val="20"/>
          <w:szCs w:val="20"/>
        </w:rPr>
        <w:t>;</w:t>
      </w:r>
      <w:r w:rsidRPr="00922332">
        <w:rPr>
          <w:sz w:val="20"/>
          <w:szCs w:val="20"/>
          <w:lang w:val="en-US" w:eastAsia="en-US"/>
        </w:rPr>
        <w:t xml:space="preserve"> </w:t>
      </w:r>
      <w:r>
        <w:rPr>
          <w:sz w:val="20"/>
          <w:szCs w:val="20"/>
          <w:lang w:val="en-US" w:eastAsia="en-US"/>
        </w:rPr>
        <w:t>Rapport n°3528 du 1</w:t>
      </w:r>
      <w:r w:rsidRPr="00922332">
        <w:rPr>
          <w:sz w:val="20"/>
          <w:szCs w:val="20"/>
          <w:vertAlign w:val="superscript"/>
          <w:lang w:val="en-US" w:eastAsia="en-US"/>
        </w:rPr>
        <w:t>er</w:t>
      </w:r>
      <w:r>
        <w:rPr>
          <w:sz w:val="20"/>
          <w:szCs w:val="20"/>
          <w:lang w:val="en-US" w:eastAsia="en-US"/>
        </w:rPr>
        <w:t xml:space="preserve"> janvier </w:t>
      </w:r>
      <w:r w:rsidRPr="00922332">
        <w:rPr>
          <w:sz w:val="20"/>
          <w:szCs w:val="20"/>
          <w:lang w:val="en-US" w:eastAsia="en-US"/>
        </w:rPr>
        <w:t>2002 au nom de la Commission spéciale de l’Assemblée Nationale sur le projet</w:t>
      </w:r>
      <w:r>
        <w:rPr>
          <w:sz w:val="20"/>
          <w:szCs w:val="20"/>
          <w:lang w:val="en-US" w:eastAsia="en-US"/>
        </w:rPr>
        <w:t xml:space="preserve"> de loi relatif à la bioéthique; Rapport n°3525 du </w:t>
      </w:r>
      <w:r w:rsidRPr="00922332">
        <w:rPr>
          <w:sz w:val="20"/>
          <w:szCs w:val="20"/>
          <w:lang w:val="en-US" w:eastAsia="en-US"/>
        </w:rPr>
        <w:t>9</w:t>
      </w:r>
      <w:r>
        <w:rPr>
          <w:sz w:val="20"/>
          <w:szCs w:val="20"/>
          <w:lang w:val="en-US" w:eastAsia="en-US"/>
        </w:rPr>
        <w:t xml:space="preserve"> janvier </w:t>
      </w:r>
      <w:r w:rsidRPr="00922332">
        <w:rPr>
          <w:sz w:val="20"/>
          <w:szCs w:val="20"/>
          <w:lang w:val="en-US" w:eastAsia="en-US"/>
        </w:rPr>
        <w:t>2002 au nom de la Délégation aux droits des femmes de l’Assemblée Nationale</w:t>
      </w:r>
      <w:r>
        <w:rPr>
          <w:sz w:val="20"/>
          <w:szCs w:val="20"/>
          <w:lang w:val="en-US" w:eastAsia="en-US"/>
        </w:rPr>
        <w:t xml:space="preserve">. </w:t>
      </w:r>
    </w:p>
  </w:footnote>
  <w:footnote w:id="351">
    <w:p w14:paraId="60931B48" w14:textId="3CE4689A" w:rsidR="00E47260" w:rsidRPr="00D2603E" w:rsidRDefault="00E47260" w:rsidP="00D2603E">
      <w:pPr>
        <w:pStyle w:val="FootnoteText"/>
        <w:rPr>
          <w:rFonts w:ascii="Times" w:hAnsi="Times" w:cs="Times"/>
        </w:rPr>
      </w:pPr>
      <w:r>
        <w:rPr>
          <w:rStyle w:val="FootnoteReference"/>
        </w:rPr>
        <w:footnoteRef/>
      </w:r>
      <w:r>
        <w:t xml:space="preserve"> </w:t>
      </w:r>
      <w:r w:rsidRPr="00D2603E">
        <w:rPr>
          <w:i/>
        </w:rPr>
        <w:t>Rapport final des États généraux de la bioéthique</w:t>
      </w:r>
      <w:r>
        <w:t xml:space="preserve">, juillet 2009, annexe, σελ. 14, διαθέσιμη σε: </w:t>
      </w:r>
      <w:hyperlink r:id="rId110" w:history="1">
        <w:r w:rsidRPr="00A41600">
          <w:rPr>
            <w:rStyle w:val="Hyperlink"/>
          </w:rPr>
          <w:t>http://www.etatsgenerauxdelabioethique.fr/uploads/rapport_final.pdf</w:t>
        </w:r>
      </w:hyperlink>
      <w:r>
        <w:t xml:space="preserve">. </w:t>
      </w:r>
    </w:p>
  </w:footnote>
  <w:footnote w:id="352">
    <w:p w14:paraId="6EBF3A20" w14:textId="77777777" w:rsidR="00E47260" w:rsidRPr="00E254F5" w:rsidRDefault="00E47260" w:rsidP="00F77520">
      <w:pPr>
        <w:pStyle w:val="FootnoteText"/>
      </w:pPr>
      <w:r w:rsidRPr="00E254F5">
        <w:rPr>
          <w:rStyle w:val="FootnoteReference"/>
          <w:szCs w:val="20"/>
        </w:rPr>
        <w:footnoteRef/>
      </w:r>
      <w:r>
        <w:t xml:space="preserve"> CCNE, </w:t>
      </w:r>
      <w:r w:rsidRPr="00E254F5">
        <w:rPr>
          <w:i/>
        </w:rPr>
        <w:t>La demande d'assistance médicale à la procréation après le décès de l'homme faisant partie du couple</w:t>
      </w:r>
      <w:r w:rsidRPr="00E254F5">
        <w:t>, Avis n</w:t>
      </w:r>
      <w:r w:rsidRPr="00E254F5">
        <w:rPr>
          <w:vertAlign w:val="superscript"/>
        </w:rPr>
        <w:t>o</w:t>
      </w:r>
      <w:r>
        <w:t xml:space="preserve"> 113, 10 février 2011, διαθέσιμη σε: </w:t>
      </w:r>
      <w:hyperlink r:id="rId111" w:history="1">
        <w:r w:rsidRPr="00E254F5">
          <w:rPr>
            <w:rStyle w:val="Hyperlink"/>
            <w:szCs w:val="20"/>
            <w:lang w:val="fr-FR"/>
          </w:rPr>
          <w:t>http://www.ccne-ethique.fr/sites/default/files/publications/avis_113.pdf</w:t>
        </w:r>
      </w:hyperlink>
      <w:r w:rsidRPr="00E254F5">
        <w:t>.</w:t>
      </w:r>
    </w:p>
  </w:footnote>
  <w:footnote w:id="353">
    <w:p w14:paraId="346AC815" w14:textId="28A35FA8" w:rsidR="00E47260" w:rsidRPr="000F7F40" w:rsidRDefault="00E47260">
      <w:pPr>
        <w:pStyle w:val="FootnoteText"/>
        <w:rPr>
          <w:lang w:val="el-GR"/>
        </w:rPr>
      </w:pPr>
      <w:r>
        <w:rPr>
          <w:rStyle w:val="FootnoteReference"/>
        </w:rPr>
        <w:footnoteRef/>
      </w:r>
      <w:r>
        <w:t xml:space="preserve"> </w:t>
      </w:r>
      <w:r w:rsidRPr="000F7F40">
        <w:rPr>
          <w:i/>
        </w:rPr>
        <w:t>Idem</w:t>
      </w:r>
      <w:r>
        <w:t xml:space="preserve">, </w:t>
      </w:r>
      <w:r>
        <w:rPr>
          <w:lang w:val="el-GR"/>
        </w:rPr>
        <w:t xml:space="preserve">σελ. 16. </w:t>
      </w:r>
    </w:p>
  </w:footnote>
  <w:footnote w:id="354">
    <w:p w14:paraId="6560CD11" w14:textId="5E8C030D" w:rsidR="00E47260" w:rsidRPr="00587E5D" w:rsidRDefault="00E47260" w:rsidP="00587E5D">
      <w:pPr>
        <w:pStyle w:val="FootnoteText"/>
        <w:rPr>
          <w:rFonts w:asciiTheme="majorHAnsi" w:hAnsiTheme="majorHAnsi"/>
          <w:szCs w:val="20"/>
          <w:lang w:val="el-GR"/>
        </w:rPr>
      </w:pPr>
      <w:r w:rsidRPr="00587E5D">
        <w:rPr>
          <w:rStyle w:val="FootnoteReference"/>
          <w:rFonts w:asciiTheme="majorHAnsi" w:hAnsiTheme="majorHAnsi"/>
          <w:szCs w:val="20"/>
        </w:rPr>
        <w:footnoteRef/>
      </w:r>
      <w:r w:rsidRPr="00587E5D">
        <w:rPr>
          <w:rFonts w:asciiTheme="majorHAnsi" w:hAnsiTheme="majorHAnsi"/>
          <w:szCs w:val="20"/>
        </w:rPr>
        <w:t xml:space="preserve"> Assembl</w:t>
      </w:r>
      <w:r>
        <w:t>é</w:t>
      </w:r>
      <w:r w:rsidRPr="00587E5D">
        <w:rPr>
          <w:rFonts w:asciiTheme="majorHAnsi" w:hAnsiTheme="majorHAnsi"/>
          <w:szCs w:val="20"/>
        </w:rPr>
        <w:t xml:space="preserve">eNationale, </w:t>
      </w:r>
      <w:r w:rsidRPr="00587E5D">
        <w:rPr>
          <w:rFonts w:asciiTheme="majorHAnsi" w:hAnsiTheme="majorHAnsi"/>
          <w:i/>
          <w:szCs w:val="20"/>
        </w:rPr>
        <w:t>Rapport d’Information fait au nom de la Mission d’Information sur la r</w:t>
      </w:r>
      <w:r w:rsidRPr="00587E5D">
        <w:rPr>
          <w:i/>
        </w:rPr>
        <w:t>é</w:t>
      </w:r>
      <w:r w:rsidRPr="00587E5D">
        <w:rPr>
          <w:rFonts w:asciiTheme="majorHAnsi" w:hAnsiTheme="majorHAnsi"/>
          <w:i/>
          <w:szCs w:val="20"/>
        </w:rPr>
        <w:t>vision des lois de bio</w:t>
      </w:r>
      <w:r w:rsidRPr="00587E5D">
        <w:rPr>
          <w:i/>
        </w:rPr>
        <w:t>é</w:t>
      </w:r>
      <w:r w:rsidRPr="00587E5D">
        <w:rPr>
          <w:rFonts w:asciiTheme="majorHAnsi" w:hAnsiTheme="majorHAnsi"/>
          <w:i/>
          <w:szCs w:val="20"/>
        </w:rPr>
        <w:t>thique</w:t>
      </w:r>
      <w:r w:rsidRPr="00587E5D">
        <w:rPr>
          <w:rFonts w:asciiTheme="majorHAnsi" w:hAnsiTheme="majorHAnsi"/>
          <w:szCs w:val="20"/>
        </w:rPr>
        <w:t xml:space="preserve">, </w:t>
      </w:r>
      <w:r>
        <w:rPr>
          <w:rFonts w:asciiTheme="majorHAnsi" w:hAnsiTheme="majorHAnsi"/>
          <w:szCs w:val="20"/>
        </w:rPr>
        <w:t xml:space="preserve">20.1.2010, </w:t>
      </w:r>
      <w:r w:rsidRPr="00587E5D">
        <w:rPr>
          <w:rFonts w:asciiTheme="majorHAnsi" w:hAnsiTheme="majorHAnsi"/>
          <w:szCs w:val="20"/>
        </w:rPr>
        <w:t xml:space="preserve">σελ. 39επ., </w:t>
      </w:r>
      <w:r w:rsidRPr="00587E5D">
        <w:rPr>
          <w:rFonts w:asciiTheme="majorHAnsi" w:hAnsiTheme="majorHAnsi"/>
          <w:szCs w:val="20"/>
          <w:lang w:val="el-GR"/>
        </w:rPr>
        <w:t xml:space="preserve">διαθέσιμο σε: </w:t>
      </w:r>
      <w:hyperlink r:id="rId112" w:history="1">
        <w:r w:rsidRPr="00587E5D">
          <w:rPr>
            <w:rStyle w:val="Hyperlink"/>
            <w:rFonts w:asciiTheme="majorHAnsi" w:hAnsiTheme="majorHAnsi"/>
            <w:szCs w:val="20"/>
            <w:lang w:val="el-GR"/>
          </w:rPr>
          <w:t>http://www.assemblee-nationale.fr/13/pdf/rap-info/i2235-t1.pdf</w:t>
        </w:r>
      </w:hyperlink>
      <w:r w:rsidRPr="00587E5D">
        <w:rPr>
          <w:rFonts w:asciiTheme="majorHAnsi" w:hAnsiTheme="majorHAnsi"/>
          <w:szCs w:val="20"/>
          <w:lang w:val="el-GR"/>
        </w:rPr>
        <w:t xml:space="preserve">.  </w:t>
      </w:r>
    </w:p>
  </w:footnote>
  <w:footnote w:id="355">
    <w:p w14:paraId="2704B3EB" w14:textId="59ED220A" w:rsidR="00E47260" w:rsidRPr="00B51143" w:rsidRDefault="00E47260">
      <w:pPr>
        <w:pStyle w:val="FootnoteText"/>
        <w:rPr>
          <w:lang w:val="el-GR"/>
        </w:rPr>
      </w:pPr>
      <w:r>
        <w:rPr>
          <w:rStyle w:val="FootnoteReference"/>
        </w:rPr>
        <w:footnoteRef/>
      </w:r>
      <w:r>
        <w:t xml:space="preserve"> </w:t>
      </w:r>
      <w:r w:rsidRPr="00E254F5">
        <w:t>Doc. AN n</w:t>
      </w:r>
      <w:r w:rsidRPr="00E254F5">
        <w:rPr>
          <w:vertAlign w:val="superscript"/>
        </w:rPr>
        <w:t>o</w:t>
      </w:r>
      <w:r w:rsidRPr="00E254F5">
        <w:t xml:space="preserve"> 3111, </w:t>
      </w:r>
      <w:r w:rsidRPr="00E254F5">
        <w:rPr>
          <w:i/>
        </w:rPr>
        <w:t>Rapport de la mission d’information</w:t>
      </w:r>
      <w:r>
        <w:t xml:space="preserve">, 26 janvier 2011, σελ. 61. </w:t>
      </w:r>
    </w:p>
  </w:footnote>
  <w:footnote w:id="356">
    <w:p w14:paraId="23C1E642" w14:textId="3BBB86C1" w:rsidR="00E47260" w:rsidRPr="006B337E" w:rsidRDefault="00E47260" w:rsidP="006B337E">
      <w:pPr>
        <w:pStyle w:val="FootnoteText"/>
        <w:rPr>
          <w:lang w:val="el-GR"/>
        </w:rPr>
      </w:pPr>
      <w:r>
        <w:rPr>
          <w:rStyle w:val="FootnoteReference"/>
        </w:rPr>
        <w:footnoteRef/>
      </w:r>
      <w:r>
        <w:t xml:space="preserve"> </w:t>
      </w:r>
      <w:r>
        <w:rPr>
          <w:bCs/>
        </w:rPr>
        <w:t xml:space="preserve">Assemblée Nationale, </w:t>
      </w:r>
      <w:r>
        <w:t>Texte adopté n</w:t>
      </w:r>
      <w:r w:rsidRPr="006B337E">
        <w:t>°</w:t>
      </w:r>
      <w:r w:rsidRPr="006B337E">
        <w:rPr>
          <w:bCs/>
        </w:rPr>
        <w:t> 606,</w:t>
      </w:r>
      <w:r w:rsidRPr="006B337E">
        <w:rPr>
          <w:b/>
          <w:bCs/>
        </w:rPr>
        <w:t xml:space="preserve"> </w:t>
      </w:r>
      <w:r w:rsidRPr="006B337E">
        <w:rPr>
          <w:iCs/>
        </w:rPr>
        <w:t>«Petite loi»</w:t>
      </w:r>
      <w:r w:rsidRPr="006B337E">
        <w:t xml:space="preserve">, </w:t>
      </w:r>
      <w:r w:rsidRPr="006B337E">
        <w:rPr>
          <w:bCs/>
        </w:rPr>
        <w:t>15 février 2011</w:t>
      </w:r>
      <w:r>
        <w:rPr>
          <w:bCs/>
        </w:rPr>
        <w:t xml:space="preserve">, </w:t>
      </w:r>
      <w:r>
        <w:t xml:space="preserve">Projet de loi </w:t>
      </w:r>
      <w:r>
        <w:rPr>
          <w:i/>
          <w:iCs/>
        </w:rPr>
        <w:t xml:space="preserve">relatif à la </w:t>
      </w:r>
      <w:r>
        <w:t>bioéthique, adopté par l’Assemblée Nationale en première lecture</w:t>
      </w:r>
      <w:r>
        <w:rPr>
          <w:lang w:val="el-GR"/>
        </w:rPr>
        <w:t xml:space="preserve">, διαθέσιμο σε: </w:t>
      </w:r>
      <w:hyperlink r:id="rId113" w:history="1">
        <w:r w:rsidRPr="00265D4D">
          <w:rPr>
            <w:rStyle w:val="Hyperlink"/>
            <w:lang w:val="el-GR"/>
          </w:rPr>
          <w:t>http://www.assemblee-nationale.fr/13/ta/ta0606.asp</w:t>
        </w:r>
      </w:hyperlink>
      <w:r>
        <w:rPr>
          <w:lang w:val="el-GR"/>
        </w:rPr>
        <w:t xml:space="preserve">.  </w:t>
      </w:r>
    </w:p>
  </w:footnote>
  <w:footnote w:id="357">
    <w:p w14:paraId="0C71E58C" w14:textId="342A12FC" w:rsidR="00E47260" w:rsidRPr="00A27F81" w:rsidRDefault="00E47260" w:rsidP="00A27F81">
      <w:pPr>
        <w:pStyle w:val="FootnoteText"/>
        <w:rPr>
          <w:rFonts w:asciiTheme="majorHAnsi" w:hAnsiTheme="majorHAnsi"/>
          <w:szCs w:val="20"/>
        </w:rPr>
      </w:pPr>
      <w:r>
        <w:rPr>
          <w:rStyle w:val="FootnoteReference"/>
        </w:rPr>
        <w:footnoteRef/>
      </w:r>
      <w:r>
        <w:t xml:space="preserve"> S</w:t>
      </w:r>
      <w:r w:rsidRPr="00A27F81">
        <w:rPr>
          <w:rFonts w:asciiTheme="majorHAnsi" w:hAnsiTheme="majorHAnsi"/>
          <w:szCs w:val="20"/>
        </w:rPr>
        <w:t>é</w:t>
      </w:r>
      <w:r>
        <w:t xml:space="preserve">nat, </w:t>
      </w:r>
      <w:r w:rsidRPr="00A27F81">
        <w:rPr>
          <w:rFonts w:asciiTheme="majorHAnsi" w:hAnsiTheme="majorHAnsi"/>
          <w:szCs w:val="20"/>
        </w:rPr>
        <w:t>Rapport n</w:t>
      </w:r>
      <w:r w:rsidRPr="00A27F81">
        <w:rPr>
          <w:rFonts w:asciiTheme="majorHAnsi" w:hAnsiTheme="majorHAnsi"/>
          <w:szCs w:val="20"/>
          <w:vertAlign w:val="superscript"/>
        </w:rPr>
        <w:t>o</w:t>
      </w:r>
      <w:r w:rsidRPr="00A27F81">
        <w:rPr>
          <w:rFonts w:asciiTheme="majorHAnsi" w:hAnsiTheme="majorHAnsi"/>
          <w:szCs w:val="20"/>
        </w:rPr>
        <w:t xml:space="preserve"> 388 fait au nom de la commission des affaires sociales sur le projet de loi, adopté par l’Assemblée Nationale, relatif à la bioéthique,</w:t>
      </w:r>
      <w:r w:rsidRPr="00A27F81">
        <w:rPr>
          <w:rFonts w:asciiTheme="majorHAnsi" w:hAnsiTheme="majorHAnsi"/>
          <w:szCs w:val="20"/>
        </w:rPr>
        <w:br/>
        <w:t>par M. Alain Milon, σελ. 82</w:t>
      </w:r>
      <w:r w:rsidRPr="00A27F81">
        <w:rPr>
          <w:rFonts w:asciiTheme="majorHAnsi" w:hAnsiTheme="majorHAnsi"/>
          <w:szCs w:val="20"/>
          <w:lang w:val="el-GR"/>
        </w:rPr>
        <w:t>επ.</w:t>
      </w:r>
      <w:r w:rsidRPr="00A27F81">
        <w:rPr>
          <w:rFonts w:asciiTheme="majorHAnsi" w:hAnsiTheme="majorHAnsi"/>
          <w:szCs w:val="20"/>
        </w:rPr>
        <w:t xml:space="preserve">, διαθέσιμο σε: </w:t>
      </w:r>
      <w:hyperlink r:id="rId114" w:history="1">
        <w:r w:rsidRPr="00A27F81">
          <w:rPr>
            <w:rStyle w:val="Hyperlink"/>
            <w:rFonts w:asciiTheme="majorHAnsi" w:hAnsiTheme="majorHAnsi"/>
            <w:szCs w:val="20"/>
          </w:rPr>
          <w:t>http://www.senat.fr/rap/l10-388/l10-3881.pdf</w:t>
        </w:r>
      </w:hyperlink>
      <w:r w:rsidRPr="00A27F81">
        <w:rPr>
          <w:rFonts w:asciiTheme="majorHAnsi" w:hAnsiTheme="majorHAnsi"/>
          <w:szCs w:val="20"/>
        </w:rPr>
        <w:t xml:space="preserve">.  </w:t>
      </w:r>
    </w:p>
  </w:footnote>
  <w:footnote w:id="358">
    <w:p w14:paraId="775E87B6" w14:textId="464614EA" w:rsidR="00E47260" w:rsidRPr="00406EEB" w:rsidRDefault="00E47260">
      <w:pPr>
        <w:pStyle w:val="FootnoteText"/>
        <w:rPr>
          <w:lang w:val="el-GR"/>
        </w:rPr>
      </w:pPr>
      <w:r>
        <w:rPr>
          <w:rStyle w:val="FootnoteReference"/>
        </w:rPr>
        <w:footnoteRef/>
      </w:r>
      <w:r>
        <w:rPr>
          <w:lang w:val="el-GR"/>
        </w:rPr>
        <w:t xml:space="preserve"> Σχετικά με τη διαμόρφωση του τελικού νομοθετικού κειμένου βλ. </w:t>
      </w:r>
      <w:r w:rsidRPr="00E254F5">
        <w:rPr>
          <w:b/>
          <w:i/>
        </w:rPr>
        <w:t>Fr. Terré, D. Fenouillet</w:t>
      </w:r>
      <w:r w:rsidRPr="00E254F5">
        <w:t xml:space="preserve">, </w:t>
      </w:r>
      <w:r w:rsidRPr="00E254F5">
        <w:rPr>
          <w:i/>
        </w:rPr>
        <w:t>Droit civil. La famille</w:t>
      </w:r>
      <w:r w:rsidRPr="00E254F5">
        <w:t xml:space="preserve">, </w:t>
      </w:r>
      <w:r w:rsidRPr="00E254F5">
        <w:rPr>
          <w:i/>
        </w:rPr>
        <w:t>op.cit.</w:t>
      </w:r>
      <w:r>
        <w:t xml:space="preserve">, σελ. 788; </w:t>
      </w:r>
      <w:r w:rsidRPr="00833100">
        <w:rPr>
          <w:b/>
          <w:i/>
        </w:rPr>
        <w:t>O. Roy</w:t>
      </w:r>
      <w:r w:rsidRPr="00E254F5">
        <w:t xml:space="preserve">, </w:t>
      </w:r>
      <w:r>
        <w:t>«</w:t>
      </w:r>
      <w:r w:rsidRPr="00E254F5">
        <w:t>Procréation Médicalement assistée et révision des lois bioéthiques françaises. Le montagne a accouché d’une souris</w:t>
      </w:r>
      <w:r>
        <w:t>»</w:t>
      </w:r>
      <w:r w:rsidRPr="00E254F5">
        <w:t xml:space="preserve">, </w:t>
      </w:r>
      <w:r w:rsidRPr="00E254F5">
        <w:rPr>
          <w:i/>
        </w:rPr>
        <w:t>op.cit.,</w:t>
      </w:r>
      <w:r>
        <w:t xml:space="preserve"> σελ. 145-146; </w:t>
      </w:r>
      <w:r w:rsidRPr="00E254F5">
        <w:rPr>
          <w:b/>
          <w:i/>
        </w:rPr>
        <w:t>A.-M. Leroyer</w:t>
      </w:r>
      <w:r w:rsidRPr="00E254F5">
        <w:t xml:space="preserve">, </w:t>
      </w:r>
      <w:r w:rsidRPr="00E254F5">
        <w:rPr>
          <w:i/>
        </w:rPr>
        <w:t>Droit de la famille</w:t>
      </w:r>
      <w:r w:rsidRPr="00E254F5">
        <w:t xml:space="preserve">, </w:t>
      </w:r>
      <w:r w:rsidRPr="00E254F5">
        <w:rPr>
          <w:i/>
        </w:rPr>
        <w:t>op.cit.,</w:t>
      </w:r>
      <w:r>
        <w:t xml:space="preserve"> σελ. 301-302; </w:t>
      </w:r>
      <w:r w:rsidRPr="00E708BB">
        <w:rPr>
          <w:b/>
          <w:i/>
        </w:rPr>
        <w:t>A. Lamboley</w:t>
      </w:r>
      <w:r>
        <w:t xml:space="preserve">, «Les droits fondamentaux de l’enfant», in </w:t>
      </w:r>
      <w:r w:rsidRPr="00E708BB">
        <w:rPr>
          <w:b/>
          <w:i/>
        </w:rPr>
        <w:t>R. Cabrillac, M.-A. Frison-Roche, Th. Revet (dir.)</w:t>
      </w:r>
      <w:r>
        <w:t xml:space="preserve">, </w:t>
      </w:r>
      <w:r w:rsidRPr="00E708BB">
        <w:rPr>
          <w:i/>
        </w:rPr>
        <w:t>Libert</w:t>
      </w:r>
      <w:r w:rsidRPr="00587E5D">
        <w:rPr>
          <w:i/>
        </w:rPr>
        <w:t>é</w:t>
      </w:r>
      <w:r w:rsidRPr="00E708BB">
        <w:rPr>
          <w:i/>
        </w:rPr>
        <w:t>s et droits fondamentaux</w:t>
      </w:r>
      <w:r>
        <w:t xml:space="preserve">, Éd. Dalloz, 2011, </w:t>
      </w:r>
      <w:r>
        <w:rPr>
          <w:lang w:val="el-GR"/>
        </w:rPr>
        <w:t xml:space="preserve">σελ. 293. </w:t>
      </w:r>
    </w:p>
  </w:footnote>
  <w:footnote w:id="359">
    <w:p w14:paraId="7A594C9D" w14:textId="349B29D3" w:rsidR="00E47260" w:rsidRPr="003368BD" w:rsidRDefault="00E47260">
      <w:pPr>
        <w:pStyle w:val="FootnoteText"/>
        <w:rPr>
          <w:lang w:val="el-GR"/>
        </w:rPr>
      </w:pPr>
      <w:r>
        <w:rPr>
          <w:rStyle w:val="FootnoteReference"/>
        </w:rPr>
        <w:footnoteRef/>
      </w:r>
      <w:r>
        <w:t xml:space="preserve"> </w:t>
      </w:r>
      <w:r>
        <w:rPr>
          <w:lang w:val="el-GR"/>
        </w:rPr>
        <w:t xml:space="preserve">Βλ. έτσι </w:t>
      </w:r>
      <w:r w:rsidRPr="007C2BC2">
        <w:rPr>
          <w:b/>
          <w:i/>
        </w:rPr>
        <w:t>G. Raoul-Cormeil</w:t>
      </w:r>
      <w:r>
        <w:t xml:space="preserve">, «Le sort des embryons </w:t>
      </w:r>
      <w:r w:rsidRPr="00E708BB">
        <w:rPr>
          <w:i/>
        </w:rPr>
        <w:t>in vitro, post mortem patris</w:t>
      </w:r>
      <w:r w:rsidRPr="00390B86">
        <w:rPr>
          <w:lang w:val="fr-FR"/>
        </w:rPr>
        <w:t>»</w:t>
      </w:r>
      <w:r>
        <w:rPr>
          <w:lang w:val="fr-FR"/>
        </w:rPr>
        <w:t xml:space="preserve">, </w:t>
      </w:r>
      <w:r>
        <w:rPr>
          <w:i/>
          <w:lang w:val="fr-FR"/>
        </w:rPr>
        <w:t>op.cit.</w:t>
      </w:r>
      <w:r w:rsidRPr="00390B86">
        <w:rPr>
          <w:lang w:val="fr-FR"/>
        </w:rPr>
        <w:t xml:space="preserve">, σελ. </w:t>
      </w:r>
      <w:r>
        <w:rPr>
          <w:lang w:val="fr-FR"/>
        </w:rPr>
        <w:t>102</w:t>
      </w:r>
      <w:r>
        <w:t>;</w:t>
      </w:r>
      <w:r>
        <w:rPr>
          <w:lang w:val="el-GR"/>
        </w:rPr>
        <w:t xml:space="preserve"> </w:t>
      </w:r>
      <w:r w:rsidRPr="003368BD">
        <w:rPr>
          <w:b/>
          <w:i/>
          <w:lang w:val="el-GR"/>
        </w:rPr>
        <w:t xml:space="preserve">J.-R. Binet, </w:t>
      </w:r>
      <w:r w:rsidRPr="003368BD">
        <w:rPr>
          <w:b/>
          <w:i/>
        </w:rPr>
        <w:t>A. Mirkovic</w:t>
      </w:r>
      <w:r>
        <w:t>, «Procr</w:t>
      </w:r>
      <w:r w:rsidRPr="00E708BB">
        <w:t>é</w:t>
      </w:r>
      <w:r>
        <w:t>ation post mortem: ne pas compier les injustices de la nature</w:t>
      </w:r>
      <w:r w:rsidRPr="00390B86">
        <w:rPr>
          <w:lang w:val="fr-FR"/>
        </w:rPr>
        <w:t>»</w:t>
      </w:r>
      <w:r>
        <w:t xml:space="preserve">, </w:t>
      </w:r>
      <w:r w:rsidRPr="003368BD">
        <w:rPr>
          <w:i/>
        </w:rPr>
        <w:t>Bioethica Forum – Journal suisse d’</w:t>
      </w:r>
      <w:r w:rsidRPr="00E708BB">
        <w:rPr>
          <w:i/>
        </w:rPr>
        <w:t>é</w:t>
      </w:r>
      <w:r w:rsidRPr="003368BD">
        <w:rPr>
          <w:i/>
        </w:rPr>
        <w:t>thique biom</w:t>
      </w:r>
      <w:r w:rsidRPr="00E708BB">
        <w:rPr>
          <w:i/>
        </w:rPr>
        <w:t>é</w:t>
      </w:r>
      <w:r w:rsidRPr="003368BD">
        <w:rPr>
          <w:i/>
        </w:rPr>
        <w:t>dicale</w:t>
      </w:r>
      <w:r>
        <w:t>, 2011/4, n</w:t>
      </w:r>
      <w:r w:rsidRPr="003368BD">
        <w:rPr>
          <w:vertAlign w:val="superscript"/>
        </w:rPr>
        <w:t>o</w:t>
      </w:r>
      <w:r>
        <w:t xml:space="preserve"> 2, point de vue, </w:t>
      </w:r>
      <w:r>
        <w:rPr>
          <w:lang w:val="el-GR"/>
        </w:rPr>
        <w:t xml:space="preserve">σελ. 29. </w:t>
      </w:r>
    </w:p>
  </w:footnote>
  <w:footnote w:id="360">
    <w:p w14:paraId="3D926185" w14:textId="6C96C9FF" w:rsidR="00E47260" w:rsidRPr="00BA5944" w:rsidRDefault="00E47260">
      <w:pPr>
        <w:pStyle w:val="FootnoteText"/>
      </w:pPr>
      <w:r>
        <w:rPr>
          <w:rStyle w:val="FootnoteReference"/>
        </w:rPr>
        <w:footnoteRef/>
      </w:r>
      <w:r>
        <w:t xml:space="preserve"> </w:t>
      </w:r>
      <w:r>
        <w:rPr>
          <w:lang w:val="el-GR"/>
        </w:rPr>
        <w:t>Βλ. σχετικά</w:t>
      </w:r>
      <w:r>
        <w:t xml:space="preserve"> </w:t>
      </w:r>
      <w:r w:rsidRPr="00DF5D13">
        <w:rPr>
          <w:b/>
          <w:i/>
        </w:rPr>
        <w:t>P. Morin</w:t>
      </w:r>
      <w:r>
        <w:t xml:space="preserve">, </w:t>
      </w:r>
      <w:r w:rsidRPr="00124D24">
        <w:rPr>
          <w:szCs w:val="20"/>
          <w:lang w:val="fr-FR"/>
        </w:rPr>
        <w:t>«</w:t>
      </w:r>
      <w:r>
        <w:t>L'interdiction opportune de l'implantation "post mortem" d'embryon</w:t>
      </w:r>
      <w:r w:rsidRPr="00124D24">
        <w:rPr>
          <w:szCs w:val="20"/>
          <w:lang w:val="fr-FR"/>
        </w:rPr>
        <w:t>»</w:t>
      </w:r>
      <w:r>
        <w:rPr>
          <w:szCs w:val="20"/>
          <w:lang w:val="fr-FR"/>
        </w:rPr>
        <w:t xml:space="preserve">, </w:t>
      </w:r>
      <w:r>
        <w:rPr>
          <w:rStyle w:val="hl"/>
          <w:i/>
          <w:lang w:val="fr-FR"/>
        </w:rPr>
        <w:t>op.cit.</w:t>
      </w:r>
    </w:p>
  </w:footnote>
  <w:footnote w:id="361">
    <w:p w14:paraId="49D502A5" w14:textId="17EF5198" w:rsidR="00E47260" w:rsidRDefault="00E47260">
      <w:pPr>
        <w:pStyle w:val="FootnoteText"/>
      </w:pPr>
      <w:r>
        <w:rPr>
          <w:rStyle w:val="FootnoteReference"/>
        </w:rPr>
        <w:footnoteRef/>
      </w:r>
      <w:r>
        <w:t xml:space="preserve"> </w:t>
      </w:r>
      <w:r>
        <w:rPr>
          <w:lang w:val="el-GR"/>
        </w:rPr>
        <w:t xml:space="preserve">Βλ. σχετικά </w:t>
      </w:r>
      <w:r w:rsidRPr="006C496E">
        <w:t xml:space="preserve">Eρωτηματολόγιο [3.5], </w:t>
      </w:r>
      <w:r w:rsidRPr="006C496E">
        <w:rPr>
          <w:i/>
        </w:rPr>
        <w:t xml:space="preserve">op.cit., </w:t>
      </w:r>
      <w:r w:rsidRPr="006C496E">
        <w:t>σημ. ΙΙ</w:t>
      </w:r>
      <w:r>
        <w:t>Ι</w:t>
      </w:r>
      <w:r w:rsidRPr="006C496E">
        <w:t xml:space="preserve">, </w:t>
      </w:r>
      <w:r>
        <w:t>1.1</w:t>
      </w:r>
      <w:r w:rsidRPr="006C496E">
        <w:t xml:space="preserve">, σελ. 7; Eρωτηματολόγιο [3.7], </w:t>
      </w:r>
      <w:r w:rsidRPr="006C496E">
        <w:rPr>
          <w:i/>
        </w:rPr>
        <w:t xml:space="preserve">op.cit., </w:t>
      </w:r>
      <w:r w:rsidRPr="006C496E">
        <w:t>σημ. Ι</w:t>
      </w:r>
      <w:r>
        <w:t>Ι</w:t>
      </w:r>
      <w:r w:rsidRPr="006C496E">
        <w:t xml:space="preserve">I, </w:t>
      </w:r>
      <w:r>
        <w:t>1.1, σελ. 10</w:t>
      </w:r>
      <w:r w:rsidRPr="006C496E">
        <w:t xml:space="preserve"> και Eρωτηματολόγιο [3.8], </w:t>
      </w:r>
      <w:r w:rsidRPr="006C496E">
        <w:rPr>
          <w:i/>
        </w:rPr>
        <w:t xml:space="preserve">op.cit., </w:t>
      </w:r>
      <w:r w:rsidRPr="006C496E">
        <w:t>σημ. Ι</w:t>
      </w:r>
      <w:r>
        <w:t>Ι</w:t>
      </w:r>
      <w:r w:rsidRPr="006C496E">
        <w:t>Ι,</w:t>
      </w:r>
      <w:r>
        <w:t xml:space="preserve"> 1.1, σελ. 6. </w:t>
      </w:r>
    </w:p>
  </w:footnote>
  <w:footnote w:id="362">
    <w:p w14:paraId="11668859" w14:textId="370EC052" w:rsidR="00E47260" w:rsidRPr="009012AD" w:rsidRDefault="00E47260">
      <w:pPr>
        <w:pStyle w:val="FootnoteText"/>
        <w:rPr>
          <w:lang w:val="el-GR"/>
        </w:rPr>
      </w:pPr>
      <w:r>
        <w:rPr>
          <w:rStyle w:val="FootnoteReference"/>
        </w:rPr>
        <w:footnoteRef/>
      </w:r>
      <w:r>
        <w:t xml:space="preserve"> </w:t>
      </w:r>
      <w:r w:rsidRPr="006C496E">
        <w:t>Βλ. σχετικά</w:t>
      </w:r>
      <w:r w:rsidRPr="006C496E">
        <w:rPr>
          <w:lang w:val="el-GR"/>
        </w:rPr>
        <w:t xml:space="preserve"> </w:t>
      </w:r>
      <w:r w:rsidRPr="006C496E">
        <w:t xml:space="preserve">Eρωτηματολόγιο [3.1], </w:t>
      </w:r>
      <w:r w:rsidRPr="006C496E">
        <w:rPr>
          <w:i/>
        </w:rPr>
        <w:t xml:space="preserve">op.cit., </w:t>
      </w:r>
      <w:r w:rsidRPr="006C496E">
        <w:t xml:space="preserve">σημ. </w:t>
      </w:r>
      <w:r>
        <w:t>ΙΙΙ, 1.1-1.3</w:t>
      </w:r>
      <w:r w:rsidRPr="006C496E">
        <w:t xml:space="preserve">, σελ. </w:t>
      </w:r>
      <w:r>
        <w:t xml:space="preserve">6-7. </w:t>
      </w:r>
    </w:p>
  </w:footnote>
  <w:footnote w:id="363">
    <w:p w14:paraId="014614E4" w14:textId="5424B081" w:rsidR="00E47260" w:rsidRPr="00C3747D" w:rsidRDefault="00E47260">
      <w:pPr>
        <w:pStyle w:val="FootnoteText"/>
        <w:rPr>
          <w:lang w:val="el-GR"/>
        </w:rPr>
      </w:pPr>
      <w:r>
        <w:rPr>
          <w:rStyle w:val="FootnoteReference"/>
        </w:rPr>
        <w:footnoteRef/>
      </w:r>
      <w:r>
        <w:t xml:space="preserve"> </w:t>
      </w:r>
      <w:r>
        <w:rPr>
          <w:lang w:val="el-GR"/>
        </w:rPr>
        <w:t xml:space="preserve">Βλ. σχετικά </w:t>
      </w:r>
      <w:r w:rsidRPr="00AC2B51">
        <w:t xml:space="preserve">Eρωτηματολόγιο [3.6], </w:t>
      </w:r>
      <w:r w:rsidRPr="00AC2B51">
        <w:rPr>
          <w:i/>
        </w:rPr>
        <w:t>op.cit.</w:t>
      </w:r>
      <w:r w:rsidRPr="00AC2B51">
        <w:t>, σημ. Ι</w:t>
      </w:r>
      <w:r>
        <w:t>Ι</w:t>
      </w:r>
      <w:r w:rsidRPr="00AC2B51">
        <w:t xml:space="preserve">Ι, </w:t>
      </w:r>
      <w:r>
        <w:t xml:space="preserve">1.1-1.3, σελ. 8-9. </w:t>
      </w:r>
      <w:r>
        <w:rPr>
          <w:lang w:val="el-GR"/>
        </w:rPr>
        <w:t>Για περισσότερες λεπτομέρειες βλ</w:t>
      </w:r>
      <w:r w:rsidRPr="00C3747D">
        <w:t xml:space="preserve">. </w:t>
      </w:r>
      <w:r w:rsidRPr="00C3747D">
        <w:rPr>
          <w:b/>
          <w:i/>
        </w:rPr>
        <w:t>S. Bateman Novaes, T. Salem</w:t>
      </w:r>
      <w:r w:rsidRPr="00C3747D">
        <w:t>, "Embeddi</w:t>
      </w:r>
      <w:r>
        <w:t xml:space="preserve">ng the Embryo", in </w:t>
      </w:r>
      <w:r w:rsidRPr="00C3747D">
        <w:rPr>
          <w:b/>
          <w:i/>
        </w:rPr>
        <w:t>J. Harris, S. Holm eds</w:t>
      </w:r>
      <w:r w:rsidRPr="00C3747D">
        <w:t xml:space="preserve">., </w:t>
      </w:r>
      <w:r w:rsidRPr="00C3747D">
        <w:rPr>
          <w:i/>
        </w:rPr>
        <w:t>T</w:t>
      </w:r>
      <w:r>
        <w:rPr>
          <w:i/>
        </w:rPr>
        <w:t>he Future of Human Reproduction</w:t>
      </w:r>
      <w:r w:rsidRPr="00C3747D">
        <w:rPr>
          <w:i/>
        </w:rPr>
        <w:t>: Ethics, Choice and Regulation</w:t>
      </w:r>
      <w:r w:rsidRPr="00C3747D">
        <w:t>, Oxford University Press,</w:t>
      </w:r>
      <w:r>
        <w:t xml:space="preserve"> 1998, σελ</w:t>
      </w:r>
      <w:r w:rsidRPr="00C3747D">
        <w:t xml:space="preserve">. </w:t>
      </w:r>
      <w:r>
        <w:t>116επ</w:t>
      </w:r>
      <w:r w:rsidRPr="00C3747D">
        <w:t>.</w:t>
      </w:r>
    </w:p>
  </w:footnote>
  <w:footnote w:id="364">
    <w:p w14:paraId="2C082C8C" w14:textId="7DB73A93" w:rsidR="00E47260" w:rsidRPr="003867B4" w:rsidRDefault="00E47260">
      <w:pPr>
        <w:pStyle w:val="FootnoteText"/>
        <w:rPr>
          <w:lang w:val="el-GR"/>
        </w:rPr>
      </w:pPr>
      <w:r>
        <w:rPr>
          <w:rStyle w:val="FootnoteReference"/>
        </w:rPr>
        <w:footnoteRef/>
      </w:r>
      <w:r>
        <w:t xml:space="preserve"> </w:t>
      </w:r>
      <w:r w:rsidRPr="006C496E">
        <w:t>Βλ. σχετικά</w:t>
      </w:r>
      <w:r w:rsidRPr="006C496E">
        <w:rPr>
          <w:lang w:val="el-GR"/>
        </w:rPr>
        <w:t xml:space="preserve"> </w:t>
      </w:r>
      <w:r w:rsidRPr="006C496E">
        <w:t xml:space="preserve">Eρωτηματολόγιο [3.2], </w:t>
      </w:r>
      <w:r w:rsidRPr="006C496E">
        <w:rPr>
          <w:i/>
        </w:rPr>
        <w:t xml:space="preserve">op.cit., </w:t>
      </w:r>
      <w:r w:rsidRPr="006C496E">
        <w:t>σημ. ΙI</w:t>
      </w:r>
      <w:r>
        <w:t>Ι</w:t>
      </w:r>
      <w:r w:rsidRPr="006C496E">
        <w:t xml:space="preserve">, </w:t>
      </w:r>
      <w:r>
        <w:t xml:space="preserve">1.1, σελ. </w:t>
      </w:r>
      <w:r w:rsidRPr="006C496E">
        <w:t xml:space="preserve">7; </w:t>
      </w:r>
      <w:r>
        <w:t>Eρωτηματολόγιο [3.3</w:t>
      </w:r>
      <w:r w:rsidRPr="006C496E">
        <w:t xml:space="preserve">], </w:t>
      </w:r>
      <w:r w:rsidRPr="006C496E">
        <w:rPr>
          <w:i/>
        </w:rPr>
        <w:t xml:space="preserve">op.cit., </w:t>
      </w:r>
      <w:r>
        <w:t xml:space="preserve">σημ. ΙΙΙ, 1.1-1.2, σελ. 8; </w:t>
      </w:r>
      <w:r w:rsidRPr="006C496E">
        <w:t xml:space="preserve">Eρωτηματολόγιο [3.4], </w:t>
      </w:r>
      <w:r w:rsidRPr="006C496E">
        <w:rPr>
          <w:i/>
        </w:rPr>
        <w:t xml:space="preserve">op.cit., </w:t>
      </w:r>
      <w:r w:rsidRPr="006C496E">
        <w:t xml:space="preserve">σημ. </w:t>
      </w:r>
      <w:r>
        <w:t>Ι</w:t>
      </w:r>
      <w:r w:rsidRPr="006C496E">
        <w:t xml:space="preserve">ΙI, </w:t>
      </w:r>
      <w:r>
        <w:t>1.1-1.2</w:t>
      </w:r>
      <w:r w:rsidRPr="006C496E">
        <w:t xml:space="preserve">, </w:t>
      </w:r>
      <w:r>
        <w:rPr>
          <w:lang w:val="el-GR"/>
        </w:rPr>
        <w:t>σελ. 8</w:t>
      </w:r>
      <w:r>
        <w:t>.</w:t>
      </w:r>
    </w:p>
  </w:footnote>
  <w:footnote w:id="365">
    <w:p w14:paraId="0CAFBD6D" w14:textId="44A01EEE" w:rsidR="00E47260" w:rsidRPr="00FF5ABA" w:rsidRDefault="00E47260">
      <w:pPr>
        <w:pStyle w:val="FootnoteText"/>
        <w:rPr>
          <w:lang w:val="el-GR"/>
        </w:rPr>
      </w:pPr>
      <w:r>
        <w:rPr>
          <w:rStyle w:val="FootnoteReference"/>
        </w:rPr>
        <w:footnoteRef/>
      </w:r>
      <w:r>
        <w:t xml:space="preserve"> Βλ. σχετικά Eρωτηματολόγιο [3.3</w:t>
      </w:r>
      <w:r w:rsidRPr="006C496E">
        <w:t xml:space="preserve">], </w:t>
      </w:r>
      <w:r w:rsidRPr="006C496E">
        <w:rPr>
          <w:i/>
        </w:rPr>
        <w:t xml:space="preserve">op.cit., </w:t>
      </w:r>
      <w:r>
        <w:t>σημ. ΙΙΙ, 1.1-1.2, σελ. 8</w:t>
      </w:r>
    </w:p>
  </w:footnote>
  <w:footnote w:id="366">
    <w:p w14:paraId="6A0E72ED" w14:textId="77777777" w:rsidR="00E47260" w:rsidRPr="00EE4056" w:rsidRDefault="00E47260" w:rsidP="00500AAB">
      <w:pPr>
        <w:pStyle w:val="FootnoteText"/>
        <w:rPr>
          <w:lang w:val="el-GR"/>
        </w:rPr>
      </w:pPr>
      <w:r>
        <w:rPr>
          <w:rStyle w:val="FootnoteReference"/>
        </w:rPr>
        <w:footnoteRef/>
      </w:r>
      <w:r>
        <w:t xml:space="preserve"> </w:t>
      </w:r>
      <w:r>
        <w:rPr>
          <w:lang w:val="el-GR"/>
        </w:rPr>
        <w:t xml:space="preserve">Για περισσότερες πληροφορίες σχετικά με τις συνέπειες διοικητικής φύσης και τα άρθρα </w:t>
      </w:r>
      <w:r>
        <w:t xml:space="preserve">L. 6241-1 και L. </w:t>
      </w:r>
      <w:r>
        <w:rPr>
          <w:lang w:val="el-GR"/>
        </w:rPr>
        <w:t xml:space="preserve">6241-2 ΚΔΥ βλ. </w:t>
      </w:r>
      <w:r w:rsidRPr="00A74A1A">
        <w:rPr>
          <w:i/>
        </w:rPr>
        <w:t>supra</w:t>
      </w:r>
      <w:r>
        <w:t xml:space="preserve">, </w:t>
      </w:r>
      <w:r>
        <w:rPr>
          <w:lang w:val="el-GR"/>
        </w:rPr>
        <w:t xml:space="preserve">σελ. </w:t>
      </w:r>
      <w:r>
        <w:rPr>
          <w:lang w:val="el-GR"/>
        </w:rPr>
        <w:fldChar w:fldCharType="begin"/>
      </w:r>
      <w:r>
        <w:rPr>
          <w:lang w:val="el-GR"/>
        </w:rPr>
        <w:instrText xml:space="preserve"> PAGEREF Διοικητική_1 \h </w:instrText>
      </w:r>
      <w:r>
        <w:rPr>
          <w:lang w:val="el-GR"/>
        </w:rPr>
      </w:r>
      <w:r>
        <w:rPr>
          <w:lang w:val="el-GR"/>
        </w:rPr>
        <w:fldChar w:fldCharType="separate"/>
      </w:r>
      <w:r w:rsidR="00B822F0">
        <w:rPr>
          <w:noProof/>
          <w:lang w:val="el-GR"/>
        </w:rPr>
        <w:t>38</w:t>
      </w:r>
      <w:r>
        <w:rPr>
          <w:lang w:val="el-GR"/>
        </w:rPr>
        <w:fldChar w:fldCharType="end"/>
      </w:r>
      <w:r>
        <w:rPr>
          <w:lang w:val="el-GR"/>
        </w:rPr>
        <w:t>επ.</w:t>
      </w:r>
    </w:p>
  </w:footnote>
  <w:footnote w:id="367">
    <w:p w14:paraId="50F5DEF3" w14:textId="77777777" w:rsidR="00E47260" w:rsidRPr="001D59D2" w:rsidRDefault="00E47260" w:rsidP="007467E6">
      <w:pPr>
        <w:pStyle w:val="FootnoteText"/>
        <w:rPr>
          <w:lang w:val="el-GR"/>
        </w:rPr>
      </w:pPr>
      <w:r>
        <w:rPr>
          <w:rStyle w:val="FootnoteReference"/>
        </w:rPr>
        <w:footnoteRef/>
      </w:r>
      <w:r>
        <w:t xml:space="preserve"> </w:t>
      </w:r>
      <w:r>
        <w:rPr>
          <w:lang w:val="el-GR"/>
        </w:rPr>
        <w:t xml:space="preserve">Για περισσότερες λεπτομέρειες για τις συνέπειες ποινικής φύσης, τα </w:t>
      </w:r>
      <w:r w:rsidRPr="004E4E05">
        <w:t>άρθρα L. 2164-1 και L. 2164-2</w:t>
      </w:r>
      <w:r>
        <w:t xml:space="preserve"> και τυχόν συμπληρωματικές ποινές που μπορούν να επιβληθούν σε φυσικά ή νομικά πρόσωπα βλ. </w:t>
      </w:r>
      <w:r w:rsidRPr="004E4E05">
        <w:rPr>
          <w:i/>
        </w:rPr>
        <w:t>supra</w:t>
      </w:r>
      <w:r>
        <w:t xml:space="preserve">, σελ. </w:t>
      </w:r>
      <w:r>
        <w:fldChar w:fldCharType="begin"/>
      </w:r>
      <w:r>
        <w:instrText xml:space="preserve"> PAGEREF Ποινική_1 \h </w:instrText>
      </w:r>
      <w:r>
        <w:fldChar w:fldCharType="separate"/>
      </w:r>
      <w:r w:rsidR="00B822F0">
        <w:rPr>
          <w:noProof/>
        </w:rPr>
        <w:t>39</w:t>
      </w:r>
      <w:r>
        <w:fldChar w:fldCharType="end"/>
      </w:r>
      <w:r>
        <w:t>επ.</w:t>
      </w:r>
    </w:p>
  </w:footnote>
  <w:footnote w:id="368">
    <w:p w14:paraId="5A9DD005" w14:textId="77777777" w:rsidR="00E47260" w:rsidRPr="00E254F5" w:rsidRDefault="00E47260" w:rsidP="00DC4089">
      <w:pPr>
        <w:pStyle w:val="FootnoteText"/>
      </w:pPr>
      <w:r w:rsidRPr="00E254F5">
        <w:rPr>
          <w:rStyle w:val="FootnoteReference"/>
          <w:szCs w:val="20"/>
        </w:rPr>
        <w:footnoteRef/>
      </w:r>
      <w:r w:rsidRPr="00E254F5">
        <w:t xml:space="preserve"> Βλ. σχετικά </w:t>
      </w:r>
      <w:r w:rsidRPr="00E254F5">
        <w:rPr>
          <w:i/>
        </w:rPr>
        <w:t>supra</w:t>
      </w:r>
      <w:r w:rsidRPr="00E254F5">
        <w:t xml:space="preserve">, σελ. </w:t>
      </w:r>
      <w:r w:rsidRPr="00E254F5">
        <w:fldChar w:fldCharType="begin"/>
      </w:r>
      <w:r w:rsidRPr="00E254F5">
        <w:instrText xml:space="preserve"> PAGEREF λόγοι_ακυρότητας \h </w:instrText>
      </w:r>
      <w:r w:rsidRPr="00E254F5">
        <w:fldChar w:fldCharType="separate"/>
      </w:r>
      <w:r w:rsidR="00B822F0">
        <w:rPr>
          <w:noProof/>
        </w:rPr>
        <w:t>81</w:t>
      </w:r>
      <w:r w:rsidRPr="00E254F5">
        <w:fldChar w:fldCharType="end"/>
      </w:r>
      <w:r w:rsidRPr="00E254F5">
        <w:t xml:space="preserve">. </w:t>
      </w:r>
    </w:p>
  </w:footnote>
  <w:footnote w:id="369">
    <w:p w14:paraId="6B3FBAF8" w14:textId="77777777" w:rsidR="00E47260" w:rsidRPr="00F953D2" w:rsidRDefault="00E47260" w:rsidP="00DC50EC">
      <w:pPr>
        <w:pStyle w:val="FootnoteText"/>
        <w:rPr>
          <w:lang w:val="el-GR"/>
        </w:rPr>
      </w:pPr>
      <w:r>
        <w:rPr>
          <w:rStyle w:val="FootnoteReference"/>
        </w:rPr>
        <w:footnoteRef/>
      </w:r>
      <w:r>
        <w:t xml:space="preserve"> </w:t>
      </w:r>
      <w:r w:rsidRPr="00390B86">
        <w:rPr>
          <w:lang w:val="fr-FR"/>
        </w:rPr>
        <w:t>TGI</w:t>
      </w:r>
      <w:r w:rsidRPr="00390B86">
        <w:t xml:space="preserve"> </w:t>
      </w:r>
      <w:r>
        <w:rPr>
          <w:lang w:val="fr-FR"/>
        </w:rPr>
        <w:t>d</w:t>
      </w:r>
      <w:r w:rsidRPr="00445D3E">
        <w:t>’</w:t>
      </w:r>
      <w:r>
        <w:rPr>
          <w:lang w:val="fr-FR"/>
        </w:rPr>
        <w:t>Angers</w:t>
      </w:r>
      <w:r w:rsidRPr="00B166F8">
        <w:t>,</w:t>
      </w:r>
      <w:r>
        <w:t xml:space="preserve"> 10 Νοεμβρίου 1992, μ</w:t>
      </w:r>
      <w:r w:rsidRPr="00390B86">
        <w:t>ερική</w:t>
      </w:r>
      <w:r w:rsidRPr="006615AF">
        <w:rPr>
          <w:lang w:val="fr-FR"/>
        </w:rPr>
        <w:t xml:space="preserve"> </w:t>
      </w:r>
      <w:r w:rsidRPr="00390B86">
        <w:t>αναπαραγωγή</w:t>
      </w:r>
      <w:r w:rsidRPr="006615AF">
        <w:rPr>
          <w:lang w:val="fr-FR"/>
        </w:rPr>
        <w:t xml:space="preserve"> </w:t>
      </w:r>
      <w:r>
        <w:rPr>
          <w:lang w:val="fr-FR"/>
        </w:rPr>
        <w:t xml:space="preserve">της </w:t>
      </w:r>
      <w:r w:rsidRPr="00390B86">
        <w:t>απόφασης</w:t>
      </w:r>
      <w:r>
        <w:rPr>
          <w:lang w:val="fr-FR"/>
        </w:rPr>
        <w:t xml:space="preserve"> σε </w:t>
      </w:r>
      <w:r w:rsidRPr="000B63D0">
        <w:rPr>
          <w:b/>
          <w:i/>
          <w:lang w:val="fr-FR"/>
        </w:rPr>
        <w:t>F. Piec-Vansteeger</w:t>
      </w:r>
      <w:r>
        <w:rPr>
          <w:lang w:val="fr-FR"/>
        </w:rPr>
        <w:t>, «</w:t>
      </w:r>
      <w:r w:rsidRPr="003C6A7D">
        <w:rPr>
          <w:lang w:val="fr-FR"/>
        </w:rPr>
        <w:t>De la filiation issue de la procréation médicalement assistée Problèmes liés à l'application de la Loi sur la bioéthique du 29 juillet 1994 en droit de la filiation</w:t>
      </w:r>
      <w:r>
        <w:rPr>
          <w:lang w:val="fr-FR"/>
        </w:rPr>
        <w:t xml:space="preserve">», </w:t>
      </w:r>
      <w:r w:rsidRPr="003C6A7D">
        <w:rPr>
          <w:i/>
          <w:lang w:val="fr-FR"/>
        </w:rPr>
        <w:t>JCP N Semaine Juridique</w:t>
      </w:r>
      <w:r>
        <w:rPr>
          <w:lang w:val="fr-FR"/>
        </w:rPr>
        <w:t>, 13.1.1995, n</w:t>
      </w:r>
      <w:r w:rsidRPr="003C6A7D">
        <w:rPr>
          <w:vertAlign w:val="superscript"/>
          <w:lang w:val="fr-FR"/>
        </w:rPr>
        <w:t>o</w:t>
      </w:r>
      <w:r>
        <w:rPr>
          <w:lang w:val="fr-FR"/>
        </w:rPr>
        <w:t xml:space="preserve"> 2, </w:t>
      </w:r>
      <w:r>
        <w:t>σελ</w:t>
      </w:r>
      <w:r w:rsidRPr="003C6A7D">
        <w:rPr>
          <w:lang w:val="fr-FR"/>
        </w:rPr>
        <w:t>. 59-67</w:t>
      </w:r>
      <w:r>
        <w:rPr>
          <w:lang w:val="fr-FR"/>
        </w:rPr>
        <w:t xml:space="preserve">. </w:t>
      </w:r>
    </w:p>
  </w:footnote>
  <w:footnote w:id="370">
    <w:p w14:paraId="23D9C55C" w14:textId="63CCD8C0" w:rsidR="00E47260" w:rsidRPr="004F5A60" w:rsidRDefault="00E47260">
      <w:pPr>
        <w:pStyle w:val="FootnoteText"/>
        <w:rPr>
          <w:lang w:val="el-GR"/>
        </w:rPr>
      </w:pPr>
      <w:r>
        <w:rPr>
          <w:rStyle w:val="FootnoteReference"/>
        </w:rPr>
        <w:footnoteRef/>
      </w:r>
      <w:r>
        <w:t xml:space="preserve"> </w:t>
      </w:r>
      <w:r>
        <w:rPr>
          <w:lang w:val="el-GR"/>
        </w:rPr>
        <w:t xml:space="preserve">Βλ. </w:t>
      </w:r>
      <w:r>
        <w:t xml:space="preserve">supra, </w:t>
      </w:r>
      <w:r>
        <w:rPr>
          <w:lang w:val="el-GR"/>
        </w:rPr>
        <w:t xml:space="preserve">σελ. </w:t>
      </w:r>
      <w:r>
        <w:rPr>
          <w:lang w:val="el-GR"/>
        </w:rPr>
        <w:fldChar w:fldCharType="begin"/>
      </w:r>
      <w:r>
        <w:rPr>
          <w:lang w:val="el-GR"/>
        </w:rPr>
        <w:instrText xml:space="preserve"> PAGEREF αναγνωριση_πατρότητας_νομολογία \h </w:instrText>
      </w:r>
      <w:r>
        <w:rPr>
          <w:lang w:val="el-GR"/>
        </w:rPr>
      </w:r>
      <w:r>
        <w:rPr>
          <w:lang w:val="el-GR"/>
        </w:rPr>
        <w:fldChar w:fldCharType="separate"/>
      </w:r>
      <w:r w:rsidR="00B822F0">
        <w:rPr>
          <w:noProof/>
          <w:lang w:val="el-GR"/>
        </w:rPr>
        <w:t>164</w:t>
      </w:r>
      <w:r>
        <w:rPr>
          <w:lang w:val="el-GR"/>
        </w:rPr>
        <w:fldChar w:fldCharType="end"/>
      </w:r>
      <w:r>
        <w:rPr>
          <w:lang w:val="el-GR"/>
        </w:rPr>
        <w:t xml:space="preserve">. </w:t>
      </w:r>
    </w:p>
  </w:footnote>
  <w:footnote w:id="371">
    <w:p w14:paraId="46FDCA1F" w14:textId="700FD5BA" w:rsidR="00E47260" w:rsidRPr="00EE1204" w:rsidRDefault="00E47260">
      <w:pPr>
        <w:pStyle w:val="FootnoteText"/>
        <w:rPr>
          <w:lang w:val="el-GR"/>
        </w:rPr>
      </w:pPr>
      <w:r>
        <w:rPr>
          <w:rStyle w:val="FootnoteReference"/>
        </w:rPr>
        <w:footnoteRef/>
      </w:r>
      <w:r>
        <w:t xml:space="preserve"> </w:t>
      </w:r>
      <w:r>
        <w:rPr>
          <w:lang w:val="el-GR"/>
        </w:rPr>
        <w:t xml:space="preserve">Βλ. </w:t>
      </w:r>
      <w:r w:rsidRPr="00EE1204">
        <w:rPr>
          <w:i/>
        </w:rPr>
        <w:t>supra</w:t>
      </w:r>
      <w:r>
        <w:t xml:space="preserve">, </w:t>
      </w:r>
      <w:r>
        <w:rPr>
          <w:lang w:val="el-GR"/>
        </w:rPr>
        <w:t xml:space="preserve">σελ. </w:t>
      </w:r>
      <w:r>
        <w:rPr>
          <w:lang w:val="el-GR"/>
        </w:rPr>
        <w:fldChar w:fldCharType="begin"/>
      </w:r>
      <w:r>
        <w:rPr>
          <w:lang w:val="el-GR"/>
        </w:rPr>
        <w:instrText xml:space="preserve"> PAGEREF προταθείσες_αλλαγές \h </w:instrText>
      </w:r>
      <w:r>
        <w:rPr>
          <w:lang w:val="el-GR"/>
        </w:rPr>
      </w:r>
      <w:r>
        <w:rPr>
          <w:lang w:val="el-GR"/>
        </w:rPr>
        <w:fldChar w:fldCharType="separate"/>
      </w:r>
      <w:r w:rsidR="00B822F0">
        <w:rPr>
          <w:noProof/>
          <w:lang w:val="el-GR"/>
        </w:rPr>
        <w:t>170</w:t>
      </w:r>
      <w:r>
        <w:rPr>
          <w:lang w:val="el-GR"/>
        </w:rPr>
        <w:fldChar w:fldCharType="end"/>
      </w:r>
      <w:r>
        <w:rPr>
          <w:lang w:val="el-GR"/>
        </w:rPr>
        <w:t xml:space="preserve">επ. </w:t>
      </w:r>
    </w:p>
  </w:footnote>
  <w:footnote w:id="372">
    <w:p w14:paraId="47F91FF8" w14:textId="77777777" w:rsidR="00E47260" w:rsidRPr="00B74B0C" w:rsidRDefault="00E47260" w:rsidP="000311EF">
      <w:pPr>
        <w:pStyle w:val="FootnoteText"/>
      </w:pPr>
      <w:r w:rsidRPr="008B4411">
        <w:rPr>
          <w:rStyle w:val="FootnoteReference"/>
        </w:rPr>
        <w:footnoteRef/>
      </w:r>
      <w:r w:rsidRPr="008B4411">
        <w:t xml:space="preserve"> Για περισσότερες λεπτομέρειες βλ. </w:t>
      </w:r>
      <w:r w:rsidRPr="008B4411">
        <w:rPr>
          <w:i/>
        </w:rPr>
        <w:t>supra</w:t>
      </w:r>
      <w:r w:rsidRPr="008B4411">
        <w:t xml:space="preserve">, σελ. </w:t>
      </w:r>
      <w:r w:rsidRPr="008B4411">
        <w:fldChar w:fldCharType="begin"/>
      </w:r>
      <w:r w:rsidRPr="008B4411">
        <w:instrText xml:space="preserve"> PAGEREF Διοικητική_7 \h </w:instrText>
      </w:r>
      <w:r w:rsidRPr="008B4411">
        <w:fldChar w:fldCharType="separate"/>
      </w:r>
      <w:r w:rsidR="00B822F0">
        <w:rPr>
          <w:b/>
          <w:noProof/>
        </w:rPr>
        <w:t>Error! Bookmark not defined.</w:t>
      </w:r>
      <w:r w:rsidRPr="008B4411">
        <w:fldChar w:fldCharType="end"/>
      </w:r>
      <w:r w:rsidRPr="008B4411">
        <w:t>επ</w:t>
      </w:r>
      <w:r w:rsidRPr="00B74B0C">
        <w:t xml:space="preserve">. </w:t>
      </w:r>
    </w:p>
  </w:footnote>
  <w:footnote w:id="373">
    <w:p w14:paraId="3D592D9E" w14:textId="77777777" w:rsidR="00E47260" w:rsidRPr="008B4411" w:rsidRDefault="00E47260" w:rsidP="004442E4">
      <w:pPr>
        <w:pStyle w:val="FootnoteText"/>
        <w:rPr>
          <w:lang w:val="fr-FR"/>
        </w:rPr>
      </w:pPr>
      <w:r w:rsidRPr="008B4411">
        <w:rPr>
          <w:rStyle w:val="FootnoteReference"/>
        </w:rPr>
        <w:footnoteRef/>
      </w:r>
      <w:r w:rsidRPr="008B4411">
        <w:rPr>
          <w:lang w:val="fr-FR"/>
        </w:rPr>
        <w:t xml:space="preserve"> </w:t>
      </w:r>
      <w:r w:rsidRPr="008B4411">
        <w:t>Για</w:t>
      </w:r>
      <w:r w:rsidRPr="008B4411">
        <w:rPr>
          <w:lang w:val="fr-FR"/>
        </w:rPr>
        <w:t xml:space="preserve"> </w:t>
      </w:r>
      <w:r w:rsidRPr="008B4411">
        <w:t>περισσότερες</w:t>
      </w:r>
      <w:r w:rsidRPr="008B4411">
        <w:rPr>
          <w:lang w:val="fr-FR"/>
        </w:rPr>
        <w:t xml:space="preserve"> </w:t>
      </w:r>
      <w:r w:rsidRPr="008B4411">
        <w:t>λεπτομέρειες</w:t>
      </w:r>
      <w:r w:rsidRPr="008B4411">
        <w:rPr>
          <w:lang w:val="fr-FR"/>
        </w:rPr>
        <w:t xml:space="preserve"> </w:t>
      </w:r>
      <w:r w:rsidRPr="008B4411">
        <w:t>βλ</w:t>
      </w:r>
      <w:r w:rsidRPr="008B4411">
        <w:rPr>
          <w:lang w:val="fr-FR"/>
        </w:rPr>
        <w:t xml:space="preserve">. </w:t>
      </w:r>
      <w:r w:rsidRPr="008B4411">
        <w:rPr>
          <w:i/>
          <w:lang w:val="fr-FR"/>
        </w:rPr>
        <w:t>supra</w:t>
      </w:r>
      <w:r w:rsidRPr="008B4411">
        <w:rPr>
          <w:lang w:val="fr-FR"/>
        </w:rPr>
        <w:t xml:space="preserve">, </w:t>
      </w:r>
      <w:r w:rsidRPr="008B4411">
        <w:t>σελ</w:t>
      </w:r>
      <w:r w:rsidRPr="008B4411">
        <w:rPr>
          <w:lang w:val="fr-FR"/>
        </w:rPr>
        <w:t xml:space="preserve">. </w:t>
      </w:r>
      <w:r w:rsidRPr="008B4411">
        <w:fldChar w:fldCharType="begin"/>
      </w:r>
      <w:r w:rsidRPr="008B4411">
        <w:rPr>
          <w:lang w:val="fr-FR"/>
        </w:rPr>
        <w:instrText xml:space="preserve"> PAGEREF </w:instrText>
      </w:r>
      <w:r w:rsidRPr="008B4411">
        <w:instrText>Διοικητική</w:instrText>
      </w:r>
      <w:r w:rsidRPr="008B4411">
        <w:rPr>
          <w:lang w:val="fr-FR"/>
        </w:rPr>
        <w:instrText xml:space="preserve">_7 \h </w:instrText>
      </w:r>
      <w:r w:rsidRPr="008B4411">
        <w:fldChar w:fldCharType="separate"/>
      </w:r>
      <w:r w:rsidR="00B822F0">
        <w:rPr>
          <w:b/>
          <w:noProof/>
        </w:rPr>
        <w:t>Error! Bookmark not defined.</w:t>
      </w:r>
      <w:r w:rsidRPr="008B4411">
        <w:fldChar w:fldCharType="end"/>
      </w:r>
      <w:r w:rsidRPr="008B4411">
        <w:t>επ</w:t>
      </w:r>
      <w:r w:rsidRPr="008B4411">
        <w:rPr>
          <w:lang w:val="fr-FR"/>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246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05A472C"/>
    <w:lvl w:ilvl="0">
      <w:start w:val="1"/>
      <w:numFmt w:val="decimal"/>
      <w:lvlText w:val="%1."/>
      <w:lvlJc w:val="left"/>
      <w:pPr>
        <w:tabs>
          <w:tab w:val="num" w:pos="1492"/>
        </w:tabs>
        <w:ind w:left="1492" w:hanging="360"/>
      </w:pPr>
    </w:lvl>
  </w:abstractNum>
  <w:abstractNum w:abstractNumId="2">
    <w:nsid w:val="FFFFFF7D"/>
    <w:multiLevelType w:val="singleLevel"/>
    <w:tmpl w:val="C0F60D8E"/>
    <w:lvl w:ilvl="0">
      <w:start w:val="1"/>
      <w:numFmt w:val="decimal"/>
      <w:lvlText w:val="%1."/>
      <w:lvlJc w:val="left"/>
      <w:pPr>
        <w:tabs>
          <w:tab w:val="num" w:pos="1209"/>
        </w:tabs>
        <w:ind w:left="1209" w:hanging="360"/>
      </w:pPr>
    </w:lvl>
  </w:abstractNum>
  <w:abstractNum w:abstractNumId="3">
    <w:nsid w:val="FFFFFF7E"/>
    <w:multiLevelType w:val="singleLevel"/>
    <w:tmpl w:val="97F87E74"/>
    <w:lvl w:ilvl="0">
      <w:start w:val="1"/>
      <w:numFmt w:val="decimal"/>
      <w:lvlText w:val="%1."/>
      <w:lvlJc w:val="left"/>
      <w:pPr>
        <w:tabs>
          <w:tab w:val="num" w:pos="926"/>
        </w:tabs>
        <w:ind w:left="926" w:hanging="360"/>
      </w:pPr>
    </w:lvl>
  </w:abstractNum>
  <w:abstractNum w:abstractNumId="4">
    <w:nsid w:val="FFFFFF7F"/>
    <w:multiLevelType w:val="singleLevel"/>
    <w:tmpl w:val="A864A214"/>
    <w:lvl w:ilvl="0">
      <w:start w:val="1"/>
      <w:numFmt w:val="decimal"/>
      <w:lvlText w:val="%1."/>
      <w:lvlJc w:val="left"/>
      <w:pPr>
        <w:tabs>
          <w:tab w:val="num" w:pos="643"/>
        </w:tabs>
        <w:ind w:left="643" w:hanging="360"/>
      </w:pPr>
    </w:lvl>
  </w:abstractNum>
  <w:abstractNum w:abstractNumId="5">
    <w:nsid w:val="FFFFFF80"/>
    <w:multiLevelType w:val="singleLevel"/>
    <w:tmpl w:val="D09A45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D42AF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CBE86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08EE00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9FC3D20"/>
    <w:lvl w:ilvl="0">
      <w:start w:val="1"/>
      <w:numFmt w:val="decimal"/>
      <w:lvlText w:val="%1."/>
      <w:lvlJc w:val="left"/>
      <w:pPr>
        <w:tabs>
          <w:tab w:val="num" w:pos="360"/>
        </w:tabs>
        <w:ind w:left="360" w:hanging="360"/>
      </w:pPr>
    </w:lvl>
  </w:abstractNum>
  <w:abstractNum w:abstractNumId="10">
    <w:nsid w:val="FFFFFF89"/>
    <w:multiLevelType w:val="singleLevel"/>
    <w:tmpl w:val="495E2D9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8CC201A"/>
    <w:multiLevelType w:val="hybridMultilevel"/>
    <w:tmpl w:val="68D4EF84"/>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3">
    <w:nsid w:val="0CF548F8"/>
    <w:multiLevelType w:val="hybridMultilevel"/>
    <w:tmpl w:val="0BCE2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B7A9A"/>
    <w:multiLevelType w:val="hybridMultilevel"/>
    <w:tmpl w:val="D1B0D974"/>
    <w:lvl w:ilvl="0" w:tplc="38349028">
      <w:start w:val="3"/>
      <w:numFmt w:val="bullet"/>
      <w:lvlText w:val=""/>
      <w:lvlJc w:val="left"/>
      <w:pPr>
        <w:ind w:left="720" w:hanging="360"/>
      </w:pPr>
      <w:rPr>
        <w:rFonts w:ascii="Wingdings" w:eastAsia="Calibri" w:hAnsi="Wingdings"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15B32FD0"/>
    <w:multiLevelType w:val="hybridMultilevel"/>
    <w:tmpl w:val="FBEC53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1AA619C4"/>
    <w:multiLevelType w:val="hybridMultilevel"/>
    <w:tmpl w:val="CD862272"/>
    <w:lvl w:ilvl="0" w:tplc="BE7C40C8">
      <w:numFmt w:val="bullet"/>
      <w:lvlText w:val="-"/>
      <w:lvlJc w:val="left"/>
      <w:pPr>
        <w:ind w:left="927" w:hanging="360"/>
      </w:pPr>
      <w:rPr>
        <w:rFonts w:ascii="Century Schoolbook" w:eastAsia="Times New Roman" w:hAnsi="Century Schoolbook" w:cs="Times New Roman"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7">
    <w:nsid w:val="2AF82FF8"/>
    <w:multiLevelType w:val="hybridMultilevel"/>
    <w:tmpl w:val="DF3E0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F48D2"/>
    <w:multiLevelType w:val="hybridMultilevel"/>
    <w:tmpl w:val="D5EA03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2E343699"/>
    <w:multiLevelType w:val="hybridMultilevel"/>
    <w:tmpl w:val="B9D0E1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2FB8515A"/>
    <w:multiLevelType w:val="hybridMultilevel"/>
    <w:tmpl w:val="56A8E4EC"/>
    <w:lvl w:ilvl="0" w:tplc="6F3834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9F28E9"/>
    <w:multiLevelType w:val="hybridMultilevel"/>
    <w:tmpl w:val="41DE54C8"/>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2">
    <w:nsid w:val="34027963"/>
    <w:multiLevelType w:val="hybridMultilevel"/>
    <w:tmpl w:val="3FE8FA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396C16AB"/>
    <w:multiLevelType w:val="hybridMultilevel"/>
    <w:tmpl w:val="92ECE9DA"/>
    <w:lvl w:ilvl="0" w:tplc="BE9E4C9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B321E0D"/>
    <w:multiLevelType w:val="hybridMultilevel"/>
    <w:tmpl w:val="42A41746"/>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5">
    <w:nsid w:val="405A7683"/>
    <w:multiLevelType w:val="hybridMultilevel"/>
    <w:tmpl w:val="A718BC0E"/>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6">
    <w:nsid w:val="44151A46"/>
    <w:multiLevelType w:val="hybridMultilevel"/>
    <w:tmpl w:val="33FEE538"/>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7">
    <w:nsid w:val="47973B2E"/>
    <w:multiLevelType w:val="hybridMultilevel"/>
    <w:tmpl w:val="22E2AA48"/>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8">
    <w:nsid w:val="4D422527"/>
    <w:multiLevelType w:val="hybridMultilevel"/>
    <w:tmpl w:val="0B8C457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9">
    <w:nsid w:val="51405569"/>
    <w:multiLevelType w:val="hybridMultilevel"/>
    <w:tmpl w:val="0CBE2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BD1940"/>
    <w:multiLevelType w:val="hybridMultilevel"/>
    <w:tmpl w:val="E924A784"/>
    <w:lvl w:ilvl="0" w:tplc="942CF822">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5E9961CD"/>
    <w:multiLevelType w:val="hybridMultilevel"/>
    <w:tmpl w:val="B69067A2"/>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nsid w:val="644D2972"/>
    <w:multiLevelType w:val="hybridMultilevel"/>
    <w:tmpl w:val="6DF492EC"/>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3">
    <w:nsid w:val="656948A9"/>
    <w:multiLevelType w:val="hybridMultilevel"/>
    <w:tmpl w:val="6DDADE14"/>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72AB5A7F"/>
    <w:multiLevelType w:val="hybridMultilevel"/>
    <w:tmpl w:val="ED404042"/>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5">
    <w:nsid w:val="75840C3A"/>
    <w:multiLevelType w:val="hybridMultilevel"/>
    <w:tmpl w:val="65F86B66"/>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764B6C05"/>
    <w:multiLevelType w:val="hybridMultilevel"/>
    <w:tmpl w:val="8A7409F4"/>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nsid w:val="7BAF40EA"/>
    <w:multiLevelType w:val="hybridMultilevel"/>
    <w:tmpl w:val="1F0A0DF2"/>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7CF639E8"/>
    <w:multiLevelType w:val="hybridMultilevel"/>
    <w:tmpl w:val="7B3645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7F756D2D"/>
    <w:multiLevelType w:val="hybridMultilevel"/>
    <w:tmpl w:val="31EEF760"/>
    <w:lvl w:ilvl="0" w:tplc="04080001">
      <w:start w:val="1"/>
      <w:numFmt w:val="bullet"/>
      <w:lvlText w:val=""/>
      <w:lvlJc w:val="left"/>
      <w:pPr>
        <w:ind w:left="1287"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10"/>
  </w:num>
  <w:num w:numId="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0"/>
  </w:num>
  <w:num w:numId="16">
    <w:abstractNumId w:val="35"/>
  </w:num>
  <w:num w:numId="17">
    <w:abstractNumId w:val="17"/>
  </w:num>
  <w:num w:numId="18">
    <w:abstractNumId w:val="13"/>
  </w:num>
  <w:num w:numId="19">
    <w:abstractNumId w:val="18"/>
  </w:num>
  <w:num w:numId="20">
    <w:abstractNumId w:val="19"/>
  </w:num>
  <w:num w:numId="21">
    <w:abstractNumId w:val="20"/>
  </w:num>
  <w:num w:numId="22">
    <w:abstractNumId w:val="38"/>
  </w:num>
  <w:num w:numId="23">
    <w:abstractNumId w:val="16"/>
  </w:num>
  <w:num w:numId="24">
    <w:abstractNumId w:val="31"/>
  </w:num>
  <w:num w:numId="25">
    <w:abstractNumId w:val="33"/>
  </w:num>
  <w:num w:numId="26">
    <w:abstractNumId w:val="12"/>
  </w:num>
  <w:num w:numId="27">
    <w:abstractNumId w:val="37"/>
  </w:num>
  <w:num w:numId="28">
    <w:abstractNumId w:val="36"/>
  </w:num>
  <w:num w:numId="29">
    <w:abstractNumId w:val="23"/>
  </w:num>
  <w:num w:numId="30">
    <w:abstractNumId w:val="29"/>
  </w:num>
  <w:num w:numId="31">
    <w:abstractNumId w:val="7"/>
  </w:num>
  <w:num w:numId="32">
    <w:abstractNumId w:val="6"/>
  </w:num>
  <w:num w:numId="33">
    <w:abstractNumId w:val="5"/>
  </w:num>
  <w:num w:numId="34">
    <w:abstractNumId w:val="0"/>
  </w:num>
  <w:num w:numId="35">
    <w:abstractNumId w:val="8"/>
  </w:num>
  <w:num w:numId="36">
    <w:abstractNumId w:val="9"/>
  </w:num>
  <w:num w:numId="37">
    <w:abstractNumId w:val="4"/>
  </w:num>
  <w:num w:numId="38">
    <w:abstractNumId w:val="3"/>
  </w:num>
  <w:num w:numId="39">
    <w:abstractNumId w:val="2"/>
  </w:num>
  <w:num w:numId="40">
    <w:abstractNumId w:val="1"/>
  </w:num>
  <w:num w:numId="41">
    <w:abstractNumId w:val="14"/>
  </w:num>
  <w:num w:numId="4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defaultTabStop w:val="720"/>
  <w:drawingGridHorizontalSpacing w:val="24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E70EF4"/>
    <w:rsid w:val="00000CCF"/>
    <w:rsid w:val="000013D4"/>
    <w:rsid w:val="00001CC8"/>
    <w:rsid w:val="00002911"/>
    <w:rsid w:val="00002BAA"/>
    <w:rsid w:val="00003188"/>
    <w:rsid w:val="0000406A"/>
    <w:rsid w:val="0000424F"/>
    <w:rsid w:val="000047E3"/>
    <w:rsid w:val="00005A4A"/>
    <w:rsid w:val="00006242"/>
    <w:rsid w:val="0000631E"/>
    <w:rsid w:val="0000642A"/>
    <w:rsid w:val="00006818"/>
    <w:rsid w:val="000068B4"/>
    <w:rsid w:val="00007B9E"/>
    <w:rsid w:val="00010419"/>
    <w:rsid w:val="000107DA"/>
    <w:rsid w:val="00010805"/>
    <w:rsid w:val="0001085C"/>
    <w:rsid w:val="00010996"/>
    <w:rsid w:val="00010E5A"/>
    <w:rsid w:val="0001189F"/>
    <w:rsid w:val="00011F2E"/>
    <w:rsid w:val="0001223C"/>
    <w:rsid w:val="000127DB"/>
    <w:rsid w:val="00012CE7"/>
    <w:rsid w:val="00012E28"/>
    <w:rsid w:val="00012EAA"/>
    <w:rsid w:val="00013606"/>
    <w:rsid w:val="0001398E"/>
    <w:rsid w:val="000143EE"/>
    <w:rsid w:val="000143FB"/>
    <w:rsid w:val="00014546"/>
    <w:rsid w:val="00014C0C"/>
    <w:rsid w:val="000151DD"/>
    <w:rsid w:val="000155F3"/>
    <w:rsid w:val="0001651A"/>
    <w:rsid w:val="000205B2"/>
    <w:rsid w:val="000208B7"/>
    <w:rsid w:val="00023342"/>
    <w:rsid w:val="00023518"/>
    <w:rsid w:val="000235FD"/>
    <w:rsid w:val="000242BC"/>
    <w:rsid w:val="000251EF"/>
    <w:rsid w:val="000253E2"/>
    <w:rsid w:val="00025DC5"/>
    <w:rsid w:val="00025F81"/>
    <w:rsid w:val="0002630B"/>
    <w:rsid w:val="00026FAD"/>
    <w:rsid w:val="00027C42"/>
    <w:rsid w:val="00030285"/>
    <w:rsid w:val="000311EF"/>
    <w:rsid w:val="000312B3"/>
    <w:rsid w:val="000320B7"/>
    <w:rsid w:val="000337AA"/>
    <w:rsid w:val="000339A5"/>
    <w:rsid w:val="000340E0"/>
    <w:rsid w:val="00034154"/>
    <w:rsid w:val="0003419E"/>
    <w:rsid w:val="000347E1"/>
    <w:rsid w:val="00034D5F"/>
    <w:rsid w:val="0003542A"/>
    <w:rsid w:val="00035462"/>
    <w:rsid w:val="00035751"/>
    <w:rsid w:val="000359CB"/>
    <w:rsid w:val="00035AB3"/>
    <w:rsid w:val="00035FF9"/>
    <w:rsid w:val="0003670C"/>
    <w:rsid w:val="00036FB8"/>
    <w:rsid w:val="000370C7"/>
    <w:rsid w:val="000401E7"/>
    <w:rsid w:val="0004032C"/>
    <w:rsid w:val="000406E1"/>
    <w:rsid w:val="0004076A"/>
    <w:rsid w:val="00040AC8"/>
    <w:rsid w:val="00040D2B"/>
    <w:rsid w:val="00040EE2"/>
    <w:rsid w:val="0004323D"/>
    <w:rsid w:val="00043470"/>
    <w:rsid w:val="00043E5F"/>
    <w:rsid w:val="000452F9"/>
    <w:rsid w:val="00045435"/>
    <w:rsid w:val="0004563F"/>
    <w:rsid w:val="000461EB"/>
    <w:rsid w:val="0004644A"/>
    <w:rsid w:val="00046631"/>
    <w:rsid w:val="00046E0A"/>
    <w:rsid w:val="00047389"/>
    <w:rsid w:val="000473A0"/>
    <w:rsid w:val="00047679"/>
    <w:rsid w:val="00047A35"/>
    <w:rsid w:val="00047D1B"/>
    <w:rsid w:val="00047E85"/>
    <w:rsid w:val="0005000E"/>
    <w:rsid w:val="000511AE"/>
    <w:rsid w:val="00051274"/>
    <w:rsid w:val="0005133C"/>
    <w:rsid w:val="0005162E"/>
    <w:rsid w:val="00052471"/>
    <w:rsid w:val="00052633"/>
    <w:rsid w:val="00053867"/>
    <w:rsid w:val="00053884"/>
    <w:rsid w:val="00053A5E"/>
    <w:rsid w:val="00053C60"/>
    <w:rsid w:val="00053EEB"/>
    <w:rsid w:val="00055360"/>
    <w:rsid w:val="000553CF"/>
    <w:rsid w:val="000554F3"/>
    <w:rsid w:val="00056257"/>
    <w:rsid w:val="00056602"/>
    <w:rsid w:val="00056FD1"/>
    <w:rsid w:val="0005720D"/>
    <w:rsid w:val="000573D8"/>
    <w:rsid w:val="000576A2"/>
    <w:rsid w:val="00060163"/>
    <w:rsid w:val="00061720"/>
    <w:rsid w:val="00061CC1"/>
    <w:rsid w:val="000620E3"/>
    <w:rsid w:val="00062153"/>
    <w:rsid w:val="0006278E"/>
    <w:rsid w:val="00063147"/>
    <w:rsid w:val="00064D98"/>
    <w:rsid w:val="00065548"/>
    <w:rsid w:val="00065D96"/>
    <w:rsid w:val="00065DE3"/>
    <w:rsid w:val="00066215"/>
    <w:rsid w:val="00066CB2"/>
    <w:rsid w:val="0007097E"/>
    <w:rsid w:val="00071040"/>
    <w:rsid w:val="000717FA"/>
    <w:rsid w:val="00072377"/>
    <w:rsid w:val="000723E2"/>
    <w:rsid w:val="000727E2"/>
    <w:rsid w:val="00072E92"/>
    <w:rsid w:val="00073E03"/>
    <w:rsid w:val="00074372"/>
    <w:rsid w:val="000747C5"/>
    <w:rsid w:val="00074A50"/>
    <w:rsid w:val="00075024"/>
    <w:rsid w:val="000752F0"/>
    <w:rsid w:val="000754F3"/>
    <w:rsid w:val="000757ED"/>
    <w:rsid w:val="00075F2B"/>
    <w:rsid w:val="0007707B"/>
    <w:rsid w:val="00077D50"/>
    <w:rsid w:val="00077E69"/>
    <w:rsid w:val="000800FA"/>
    <w:rsid w:val="00082DEC"/>
    <w:rsid w:val="000831A6"/>
    <w:rsid w:val="000835A0"/>
    <w:rsid w:val="0008384A"/>
    <w:rsid w:val="00084E6B"/>
    <w:rsid w:val="00085512"/>
    <w:rsid w:val="00085689"/>
    <w:rsid w:val="00085BF8"/>
    <w:rsid w:val="00085C5B"/>
    <w:rsid w:val="00086DC1"/>
    <w:rsid w:val="0008746C"/>
    <w:rsid w:val="000906EA"/>
    <w:rsid w:val="0009090C"/>
    <w:rsid w:val="00090A29"/>
    <w:rsid w:val="00090A62"/>
    <w:rsid w:val="00090A78"/>
    <w:rsid w:val="00092090"/>
    <w:rsid w:val="0009289A"/>
    <w:rsid w:val="00094749"/>
    <w:rsid w:val="00094F69"/>
    <w:rsid w:val="00095336"/>
    <w:rsid w:val="0009667F"/>
    <w:rsid w:val="00096C22"/>
    <w:rsid w:val="00097220"/>
    <w:rsid w:val="0009726D"/>
    <w:rsid w:val="000979C4"/>
    <w:rsid w:val="000A04E0"/>
    <w:rsid w:val="000A09D1"/>
    <w:rsid w:val="000A0D76"/>
    <w:rsid w:val="000A0D87"/>
    <w:rsid w:val="000A1EA4"/>
    <w:rsid w:val="000A2302"/>
    <w:rsid w:val="000A248E"/>
    <w:rsid w:val="000A2C08"/>
    <w:rsid w:val="000A2DE3"/>
    <w:rsid w:val="000A38C4"/>
    <w:rsid w:val="000A40BC"/>
    <w:rsid w:val="000A4E74"/>
    <w:rsid w:val="000A518C"/>
    <w:rsid w:val="000A51FE"/>
    <w:rsid w:val="000A6A55"/>
    <w:rsid w:val="000A75D5"/>
    <w:rsid w:val="000B0096"/>
    <w:rsid w:val="000B1432"/>
    <w:rsid w:val="000B2457"/>
    <w:rsid w:val="000B2AE3"/>
    <w:rsid w:val="000B3664"/>
    <w:rsid w:val="000B36FA"/>
    <w:rsid w:val="000B37A9"/>
    <w:rsid w:val="000B37D9"/>
    <w:rsid w:val="000B3BC0"/>
    <w:rsid w:val="000B4CBD"/>
    <w:rsid w:val="000B5289"/>
    <w:rsid w:val="000B54DB"/>
    <w:rsid w:val="000B55D8"/>
    <w:rsid w:val="000B5FF6"/>
    <w:rsid w:val="000B63D0"/>
    <w:rsid w:val="000B659A"/>
    <w:rsid w:val="000B68DB"/>
    <w:rsid w:val="000B68EE"/>
    <w:rsid w:val="000B6E76"/>
    <w:rsid w:val="000B74B5"/>
    <w:rsid w:val="000B7A43"/>
    <w:rsid w:val="000C15CB"/>
    <w:rsid w:val="000C3538"/>
    <w:rsid w:val="000C39D9"/>
    <w:rsid w:val="000C3D28"/>
    <w:rsid w:val="000C3FB6"/>
    <w:rsid w:val="000C49BF"/>
    <w:rsid w:val="000C4AAC"/>
    <w:rsid w:val="000C4BAB"/>
    <w:rsid w:val="000C4C73"/>
    <w:rsid w:val="000C4F59"/>
    <w:rsid w:val="000C5252"/>
    <w:rsid w:val="000C5423"/>
    <w:rsid w:val="000C562B"/>
    <w:rsid w:val="000C5BF9"/>
    <w:rsid w:val="000C5F8C"/>
    <w:rsid w:val="000C62DA"/>
    <w:rsid w:val="000C6C29"/>
    <w:rsid w:val="000C729A"/>
    <w:rsid w:val="000C732F"/>
    <w:rsid w:val="000C776C"/>
    <w:rsid w:val="000D05AA"/>
    <w:rsid w:val="000D0C6F"/>
    <w:rsid w:val="000D1587"/>
    <w:rsid w:val="000D16A5"/>
    <w:rsid w:val="000D23F7"/>
    <w:rsid w:val="000D2439"/>
    <w:rsid w:val="000D272F"/>
    <w:rsid w:val="000D2E3B"/>
    <w:rsid w:val="000D3C8D"/>
    <w:rsid w:val="000D4B17"/>
    <w:rsid w:val="000D5323"/>
    <w:rsid w:val="000D55CF"/>
    <w:rsid w:val="000D68AB"/>
    <w:rsid w:val="000D7268"/>
    <w:rsid w:val="000D7590"/>
    <w:rsid w:val="000D786C"/>
    <w:rsid w:val="000D7A79"/>
    <w:rsid w:val="000E0296"/>
    <w:rsid w:val="000E07A1"/>
    <w:rsid w:val="000E0B90"/>
    <w:rsid w:val="000E1266"/>
    <w:rsid w:val="000E2168"/>
    <w:rsid w:val="000E2248"/>
    <w:rsid w:val="000E26D3"/>
    <w:rsid w:val="000E3421"/>
    <w:rsid w:val="000E3546"/>
    <w:rsid w:val="000E7174"/>
    <w:rsid w:val="000E71E8"/>
    <w:rsid w:val="000E78EF"/>
    <w:rsid w:val="000E7C6A"/>
    <w:rsid w:val="000F0326"/>
    <w:rsid w:val="000F0518"/>
    <w:rsid w:val="000F0849"/>
    <w:rsid w:val="000F0DFC"/>
    <w:rsid w:val="000F1C92"/>
    <w:rsid w:val="000F21FF"/>
    <w:rsid w:val="000F27BB"/>
    <w:rsid w:val="000F2BD4"/>
    <w:rsid w:val="000F3CBA"/>
    <w:rsid w:val="000F3CE4"/>
    <w:rsid w:val="000F3FF7"/>
    <w:rsid w:val="000F5187"/>
    <w:rsid w:val="000F5393"/>
    <w:rsid w:val="000F5E1D"/>
    <w:rsid w:val="000F6436"/>
    <w:rsid w:val="000F74E2"/>
    <w:rsid w:val="000F7E87"/>
    <w:rsid w:val="000F7F40"/>
    <w:rsid w:val="0010008C"/>
    <w:rsid w:val="00100FBC"/>
    <w:rsid w:val="00102375"/>
    <w:rsid w:val="00102595"/>
    <w:rsid w:val="00102B56"/>
    <w:rsid w:val="00102DC7"/>
    <w:rsid w:val="00102DF4"/>
    <w:rsid w:val="00103BFE"/>
    <w:rsid w:val="00104460"/>
    <w:rsid w:val="00104475"/>
    <w:rsid w:val="00104F96"/>
    <w:rsid w:val="001051F8"/>
    <w:rsid w:val="00106C34"/>
    <w:rsid w:val="001114CB"/>
    <w:rsid w:val="0011170D"/>
    <w:rsid w:val="00111A26"/>
    <w:rsid w:val="00111E1F"/>
    <w:rsid w:val="001123A3"/>
    <w:rsid w:val="00113DB5"/>
    <w:rsid w:val="001140DF"/>
    <w:rsid w:val="001148B9"/>
    <w:rsid w:val="00114C13"/>
    <w:rsid w:val="00114CA0"/>
    <w:rsid w:val="001155A0"/>
    <w:rsid w:val="00115A5B"/>
    <w:rsid w:val="00116280"/>
    <w:rsid w:val="001165FA"/>
    <w:rsid w:val="00117184"/>
    <w:rsid w:val="0011745B"/>
    <w:rsid w:val="001176E1"/>
    <w:rsid w:val="001177BD"/>
    <w:rsid w:val="00117F54"/>
    <w:rsid w:val="001202FC"/>
    <w:rsid w:val="00120EEE"/>
    <w:rsid w:val="00120F6E"/>
    <w:rsid w:val="00121546"/>
    <w:rsid w:val="00121B80"/>
    <w:rsid w:val="001221D1"/>
    <w:rsid w:val="00122364"/>
    <w:rsid w:val="00123CB8"/>
    <w:rsid w:val="00124194"/>
    <w:rsid w:val="00124A45"/>
    <w:rsid w:val="00124A76"/>
    <w:rsid w:val="00124D24"/>
    <w:rsid w:val="0012600E"/>
    <w:rsid w:val="00126D37"/>
    <w:rsid w:val="00127273"/>
    <w:rsid w:val="001305D7"/>
    <w:rsid w:val="00131EE5"/>
    <w:rsid w:val="00131F67"/>
    <w:rsid w:val="00132386"/>
    <w:rsid w:val="00132870"/>
    <w:rsid w:val="00133FC5"/>
    <w:rsid w:val="00135021"/>
    <w:rsid w:val="001358DC"/>
    <w:rsid w:val="00135B8A"/>
    <w:rsid w:val="001368FC"/>
    <w:rsid w:val="0013690F"/>
    <w:rsid w:val="00136AAC"/>
    <w:rsid w:val="00137914"/>
    <w:rsid w:val="00137919"/>
    <w:rsid w:val="001404E2"/>
    <w:rsid w:val="0014118C"/>
    <w:rsid w:val="00141389"/>
    <w:rsid w:val="001413EF"/>
    <w:rsid w:val="00141DDE"/>
    <w:rsid w:val="00141F30"/>
    <w:rsid w:val="0014227B"/>
    <w:rsid w:val="00142577"/>
    <w:rsid w:val="00143092"/>
    <w:rsid w:val="00143622"/>
    <w:rsid w:val="0014418B"/>
    <w:rsid w:val="00147513"/>
    <w:rsid w:val="00147545"/>
    <w:rsid w:val="001479C3"/>
    <w:rsid w:val="00147CD1"/>
    <w:rsid w:val="00150547"/>
    <w:rsid w:val="00151236"/>
    <w:rsid w:val="00151311"/>
    <w:rsid w:val="001516AC"/>
    <w:rsid w:val="001516EC"/>
    <w:rsid w:val="00152778"/>
    <w:rsid w:val="00153383"/>
    <w:rsid w:val="00153ACA"/>
    <w:rsid w:val="00154A64"/>
    <w:rsid w:val="00154EA3"/>
    <w:rsid w:val="00155305"/>
    <w:rsid w:val="0015599A"/>
    <w:rsid w:val="00156410"/>
    <w:rsid w:val="001568F9"/>
    <w:rsid w:val="001569F6"/>
    <w:rsid w:val="00157DCC"/>
    <w:rsid w:val="00157F3D"/>
    <w:rsid w:val="001604C7"/>
    <w:rsid w:val="00160C64"/>
    <w:rsid w:val="00160DF1"/>
    <w:rsid w:val="00161316"/>
    <w:rsid w:val="0016173E"/>
    <w:rsid w:val="00161A85"/>
    <w:rsid w:val="00161A9D"/>
    <w:rsid w:val="00161B68"/>
    <w:rsid w:val="00162BF2"/>
    <w:rsid w:val="00163112"/>
    <w:rsid w:val="001633E9"/>
    <w:rsid w:val="0016421D"/>
    <w:rsid w:val="00164B84"/>
    <w:rsid w:val="00164BAC"/>
    <w:rsid w:val="00165274"/>
    <w:rsid w:val="0016545B"/>
    <w:rsid w:val="00166985"/>
    <w:rsid w:val="00167E88"/>
    <w:rsid w:val="001709D3"/>
    <w:rsid w:val="001714F4"/>
    <w:rsid w:val="001715BE"/>
    <w:rsid w:val="0017275A"/>
    <w:rsid w:val="001729C0"/>
    <w:rsid w:val="00172EDE"/>
    <w:rsid w:val="0017366A"/>
    <w:rsid w:val="0017443F"/>
    <w:rsid w:val="00174533"/>
    <w:rsid w:val="0017492B"/>
    <w:rsid w:val="001751AF"/>
    <w:rsid w:val="001758EA"/>
    <w:rsid w:val="00176339"/>
    <w:rsid w:val="00176FB5"/>
    <w:rsid w:val="00177B02"/>
    <w:rsid w:val="00180EE2"/>
    <w:rsid w:val="0018166A"/>
    <w:rsid w:val="0018166F"/>
    <w:rsid w:val="00182C5E"/>
    <w:rsid w:val="00183622"/>
    <w:rsid w:val="0018435B"/>
    <w:rsid w:val="00184395"/>
    <w:rsid w:val="00184DA8"/>
    <w:rsid w:val="001859F0"/>
    <w:rsid w:val="001865A0"/>
    <w:rsid w:val="001868C0"/>
    <w:rsid w:val="001869A4"/>
    <w:rsid w:val="00187219"/>
    <w:rsid w:val="001872F8"/>
    <w:rsid w:val="00187F0D"/>
    <w:rsid w:val="00190609"/>
    <w:rsid w:val="00190C89"/>
    <w:rsid w:val="00190FE9"/>
    <w:rsid w:val="001915CC"/>
    <w:rsid w:val="0019188D"/>
    <w:rsid w:val="00191B32"/>
    <w:rsid w:val="00191EE8"/>
    <w:rsid w:val="00192084"/>
    <w:rsid w:val="00192284"/>
    <w:rsid w:val="00193148"/>
    <w:rsid w:val="00193A40"/>
    <w:rsid w:val="00193BD4"/>
    <w:rsid w:val="00193ED9"/>
    <w:rsid w:val="00194334"/>
    <w:rsid w:val="00194BF4"/>
    <w:rsid w:val="00194FA4"/>
    <w:rsid w:val="0019516D"/>
    <w:rsid w:val="00195705"/>
    <w:rsid w:val="0019603D"/>
    <w:rsid w:val="0019675B"/>
    <w:rsid w:val="00197264"/>
    <w:rsid w:val="001978A9"/>
    <w:rsid w:val="00197C0E"/>
    <w:rsid w:val="001A019D"/>
    <w:rsid w:val="001A0B20"/>
    <w:rsid w:val="001A1A68"/>
    <w:rsid w:val="001A1FEA"/>
    <w:rsid w:val="001A4EE2"/>
    <w:rsid w:val="001A629C"/>
    <w:rsid w:val="001A67D3"/>
    <w:rsid w:val="001A6965"/>
    <w:rsid w:val="001A75DF"/>
    <w:rsid w:val="001A762E"/>
    <w:rsid w:val="001B1B5A"/>
    <w:rsid w:val="001B2036"/>
    <w:rsid w:val="001B39A0"/>
    <w:rsid w:val="001B433D"/>
    <w:rsid w:val="001B49BA"/>
    <w:rsid w:val="001B5293"/>
    <w:rsid w:val="001B585E"/>
    <w:rsid w:val="001B5A0F"/>
    <w:rsid w:val="001B7B21"/>
    <w:rsid w:val="001C0065"/>
    <w:rsid w:val="001C01EC"/>
    <w:rsid w:val="001C06FF"/>
    <w:rsid w:val="001C1A7A"/>
    <w:rsid w:val="001C1AB2"/>
    <w:rsid w:val="001C1B6C"/>
    <w:rsid w:val="001C1E29"/>
    <w:rsid w:val="001C217D"/>
    <w:rsid w:val="001C23ED"/>
    <w:rsid w:val="001C31FD"/>
    <w:rsid w:val="001C3217"/>
    <w:rsid w:val="001C3222"/>
    <w:rsid w:val="001C3B17"/>
    <w:rsid w:val="001C43EC"/>
    <w:rsid w:val="001C4F0C"/>
    <w:rsid w:val="001C5AC4"/>
    <w:rsid w:val="001C5AD9"/>
    <w:rsid w:val="001C5AEE"/>
    <w:rsid w:val="001C6698"/>
    <w:rsid w:val="001C730C"/>
    <w:rsid w:val="001C730F"/>
    <w:rsid w:val="001D0B42"/>
    <w:rsid w:val="001D0F8E"/>
    <w:rsid w:val="001D1193"/>
    <w:rsid w:val="001D15DF"/>
    <w:rsid w:val="001D1BB0"/>
    <w:rsid w:val="001D1F60"/>
    <w:rsid w:val="001D25F1"/>
    <w:rsid w:val="001D324C"/>
    <w:rsid w:val="001D346A"/>
    <w:rsid w:val="001D3619"/>
    <w:rsid w:val="001D3647"/>
    <w:rsid w:val="001D3660"/>
    <w:rsid w:val="001D36F4"/>
    <w:rsid w:val="001D460B"/>
    <w:rsid w:val="001D4645"/>
    <w:rsid w:val="001D470F"/>
    <w:rsid w:val="001D49AB"/>
    <w:rsid w:val="001D5468"/>
    <w:rsid w:val="001D59D2"/>
    <w:rsid w:val="001D6120"/>
    <w:rsid w:val="001D7418"/>
    <w:rsid w:val="001D785A"/>
    <w:rsid w:val="001D7D16"/>
    <w:rsid w:val="001E0E7F"/>
    <w:rsid w:val="001E1782"/>
    <w:rsid w:val="001E26FD"/>
    <w:rsid w:val="001E30D0"/>
    <w:rsid w:val="001E3457"/>
    <w:rsid w:val="001E348F"/>
    <w:rsid w:val="001E3B43"/>
    <w:rsid w:val="001E3B4E"/>
    <w:rsid w:val="001E40EC"/>
    <w:rsid w:val="001E4596"/>
    <w:rsid w:val="001E4F87"/>
    <w:rsid w:val="001E54D8"/>
    <w:rsid w:val="001E6452"/>
    <w:rsid w:val="001E6A95"/>
    <w:rsid w:val="001E6B44"/>
    <w:rsid w:val="001E701A"/>
    <w:rsid w:val="001E7482"/>
    <w:rsid w:val="001E7937"/>
    <w:rsid w:val="001E7E54"/>
    <w:rsid w:val="001F01A6"/>
    <w:rsid w:val="001F0F1D"/>
    <w:rsid w:val="001F141B"/>
    <w:rsid w:val="001F1DD3"/>
    <w:rsid w:val="001F2858"/>
    <w:rsid w:val="001F2BBB"/>
    <w:rsid w:val="001F346F"/>
    <w:rsid w:val="001F372E"/>
    <w:rsid w:val="001F49F2"/>
    <w:rsid w:val="001F5A28"/>
    <w:rsid w:val="001F5D67"/>
    <w:rsid w:val="001F5D7D"/>
    <w:rsid w:val="001F72DA"/>
    <w:rsid w:val="002004AF"/>
    <w:rsid w:val="00200904"/>
    <w:rsid w:val="00200D98"/>
    <w:rsid w:val="0020105A"/>
    <w:rsid w:val="0020118D"/>
    <w:rsid w:val="002011CB"/>
    <w:rsid w:val="00201300"/>
    <w:rsid w:val="0020139B"/>
    <w:rsid w:val="00201D05"/>
    <w:rsid w:val="00201D17"/>
    <w:rsid w:val="002024E3"/>
    <w:rsid w:val="00203AAF"/>
    <w:rsid w:val="002041EA"/>
    <w:rsid w:val="002043C9"/>
    <w:rsid w:val="002044CE"/>
    <w:rsid w:val="0020586F"/>
    <w:rsid w:val="0020658F"/>
    <w:rsid w:val="00206BA1"/>
    <w:rsid w:val="0020747E"/>
    <w:rsid w:val="00207E1E"/>
    <w:rsid w:val="002101EA"/>
    <w:rsid w:val="00210A34"/>
    <w:rsid w:val="00210B73"/>
    <w:rsid w:val="002113F1"/>
    <w:rsid w:val="0021157E"/>
    <w:rsid w:val="0021288E"/>
    <w:rsid w:val="00213004"/>
    <w:rsid w:val="00213328"/>
    <w:rsid w:val="0021345A"/>
    <w:rsid w:val="00213E69"/>
    <w:rsid w:val="00214D2B"/>
    <w:rsid w:val="00215C5E"/>
    <w:rsid w:val="00215CA5"/>
    <w:rsid w:val="00216380"/>
    <w:rsid w:val="002168DB"/>
    <w:rsid w:val="0021717E"/>
    <w:rsid w:val="00217727"/>
    <w:rsid w:val="002208E2"/>
    <w:rsid w:val="002226BE"/>
    <w:rsid w:val="00222E06"/>
    <w:rsid w:val="002245E2"/>
    <w:rsid w:val="002247A7"/>
    <w:rsid w:val="00224A88"/>
    <w:rsid w:val="0022597F"/>
    <w:rsid w:val="002263E1"/>
    <w:rsid w:val="00226BA0"/>
    <w:rsid w:val="00227E26"/>
    <w:rsid w:val="00231090"/>
    <w:rsid w:val="002311A5"/>
    <w:rsid w:val="0023213A"/>
    <w:rsid w:val="002336CF"/>
    <w:rsid w:val="002336D2"/>
    <w:rsid w:val="002340CD"/>
    <w:rsid w:val="002342BB"/>
    <w:rsid w:val="00234B59"/>
    <w:rsid w:val="00234B8A"/>
    <w:rsid w:val="00234C71"/>
    <w:rsid w:val="00234FD8"/>
    <w:rsid w:val="00235C47"/>
    <w:rsid w:val="0023613C"/>
    <w:rsid w:val="0023747E"/>
    <w:rsid w:val="00237670"/>
    <w:rsid w:val="00240189"/>
    <w:rsid w:val="002403FB"/>
    <w:rsid w:val="00240B80"/>
    <w:rsid w:val="00240F44"/>
    <w:rsid w:val="00243E7C"/>
    <w:rsid w:val="00245690"/>
    <w:rsid w:val="002461A1"/>
    <w:rsid w:val="00246803"/>
    <w:rsid w:val="00247D42"/>
    <w:rsid w:val="002507E7"/>
    <w:rsid w:val="00252337"/>
    <w:rsid w:val="00252715"/>
    <w:rsid w:val="00252ED2"/>
    <w:rsid w:val="00253FCB"/>
    <w:rsid w:val="00254342"/>
    <w:rsid w:val="00254CCE"/>
    <w:rsid w:val="00255569"/>
    <w:rsid w:val="0025589B"/>
    <w:rsid w:val="002558CF"/>
    <w:rsid w:val="00255C7A"/>
    <w:rsid w:val="00256127"/>
    <w:rsid w:val="00256B63"/>
    <w:rsid w:val="0026011E"/>
    <w:rsid w:val="00260A4B"/>
    <w:rsid w:val="00260B91"/>
    <w:rsid w:val="00261EC0"/>
    <w:rsid w:val="002625B2"/>
    <w:rsid w:val="00262F81"/>
    <w:rsid w:val="0026388B"/>
    <w:rsid w:val="00263B8B"/>
    <w:rsid w:val="00264206"/>
    <w:rsid w:val="002649A1"/>
    <w:rsid w:val="00264A4E"/>
    <w:rsid w:val="00264D71"/>
    <w:rsid w:val="00264EBE"/>
    <w:rsid w:val="00265783"/>
    <w:rsid w:val="00265A8B"/>
    <w:rsid w:val="00265EA8"/>
    <w:rsid w:val="002661B6"/>
    <w:rsid w:val="00266777"/>
    <w:rsid w:val="00266C37"/>
    <w:rsid w:val="00267201"/>
    <w:rsid w:val="00267491"/>
    <w:rsid w:val="00267644"/>
    <w:rsid w:val="002702D8"/>
    <w:rsid w:val="00270346"/>
    <w:rsid w:val="00270694"/>
    <w:rsid w:val="0027095F"/>
    <w:rsid w:val="00270CDE"/>
    <w:rsid w:val="002712F1"/>
    <w:rsid w:val="0027160A"/>
    <w:rsid w:val="00271B6A"/>
    <w:rsid w:val="00271C21"/>
    <w:rsid w:val="00272388"/>
    <w:rsid w:val="00272405"/>
    <w:rsid w:val="00273BF7"/>
    <w:rsid w:val="0027495C"/>
    <w:rsid w:val="00274B8E"/>
    <w:rsid w:val="00274B93"/>
    <w:rsid w:val="0027679B"/>
    <w:rsid w:val="00276A3E"/>
    <w:rsid w:val="00276ED1"/>
    <w:rsid w:val="0028050A"/>
    <w:rsid w:val="00280A26"/>
    <w:rsid w:val="00281540"/>
    <w:rsid w:val="00281636"/>
    <w:rsid w:val="00281B4F"/>
    <w:rsid w:val="00281FED"/>
    <w:rsid w:val="00283DE8"/>
    <w:rsid w:val="002840A4"/>
    <w:rsid w:val="00284933"/>
    <w:rsid w:val="00284DAF"/>
    <w:rsid w:val="002854C8"/>
    <w:rsid w:val="00285F17"/>
    <w:rsid w:val="002860F6"/>
    <w:rsid w:val="00286183"/>
    <w:rsid w:val="002863F5"/>
    <w:rsid w:val="002864F7"/>
    <w:rsid w:val="00286AD7"/>
    <w:rsid w:val="002873AF"/>
    <w:rsid w:val="00287551"/>
    <w:rsid w:val="00290059"/>
    <w:rsid w:val="00290A39"/>
    <w:rsid w:val="002911D9"/>
    <w:rsid w:val="002916E3"/>
    <w:rsid w:val="002918F8"/>
    <w:rsid w:val="00291F96"/>
    <w:rsid w:val="00292862"/>
    <w:rsid w:val="002928AF"/>
    <w:rsid w:val="00292D59"/>
    <w:rsid w:val="00292F5A"/>
    <w:rsid w:val="00292F89"/>
    <w:rsid w:val="00293683"/>
    <w:rsid w:val="00294514"/>
    <w:rsid w:val="00294A5A"/>
    <w:rsid w:val="0029541D"/>
    <w:rsid w:val="00295750"/>
    <w:rsid w:val="00295882"/>
    <w:rsid w:val="00296B0D"/>
    <w:rsid w:val="00296BB8"/>
    <w:rsid w:val="0029728E"/>
    <w:rsid w:val="002978AB"/>
    <w:rsid w:val="00297BDC"/>
    <w:rsid w:val="00297ECF"/>
    <w:rsid w:val="002A0005"/>
    <w:rsid w:val="002A16CB"/>
    <w:rsid w:val="002A18D7"/>
    <w:rsid w:val="002A191B"/>
    <w:rsid w:val="002A1951"/>
    <w:rsid w:val="002A1E85"/>
    <w:rsid w:val="002A543E"/>
    <w:rsid w:val="002A5721"/>
    <w:rsid w:val="002A68CA"/>
    <w:rsid w:val="002A6968"/>
    <w:rsid w:val="002A6C3A"/>
    <w:rsid w:val="002A7625"/>
    <w:rsid w:val="002A7CA9"/>
    <w:rsid w:val="002B0594"/>
    <w:rsid w:val="002B0DDF"/>
    <w:rsid w:val="002B0FA3"/>
    <w:rsid w:val="002B259A"/>
    <w:rsid w:val="002B3F3A"/>
    <w:rsid w:val="002B4598"/>
    <w:rsid w:val="002B4C0B"/>
    <w:rsid w:val="002B4C7C"/>
    <w:rsid w:val="002B5FA2"/>
    <w:rsid w:val="002B6985"/>
    <w:rsid w:val="002B74AD"/>
    <w:rsid w:val="002B7744"/>
    <w:rsid w:val="002B7FF6"/>
    <w:rsid w:val="002C0B04"/>
    <w:rsid w:val="002C1711"/>
    <w:rsid w:val="002C2688"/>
    <w:rsid w:val="002C38F0"/>
    <w:rsid w:val="002C43A5"/>
    <w:rsid w:val="002C59D5"/>
    <w:rsid w:val="002C5DED"/>
    <w:rsid w:val="002C659C"/>
    <w:rsid w:val="002C665A"/>
    <w:rsid w:val="002C6D40"/>
    <w:rsid w:val="002C6E5D"/>
    <w:rsid w:val="002C704F"/>
    <w:rsid w:val="002C7FBA"/>
    <w:rsid w:val="002D0B87"/>
    <w:rsid w:val="002D0EBE"/>
    <w:rsid w:val="002D1483"/>
    <w:rsid w:val="002D1ED9"/>
    <w:rsid w:val="002D2760"/>
    <w:rsid w:val="002D3216"/>
    <w:rsid w:val="002D328B"/>
    <w:rsid w:val="002D347C"/>
    <w:rsid w:val="002D3F3C"/>
    <w:rsid w:val="002D4E94"/>
    <w:rsid w:val="002D54CD"/>
    <w:rsid w:val="002D5C10"/>
    <w:rsid w:val="002D6A8F"/>
    <w:rsid w:val="002D7357"/>
    <w:rsid w:val="002D769A"/>
    <w:rsid w:val="002D7D79"/>
    <w:rsid w:val="002E00C3"/>
    <w:rsid w:val="002E012B"/>
    <w:rsid w:val="002E099D"/>
    <w:rsid w:val="002E0A77"/>
    <w:rsid w:val="002E1431"/>
    <w:rsid w:val="002E1696"/>
    <w:rsid w:val="002E279B"/>
    <w:rsid w:val="002E2A1D"/>
    <w:rsid w:val="002E442D"/>
    <w:rsid w:val="002E4633"/>
    <w:rsid w:val="002E4D54"/>
    <w:rsid w:val="002E6E53"/>
    <w:rsid w:val="002E73B3"/>
    <w:rsid w:val="002E740A"/>
    <w:rsid w:val="002E7C6C"/>
    <w:rsid w:val="002F01A6"/>
    <w:rsid w:val="002F051F"/>
    <w:rsid w:val="002F1696"/>
    <w:rsid w:val="002F1857"/>
    <w:rsid w:val="002F1EAA"/>
    <w:rsid w:val="002F22E0"/>
    <w:rsid w:val="002F250E"/>
    <w:rsid w:val="002F3B4D"/>
    <w:rsid w:val="002F42F1"/>
    <w:rsid w:val="002F4328"/>
    <w:rsid w:val="002F483B"/>
    <w:rsid w:val="002F4C94"/>
    <w:rsid w:val="002F5A30"/>
    <w:rsid w:val="002F5EA6"/>
    <w:rsid w:val="002F61A0"/>
    <w:rsid w:val="002F674F"/>
    <w:rsid w:val="002F6C8D"/>
    <w:rsid w:val="002F7386"/>
    <w:rsid w:val="002F7899"/>
    <w:rsid w:val="002F7B9C"/>
    <w:rsid w:val="002F7C77"/>
    <w:rsid w:val="002F7F04"/>
    <w:rsid w:val="0030000B"/>
    <w:rsid w:val="00301689"/>
    <w:rsid w:val="00302190"/>
    <w:rsid w:val="00303033"/>
    <w:rsid w:val="003032FB"/>
    <w:rsid w:val="00303ADF"/>
    <w:rsid w:val="00303F98"/>
    <w:rsid w:val="0030559B"/>
    <w:rsid w:val="003056FE"/>
    <w:rsid w:val="00305A35"/>
    <w:rsid w:val="0030661B"/>
    <w:rsid w:val="00306A0B"/>
    <w:rsid w:val="00306D75"/>
    <w:rsid w:val="00307456"/>
    <w:rsid w:val="00310778"/>
    <w:rsid w:val="003109A9"/>
    <w:rsid w:val="00310E75"/>
    <w:rsid w:val="00311045"/>
    <w:rsid w:val="00312737"/>
    <w:rsid w:val="003127E6"/>
    <w:rsid w:val="00312EE2"/>
    <w:rsid w:val="00314691"/>
    <w:rsid w:val="0031516B"/>
    <w:rsid w:val="003151F6"/>
    <w:rsid w:val="00315FDD"/>
    <w:rsid w:val="0031618A"/>
    <w:rsid w:val="00316247"/>
    <w:rsid w:val="0031636C"/>
    <w:rsid w:val="00316692"/>
    <w:rsid w:val="00316699"/>
    <w:rsid w:val="003166EB"/>
    <w:rsid w:val="0031672B"/>
    <w:rsid w:val="00316C2A"/>
    <w:rsid w:val="00316F6C"/>
    <w:rsid w:val="00317905"/>
    <w:rsid w:val="00317FE7"/>
    <w:rsid w:val="00317FEB"/>
    <w:rsid w:val="00320274"/>
    <w:rsid w:val="00320E8C"/>
    <w:rsid w:val="00321002"/>
    <w:rsid w:val="00322336"/>
    <w:rsid w:val="003232B1"/>
    <w:rsid w:val="003232DB"/>
    <w:rsid w:val="003237BE"/>
    <w:rsid w:val="00323A56"/>
    <w:rsid w:val="00323C0E"/>
    <w:rsid w:val="00324C1C"/>
    <w:rsid w:val="0032537F"/>
    <w:rsid w:val="00325896"/>
    <w:rsid w:val="003258B1"/>
    <w:rsid w:val="00325C89"/>
    <w:rsid w:val="0032796C"/>
    <w:rsid w:val="00327EEF"/>
    <w:rsid w:val="003302B2"/>
    <w:rsid w:val="00330A0A"/>
    <w:rsid w:val="00331458"/>
    <w:rsid w:val="00331590"/>
    <w:rsid w:val="00331804"/>
    <w:rsid w:val="00331D08"/>
    <w:rsid w:val="00331D6A"/>
    <w:rsid w:val="003324D6"/>
    <w:rsid w:val="00332ED2"/>
    <w:rsid w:val="00333406"/>
    <w:rsid w:val="00333466"/>
    <w:rsid w:val="003345D3"/>
    <w:rsid w:val="003355B8"/>
    <w:rsid w:val="00335B94"/>
    <w:rsid w:val="00335E5D"/>
    <w:rsid w:val="003368BD"/>
    <w:rsid w:val="00336D48"/>
    <w:rsid w:val="003370ED"/>
    <w:rsid w:val="0034001A"/>
    <w:rsid w:val="00340078"/>
    <w:rsid w:val="0034060A"/>
    <w:rsid w:val="0034100A"/>
    <w:rsid w:val="0034152B"/>
    <w:rsid w:val="003424B7"/>
    <w:rsid w:val="00342551"/>
    <w:rsid w:val="00342F1F"/>
    <w:rsid w:val="00343456"/>
    <w:rsid w:val="003438AB"/>
    <w:rsid w:val="00344EF0"/>
    <w:rsid w:val="003452BA"/>
    <w:rsid w:val="0034536F"/>
    <w:rsid w:val="00345446"/>
    <w:rsid w:val="00345AEC"/>
    <w:rsid w:val="0034649D"/>
    <w:rsid w:val="00346D7A"/>
    <w:rsid w:val="003474D8"/>
    <w:rsid w:val="00347ED5"/>
    <w:rsid w:val="00352201"/>
    <w:rsid w:val="00352701"/>
    <w:rsid w:val="00352995"/>
    <w:rsid w:val="0035332E"/>
    <w:rsid w:val="00353ACB"/>
    <w:rsid w:val="00353B1C"/>
    <w:rsid w:val="003548E1"/>
    <w:rsid w:val="00354BA7"/>
    <w:rsid w:val="00354C3E"/>
    <w:rsid w:val="003550CD"/>
    <w:rsid w:val="0035527C"/>
    <w:rsid w:val="00355937"/>
    <w:rsid w:val="00355F5C"/>
    <w:rsid w:val="003563ED"/>
    <w:rsid w:val="0035737B"/>
    <w:rsid w:val="003602C2"/>
    <w:rsid w:val="00360766"/>
    <w:rsid w:val="0036076F"/>
    <w:rsid w:val="003608B2"/>
    <w:rsid w:val="0036124E"/>
    <w:rsid w:val="00361428"/>
    <w:rsid w:val="00361547"/>
    <w:rsid w:val="00361AF0"/>
    <w:rsid w:val="00361CD6"/>
    <w:rsid w:val="003620D9"/>
    <w:rsid w:val="00362FAA"/>
    <w:rsid w:val="00363987"/>
    <w:rsid w:val="003646B4"/>
    <w:rsid w:val="00364DB0"/>
    <w:rsid w:val="00364E4F"/>
    <w:rsid w:val="00365A1C"/>
    <w:rsid w:val="00365E78"/>
    <w:rsid w:val="0036624C"/>
    <w:rsid w:val="0036686D"/>
    <w:rsid w:val="003670E4"/>
    <w:rsid w:val="003701DF"/>
    <w:rsid w:val="003702ED"/>
    <w:rsid w:val="00371969"/>
    <w:rsid w:val="003719F2"/>
    <w:rsid w:val="00372041"/>
    <w:rsid w:val="0037259F"/>
    <w:rsid w:val="00372641"/>
    <w:rsid w:val="00372839"/>
    <w:rsid w:val="00372DB1"/>
    <w:rsid w:val="003736C4"/>
    <w:rsid w:val="003739B8"/>
    <w:rsid w:val="00373AA7"/>
    <w:rsid w:val="00374603"/>
    <w:rsid w:val="00374E09"/>
    <w:rsid w:val="00375461"/>
    <w:rsid w:val="00375586"/>
    <w:rsid w:val="00375E8C"/>
    <w:rsid w:val="003765EB"/>
    <w:rsid w:val="003769E6"/>
    <w:rsid w:val="00377A65"/>
    <w:rsid w:val="00380825"/>
    <w:rsid w:val="00380A8F"/>
    <w:rsid w:val="00380CAD"/>
    <w:rsid w:val="0038134A"/>
    <w:rsid w:val="003818D7"/>
    <w:rsid w:val="00381B4E"/>
    <w:rsid w:val="00382374"/>
    <w:rsid w:val="00382DE8"/>
    <w:rsid w:val="00382E65"/>
    <w:rsid w:val="00383384"/>
    <w:rsid w:val="00383514"/>
    <w:rsid w:val="003839B8"/>
    <w:rsid w:val="00383C7F"/>
    <w:rsid w:val="00384529"/>
    <w:rsid w:val="00384B66"/>
    <w:rsid w:val="00385AF7"/>
    <w:rsid w:val="00385DE0"/>
    <w:rsid w:val="00385E2E"/>
    <w:rsid w:val="003865D1"/>
    <w:rsid w:val="0038677E"/>
    <w:rsid w:val="003867B4"/>
    <w:rsid w:val="00387067"/>
    <w:rsid w:val="0039102A"/>
    <w:rsid w:val="003916C0"/>
    <w:rsid w:val="003918FE"/>
    <w:rsid w:val="00391A14"/>
    <w:rsid w:val="003935D9"/>
    <w:rsid w:val="003937C4"/>
    <w:rsid w:val="00394095"/>
    <w:rsid w:val="00395484"/>
    <w:rsid w:val="00396D1A"/>
    <w:rsid w:val="003972E1"/>
    <w:rsid w:val="00397746"/>
    <w:rsid w:val="00397F32"/>
    <w:rsid w:val="003A008A"/>
    <w:rsid w:val="003A079D"/>
    <w:rsid w:val="003A0872"/>
    <w:rsid w:val="003A12A5"/>
    <w:rsid w:val="003A1A12"/>
    <w:rsid w:val="003A32BC"/>
    <w:rsid w:val="003A3563"/>
    <w:rsid w:val="003A367C"/>
    <w:rsid w:val="003A4A1C"/>
    <w:rsid w:val="003A500C"/>
    <w:rsid w:val="003A53DE"/>
    <w:rsid w:val="003A56D6"/>
    <w:rsid w:val="003A5C16"/>
    <w:rsid w:val="003A5F8F"/>
    <w:rsid w:val="003A6062"/>
    <w:rsid w:val="003A6FDD"/>
    <w:rsid w:val="003A7105"/>
    <w:rsid w:val="003A7106"/>
    <w:rsid w:val="003A72F2"/>
    <w:rsid w:val="003A751D"/>
    <w:rsid w:val="003A764F"/>
    <w:rsid w:val="003A7650"/>
    <w:rsid w:val="003A79B7"/>
    <w:rsid w:val="003B024D"/>
    <w:rsid w:val="003B02F5"/>
    <w:rsid w:val="003B0A2D"/>
    <w:rsid w:val="003B0FDA"/>
    <w:rsid w:val="003B110D"/>
    <w:rsid w:val="003B187A"/>
    <w:rsid w:val="003B1F26"/>
    <w:rsid w:val="003B240D"/>
    <w:rsid w:val="003B362C"/>
    <w:rsid w:val="003B3816"/>
    <w:rsid w:val="003B388F"/>
    <w:rsid w:val="003B3C71"/>
    <w:rsid w:val="003B57CB"/>
    <w:rsid w:val="003B5A6C"/>
    <w:rsid w:val="003B5FC0"/>
    <w:rsid w:val="003B624A"/>
    <w:rsid w:val="003B695A"/>
    <w:rsid w:val="003B760E"/>
    <w:rsid w:val="003B795C"/>
    <w:rsid w:val="003B7BAF"/>
    <w:rsid w:val="003C0A99"/>
    <w:rsid w:val="003C0C90"/>
    <w:rsid w:val="003C0E9A"/>
    <w:rsid w:val="003C0EB4"/>
    <w:rsid w:val="003C0FFB"/>
    <w:rsid w:val="003C11F3"/>
    <w:rsid w:val="003C1881"/>
    <w:rsid w:val="003C496E"/>
    <w:rsid w:val="003C4CE4"/>
    <w:rsid w:val="003C52AF"/>
    <w:rsid w:val="003C5866"/>
    <w:rsid w:val="003C6171"/>
    <w:rsid w:val="003D0272"/>
    <w:rsid w:val="003D03F5"/>
    <w:rsid w:val="003D04AF"/>
    <w:rsid w:val="003D2498"/>
    <w:rsid w:val="003D2748"/>
    <w:rsid w:val="003D4BB4"/>
    <w:rsid w:val="003D51D9"/>
    <w:rsid w:val="003D60AB"/>
    <w:rsid w:val="003D60D8"/>
    <w:rsid w:val="003D655A"/>
    <w:rsid w:val="003D6968"/>
    <w:rsid w:val="003D6BB6"/>
    <w:rsid w:val="003D7CB1"/>
    <w:rsid w:val="003E00CD"/>
    <w:rsid w:val="003E0BB2"/>
    <w:rsid w:val="003E0C03"/>
    <w:rsid w:val="003E10A0"/>
    <w:rsid w:val="003E1316"/>
    <w:rsid w:val="003E1496"/>
    <w:rsid w:val="003E2ADB"/>
    <w:rsid w:val="003E2DC7"/>
    <w:rsid w:val="003E3FCB"/>
    <w:rsid w:val="003E4BB2"/>
    <w:rsid w:val="003E5589"/>
    <w:rsid w:val="003E5614"/>
    <w:rsid w:val="003E67A9"/>
    <w:rsid w:val="003E6DBB"/>
    <w:rsid w:val="003E6FBE"/>
    <w:rsid w:val="003E7017"/>
    <w:rsid w:val="003E7DF3"/>
    <w:rsid w:val="003E7DF5"/>
    <w:rsid w:val="003F0123"/>
    <w:rsid w:val="003F0126"/>
    <w:rsid w:val="003F15FE"/>
    <w:rsid w:val="003F1A7C"/>
    <w:rsid w:val="003F1B7E"/>
    <w:rsid w:val="003F1D8C"/>
    <w:rsid w:val="003F1F33"/>
    <w:rsid w:val="003F2A9A"/>
    <w:rsid w:val="003F2C87"/>
    <w:rsid w:val="003F3F91"/>
    <w:rsid w:val="003F4099"/>
    <w:rsid w:val="003F4547"/>
    <w:rsid w:val="003F7697"/>
    <w:rsid w:val="003F77E8"/>
    <w:rsid w:val="003F7A79"/>
    <w:rsid w:val="00400626"/>
    <w:rsid w:val="004008A5"/>
    <w:rsid w:val="00400B23"/>
    <w:rsid w:val="00401859"/>
    <w:rsid w:val="00401D46"/>
    <w:rsid w:val="00401F69"/>
    <w:rsid w:val="00402379"/>
    <w:rsid w:val="00403A8C"/>
    <w:rsid w:val="004042D4"/>
    <w:rsid w:val="004044E6"/>
    <w:rsid w:val="0040489E"/>
    <w:rsid w:val="00404B78"/>
    <w:rsid w:val="0040515B"/>
    <w:rsid w:val="004062CC"/>
    <w:rsid w:val="00406B18"/>
    <w:rsid w:val="00406EEB"/>
    <w:rsid w:val="00407760"/>
    <w:rsid w:val="00407C03"/>
    <w:rsid w:val="00407E0F"/>
    <w:rsid w:val="004111AE"/>
    <w:rsid w:val="0041195C"/>
    <w:rsid w:val="00411B67"/>
    <w:rsid w:val="00412193"/>
    <w:rsid w:val="004125B0"/>
    <w:rsid w:val="00413274"/>
    <w:rsid w:val="004137DC"/>
    <w:rsid w:val="00413857"/>
    <w:rsid w:val="004138B4"/>
    <w:rsid w:val="004140CE"/>
    <w:rsid w:val="00414100"/>
    <w:rsid w:val="00414483"/>
    <w:rsid w:val="00414896"/>
    <w:rsid w:val="00415F8D"/>
    <w:rsid w:val="0041661F"/>
    <w:rsid w:val="00416C40"/>
    <w:rsid w:val="004171F5"/>
    <w:rsid w:val="0041734B"/>
    <w:rsid w:val="00417645"/>
    <w:rsid w:val="00417905"/>
    <w:rsid w:val="00420A0B"/>
    <w:rsid w:val="00420C87"/>
    <w:rsid w:val="00421A9E"/>
    <w:rsid w:val="00421E3C"/>
    <w:rsid w:val="00422FB9"/>
    <w:rsid w:val="00423F83"/>
    <w:rsid w:val="00424049"/>
    <w:rsid w:val="00424066"/>
    <w:rsid w:val="00424842"/>
    <w:rsid w:val="0042484E"/>
    <w:rsid w:val="00425ACD"/>
    <w:rsid w:val="00425C0E"/>
    <w:rsid w:val="00425D8E"/>
    <w:rsid w:val="00425F6F"/>
    <w:rsid w:val="004263FD"/>
    <w:rsid w:val="004266C2"/>
    <w:rsid w:val="004268C9"/>
    <w:rsid w:val="00426F5E"/>
    <w:rsid w:val="00427E27"/>
    <w:rsid w:val="00430A14"/>
    <w:rsid w:val="00431569"/>
    <w:rsid w:val="0043188F"/>
    <w:rsid w:val="00431BAD"/>
    <w:rsid w:val="004320AE"/>
    <w:rsid w:val="00432A9B"/>
    <w:rsid w:val="00433273"/>
    <w:rsid w:val="0043348C"/>
    <w:rsid w:val="004336A7"/>
    <w:rsid w:val="00433820"/>
    <w:rsid w:val="00433A41"/>
    <w:rsid w:val="004342DF"/>
    <w:rsid w:val="004344C1"/>
    <w:rsid w:val="004348CF"/>
    <w:rsid w:val="004357B0"/>
    <w:rsid w:val="004358C2"/>
    <w:rsid w:val="00435CC7"/>
    <w:rsid w:val="0043628B"/>
    <w:rsid w:val="00436645"/>
    <w:rsid w:val="00436774"/>
    <w:rsid w:val="00436807"/>
    <w:rsid w:val="004369A8"/>
    <w:rsid w:val="0043732E"/>
    <w:rsid w:val="004378C6"/>
    <w:rsid w:val="00437E72"/>
    <w:rsid w:val="0044099D"/>
    <w:rsid w:val="00440EAA"/>
    <w:rsid w:val="0044112B"/>
    <w:rsid w:val="004412FC"/>
    <w:rsid w:val="00441545"/>
    <w:rsid w:val="0044170A"/>
    <w:rsid w:val="004423B2"/>
    <w:rsid w:val="00442892"/>
    <w:rsid w:val="004429C0"/>
    <w:rsid w:val="004433A3"/>
    <w:rsid w:val="004439A8"/>
    <w:rsid w:val="004439B0"/>
    <w:rsid w:val="004442E4"/>
    <w:rsid w:val="004450C9"/>
    <w:rsid w:val="0044585C"/>
    <w:rsid w:val="0044629E"/>
    <w:rsid w:val="00446867"/>
    <w:rsid w:val="00446898"/>
    <w:rsid w:val="004469D2"/>
    <w:rsid w:val="004469F7"/>
    <w:rsid w:val="00446DBE"/>
    <w:rsid w:val="0045040E"/>
    <w:rsid w:val="00451021"/>
    <w:rsid w:val="0045158F"/>
    <w:rsid w:val="00451AE1"/>
    <w:rsid w:val="00451E0F"/>
    <w:rsid w:val="004523DF"/>
    <w:rsid w:val="00452EB8"/>
    <w:rsid w:val="004538A6"/>
    <w:rsid w:val="004539D1"/>
    <w:rsid w:val="004539EE"/>
    <w:rsid w:val="00453AA7"/>
    <w:rsid w:val="004544A9"/>
    <w:rsid w:val="004545A5"/>
    <w:rsid w:val="00454797"/>
    <w:rsid w:val="004547B2"/>
    <w:rsid w:val="00454EB0"/>
    <w:rsid w:val="00455955"/>
    <w:rsid w:val="00455F0C"/>
    <w:rsid w:val="00456488"/>
    <w:rsid w:val="00456ACF"/>
    <w:rsid w:val="00456D63"/>
    <w:rsid w:val="004579D2"/>
    <w:rsid w:val="00457A15"/>
    <w:rsid w:val="00457D3F"/>
    <w:rsid w:val="0046081C"/>
    <w:rsid w:val="004612B9"/>
    <w:rsid w:val="004625E5"/>
    <w:rsid w:val="00462D99"/>
    <w:rsid w:val="0046319E"/>
    <w:rsid w:val="00463C6E"/>
    <w:rsid w:val="00463FCA"/>
    <w:rsid w:val="00464364"/>
    <w:rsid w:val="0046444B"/>
    <w:rsid w:val="0046465C"/>
    <w:rsid w:val="00464AF9"/>
    <w:rsid w:val="00465034"/>
    <w:rsid w:val="0046570C"/>
    <w:rsid w:val="004659A8"/>
    <w:rsid w:val="00465D8B"/>
    <w:rsid w:val="00465E5D"/>
    <w:rsid w:val="00466442"/>
    <w:rsid w:val="0046666F"/>
    <w:rsid w:val="004666EA"/>
    <w:rsid w:val="004676D1"/>
    <w:rsid w:val="0046774D"/>
    <w:rsid w:val="0046782C"/>
    <w:rsid w:val="004700CE"/>
    <w:rsid w:val="004720ED"/>
    <w:rsid w:val="0047332D"/>
    <w:rsid w:val="0047468B"/>
    <w:rsid w:val="004756C7"/>
    <w:rsid w:val="00475A50"/>
    <w:rsid w:val="00477555"/>
    <w:rsid w:val="00477951"/>
    <w:rsid w:val="00480291"/>
    <w:rsid w:val="00480368"/>
    <w:rsid w:val="00480471"/>
    <w:rsid w:val="00480605"/>
    <w:rsid w:val="0048088E"/>
    <w:rsid w:val="00481C8D"/>
    <w:rsid w:val="00481D45"/>
    <w:rsid w:val="00481F46"/>
    <w:rsid w:val="0048207A"/>
    <w:rsid w:val="00482E78"/>
    <w:rsid w:val="00484ADD"/>
    <w:rsid w:val="00485F9D"/>
    <w:rsid w:val="00486294"/>
    <w:rsid w:val="004867A6"/>
    <w:rsid w:val="00486925"/>
    <w:rsid w:val="00487BBE"/>
    <w:rsid w:val="00490303"/>
    <w:rsid w:val="004904C6"/>
    <w:rsid w:val="00490943"/>
    <w:rsid w:val="00492139"/>
    <w:rsid w:val="00492A6E"/>
    <w:rsid w:val="00492FFF"/>
    <w:rsid w:val="004933B9"/>
    <w:rsid w:val="00493B0C"/>
    <w:rsid w:val="00493EBC"/>
    <w:rsid w:val="0049538E"/>
    <w:rsid w:val="0049688D"/>
    <w:rsid w:val="00496E7F"/>
    <w:rsid w:val="00496F4D"/>
    <w:rsid w:val="004973D0"/>
    <w:rsid w:val="004973D5"/>
    <w:rsid w:val="0049758A"/>
    <w:rsid w:val="004A00BC"/>
    <w:rsid w:val="004A048B"/>
    <w:rsid w:val="004A06F0"/>
    <w:rsid w:val="004A1981"/>
    <w:rsid w:val="004A1AD3"/>
    <w:rsid w:val="004A1EA5"/>
    <w:rsid w:val="004A23E3"/>
    <w:rsid w:val="004A2946"/>
    <w:rsid w:val="004A3321"/>
    <w:rsid w:val="004A3434"/>
    <w:rsid w:val="004A3AE8"/>
    <w:rsid w:val="004A41BA"/>
    <w:rsid w:val="004A4262"/>
    <w:rsid w:val="004A4832"/>
    <w:rsid w:val="004A490E"/>
    <w:rsid w:val="004A582B"/>
    <w:rsid w:val="004A5EEB"/>
    <w:rsid w:val="004A62AE"/>
    <w:rsid w:val="004A7557"/>
    <w:rsid w:val="004A7970"/>
    <w:rsid w:val="004A7BD0"/>
    <w:rsid w:val="004A7E93"/>
    <w:rsid w:val="004A7EC2"/>
    <w:rsid w:val="004B01FA"/>
    <w:rsid w:val="004B1A7C"/>
    <w:rsid w:val="004B2145"/>
    <w:rsid w:val="004B2331"/>
    <w:rsid w:val="004B332D"/>
    <w:rsid w:val="004B34B1"/>
    <w:rsid w:val="004B35DB"/>
    <w:rsid w:val="004B3759"/>
    <w:rsid w:val="004B3DA0"/>
    <w:rsid w:val="004B436E"/>
    <w:rsid w:val="004B49A1"/>
    <w:rsid w:val="004B5D25"/>
    <w:rsid w:val="004B6711"/>
    <w:rsid w:val="004B76AA"/>
    <w:rsid w:val="004C0B2B"/>
    <w:rsid w:val="004C0BA1"/>
    <w:rsid w:val="004C0C0B"/>
    <w:rsid w:val="004C135B"/>
    <w:rsid w:val="004C1627"/>
    <w:rsid w:val="004C1758"/>
    <w:rsid w:val="004C2F74"/>
    <w:rsid w:val="004C40ED"/>
    <w:rsid w:val="004C451A"/>
    <w:rsid w:val="004C48A1"/>
    <w:rsid w:val="004C4F53"/>
    <w:rsid w:val="004C595B"/>
    <w:rsid w:val="004C5A71"/>
    <w:rsid w:val="004C6F07"/>
    <w:rsid w:val="004D02D4"/>
    <w:rsid w:val="004D05E8"/>
    <w:rsid w:val="004D159F"/>
    <w:rsid w:val="004D239A"/>
    <w:rsid w:val="004D29D5"/>
    <w:rsid w:val="004D3E88"/>
    <w:rsid w:val="004D43C6"/>
    <w:rsid w:val="004D4655"/>
    <w:rsid w:val="004D4769"/>
    <w:rsid w:val="004D49A9"/>
    <w:rsid w:val="004D4AB3"/>
    <w:rsid w:val="004D4CF6"/>
    <w:rsid w:val="004D4FD8"/>
    <w:rsid w:val="004D58D2"/>
    <w:rsid w:val="004D5CDF"/>
    <w:rsid w:val="004D6012"/>
    <w:rsid w:val="004D6CDE"/>
    <w:rsid w:val="004D7173"/>
    <w:rsid w:val="004D7213"/>
    <w:rsid w:val="004D738B"/>
    <w:rsid w:val="004D7446"/>
    <w:rsid w:val="004D78B1"/>
    <w:rsid w:val="004E1166"/>
    <w:rsid w:val="004E11E8"/>
    <w:rsid w:val="004E2307"/>
    <w:rsid w:val="004E25F6"/>
    <w:rsid w:val="004E2D10"/>
    <w:rsid w:val="004E37BA"/>
    <w:rsid w:val="004E4E05"/>
    <w:rsid w:val="004E5D2C"/>
    <w:rsid w:val="004E613F"/>
    <w:rsid w:val="004E62D4"/>
    <w:rsid w:val="004E639E"/>
    <w:rsid w:val="004E6982"/>
    <w:rsid w:val="004E7EA5"/>
    <w:rsid w:val="004E7EE9"/>
    <w:rsid w:val="004E7F62"/>
    <w:rsid w:val="004E7F76"/>
    <w:rsid w:val="004F03A3"/>
    <w:rsid w:val="004F10DB"/>
    <w:rsid w:val="004F1A40"/>
    <w:rsid w:val="004F29A4"/>
    <w:rsid w:val="004F2B86"/>
    <w:rsid w:val="004F2F3D"/>
    <w:rsid w:val="004F3C1E"/>
    <w:rsid w:val="004F3E19"/>
    <w:rsid w:val="004F3E3A"/>
    <w:rsid w:val="004F40C7"/>
    <w:rsid w:val="004F493E"/>
    <w:rsid w:val="004F53E9"/>
    <w:rsid w:val="004F59CA"/>
    <w:rsid w:val="004F5A60"/>
    <w:rsid w:val="004F6671"/>
    <w:rsid w:val="004F6729"/>
    <w:rsid w:val="004F69DE"/>
    <w:rsid w:val="004F6A69"/>
    <w:rsid w:val="004F7408"/>
    <w:rsid w:val="004F770B"/>
    <w:rsid w:val="004F7A4A"/>
    <w:rsid w:val="00500AAB"/>
    <w:rsid w:val="00501B0C"/>
    <w:rsid w:val="005025F4"/>
    <w:rsid w:val="00504B6A"/>
    <w:rsid w:val="0050509D"/>
    <w:rsid w:val="0050522E"/>
    <w:rsid w:val="00505400"/>
    <w:rsid w:val="00506486"/>
    <w:rsid w:val="005064F9"/>
    <w:rsid w:val="00506C5B"/>
    <w:rsid w:val="00506DB9"/>
    <w:rsid w:val="005076A7"/>
    <w:rsid w:val="0050779D"/>
    <w:rsid w:val="00507AF0"/>
    <w:rsid w:val="00507B9E"/>
    <w:rsid w:val="0051040D"/>
    <w:rsid w:val="0051147A"/>
    <w:rsid w:val="00511C67"/>
    <w:rsid w:val="00511FA7"/>
    <w:rsid w:val="00512965"/>
    <w:rsid w:val="00512B8E"/>
    <w:rsid w:val="005139B8"/>
    <w:rsid w:val="00513C39"/>
    <w:rsid w:val="00514AD7"/>
    <w:rsid w:val="00515F22"/>
    <w:rsid w:val="005167F3"/>
    <w:rsid w:val="005168E6"/>
    <w:rsid w:val="005173D1"/>
    <w:rsid w:val="005202C2"/>
    <w:rsid w:val="0052148A"/>
    <w:rsid w:val="00521BB5"/>
    <w:rsid w:val="00522580"/>
    <w:rsid w:val="00523070"/>
    <w:rsid w:val="00525785"/>
    <w:rsid w:val="00525859"/>
    <w:rsid w:val="005259A2"/>
    <w:rsid w:val="005259C5"/>
    <w:rsid w:val="00525BE5"/>
    <w:rsid w:val="00527348"/>
    <w:rsid w:val="005273AF"/>
    <w:rsid w:val="005274B8"/>
    <w:rsid w:val="005274C5"/>
    <w:rsid w:val="005279BE"/>
    <w:rsid w:val="00527A13"/>
    <w:rsid w:val="00527BFB"/>
    <w:rsid w:val="00527EAE"/>
    <w:rsid w:val="00530F03"/>
    <w:rsid w:val="005319E3"/>
    <w:rsid w:val="00531DDF"/>
    <w:rsid w:val="00532074"/>
    <w:rsid w:val="0053223E"/>
    <w:rsid w:val="00532762"/>
    <w:rsid w:val="00532C06"/>
    <w:rsid w:val="00533FA0"/>
    <w:rsid w:val="00534227"/>
    <w:rsid w:val="00534C92"/>
    <w:rsid w:val="00534D1B"/>
    <w:rsid w:val="00534EA5"/>
    <w:rsid w:val="00534FD3"/>
    <w:rsid w:val="005350E4"/>
    <w:rsid w:val="00535521"/>
    <w:rsid w:val="00535870"/>
    <w:rsid w:val="00536C50"/>
    <w:rsid w:val="0053737D"/>
    <w:rsid w:val="0053755B"/>
    <w:rsid w:val="00537DCC"/>
    <w:rsid w:val="00540981"/>
    <w:rsid w:val="00540F54"/>
    <w:rsid w:val="0054131D"/>
    <w:rsid w:val="00541923"/>
    <w:rsid w:val="005421C1"/>
    <w:rsid w:val="00543100"/>
    <w:rsid w:val="00543555"/>
    <w:rsid w:val="00543C03"/>
    <w:rsid w:val="00543F8C"/>
    <w:rsid w:val="00544215"/>
    <w:rsid w:val="0054457D"/>
    <w:rsid w:val="005450A0"/>
    <w:rsid w:val="00545666"/>
    <w:rsid w:val="0054586C"/>
    <w:rsid w:val="00545BDF"/>
    <w:rsid w:val="00545EA6"/>
    <w:rsid w:val="00546539"/>
    <w:rsid w:val="005465A3"/>
    <w:rsid w:val="005475EB"/>
    <w:rsid w:val="005507A9"/>
    <w:rsid w:val="00551903"/>
    <w:rsid w:val="00551C98"/>
    <w:rsid w:val="0055217A"/>
    <w:rsid w:val="00552453"/>
    <w:rsid w:val="00552B36"/>
    <w:rsid w:val="00552BAE"/>
    <w:rsid w:val="0055342E"/>
    <w:rsid w:val="0055385C"/>
    <w:rsid w:val="00553CF8"/>
    <w:rsid w:val="00554976"/>
    <w:rsid w:val="00555A8B"/>
    <w:rsid w:val="00555B66"/>
    <w:rsid w:val="00555D26"/>
    <w:rsid w:val="005561D6"/>
    <w:rsid w:val="00556F21"/>
    <w:rsid w:val="005573BD"/>
    <w:rsid w:val="0055745D"/>
    <w:rsid w:val="00557A2D"/>
    <w:rsid w:val="00557ED9"/>
    <w:rsid w:val="005602BF"/>
    <w:rsid w:val="00560840"/>
    <w:rsid w:val="00560981"/>
    <w:rsid w:val="00560F64"/>
    <w:rsid w:val="00561715"/>
    <w:rsid w:val="005617D4"/>
    <w:rsid w:val="00561893"/>
    <w:rsid w:val="00562187"/>
    <w:rsid w:val="005624EB"/>
    <w:rsid w:val="005629AC"/>
    <w:rsid w:val="00563B30"/>
    <w:rsid w:val="00564BF5"/>
    <w:rsid w:val="00565259"/>
    <w:rsid w:val="005655C9"/>
    <w:rsid w:val="005665BF"/>
    <w:rsid w:val="00566602"/>
    <w:rsid w:val="00566951"/>
    <w:rsid w:val="00566AFC"/>
    <w:rsid w:val="00566B1B"/>
    <w:rsid w:val="00567710"/>
    <w:rsid w:val="005679F5"/>
    <w:rsid w:val="00570883"/>
    <w:rsid w:val="00570A30"/>
    <w:rsid w:val="00570F66"/>
    <w:rsid w:val="0057182D"/>
    <w:rsid w:val="00571DEA"/>
    <w:rsid w:val="00572344"/>
    <w:rsid w:val="005728C4"/>
    <w:rsid w:val="00572FA3"/>
    <w:rsid w:val="005739CC"/>
    <w:rsid w:val="00575A5E"/>
    <w:rsid w:val="0057632D"/>
    <w:rsid w:val="00576A8C"/>
    <w:rsid w:val="00576C9E"/>
    <w:rsid w:val="00576EBE"/>
    <w:rsid w:val="00577BAD"/>
    <w:rsid w:val="00577CE4"/>
    <w:rsid w:val="0058090C"/>
    <w:rsid w:val="00580A00"/>
    <w:rsid w:val="00580B15"/>
    <w:rsid w:val="00580B29"/>
    <w:rsid w:val="005812F2"/>
    <w:rsid w:val="0058177D"/>
    <w:rsid w:val="005819C4"/>
    <w:rsid w:val="0058320D"/>
    <w:rsid w:val="00583BCE"/>
    <w:rsid w:val="00584264"/>
    <w:rsid w:val="00585C8B"/>
    <w:rsid w:val="00585E08"/>
    <w:rsid w:val="005862DD"/>
    <w:rsid w:val="00586441"/>
    <w:rsid w:val="00586F02"/>
    <w:rsid w:val="00587E5D"/>
    <w:rsid w:val="00587EDF"/>
    <w:rsid w:val="00590DFE"/>
    <w:rsid w:val="005918D5"/>
    <w:rsid w:val="005918DC"/>
    <w:rsid w:val="00591B8E"/>
    <w:rsid w:val="005923D5"/>
    <w:rsid w:val="00593064"/>
    <w:rsid w:val="005930C6"/>
    <w:rsid w:val="005935E2"/>
    <w:rsid w:val="0059473C"/>
    <w:rsid w:val="00594B6F"/>
    <w:rsid w:val="00594DBA"/>
    <w:rsid w:val="00595EC3"/>
    <w:rsid w:val="0059633A"/>
    <w:rsid w:val="005968FC"/>
    <w:rsid w:val="0059702A"/>
    <w:rsid w:val="005970A0"/>
    <w:rsid w:val="005A0C03"/>
    <w:rsid w:val="005A0C94"/>
    <w:rsid w:val="005A1087"/>
    <w:rsid w:val="005A13A1"/>
    <w:rsid w:val="005A1FFB"/>
    <w:rsid w:val="005A20AE"/>
    <w:rsid w:val="005A2D17"/>
    <w:rsid w:val="005A3DE9"/>
    <w:rsid w:val="005A4BEB"/>
    <w:rsid w:val="005A4ECE"/>
    <w:rsid w:val="005A5049"/>
    <w:rsid w:val="005A57B8"/>
    <w:rsid w:val="005A5A9F"/>
    <w:rsid w:val="005A630B"/>
    <w:rsid w:val="005A6AD1"/>
    <w:rsid w:val="005A7850"/>
    <w:rsid w:val="005A7D1D"/>
    <w:rsid w:val="005B02F7"/>
    <w:rsid w:val="005B0CC5"/>
    <w:rsid w:val="005B1AA8"/>
    <w:rsid w:val="005B2391"/>
    <w:rsid w:val="005B23EA"/>
    <w:rsid w:val="005B2404"/>
    <w:rsid w:val="005B252F"/>
    <w:rsid w:val="005B2582"/>
    <w:rsid w:val="005B2D41"/>
    <w:rsid w:val="005B2E87"/>
    <w:rsid w:val="005B4668"/>
    <w:rsid w:val="005B474F"/>
    <w:rsid w:val="005B4915"/>
    <w:rsid w:val="005B6816"/>
    <w:rsid w:val="005B6A1A"/>
    <w:rsid w:val="005B724D"/>
    <w:rsid w:val="005B7AF4"/>
    <w:rsid w:val="005C0285"/>
    <w:rsid w:val="005C0EEF"/>
    <w:rsid w:val="005C12A6"/>
    <w:rsid w:val="005C130E"/>
    <w:rsid w:val="005C1794"/>
    <w:rsid w:val="005C2C78"/>
    <w:rsid w:val="005C4C23"/>
    <w:rsid w:val="005C4CF7"/>
    <w:rsid w:val="005C4EA5"/>
    <w:rsid w:val="005C63F2"/>
    <w:rsid w:val="005C674E"/>
    <w:rsid w:val="005C6E90"/>
    <w:rsid w:val="005C753F"/>
    <w:rsid w:val="005C7850"/>
    <w:rsid w:val="005C7F28"/>
    <w:rsid w:val="005D2230"/>
    <w:rsid w:val="005D3B16"/>
    <w:rsid w:val="005D3D93"/>
    <w:rsid w:val="005D4241"/>
    <w:rsid w:val="005D4B61"/>
    <w:rsid w:val="005D50F1"/>
    <w:rsid w:val="005D55F0"/>
    <w:rsid w:val="005D5660"/>
    <w:rsid w:val="005D59D5"/>
    <w:rsid w:val="005D5E7D"/>
    <w:rsid w:val="005D6133"/>
    <w:rsid w:val="005D6A02"/>
    <w:rsid w:val="005D713C"/>
    <w:rsid w:val="005D7279"/>
    <w:rsid w:val="005D74A7"/>
    <w:rsid w:val="005E02E3"/>
    <w:rsid w:val="005E0C84"/>
    <w:rsid w:val="005E10A8"/>
    <w:rsid w:val="005E17AB"/>
    <w:rsid w:val="005E17D6"/>
    <w:rsid w:val="005E1EED"/>
    <w:rsid w:val="005E3396"/>
    <w:rsid w:val="005E4300"/>
    <w:rsid w:val="005E4436"/>
    <w:rsid w:val="005E4E6E"/>
    <w:rsid w:val="005E5398"/>
    <w:rsid w:val="005E6D91"/>
    <w:rsid w:val="005F1440"/>
    <w:rsid w:val="005F18DA"/>
    <w:rsid w:val="005F1934"/>
    <w:rsid w:val="005F1BC0"/>
    <w:rsid w:val="005F3244"/>
    <w:rsid w:val="005F3AE1"/>
    <w:rsid w:val="005F41BE"/>
    <w:rsid w:val="005F44C6"/>
    <w:rsid w:val="005F4733"/>
    <w:rsid w:val="005F4A7F"/>
    <w:rsid w:val="005F4B9B"/>
    <w:rsid w:val="005F4BE1"/>
    <w:rsid w:val="005F5B5D"/>
    <w:rsid w:val="005F6309"/>
    <w:rsid w:val="005F647A"/>
    <w:rsid w:val="005F64E0"/>
    <w:rsid w:val="005F6F6C"/>
    <w:rsid w:val="005F7539"/>
    <w:rsid w:val="006009B0"/>
    <w:rsid w:val="00601767"/>
    <w:rsid w:val="00601860"/>
    <w:rsid w:val="006018E1"/>
    <w:rsid w:val="0060199F"/>
    <w:rsid w:val="0060286D"/>
    <w:rsid w:val="00602C1D"/>
    <w:rsid w:val="0060308E"/>
    <w:rsid w:val="006036A5"/>
    <w:rsid w:val="00603D71"/>
    <w:rsid w:val="00603EB1"/>
    <w:rsid w:val="0060402E"/>
    <w:rsid w:val="0060412D"/>
    <w:rsid w:val="00605017"/>
    <w:rsid w:val="00606A22"/>
    <w:rsid w:val="006076B5"/>
    <w:rsid w:val="006076D0"/>
    <w:rsid w:val="00610A7F"/>
    <w:rsid w:val="00610D0F"/>
    <w:rsid w:val="006120EB"/>
    <w:rsid w:val="00612E25"/>
    <w:rsid w:val="00613776"/>
    <w:rsid w:val="0061378A"/>
    <w:rsid w:val="006141B4"/>
    <w:rsid w:val="00614B2B"/>
    <w:rsid w:val="006152CE"/>
    <w:rsid w:val="006201BF"/>
    <w:rsid w:val="00621375"/>
    <w:rsid w:val="006213D5"/>
    <w:rsid w:val="0062154B"/>
    <w:rsid w:val="0062199E"/>
    <w:rsid w:val="00621FBF"/>
    <w:rsid w:val="00622ADB"/>
    <w:rsid w:val="00623138"/>
    <w:rsid w:val="00623714"/>
    <w:rsid w:val="0062398C"/>
    <w:rsid w:val="00624B97"/>
    <w:rsid w:val="00625C55"/>
    <w:rsid w:val="00626288"/>
    <w:rsid w:val="00626887"/>
    <w:rsid w:val="00626BC9"/>
    <w:rsid w:val="00626D16"/>
    <w:rsid w:val="00626EB5"/>
    <w:rsid w:val="006275DE"/>
    <w:rsid w:val="006279EF"/>
    <w:rsid w:val="00627BC1"/>
    <w:rsid w:val="00627D62"/>
    <w:rsid w:val="00630507"/>
    <w:rsid w:val="006307C5"/>
    <w:rsid w:val="00631BE2"/>
    <w:rsid w:val="00631C82"/>
    <w:rsid w:val="00631F84"/>
    <w:rsid w:val="00631FB0"/>
    <w:rsid w:val="00632002"/>
    <w:rsid w:val="0063219F"/>
    <w:rsid w:val="00632578"/>
    <w:rsid w:val="0063298C"/>
    <w:rsid w:val="00632D9E"/>
    <w:rsid w:val="0063300C"/>
    <w:rsid w:val="00633FF5"/>
    <w:rsid w:val="00634E3B"/>
    <w:rsid w:val="006350E5"/>
    <w:rsid w:val="00636813"/>
    <w:rsid w:val="0063700E"/>
    <w:rsid w:val="006371F1"/>
    <w:rsid w:val="0063731D"/>
    <w:rsid w:val="00637B20"/>
    <w:rsid w:val="006400E7"/>
    <w:rsid w:val="00640287"/>
    <w:rsid w:val="006404A5"/>
    <w:rsid w:val="006404CD"/>
    <w:rsid w:val="00641734"/>
    <w:rsid w:val="00641BB0"/>
    <w:rsid w:val="006420C3"/>
    <w:rsid w:val="00642B1A"/>
    <w:rsid w:val="00642CAF"/>
    <w:rsid w:val="00642DC1"/>
    <w:rsid w:val="00642E79"/>
    <w:rsid w:val="006432B2"/>
    <w:rsid w:val="00644A94"/>
    <w:rsid w:val="006454AE"/>
    <w:rsid w:val="006456F7"/>
    <w:rsid w:val="00645C51"/>
    <w:rsid w:val="0064672C"/>
    <w:rsid w:val="00646850"/>
    <w:rsid w:val="00646B17"/>
    <w:rsid w:val="00646DEC"/>
    <w:rsid w:val="0064731B"/>
    <w:rsid w:val="00647ACE"/>
    <w:rsid w:val="00647F00"/>
    <w:rsid w:val="0065133B"/>
    <w:rsid w:val="00651360"/>
    <w:rsid w:val="006522A5"/>
    <w:rsid w:val="00653083"/>
    <w:rsid w:val="00653382"/>
    <w:rsid w:val="0065338C"/>
    <w:rsid w:val="00653769"/>
    <w:rsid w:val="00654096"/>
    <w:rsid w:val="00654EA2"/>
    <w:rsid w:val="00655782"/>
    <w:rsid w:val="00655812"/>
    <w:rsid w:val="00656C9D"/>
    <w:rsid w:val="006575BD"/>
    <w:rsid w:val="006604C4"/>
    <w:rsid w:val="006608AD"/>
    <w:rsid w:val="00660B08"/>
    <w:rsid w:val="00660FBD"/>
    <w:rsid w:val="006616C9"/>
    <w:rsid w:val="00661A8B"/>
    <w:rsid w:val="006629E9"/>
    <w:rsid w:val="006631F4"/>
    <w:rsid w:val="00664080"/>
    <w:rsid w:val="0066423F"/>
    <w:rsid w:val="006642B8"/>
    <w:rsid w:val="00664394"/>
    <w:rsid w:val="00664842"/>
    <w:rsid w:val="00664B04"/>
    <w:rsid w:val="0066573A"/>
    <w:rsid w:val="006658E1"/>
    <w:rsid w:val="00665E7B"/>
    <w:rsid w:val="0066633A"/>
    <w:rsid w:val="00666508"/>
    <w:rsid w:val="006665F7"/>
    <w:rsid w:val="0066690D"/>
    <w:rsid w:val="0066712E"/>
    <w:rsid w:val="006671E4"/>
    <w:rsid w:val="00667603"/>
    <w:rsid w:val="006677A9"/>
    <w:rsid w:val="00667C24"/>
    <w:rsid w:val="00671073"/>
    <w:rsid w:val="0067139F"/>
    <w:rsid w:val="00673272"/>
    <w:rsid w:val="00673291"/>
    <w:rsid w:val="00673A31"/>
    <w:rsid w:val="00673ACF"/>
    <w:rsid w:val="00674292"/>
    <w:rsid w:val="00674E8C"/>
    <w:rsid w:val="00675109"/>
    <w:rsid w:val="00675432"/>
    <w:rsid w:val="00675806"/>
    <w:rsid w:val="00675896"/>
    <w:rsid w:val="00675F22"/>
    <w:rsid w:val="00676F9C"/>
    <w:rsid w:val="0067738A"/>
    <w:rsid w:val="00677D1D"/>
    <w:rsid w:val="00677DEF"/>
    <w:rsid w:val="00680015"/>
    <w:rsid w:val="006801BC"/>
    <w:rsid w:val="006808C0"/>
    <w:rsid w:val="00680921"/>
    <w:rsid w:val="006814C2"/>
    <w:rsid w:val="006817CB"/>
    <w:rsid w:val="006829FE"/>
    <w:rsid w:val="00682E7F"/>
    <w:rsid w:val="0068360D"/>
    <w:rsid w:val="0068373B"/>
    <w:rsid w:val="00684106"/>
    <w:rsid w:val="006858AD"/>
    <w:rsid w:val="006859D9"/>
    <w:rsid w:val="00685F2A"/>
    <w:rsid w:val="0068628C"/>
    <w:rsid w:val="00686372"/>
    <w:rsid w:val="0068687D"/>
    <w:rsid w:val="006869B5"/>
    <w:rsid w:val="00686BAF"/>
    <w:rsid w:val="006874CB"/>
    <w:rsid w:val="006874D9"/>
    <w:rsid w:val="0068786B"/>
    <w:rsid w:val="00687DA6"/>
    <w:rsid w:val="00687DA9"/>
    <w:rsid w:val="0069017E"/>
    <w:rsid w:val="00690CC4"/>
    <w:rsid w:val="00691542"/>
    <w:rsid w:val="00691C32"/>
    <w:rsid w:val="006928B0"/>
    <w:rsid w:val="00693069"/>
    <w:rsid w:val="006932DB"/>
    <w:rsid w:val="006935CB"/>
    <w:rsid w:val="006944AF"/>
    <w:rsid w:val="00694705"/>
    <w:rsid w:val="00696329"/>
    <w:rsid w:val="0069703E"/>
    <w:rsid w:val="006A0235"/>
    <w:rsid w:val="006A068B"/>
    <w:rsid w:val="006A0A7E"/>
    <w:rsid w:val="006A194F"/>
    <w:rsid w:val="006A1FFA"/>
    <w:rsid w:val="006A2853"/>
    <w:rsid w:val="006A29D3"/>
    <w:rsid w:val="006A2C45"/>
    <w:rsid w:val="006A2F2A"/>
    <w:rsid w:val="006A3532"/>
    <w:rsid w:val="006A3D95"/>
    <w:rsid w:val="006A491B"/>
    <w:rsid w:val="006A6138"/>
    <w:rsid w:val="006A715B"/>
    <w:rsid w:val="006A718B"/>
    <w:rsid w:val="006A7C0C"/>
    <w:rsid w:val="006B077C"/>
    <w:rsid w:val="006B099E"/>
    <w:rsid w:val="006B09B5"/>
    <w:rsid w:val="006B17FF"/>
    <w:rsid w:val="006B1C0E"/>
    <w:rsid w:val="006B1E64"/>
    <w:rsid w:val="006B2D7E"/>
    <w:rsid w:val="006B305D"/>
    <w:rsid w:val="006B337E"/>
    <w:rsid w:val="006B3937"/>
    <w:rsid w:val="006B3A36"/>
    <w:rsid w:val="006B413F"/>
    <w:rsid w:val="006B58FC"/>
    <w:rsid w:val="006B5D2D"/>
    <w:rsid w:val="006B5E9A"/>
    <w:rsid w:val="006B720A"/>
    <w:rsid w:val="006B765C"/>
    <w:rsid w:val="006B7DDC"/>
    <w:rsid w:val="006C01A1"/>
    <w:rsid w:val="006C0598"/>
    <w:rsid w:val="006C2F14"/>
    <w:rsid w:val="006C2F57"/>
    <w:rsid w:val="006C3C98"/>
    <w:rsid w:val="006C4838"/>
    <w:rsid w:val="006C496E"/>
    <w:rsid w:val="006C4E67"/>
    <w:rsid w:val="006C5642"/>
    <w:rsid w:val="006C63D4"/>
    <w:rsid w:val="006C656E"/>
    <w:rsid w:val="006C703F"/>
    <w:rsid w:val="006C70C9"/>
    <w:rsid w:val="006C7ADC"/>
    <w:rsid w:val="006C7FCD"/>
    <w:rsid w:val="006D01EA"/>
    <w:rsid w:val="006D0C5A"/>
    <w:rsid w:val="006D1A3C"/>
    <w:rsid w:val="006D1F74"/>
    <w:rsid w:val="006D2520"/>
    <w:rsid w:val="006D282D"/>
    <w:rsid w:val="006D2CE9"/>
    <w:rsid w:val="006D3571"/>
    <w:rsid w:val="006D4252"/>
    <w:rsid w:val="006D55AF"/>
    <w:rsid w:val="006D63AB"/>
    <w:rsid w:val="006D6AD9"/>
    <w:rsid w:val="006D6B0E"/>
    <w:rsid w:val="006D731A"/>
    <w:rsid w:val="006D794C"/>
    <w:rsid w:val="006D7B6E"/>
    <w:rsid w:val="006E0938"/>
    <w:rsid w:val="006E0D9D"/>
    <w:rsid w:val="006E1383"/>
    <w:rsid w:val="006E13EA"/>
    <w:rsid w:val="006E15F8"/>
    <w:rsid w:val="006E160E"/>
    <w:rsid w:val="006E18D3"/>
    <w:rsid w:val="006E21D6"/>
    <w:rsid w:val="006E2B35"/>
    <w:rsid w:val="006E308A"/>
    <w:rsid w:val="006E308C"/>
    <w:rsid w:val="006E3A3A"/>
    <w:rsid w:val="006E3CDC"/>
    <w:rsid w:val="006E40D8"/>
    <w:rsid w:val="006E44CD"/>
    <w:rsid w:val="006E479F"/>
    <w:rsid w:val="006E494B"/>
    <w:rsid w:val="006E4A77"/>
    <w:rsid w:val="006E549A"/>
    <w:rsid w:val="006E5607"/>
    <w:rsid w:val="006E63DB"/>
    <w:rsid w:val="006E6A08"/>
    <w:rsid w:val="006E73C8"/>
    <w:rsid w:val="006E7508"/>
    <w:rsid w:val="006E7706"/>
    <w:rsid w:val="006F0966"/>
    <w:rsid w:val="006F1F71"/>
    <w:rsid w:val="006F22B9"/>
    <w:rsid w:val="006F2D33"/>
    <w:rsid w:val="006F3C75"/>
    <w:rsid w:val="006F4825"/>
    <w:rsid w:val="006F4C37"/>
    <w:rsid w:val="006F61DA"/>
    <w:rsid w:val="006F68D6"/>
    <w:rsid w:val="006F7F4C"/>
    <w:rsid w:val="00701071"/>
    <w:rsid w:val="007011AE"/>
    <w:rsid w:val="007018F5"/>
    <w:rsid w:val="00701D63"/>
    <w:rsid w:val="00702FF3"/>
    <w:rsid w:val="007031E6"/>
    <w:rsid w:val="00704009"/>
    <w:rsid w:val="0070435A"/>
    <w:rsid w:val="007047B4"/>
    <w:rsid w:val="007049F6"/>
    <w:rsid w:val="00704F94"/>
    <w:rsid w:val="0070518A"/>
    <w:rsid w:val="007068FF"/>
    <w:rsid w:val="00706C8D"/>
    <w:rsid w:val="00706FF8"/>
    <w:rsid w:val="00707289"/>
    <w:rsid w:val="00710478"/>
    <w:rsid w:val="0071079F"/>
    <w:rsid w:val="00710B50"/>
    <w:rsid w:val="00710BC7"/>
    <w:rsid w:val="0071257A"/>
    <w:rsid w:val="007128D8"/>
    <w:rsid w:val="00713253"/>
    <w:rsid w:val="00713711"/>
    <w:rsid w:val="007137B7"/>
    <w:rsid w:val="00714661"/>
    <w:rsid w:val="00714C76"/>
    <w:rsid w:val="00714CB8"/>
    <w:rsid w:val="00716269"/>
    <w:rsid w:val="0071659A"/>
    <w:rsid w:val="007166E3"/>
    <w:rsid w:val="0071732C"/>
    <w:rsid w:val="007174F1"/>
    <w:rsid w:val="00717753"/>
    <w:rsid w:val="007216C3"/>
    <w:rsid w:val="00721B66"/>
    <w:rsid w:val="00722564"/>
    <w:rsid w:val="00722865"/>
    <w:rsid w:val="00724452"/>
    <w:rsid w:val="007246F0"/>
    <w:rsid w:val="00724A92"/>
    <w:rsid w:val="00724DAE"/>
    <w:rsid w:val="0072586C"/>
    <w:rsid w:val="00725B56"/>
    <w:rsid w:val="00726303"/>
    <w:rsid w:val="007269BC"/>
    <w:rsid w:val="00726DA5"/>
    <w:rsid w:val="007271BD"/>
    <w:rsid w:val="0072722C"/>
    <w:rsid w:val="007275D7"/>
    <w:rsid w:val="00727F66"/>
    <w:rsid w:val="00730516"/>
    <w:rsid w:val="00730CC9"/>
    <w:rsid w:val="00730FC1"/>
    <w:rsid w:val="00731200"/>
    <w:rsid w:val="0073401A"/>
    <w:rsid w:val="00734187"/>
    <w:rsid w:val="007341E6"/>
    <w:rsid w:val="007343A9"/>
    <w:rsid w:val="0073483F"/>
    <w:rsid w:val="007348D3"/>
    <w:rsid w:val="00736CAA"/>
    <w:rsid w:val="007370E5"/>
    <w:rsid w:val="00737105"/>
    <w:rsid w:val="00737845"/>
    <w:rsid w:val="00737FFD"/>
    <w:rsid w:val="007402B4"/>
    <w:rsid w:val="00740A1C"/>
    <w:rsid w:val="00740D69"/>
    <w:rsid w:val="00741B4E"/>
    <w:rsid w:val="0074278B"/>
    <w:rsid w:val="0074460D"/>
    <w:rsid w:val="007446E9"/>
    <w:rsid w:val="007447BB"/>
    <w:rsid w:val="0074615E"/>
    <w:rsid w:val="0074639C"/>
    <w:rsid w:val="007467E6"/>
    <w:rsid w:val="00747212"/>
    <w:rsid w:val="00747E0B"/>
    <w:rsid w:val="00747EAD"/>
    <w:rsid w:val="00750591"/>
    <w:rsid w:val="007512E0"/>
    <w:rsid w:val="0075134F"/>
    <w:rsid w:val="007517DE"/>
    <w:rsid w:val="00752CE8"/>
    <w:rsid w:val="007536F0"/>
    <w:rsid w:val="00753D03"/>
    <w:rsid w:val="00753E76"/>
    <w:rsid w:val="00754938"/>
    <w:rsid w:val="00754D0B"/>
    <w:rsid w:val="00755A7B"/>
    <w:rsid w:val="00755B18"/>
    <w:rsid w:val="00756097"/>
    <w:rsid w:val="007570A2"/>
    <w:rsid w:val="00760807"/>
    <w:rsid w:val="0076093B"/>
    <w:rsid w:val="00761073"/>
    <w:rsid w:val="007614CD"/>
    <w:rsid w:val="00761787"/>
    <w:rsid w:val="00762280"/>
    <w:rsid w:val="0076280C"/>
    <w:rsid w:val="00762A01"/>
    <w:rsid w:val="00763705"/>
    <w:rsid w:val="007652F6"/>
    <w:rsid w:val="007658FD"/>
    <w:rsid w:val="00765A61"/>
    <w:rsid w:val="00766332"/>
    <w:rsid w:val="0076705E"/>
    <w:rsid w:val="00767360"/>
    <w:rsid w:val="0076759E"/>
    <w:rsid w:val="007677F2"/>
    <w:rsid w:val="007700F3"/>
    <w:rsid w:val="00770217"/>
    <w:rsid w:val="0077027F"/>
    <w:rsid w:val="00770800"/>
    <w:rsid w:val="00771939"/>
    <w:rsid w:val="007731E7"/>
    <w:rsid w:val="007733F0"/>
    <w:rsid w:val="00773F57"/>
    <w:rsid w:val="00773FBF"/>
    <w:rsid w:val="00776E6F"/>
    <w:rsid w:val="007771D8"/>
    <w:rsid w:val="00777FA5"/>
    <w:rsid w:val="00780C84"/>
    <w:rsid w:val="00780E8D"/>
    <w:rsid w:val="00781274"/>
    <w:rsid w:val="00781AE5"/>
    <w:rsid w:val="00781E3D"/>
    <w:rsid w:val="007826B8"/>
    <w:rsid w:val="00783FF2"/>
    <w:rsid w:val="00784DCB"/>
    <w:rsid w:val="00785066"/>
    <w:rsid w:val="007855D2"/>
    <w:rsid w:val="00785C12"/>
    <w:rsid w:val="00786B3F"/>
    <w:rsid w:val="00786C67"/>
    <w:rsid w:val="00786DC6"/>
    <w:rsid w:val="007870BD"/>
    <w:rsid w:val="00787B3C"/>
    <w:rsid w:val="00787DEC"/>
    <w:rsid w:val="0079004E"/>
    <w:rsid w:val="0079006B"/>
    <w:rsid w:val="0079055A"/>
    <w:rsid w:val="00790E72"/>
    <w:rsid w:val="00791237"/>
    <w:rsid w:val="007917BF"/>
    <w:rsid w:val="00792B9F"/>
    <w:rsid w:val="00793036"/>
    <w:rsid w:val="0079318F"/>
    <w:rsid w:val="007936CA"/>
    <w:rsid w:val="007937F2"/>
    <w:rsid w:val="0079406A"/>
    <w:rsid w:val="00794714"/>
    <w:rsid w:val="00794CCD"/>
    <w:rsid w:val="00795636"/>
    <w:rsid w:val="00795702"/>
    <w:rsid w:val="007957D6"/>
    <w:rsid w:val="00795D15"/>
    <w:rsid w:val="00796D29"/>
    <w:rsid w:val="0079711A"/>
    <w:rsid w:val="007972B3"/>
    <w:rsid w:val="007976CE"/>
    <w:rsid w:val="007A031D"/>
    <w:rsid w:val="007A0B29"/>
    <w:rsid w:val="007A0FDA"/>
    <w:rsid w:val="007A14F6"/>
    <w:rsid w:val="007A1C2D"/>
    <w:rsid w:val="007A2F47"/>
    <w:rsid w:val="007A3490"/>
    <w:rsid w:val="007A3E7B"/>
    <w:rsid w:val="007A4195"/>
    <w:rsid w:val="007A5273"/>
    <w:rsid w:val="007A5A32"/>
    <w:rsid w:val="007A5F8D"/>
    <w:rsid w:val="007A6565"/>
    <w:rsid w:val="007A6994"/>
    <w:rsid w:val="007A6AD4"/>
    <w:rsid w:val="007A72D8"/>
    <w:rsid w:val="007A7DF4"/>
    <w:rsid w:val="007B139D"/>
    <w:rsid w:val="007B14B7"/>
    <w:rsid w:val="007B24DD"/>
    <w:rsid w:val="007B29FE"/>
    <w:rsid w:val="007B321E"/>
    <w:rsid w:val="007B41EB"/>
    <w:rsid w:val="007B4531"/>
    <w:rsid w:val="007B4869"/>
    <w:rsid w:val="007B49B9"/>
    <w:rsid w:val="007B4CFA"/>
    <w:rsid w:val="007B51C4"/>
    <w:rsid w:val="007B5CD0"/>
    <w:rsid w:val="007B61F2"/>
    <w:rsid w:val="007B69BE"/>
    <w:rsid w:val="007B7522"/>
    <w:rsid w:val="007B7888"/>
    <w:rsid w:val="007C04BE"/>
    <w:rsid w:val="007C06DD"/>
    <w:rsid w:val="007C071F"/>
    <w:rsid w:val="007C075E"/>
    <w:rsid w:val="007C07CD"/>
    <w:rsid w:val="007C085F"/>
    <w:rsid w:val="007C10AC"/>
    <w:rsid w:val="007C119A"/>
    <w:rsid w:val="007C15FF"/>
    <w:rsid w:val="007C2909"/>
    <w:rsid w:val="007C2BC2"/>
    <w:rsid w:val="007C2C80"/>
    <w:rsid w:val="007C3963"/>
    <w:rsid w:val="007C3ECA"/>
    <w:rsid w:val="007C3FD4"/>
    <w:rsid w:val="007C40D8"/>
    <w:rsid w:val="007C4226"/>
    <w:rsid w:val="007C5C0F"/>
    <w:rsid w:val="007C668C"/>
    <w:rsid w:val="007C6B23"/>
    <w:rsid w:val="007C6BE3"/>
    <w:rsid w:val="007C7250"/>
    <w:rsid w:val="007C7597"/>
    <w:rsid w:val="007C77BD"/>
    <w:rsid w:val="007D02FE"/>
    <w:rsid w:val="007D04FE"/>
    <w:rsid w:val="007D157F"/>
    <w:rsid w:val="007D1623"/>
    <w:rsid w:val="007D26A9"/>
    <w:rsid w:val="007D27A7"/>
    <w:rsid w:val="007D2A00"/>
    <w:rsid w:val="007D3328"/>
    <w:rsid w:val="007D3F1B"/>
    <w:rsid w:val="007D463A"/>
    <w:rsid w:val="007D474E"/>
    <w:rsid w:val="007D4799"/>
    <w:rsid w:val="007D4E1A"/>
    <w:rsid w:val="007D597C"/>
    <w:rsid w:val="007D5C2D"/>
    <w:rsid w:val="007D6EDF"/>
    <w:rsid w:val="007D7280"/>
    <w:rsid w:val="007D74B6"/>
    <w:rsid w:val="007D75A2"/>
    <w:rsid w:val="007D7F42"/>
    <w:rsid w:val="007E0026"/>
    <w:rsid w:val="007E0CFD"/>
    <w:rsid w:val="007E16E0"/>
    <w:rsid w:val="007E177B"/>
    <w:rsid w:val="007E249D"/>
    <w:rsid w:val="007E24A6"/>
    <w:rsid w:val="007E316C"/>
    <w:rsid w:val="007E4624"/>
    <w:rsid w:val="007E519C"/>
    <w:rsid w:val="007E6178"/>
    <w:rsid w:val="007E65E8"/>
    <w:rsid w:val="007E6933"/>
    <w:rsid w:val="007E69EB"/>
    <w:rsid w:val="007E71B0"/>
    <w:rsid w:val="007E7322"/>
    <w:rsid w:val="007E754C"/>
    <w:rsid w:val="007E7C66"/>
    <w:rsid w:val="007F062E"/>
    <w:rsid w:val="007F0CA9"/>
    <w:rsid w:val="007F0DCA"/>
    <w:rsid w:val="007F18E6"/>
    <w:rsid w:val="007F1B6B"/>
    <w:rsid w:val="007F1E59"/>
    <w:rsid w:val="007F3152"/>
    <w:rsid w:val="007F3B8C"/>
    <w:rsid w:val="007F3FBB"/>
    <w:rsid w:val="007F40E5"/>
    <w:rsid w:val="007F4170"/>
    <w:rsid w:val="007F51EF"/>
    <w:rsid w:val="007F57CF"/>
    <w:rsid w:val="007F5E52"/>
    <w:rsid w:val="007F607F"/>
    <w:rsid w:val="007F6D58"/>
    <w:rsid w:val="007F75E2"/>
    <w:rsid w:val="007F7A3E"/>
    <w:rsid w:val="008004CA"/>
    <w:rsid w:val="0080070B"/>
    <w:rsid w:val="00800973"/>
    <w:rsid w:val="008015AE"/>
    <w:rsid w:val="00801C2A"/>
    <w:rsid w:val="00801D78"/>
    <w:rsid w:val="008022E0"/>
    <w:rsid w:val="00803E94"/>
    <w:rsid w:val="00805003"/>
    <w:rsid w:val="0080529F"/>
    <w:rsid w:val="008055E6"/>
    <w:rsid w:val="0080618E"/>
    <w:rsid w:val="00806286"/>
    <w:rsid w:val="008065B8"/>
    <w:rsid w:val="0080681C"/>
    <w:rsid w:val="00807524"/>
    <w:rsid w:val="0081023E"/>
    <w:rsid w:val="0081037B"/>
    <w:rsid w:val="00810F59"/>
    <w:rsid w:val="008115E8"/>
    <w:rsid w:val="00812022"/>
    <w:rsid w:val="00812038"/>
    <w:rsid w:val="00813ED9"/>
    <w:rsid w:val="0081433D"/>
    <w:rsid w:val="00814C6B"/>
    <w:rsid w:val="00814CB2"/>
    <w:rsid w:val="008156A2"/>
    <w:rsid w:val="00815829"/>
    <w:rsid w:val="0081595D"/>
    <w:rsid w:val="008161C3"/>
    <w:rsid w:val="008169D8"/>
    <w:rsid w:val="00816A50"/>
    <w:rsid w:val="00816B47"/>
    <w:rsid w:val="008171DA"/>
    <w:rsid w:val="00817202"/>
    <w:rsid w:val="00820C90"/>
    <w:rsid w:val="008214F3"/>
    <w:rsid w:val="00821788"/>
    <w:rsid w:val="00821FCE"/>
    <w:rsid w:val="0082232D"/>
    <w:rsid w:val="00822412"/>
    <w:rsid w:val="0082296D"/>
    <w:rsid w:val="00823711"/>
    <w:rsid w:val="008239D9"/>
    <w:rsid w:val="00824343"/>
    <w:rsid w:val="008250D5"/>
    <w:rsid w:val="00825258"/>
    <w:rsid w:val="00825FE4"/>
    <w:rsid w:val="0082641B"/>
    <w:rsid w:val="00826908"/>
    <w:rsid w:val="00826CB5"/>
    <w:rsid w:val="008277CE"/>
    <w:rsid w:val="00827CDB"/>
    <w:rsid w:val="00830394"/>
    <w:rsid w:val="008308D5"/>
    <w:rsid w:val="00831078"/>
    <w:rsid w:val="00831986"/>
    <w:rsid w:val="008322A9"/>
    <w:rsid w:val="0083259D"/>
    <w:rsid w:val="0083267B"/>
    <w:rsid w:val="00832B08"/>
    <w:rsid w:val="00833100"/>
    <w:rsid w:val="008333D6"/>
    <w:rsid w:val="0083348B"/>
    <w:rsid w:val="00834153"/>
    <w:rsid w:val="0083427D"/>
    <w:rsid w:val="008344A8"/>
    <w:rsid w:val="00835098"/>
    <w:rsid w:val="00835B04"/>
    <w:rsid w:val="00835E31"/>
    <w:rsid w:val="00836B40"/>
    <w:rsid w:val="0083742C"/>
    <w:rsid w:val="00837732"/>
    <w:rsid w:val="00840F8A"/>
    <w:rsid w:val="00841C05"/>
    <w:rsid w:val="00841F79"/>
    <w:rsid w:val="00842065"/>
    <w:rsid w:val="00842C2B"/>
    <w:rsid w:val="00842D4B"/>
    <w:rsid w:val="00844AD7"/>
    <w:rsid w:val="00844AF8"/>
    <w:rsid w:val="00845D07"/>
    <w:rsid w:val="00845D4E"/>
    <w:rsid w:val="008460DC"/>
    <w:rsid w:val="008464B2"/>
    <w:rsid w:val="00847E4A"/>
    <w:rsid w:val="008508FF"/>
    <w:rsid w:val="00850F39"/>
    <w:rsid w:val="008511BE"/>
    <w:rsid w:val="008512AF"/>
    <w:rsid w:val="00851607"/>
    <w:rsid w:val="0085245C"/>
    <w:rsid w:val="00852E8F"/>
    <w:rsid w:val="0085321D"/>
    <w:rsid w:val="00853EAA"/>
    <w:rsid w:val="0085582F"/>
    <w:rsid w:val="00855AEA"/>
    <w:rsid w:val="00855E1F"/>
    <w:rsid w:val="008567A8"/>
    <w:rsid w:val="00856953"/>
    <w:rsid w:val="0085698E"/>
    <w:rsid w:val="008573F4"/>
    <w:rsid w:val="008574B9"/>
    <w:rsid w:val="00857FBC"/>
    <w:rsid w:val="00860CFF"/>
    <w:rsid w:val="00861093"/>
    <w:rsid w:val="008621B3"/>
    <w:rsid w:val="00862729"/>
    <w:rsid w:val="00863C2D"/>
    <w:rsid w:val="00863CBA"/>
    <w:rsid w:val="0086420F"/>
    <w:rsid w:val="00864733"/>
    <w:rsid w:val="00864775"/>
    <w:rsid w:val="008656A1"/>
    <w:rsid w:val="0086627B"/>
    <w:rsid w:val="00866407"/>
    <w:rsid w:val="0086736E"/>
    <w:rsid w:val="00867879"/>
    <w:rsid w:val="00867900"/>
    <w:rsid w:val="00867C9E"/>
    <w:rsid w:val="008700C3"/>
    <w:rsid w:val="00870BAD"/>
    <w:rsid w:val="00871CBD"/>
    <w:rsid w:val="0087240F"/>
    <w:rsid w:val="00872696"/>
    <w:rsid w:val="00872A4B"/>
    <w:rsid w:val="00872FE1"/>
    <w:rsid w:val="0087313C"/>
    <w:rsid w:val="00873499"/>
    <w:rsid w:val="008736BE"/>
    <w:rsid w:val="00873F75"/>
    <w:rsid w:val="00874123"/>
    <w:rsid w:val="00874217"/>
    <w:rsid w:val="00874701"/>
    <w:rsid w:val="00874D9A"/>
    <w:rsid w:val="00874F96"/>
    <w:rsid w:val="008753EB"/>
    <w:rsid w:val="0087567E"/>
    <w:rsid w:val="0087591B"/>
    <w:rsid w:val="00875934"/>
    <w:rsid w:val="00875DF5"/>
    <w:rsid w:val="00876D4D"/>
    <w:rsid w:val="0087710C"/>
    <w:rsid w:val="008773FA"/>
    <w:rsid w:val="00877BB0"/>
    <w:rsid w:val="00877EC8"/>
    <w:rsid w:val="0088024D"/>
    <w:rsid w:val="00880D74"/>
    <w:rsid w:val="00881A73"/>
    <w:rsid w:val="00882027"/>
    <w:rsid w:val="00882136"/>
    <w:rsid w:val="00882915"/>
    <w:rsid w:val="00884C67"/>
    <w:rsid w:val="00884C72"/>
    <w:rsid w:val="0088529F"/>
    <w:rsid w:val="00885A38"/>
    <w:rsid w:val="008860D9"/>
    <w:rsid w:val="0088676F"/>
    <w:rsid w:val="00886807"/>
    <w:rsid w:val="008878C5"/>
    <w:rsid w:val="0088791B"/>
    <w:rsid w:val="00887DA0"/>
    <w:rsid w:val="008902BD"/>
    <w:rsid w:val="00890ADA"/>
    <w:rsid w:val="00891EFA"/>
    <w:rsid w:val="008920E2"/>
    <w:rsid w:val="0089222D"/>
    <w:rsid w:val="00892B30"/>
    <w:rsid w:val="008935BD"/>
    <w:rsid w:val="00893831"/>
    <w:rsid w:val="008941A9"/>
    <w:rsid w:val="00894D20"/>
    <w:rsid w:val="00895CB9"/>
    <w:rsid w:val="008961A7"/>
    <w:rsid w:val="00896C6D"/>
    <w:rsid w:val="00896F41"/>
    <w:rsid w:val="0089714D"/>
    <w:rsid w:val="00897180"/>
    <w:rsid w:val="00897F88"/>
    <w:rsid w:val="008A04A8"/>
    <w:rsid w:val="008A074B"/>
    <w:rsid w:val="008A08CA"/>
    <w:rsid w:val="008A0A2D"/>
    <w:rsid w:val="008A0B77"/>
    <w:rsid w:val="008A1018"/>
    <w:rsid w:val="008A1531"/>
    <w:rsid w:val="008A1BFF"/>
    <w:rsid w:val="008A2115"/>
    <w:rsid w:val="008A25B2"/>
    <w:rsid w:val="008A25B3"/>
    <w:rsid w:val="008A27C1"/>
    <w:rsid w:val="008A39D2"/>
    <w:rsid w:val="008A5053"/>
    <w:rsid w:val="008A64F6"/>
    <w:rsid w:val="008A6B8D"/>
    <w:rsid w:val="008A71E7"/>
    <w:rsid w:val="008A7408"/>
    <w:rsid w:val="008A7A79"/>
    <w:rsid w:val="008A7BDD"/>
    <w:rsid w:val="008B0CEF"/>
    <w:rsid w:val="008B0DDF"/>
    <w:rsid w:val="008B159E"/>
    <w:rsid w:val="008B1CD4"/>
    <w:rsid w:val="008B2D1B"/>
    <w:rsid w:val="008B3269"/>
    <w:rsid w:val="008B3310"/>
    <w:rsid w:val="008B36C1"/>
    <w:rsid w:val="008B41AC"/>
    <w:rsid w:val="008B42BC"/>
    <w:rsid w:val="008B4411"/>
    <w:rsid w:val="008B461B"/>
    <w:rsid w:val="008B4921"/>
    <w:rsid w:val="008B498A"/>
    <w:rsid w:val="008B5033"/>
    <w:rsid w:val="008B54C5"/>
    <w:rsid w:val="008B598C"/>
    <w:rsid w:val="008B6E4A"/>
    <w:rsid w:val="008B7939"/>
    <w:rsid w:val="008C065C"/>
    <w:rsid w:val="008C0A45"/>
    <w:rsid w:val="008C111E"/>
    <w:rsid w:val="008C1E62"/>
    <w:rsid w:val="008C1F08"/>
    <w:rsid w:val="008C2664"/>
    <w:rsid w:val="008C4183"/>
    <w:rsid w:val="008C4398"/>
    <w:rsid w:val="008C4734"/>
    <w:rsid w:val="008C47F1"/>
    <w:rsid w:val="008C560E"/>
    <w:rsid w:val="008C5632"/>
    <w:rsid w:val="008C6961"/>
    <w:rsid w:val="008C6B55"/>
    <w:rsid w:val="008C6F0A"/>
    <w:rsid w:val="008C725C"/>
    <w:rsid w:val="008C7B52"/>
    <w:rsid w:val="008D08E9"/>
    <w:rsid w:val="008D14A8"/>
    <w:rsid w:val="008D1E25"/>
    <w:rsid w:val="008D2E8C"/>
    <w:rsid w:val="008D32DF"/>
    <w:rsid w:val="008D38F7"/>
    <w:rsid w:val="008D3D2E"/>
    <w:rsid w:val="008D3D93"/>
    <w:rsid w:val="008D4252"/>
    <w:rsid w:val="008D4297"/>
    <w:rsid w:val="008D4849"/>
    <w:rsid w:val="008D4CE6"/>
    <w:rsid w:val="008D55B8"/>
    <w:rsid w:val="008D5875"/>
    <w:rsid w:val="008D667A"/>
    <w:rsid w:val="008D68B9"/>
    <w:rsid w:val="008D6951"/>
    <w:rsid w:val="008D71FC"/>
    <w:rsid w:val="008D758E"/>
    <w:rsid w:val="008D7951"/>
    <w:rsid w:val="008D7A53"/>
    <w:rsid w:val="008E00A5"/>
    <w:rsid w:val="008E061D"/>
    <w:rsid w:val="008E2001"/>
    <w:rsid w:val="008E2811"/>
    <w:rsid w:val="008E2F0C"/>
    <w:rsid w:val="008E387F"/>
    <w:rsid w:val="008E4D08"/>
    <w:rsid w:val="008E5313"/>
    <w:rsid w:val="008E5AFA"/>
    <w:rsid w:val="008E5EAD"/>
    <w:rsid w:val="008E609F"/>
    <w:rsid w:val="008E6190"/>
    <w:rsid w:val="008E639A"/>
    <w:rsid w:val="008E6D3B"/>
    <w:rsid w:val="008E7E7B"/>
    <w:rsid w:val="008F03B8"/>
    <w:rsid w:val="008F09E5"/>
    <w:rsid w:val="008F154F"/>
    <w:rsid w:val="008F175E"/>
    <w:rsid w:val="008F18A4"/>
    <w:rsid w:val="008F1A5F"/>
    <w:rsid w:val="008F1C52"/>
    <w:rsid w:val="008F2063"/>
    <w:rsid w:val="008F2417"/>
    <w:rsid w:val="008F2B76"/>
    <w:rsid w:val="008F449C"/>
    <w:rsid w:val="008F755F"/>
    <w:rsid w:val="008F7F6C"/>
    <w:rsid w:val="0090120D"/>
    <w:rsid w:val="009012AD"/>
    <w:rsid w:val="009017D9"/>
    <w:rsid w:val="00901C60"/>
    <w:rsid w:val="00901D70"/>
    <w:rsid w:val="00901FCE"/>
    <w:rsid w:val="00902A21"/>
    <w:rsid w:val="00903564"/>
    <w:rsid w:val="00904E2D"/>
    <w:rsid w:val="0090570E"/>
    <w:rsid w:val="00905941"/>
    <w:rsid w:val="009061B1"/>
    <w:rsid w:val="00907AF9"/>
    <w:rsid w:val="0091117A"/>
    <w:rsid w:val="00912513"/>
    <w:rsid w:val="00912C28"/>
    <w:rsid w:val="00913086"/>
    <w:rsid w:val="00913FC5"/>
    <w:rsid w:val="009141EC"/>
    <w:rsid w:val="00914B8C"/>
    <w:rsid w:val="009151AE"/>
    <w:rsid w:val="00915E5C"/>
    <w:rsid w:val="00916551"/>
    <w:rsid w:val="00916E30"/>
    <w:rsid w:val="00917F1E"/>
    <w:rsid w:val="00920F52"/>
    <w:rsid w:val="00922332"/>
    <w:rsid w:val="00922493"/>
    <w:rsid w:val="0092253B"/>
    <w:rsid w:val="00922968"/>
    <w:rsid w:val="00923946"/>
    <w:rsid w:val="00924993"/>
    <w:rsid w:val="009251F5"/>
    <w:rsid w:val="00925C9B"/>
    <w:rsid w:val="0092756E"/>
    <w:rsid w:val="009300F4"/>
    <w:rsid w:val="00930867"/>
    <w:rsid w:val="00930C3B"/>
    <w:rsid w:val="00931714"/>
    <w:rsid w:val="00931BC5"/>
    <w:rsid w:val="00931D50"/>
    <w:rsid w:val="00932F0A"/>
    <w:rsid w:val="009336DE"/>
    <w:rsid w:val="00933E14"/>
    <w:rsid w:val="009347FA"/>
    <w:rsid w:val="0093492F"/>
    <w:rsid w:val="00934BE9"/>
    <w:rsid w:val="00935484"/>
    <w:rsid w:val="0093577C"/>
    <w:rsid w:val="00936579"/>
    <w:rsid w:val="00936F84"/>
    <w:rsid w:val="00936FCE"/>
    <w:rsid w:val="009372E3"/>
    <w:rsid w:val="00937595"/>
    <w:rsid w:val="00937A03"/>
    <w:rsid w:val="0094032F"/>
    <w:rsid w:val="00940D99"/>
    <w:rsid w:val="00941E3E"/>
    <w:rsid w:val="00942243"/>
    <w:rsid w:val="0094242E"/>
    <w:rsid w:val="00942749"/>
    <w:rsid w:val="009431D0"/>
    <w:rsid w:val="00944BA2"/>
    <w:rsid w:val="00945A4E"/>
    <w:rsid w:val="00945D8F"/>
    <w:rsid w:val="00946599"/>
    <w:rsid w:val="00946970"/>
    <w:rsid w:val="009478C2"/>
    <w:rsid w:val="00947E4F"/>
    <w:rsid w:val="00950249"/>
    <w:rsid w:val="00950C78"/>
    <w:rsid w:val="00952312"/>
    <w:rsid w:val="00952B17"/>
    <w:rsid w:val="009538D0"/>
    <w:rsid w:val="00953C2C"/>
    <w:rsid w:val="00953EFF"/>
    <w:rsid w:val="00954607"/>
    <w:rsid w:val="00954D48"/>
    <w:rsid w:val="0095556E"/>
    <w:rsid w:val="00955E57"/>
    <w:rsid w:val="00955E7A"/>
    <w:rsid w:val="0096011A"/>
    <w:rsid w:val="009601C7"/>
    <w:rsid w:val="009606BD"/>
    <w:rsid w:val="00960E75"/>
    <w:rsid w:val="00961B49"/>
    <w:rsid w:val="00961CC1"/>
    <w:rsid w:val="00963423"/>
    <w:rsid w:val="00963A06"/>
    <w:rsid w:val="00963A63"/>
    <w:rsid w:val="0096462D"/>
    <w:rsid w:val="009652F0"/>
    <w:rsid w:val="00966638"/>
    <w:rsid w:val="009667BA"/>
    <w:rsid w:val="00966D1F"/>
    <w:rsid w:val="00967DEE"/>
    <w:rsid w:val="00967EF4"/>
    <w:rsid w:val="00970C60"/>
    <w:rsid w:val="0097185C"/>
    <w:rsid w:val="00972346"/>
    <w:rsid w:val="00972D4D"/>
    <w:rsid w:val="0097309C"/>
    <w:rsid w:val="009732EB"/>
    <w:rsid w:val="00973484"/>
    <w:rsid w:val="00973496"/>
    <w:rsid w:val="0097382C"/>
    <w:rsid w:val="0097487B"/>
    <w:rsid w:val="00974EB6"/>
    <w:rsid w:val="009764E5"/>
    <w:rsid w:val="00976541"/>
    <w:rsid w:val="0097674B"/>
    <w:rsid w:val="00976E6D"/>
    <w:rsid w:val="00977088"/>
    <w:rsid w:val="00977F4F"/>
    <w:rsid w:val="00977F6D"/>
    <w:rsid w:val="00981A85"/>
    <w:rsid w:val="00981AC5"/>
    <w:rsid w:val="0098226F"/>
    <w:rsid w:val="009834A2"/>
    <w:rsid w:val="00983CCE"/>
    <w:rsid w:val="00983E1E"/>
    <w:rsid w:val="0098476B"/>
    <w:rsid w:val="00984A11"/>
    <w:rsid w:val="00985045"/>
    <w:rsid w:val="0098540A"/>
    <w:rsid w:val="00985580"/>
    <w:rsid w:val="00986020"/>
    <w:rsid w:val="0098646B"/>
    <w:rsid w:val="00986C60"/>
    <w:rsid w:val="009872C4"/>
    <w:rsid w:val="0098759B"/>
    <w:rsid w:val="00987A01"/>
    <w:rsid w:val="00987E08"/>
    <w:rsid w:val="00990320"/>
    <w:rsid w:val="00992779"/>
    <w:rsid w:val="00992DA5"/>
    <w:rsid w:val="00994046"/>
    <w:rsid w:val="009944EE"/>
    <w:rsid w:val="00995C28"/>
    <w:rsid w:val="00996688"/>
    <w:rsid w:val="00996741"/>
    <w:rsid w:val="009967BE"/>
    <w:rsid w:val="00997A77"/>
    <w:rsid w:val="009A1785"/>
    <w:rsid w:val="009A3689"/>
    <w:rsid w:val="009A4673"/>
    <w:rsid w:val="009A476D"/>
    <w:rsid w:val="009A5D88"/>
    <w:rsid w:val="009A641C"/>
    <w:rsid w:val="009A65E5"/>
    <w:rsid w:val="009A66D5"/>
    <w:rsid w:val="009A7368"/>
    <w:rsid w:val="009A73D4"/>
    <w:rsid w:val="009A795E"/>
    <w:rsid w:val="009A7F9B"/>
    <w:rsid w:val="009B016A"/>
    <w:rsid w:val="009B017E"/>
    <w:rsid w:val="009B1786"/>
    <w:rsid w:val="009B2BCD"/>
    <w:rsid w:val="009B38DD"/>
    <w:rsid w:val="009B3C64"/>
    <w:rsid w:val="009B40AA"/>
    <w:rsid w:val="009B4BDF"/>
    <w:rsid w:val="009B533A"/>
    <w:rsid w:val="009B5380"/>
    <w:rsid w:val="009B5C7E"/>
    <w:rsid w:val="009B6051"/>
    <w:rsid w:val="009B66B1"/>
    <w:rsid w:val="009B6E91"/>
    <w:rsid w:val="009B71E7"/>
    <w:rsid w:val="009B7314"/>
    <w:rsid w:val="009B7BFF"/>
    <w:rsid w:val="009C023D"/>
    <w:rsid w:val="009C031A"/>
    <w:rsid w:val="009C043B"/>
    <w:rsid w:val="009C0B11"/>
    <w:rsid w:val="009C1323"/>
    <w:rsid w:val="009C132C"/>
    <w:rsid w:val="009C1987"/>
    <w:rsid w:val="009C1FD6"/>
    <w:rsid w:val="009C2211"/>
    <w:rsid w:val="009C28C3"/>
    <w:rsid w:val="009C2A8C"/>
    <w:rsid w:val="009C3308"/>
    <w:rsid w:val="009C4345"/>
    <w:rsid w:val="009C4BFE"/>
    <w:rsid w:val="009C5110"/>
    <w:rsid w:val="009C533A"/>
    <w:rsid w:val="009C53E6"/>
    <w:rsid w:val="009C565F"/>
    <w:rsid w:val="009C576C"/>
    <w:rsid w:val="009C5824"/>
    <w:rsid w:val="009C59D7"/>
    <w:rsid w:val="009C6617"/>
    <w:rsid w:val="009C68B5"/>
    <w:rsid w:val="009C6B34"/>
    <w:rsid w:val="009C7BC9"/>
    <w:rsid w:val="009C7F17"/>
    <w:rsid w:val="009D08CD"/>
    <w:rsid w:val="009D188C"/>
    <w:rsid w:val="009D1A64"/>
    <w:rsid w:val="009D1F00"/>
    <w:rsid w:val="009D265B"/>
    <w:rsid w:val="009D320C"/>
    <w:rsid w:val="009D4780"/>
    <w:rsid w:val="009D4B68"/>
    <w:rsid w:val="009D51B5"/>
    <w:rsid w:val="009D5665"/>
    <w:rsid w:val="009D6930"/>
    <w:rsid w:val="009D722B"/>
    <w:rsid w:val="009D7286"/>
    <w:rsid w:val="009D7298"/>
    <w:rsid w:val="009D7D94"/>
    <w:rsid w:val="009E06D2"/>
    <w:rsid w:val="009E2C56"/>
    <w:rsid w:val="009E4541"/>
    <w:rsid w:val="009E46CC"/>
    <w:rsid w:val="009E5BD7"/>
    <w:rsid w:val="009E77C0"/>
    <w:rsid w:val="009F0859"/>
    <w:rsid w:val="009F12C6"/>
    <w:rsid w:val="009F13AC"/>
    <w:rsid w:val="009F3063"/>
    <w:rsid w:val="009F389A"/>
    <w:rsid w:val="009F3DDD"/>
    <w:rsid w:val="009F3E54"/>
    <w:rsid w:val="009F3FE2"/>
    <w:rsid w:val="009F4F1C"/>
    <w:rsid w:val="009F54A5"/>
    <w:rsid w:val="009F5C11"/>
    <w:rsid w:val="009F5F18"/>
    <w:rsid w:val="009F627F"/>
    <w:rsid w:val="009F6E81"/>
    <w:rsid w:val="00A0080E"/>
    <w:rsid w:val="00A01197"/>
    <w:rsid w:val="00A0187A"/>
    <w:rsid w:val="00A01B4F"/>
    <w:rsid w:val="00A02AB7"/>
    <w:rsid w:val="00A02E37"/>
    <w:rsid w:val="00A02E81"/>
    <w:rsid w:val="00A03771"/>
    <w:rsid w:val="00A03839"/>
    <w:rsid w:val="00A040D3"/>
    <w:rsid w:val="00A048D2"/>
    <w:rsid w:val="00A05575"/>
    <w:rsid w:val="00A0588D"/>
    <w:rsid w:val="00A062DD"/>
    <w:rsid w:val="00A06614"/>
    <w:rsid w:val="00A06A6F"/>
    <w:rsid w:val="00A07028"/>
    <w:rsid w:val="00A074CB"/>
    <w:rsid w:val="00A07F1A"/>
    <w:rsid w:val="00A10100"/>
    <w:rsid w:val="00A113BA"/>
    <w:rsid w:val="00A115E5"/>
    <w:rsid w:val="00A11CCF"/>
    <w:rsid w:val="00A11F0C"/>
    <w:rsid w:val="00A12CFC"/>
    <w:rsid w:val="00A140EB"/>
    <w:rsid w:val="00A147F6"/>
    <w:rsid w:val="00A16160"/>
    <w:rsid w:val="00A163B4"/>
    <w:rsid w:val="00A172C7"/>
    <w:rsid w:val="00A17334"/>
    <w:rsid w:val="00A17BDB"/>
    <w:rsid w:val="00A17C59"/>
    <w:rsid w:val="00A20508"/>
    <w:rsid w:val="00A2099C"/>
    <w:rsid w:val="00A2154F"/>
    <w:rsid w:val="00A21B8B"/>
    <w:rsid w:val="00A21EEB"/>
    <w:rsid w:val="00A21F6F"/>
    <w:rsid w:val="00A22690"/>
    <w:rsid w:val="00A22A17"/>
    <w:rsid w:val="00A22DC6"/>
    <w:rsid w:val="00A23548"/>
    <w:rsid w:val="00A2370A"/>
    <w:rsid w:val="00A239B4"/>
    <w:rsid w:val="00A2434E"/>
    <w:rsid w:val="00A244C0"/>
    <w:rsid w:val="00A2458F"/>
    <w:rsid w:val="00A246A2"/>
    <w:rsid w:val="00A24C07"/>
    <w:rsid w:val="00A24FE5"/>
    <w:rsid w:val="00A254D3"/>
    <w:rsid w:val="00A257EF"/>
    <w:rsid w:val="00A25BFC"/>
    <w:rsid w:val="00A25C62"/>
    <w:rsid w:val="00A25F60"/>
    <w:rsid w:val="00A2711A"/>
    <w:rsid w:val="00A27446"/>
    <w:rsid w:val="00A275FD"/>
    <w:rsid w:val="00A27F81"/>
    <w:rsid w:val="00A3024B"/>
    <w:rsid w:val="00A30625"/>
    <w:rsid w:val="00A31C62"/>
    <w:rsid w:val="00A328A0"/>
    <w:rsid w:val="00A32B80"/>
    <w:rsid w:val="00A33037"/>
    <w:rsid w:val="00A33305"/>
    <w:rsid w:val="00A33388"/>
    <w:rsid w:val="00A33CFA"/>
    <w:rsid w:val="00A341C6"/>
    <w:rsid w:val="00A34E54"/>
    <w:rsid w:val="00A351AF"/>
    <w:rsid w:val="00A3571E"/>
    <w:rsid w:val="00A3595B"/>
    <w:rsid w:val="00A35F24"/>
    <w:rsid w:val="00A35FC7"/>
    <w:rsid w:val="00A363A9"/>
    <w:rsid w:val="00A374CC"/>
    <w:rsid w:val="00A37BAF"/>
    <w:rsid w:val="00A37E2A"/>
    <w:rsid w:val="00A415C8"/>
    <w:rsid w:val="00A415FD"/>
    <w:rsid w:val="00A41C97"/>
    <w:rsid w:val="00A4213A"/>
    <w:rsid w:val="00A42718"/>
    <w:rsid w:val="00A427A4"/>
    <w:rsid w:val="00A428BA"/>
    <w:rsid w:val="00A42DB2"/>
    <w:rsid w:val="00A4406C"/>
    <w:rsid w:val="00A44A80"/>
    <w:rsid w:val="00A44BD3"/>
    <w:rsid w:val="00A45CC3"/>
    <w:rsid w:val="00A46B47"/>
    <w:rsid w:val="00A46D07"/>
    <w:rsid w:val="00A46F26"/>
    <w:rsid w:val="00A475BB"/>
    <w:rsid w:val="00A47609"/>
    <w:rsid w:val="00A50177"/>
    <w:rsid w:val="00A509EE"/>
    <w:rsid w:val="00A51740"/>
    <w:rsid w:val="00A51B7D"/>
    <w:rsid w:val="00A51E2E"/>
    <w:rsid w:val="00A5262D"/>
    <w:rsid w:val="00A52D2E"/>
    <w:rsid w:val="00A52EC3"/>
    <w:rsid w:val="00A5372E"/>
    <w:rsid w:val="00A53A9E"/>
    <w:rsid w:val="00A5496C"/>
    <w:rsid w:val="00A55373"/>
    <w:rsid w:val="00A5572D"/>
    <w:rsid w:val="00A56144"/>
    <w:rsid w:val="00A56A99"/>
    <w:rsid w:val="00A576E5"/>
    <w:rsid w:val="00A608A0"/>
    <w:rsid w:val="00A61029"/>
    <w:rsid w:val="00A61058"/>
    <w:rsid w:val="00A61C1C"/>
    <w:rsid w:val="00A624F3"/>
    <w:rsid w:val="00A627CB"/>
    <w:rsid w:val="00A6328B"/>
    <w:rsid w:val="00A63547"/>
    <w:rsid w:val="00A63A7B"/>
    <w:rsid w:val="00A63D49"/>
    <w:rsid w:val="00A64740"/>
    <w:rsid w:val="00A65020"/>
    <w:rsid w:val="00A65238"/>
    <w:rsid w:val="00A65477"/>
    <w:rsid w:val="00A65C57"/>
    <w:rsid w:val="00A65FB0"/>
    <w:rsid w:val="00A668D8"/>
    <w:rsid w:val="00A66DC5"/>
    <w:rsid w:val="00A671AE"/>
    <w:rsid w:val="00A67743"/>
    <w:rsid w:val="00A67F47"/>
    <w:rsid w:val="00A707F8"/>
    <w:rsid w:val="00A70CCF"/>
    <w:rsid w:val="00A71906"/>
    <w:rsid w:val="00A71E3B"/>
    <w:rsid w:val="00A7257B"/>
    <w:rsid w:val="00A7340F"/>
    <w:rsid w:val="00A743AC"/>
    <w:rsid w:val="00A74A1A"/>
    <w:rsid w:val="00A758E7"/>
    <w:rsid w:val="00A7597C"/>
    <w:rsid w:val="00A75E67"/>
    <w:rsid w:val="00A763A5"/>
    <w:rsid w:val="00A77484"/>
    <w:rsid w:val="00A77620"/>
    <w:rsid w:val="00A77772"/>
    <w:rsid w:val="00A77DE0"/>
    <w:rsid w:val="00A8059C"/>
    <w:rsid w:val="00A807AE"/>
    <w:rsid w:val="00A80D04"/>
    <w:rsid w:val="00A8173E"/>
    <w:rsid w:val="00A821FC"/>
    <w:rsid w:val="00A83115"/>
    <w:rsid w:val="00A8350A"/>
    <w:rsid w:val="00A837E2"/>
    <w:rsid w:val="00A83847"/>
    <w:rsid w:val="00A84040"/>
    <w:rsid w:val="00A85465"/>
    <w:rsid w:val="00A85579"/>
    <w:rsid w:val="00A86072"/>
    <w:rsid w:val="00A861A0"/>
    <w:rsid w:val="00A8620F"/>
    <w:rsid w:val="00A86367"/>
    <w:rsid w:val="00A8644A"/>
    <w:rsid w:val="00A87465"/>
    <w:rsid w:val="00A9124C"/>
    <w:rsid w:val="00A91723"/>
    <w:rsid w:val="00A91AAA"/>
    <w:rsid w:val="00A92628"/>
    <w:rsid w:val="00A929A2"/>
    <w:rsid w:val="00A93578"/>
    <w:rsid w:val="00A937A8"/>
    <w:rsid w:val="00A93F37"/>
    <w:rsid w:val="00A94274"/>
    <w:rsid w:val="00A94577"/>
    <w:rsid w:val="00A94B29"/>
    <w:rsid w:val="00A94B33"/>
    <w:rsid w:val="00A94E02"/>
    <w:rsid w:val="00A9516A"/>
    <w:rsid w:val="00A95620"/>
    <w:rsid w:val="00A9663B"/>
    <w:rsid w:val="00A96933"/>
    <w:rsid w:val="00A976B7"/>
    <w:rsid w:val="00A97C57"/>
    <w:rsid w:val="00AA0150"/>
    <w:rsid w:val="00AA0319"/>
    <w:rsid w:val="00AA1906"/>
    <w:rsid w:val="00AA266C"/>
    <w:rsid w:val="00AA2C25"/>
    <w:rsid w:val="00AA3718"/>
    <w:rsid w:val="00AA43E0"/>
    <w:rsid w:val="00AA4AA6"/>
    <w:rsid w:val="00AA4F30"/>
    <w:rsid w:val="00AA652D"/>
    <w:rsid w:val="00AA6BE2"/>
    <w:rsid w:val="00AA6C8E"/>
    <w:rsid w:val="00AA6FB8"/>
    <w:rsid w:val="00AA737D"/>
    <w:rsid w:val="00AA746C"/>
    <w:rsid w:val="00AB029D"/>
    <w:rsid w:val="00AB1AAA"/>
    <w:rsid w:val="00AB1B87"/>
    <w:rsid w:val="00AB2135"/>
    <w:rsid w:val="00AB2810"/>
    <w:rsid w:val="00AB3C19"/>
    <w:rsid w:val="00AB3E47"/>
    <w:rsid w:val="00AB3EC6"/>
    <w:rsid w:val="00AB48D0"/>
    <w:rsid w:val="00AB4962"/>
    <w:rsid w:val="00AB5074"/>
    <w:rsid w:val="00AB60B6"/>
    <w:rsid w:val="00AB68D1"/>
    <w:rsid w:val="00AB7710"/>
    <w:rsid w:val="00AB7EE0"/>
    <w:rsid w:val="00AC09D4"/>
    <w:rsid w:val="00AC0B3F"/>
    <w:rsid w:val="00AC0D40"/>
    <w:rsid w:val="00AC2016"/>
    <w:rsid w:val="00AC2110"/>
    <w:rsid w:val="00AC2B33"/>
    <w:rsid w:val="00AC2B51"/>
    <w:rsid w:val="00AC2C2D"/>
    <w:rsid w:val="00AC3024"/>
    <w:rsid w:val="00AC30BE"/>
    <w:rsid w:val="00AC3775"/>
    <w:rsid w:val="00AC37AC"/>
    <w:rsid w:val="00AC3B84"/>
    <w:rsid w:val="00AC41E5"/>
    <w:rsid w:val="00AC4720"/>
    <w:rsid w:val="00AC4E53"/>
    <w:rsid w:val="00AC5A74"/>
    <w:rsid w:val="00AC5EE7"/>
    <w:rsid w:val="00AC6200"/>
    <w:rsid w:val="00AC6333"/>
    <w:rsid w:val="00AC7975"/>
    <w:rsid w:val="00AC7C47"/>
    <w:rsid w:val="00AD0383"/>
    <w:rsid w:val="00AD0998"/>
    <w:rsid w:val="00AD11AD"/>
    <w:rsid w:val="00AD14D4"/>
    <w:rsid w:val="00AD17DF"/>
    <w:rsid w:val="00AD3AA5"/>
    <w:rsid w:val="00AD3BAB"/>
    <w:rsid w:val="00AD3E74"/>
    <w:rsid w:val="00AD4595"/>
    <w:rsid w:val="00AD4903"/>
    <w:rsid w:val="00AD492A"/>
    <w:rsid w:val="00AD4FED"/>
    <w:rsid w:val="00AD6482"/>
    <w:rsid w:val="00AD6518"/>
    <w:rsid w:val="00AD6C66"/>
    <w:rsid w:val="00AE0E14"/>
    <w:rsid w:val="00AE1674"/>
    <w:rsid w:val="00AE1A6F"/>
    <w:rsid w:val="00AE2254"/>
    <w:rsid w:val="00AE2563"/>
    <w:rsid w:val="00AE4041"/>
    <w:rsid w:val="00AE44CD"/>
    <w:rsid w:val="00AE4F23"/>
    <w:rsid w:val="00AE569B"/>
    <w:rsid w:val="00AE5E2B"/>
    <w:rsid w:val="00AE67A0"/>
    <w:rsid w:val="00AE795F"/>
    <w:rsid w:val="00AF0293"/>
    <w:rsid w:val="00AF080C"/>
    <w:rsid w:val="00AF0BD9"/>
    <w:rsid w:val="00AF0CD5"/>
    <w:rsid w:val="00AF0CDF"/>
    <w:rsid w:val="00AF10A3"/>
    <w:rsid w:val="00AF12C4"/>
    <w:rsid w:val="00AF1454"/>
    <w:rsid w:val="00AF15A3"/>
    <w:rsid w:val="00AF161B"/>
    <w:rsid w:val="00AF1A96"/>
    <w:rsid w:val="00AF2596"/>
    <w:rsid w:val="00AF38EF"/>
    <w:rsid w:val="00AF427A"/>
    <w:rsid w:val="00AF42FB"/>
    <w:rsid w:val="00AF512B"/>
    <w:rsid w:val="00AF522B"/>
    <w:rsid w:val="00AF5BFF"/>
    <w:rsid w:val="00AF5EBC"/>
    <w:rsid w:val="00AF734D"/>
    <w:rsid w:val="00AF7447"/>
    <w:rsid w:val="00B00500"/>
    <w:rsid w:val="00B019DA"/>
    <w:rsid w:val="00B01E33"/>
    <w:rsid w:val="00B01E7C"/>
    <w:rsid w:val="00B0248D"/>
    <w:rsid w:val="00B026A8"/>
    <w:rsid w:val="00B03B2B"/>
    <w:rsid w:val="00B0408A"/>
    <w:rsid w:val="00B04D52"/>
    <w:rsid w:val="00B057CD"/>
    <w:rsid w:val="00B05BCF"/>
    <w:rsid w:val="00B0638F"/>
    <w:rsid w:val="00B06D32"/>
    <w:rsid w:val="00B10066"/>
    <w:rsid w:val="00B10D1B"/>
    <w:rsid w:val="00B11A47"/>
    <w:rsid w:val="00B124CF"/>
    <w:rsid w:val="00B12984"/>
    <w:rsid w:val="00B12EB4"/>
    <w:rsid w:val="00B13104"/>
    <w:rsid w:val="00B132A4"/>
    <w:rsid w:val="00B1447B"/>
    <w:rsid w:val="00B1467C"/>
    <w:rsid w:val="00B14C1B"/>
    <w:rsid w:val="00B14FF6"/>
    <w:rsid w:val="00B1507F"/>
    <w:rsid w:val="00B163A8"/>
    <w:rsid w:val="00B16DBF"/>
    <w:rsid w:val="00B17226"/>
    <w:rsid w:val="00B175FC"/>
    <w:rsid w:val="00B178A1"/>
    <w:rsid w:val="00B178E0"/>
    <w:rsid w:val="00B17E89"/>
    <w:rsid w:val="00B204EF"/>
    <w:rsid w:val="00B2068F"/>
    <w:rsid w:val="00B21393"/>
    <w:rsid w:val="00B21C57"/>
    <w:rsid w:val="00B21CB4"/>
    <w:rsid w:val="00B21DAA"/>
    <w:rsid w:val="00B22984"/>
    <w:rsid w:val="00B2304D"/>
    <w:rsid w:val="00B2328F"/>
    <w:rsid w:val="00B23875"/>
    <w:rsid w:val="00B23AAF"/>
    <w:rsid w:val="00B24036"/>
    <w:rsid w:val="00B2449C"/>
    <w:rsid w:val="00B244E6"/>
    <w:rsid w:val="00B2464A"/>
    <w:rsid w:val="00B255EE"/>
    <w:rsid w:val="00B256F4"/>
    <w:rsid w:val="00B257F5"/>
    <w:rsid w:val="00B25E5F"/>
    <w:rsid w:val="00B266B7"/>
    <w:rsid w:val="00B26AB4"/>
    <w:rsid w:val="00B26EA7"/>
    <w:rsid w:val="00B27CF4"/>
    <w:rsid w:val="00B27D8D"/>
    <w:rsid w:val="00B31200"/>
    <w:rsid w:val="00B315D3"/>
    <w:rsid w:val="00B319DB"/>
    <w:rsid w:val="00B31A9A"/>
    <w:rsid w:val="00B3201A"/>
    <w:rsid w:val="00B326AC"/>
    <w:rsid w:val="00B33020"/>
    <w:rsid w:val="00B33C4B"/>
    <w:rsid w:val="00B3412E"/>
    <w:rsid w:val="00B34A4F"/>
    <w:rsid w:val="00B35006"/>
    <w:rsid w:val="00B35D39"/>
    <w:rsid w:val="00B364E2"/>
    <w:rsid w:val="00B37294"/>
    <w:rsid w:val="00B3769D"/>
    <w:rsid w:val="00B37D9F"/>
    <w:rsid w:val="00B409F7"/>
    <w:rsid w:val="00B40CD5"/>
    <w:rsid w:val="00B40EFF"/>
    <w:rsid w:val="00B413D6"/>
    <w:rsid w:val="00B4153E"/>
    <w:rsid w:val="00B41719"/>
    <w:rsid w:val="00B41FF5"/>
    <w:rsid w:val="00B42D31"/>
    <w:rsid w:val="00B44016"/>
    <w:rsid w:val="00B4467F"/>
    <w:rsid w:val="00B44CE9"/>
    <w:rsid w:val="00B44FF6"/>
    <w:rsid w:val="00B4555F"/>
    <w:rsid w:val="00B45C88"/>
    <w:rsid w:val="00B45DF1"/>
    <w:rsid w:val="00B4659C"/>
    <w:rsid w:val="00B4735B"/>
    <w:rsid w:val="00B50535"/>
    <w:rsid w:val="00B5095A"/>
    <w:rsid w:val="00B510B2"/>
    <w:rsid w:val="00B51143"/>
    <w:rsid w:val="00B51D5C"/>
    <w:rsid w:val="00B52120"/>
    <w:rsid w:val="00B52C72"/>
    <w:rsid w:val="00B52DCC"/>
    <w:rsid w:val="00B53523"/>
    <w:rsid w:val="00B53EA6"/>
    <w:rsid w:val="00B54CA5"/>
    <w:rsid w:val="00B55B95"/>
    <w:rsid w:val="00B56BA0"/>
    <w:rsid w:val="00B57D9F"/>
    <w:rsid w:val="00B57EC3"/>
    <w:rsid w:val="00B60C92"/>
    <w:rsid w:val="00B60EB3"/>
    <w:rsid w:val="00B610FB"/>
    <w:rsid w:val="00B6117F"/>
    <w:rsid w:val="00B611B9"/>
    <w:rsid w:val="00B622E5"/>
    <w:rsid w:val="00B62F5C"/>
    <w:rsid w:val="00B63450"/>
    <w:rsid w:val="00B63D64"/>
    <w:rsid w:val="00B64B6B"/>
    <w:rsid w:val="00B65717"/>
    <w:rsid w:val="00B65EF0"/>
    <w:rsid w:val="00B66473"/>
    <w:rsid w:val="00B6664A"/>
    <w:rsid w:val="00B66AA3"/>
    <w:rsid w:val="00B67561"/>
    <w:rsid w:val="00B67942"/>
    <w:rsid w:val="00B67D47"/>
    <w:rsid w:val="00B67F7A"/>
    <w:rsid w:val="00B67FF9"/>
    <w:rsid w:val="00B7009D"/>
    <w:rsid w:val="00B70E51"/>
    <w:rsid w:val="00B71204"/>
    <w:rsid w:val="00B716CB"/>
    <w:rsid w:val="00B72169"/>
    <w:rsid w:val="00B72BAD"/>
    <w:rsid w:val="00B73114"/>
    <w:rsid w:val="00B733D5"/>
    <w:rsid w:val="00B73732"/>
    <w:rsid w:val="00B73FF4"/>
    <w:rsid w:val="00B7487C"/>
    <w:rsid w:val="00B74B0C"/>
    <w:rsid w:val="00B752D6"/>
    <w:rsid w:val="00B7556A"/>
    <w:rsid w:val="00B75897"/>
    <w:rsid w:val="00B76408"/>
    <w:rsid w:val="00B76417"/>
    <w:rsid w:val="00B76A3A"/>
    <w:rsid w:val="00B76BFF"/>
    <w:rsid w:val="00B77DD7"/>
    <w:rsid w:val="00B8011B"/>
    <w:rsid w:val="00B80D4F"/>
    <w:rsid w:val="00B81688"/>
    <w:rsid w:val="00B820A3"/>
    <w:rsid w:val="00B822F0"/>
    <w:rsid w:val="00B828E2"/>
    <w:rsid w:val="00B82D9F"/>
    <w:rsid w:val="00B84677"/>
    <w:rsid w:val="00B849B3"/>
    <w:rsid w:val="00B84ECA"/>
    <w:rsid w:val="00B85000"/>
    <w:rsid w:val="00B86740"/>
    <w:rsid w:val="00B8765A"/>
    <w:rsid w:val="00B87966"/>
    <w:rsid w:val="00B87CDE"/>
    <w:rsid w:val="00B90563"/>
    <w:rsid w:val="00B906E4"/>
    <w:rsid w:val="00B90987"/>
    <w:rsid w:val="00B90A26"/>
    <w:rsid w:val="00B910CC"/>
    <w:rsid w:val="00B916F0"/>
    <w:rsid w:val="00B91D30"/>
    <w:rsid w:val="00B91ED2"/>
    <w:rsid w:val="00B9221F"/>
    <w:rsid w:val="00B92859"/>
    <w:rsid w:val="00B93140"/>
    <w:rsid w:val="00B93E07"/>
    <w:rsid w:val="00B94CF8"/>
    <w:rsid w:val="00B96293"/>
    <w:rsid w:val="00B964E5"/>
    <w:rsid w:val="00BA0480"/>
    <w:rsid w:val="00BA0631"/>
    <w:rsid w:val="00BA0DEF"/>
    <w:rsid w:val="00BA0F1C"/>
    <w:rsid w:val="00BA1149"/>
    <w:rsid w:val="00BA18B0"/>
    <w:rsid w:val="00BA23E5"/>
    <w:rsid w:val="00BA25BF"/>
    <w:rsid w:val="00BA2683"/>
    <w:rsid w:val="00BA3367"/>
    <w:rsid w:val="00BA41F5"/>
    <w:rsid w:val="00BA49E4"/>
    <w:rsid w:val="00BA4B6C"/>
    <w:rsid w:val="00BA579F"/>
    <w:rsid w:val="00BA5944"/>
    <w:rsid w:val="00BA5E32"/>
    <w:rsid w:val="00BA69CD"/>
    <w:rsid w:val="00BA7C5C"/>
    <w:rsid w:val="00BB105A"/>
    <w:rsid w:val="00BB10DA"/>
    <w:rsid w:val="00BB1B04"/>
    <w:rsid w:val="00BB338B"/>
    <w:rsid w:val="00BB3608"/>
    <w:rsid w:val="00BB3CDC"/>
    <w:rsid w:val="00BB4EAF"/>
    <w:rsid w:val="00BB50F2"/>
    <w:rsid w:val="00BB56D6"/>
    <w:rsid w:val="00BB577E"/>
    <w:rsid w:val="00BB5835"/>
    <w:rsid w:val="00BB59C7"/>
    <w:rsid w:val="00BB6218"/>
    <w:rsid w:val="00BB6319"/>
    <w:rsid w:val="00BB6CF4"/>
    <w:rsid w:val="00BB7696"/>
    <w:rsid w:val="00BB7949"/>
    <w:rsid w:val="00BB7BC2"/>
    <w:rsid w:val="00BB7F9A"/>
    <w:rsid w:val="00BC05EE"/>
    <w:rsid w:val="00BC08EE"/>
    <w:rsid w:val="00BC0CCA"/>
    <w:rsid w:val="00BC1778"/>
    <w:rsid w:val="00BC20E7"/>
    <w:rsid w:val="00BC4010"/>
    <w:rsid w:val="00BC4B0C"/>
    <w:rsid w:val="00BC4BCE"/>
    <w:rsid w:val="00BC4D68"/>
    <w:rsid w:val="00BC5568"/>
    <w:rsid w:val="00BC58DB"/>
    <w:rsid w:val="00BC5976"/>
    <w:rsid w:val="00BC5D31"/>
    <w:rsid w:val="00BC685E"/>
    <w:rsid w:val="00BC74D6"/>
    <w:rsid w:val="00BC77F2"/>
    <w:rsid w:val="00BD086A"/>
    <w:rsid w:val="00BD12DF"/>
    <w:rsid w:val="00BD1735"/>
    <w:rsid w:val="00BD2310"/>
    <w:rsid w:val="00BD28A0"/>
    <w:rsid w:val="00BD3042"/>
    <w:rsid w:val="00BD37E7"/>
    <w:rsid w:val="00BD3FE9"/>
    <w:rsid w:val="00BD5FC5"/>
    <w:rsid w:val="00BD664E"/>
    <w:rsid w:val="00BD754E"/>
    <w:rsid w:val="00BD7784"/>
    <w:rsid w:val="00BD7B3B"/>
    <w:rsid w:val="00BD7E63"/>
    <w:rsid w:val="00BE0244"/>
    <w:rsid w:val="00BE0504"/>
    <w:rsid w:val="00BE144E"/>
    <w:rsid w:val="00BE1592"/>
    <w:rsid w:val="00BE1A9A"/>
    <w:rsid w:val="00BE2163"/>
    <w:rsid w:val="00BE2180"/>
    <w:rsid w:val="00BE2CBB"/>
    <w:rsid w:val="00BE2E8A"/>
    <w:rsid w:val="00BE3685"/>
    <w:rsid w:val="00BE3C26"/>
    <w:rsid w:val="00BE476F"/>
    <w:rsid w:val="00BE4772"/>
    <w:rsid w:val="00BE4BB3"/>
    <w:rsid w:val="00BE50E2"/>
    <w:rsid w:val="00BE57A2"/>
    <w:rsid w:val="00BE60D4"/>
    <w:rsid w:val="00BE670F"/>
    <w:rsid w:val="00BE68CB"/>
    <w:rsid w:val="00BE6BF2"/>
    <w:rsid w:val="00BE6F94"/>
    <w:rsid w:val="00BE7A85"/>
    <w:rsid w:val="00BF022C"/>
    <w:rsid w:val="00BF0359"/>
    <w:rsid w:val="00BF0A56"/>
    <w:rsid w:val="00BF13E4"/>
    <w:rsid w:val="00BF2556"/>
    <w:rsid w:val="00BF280B"/>
    <w:rsid w:val="00BF4FF7"/>
    <w:rsid w:val="00BF56A4"/>
    <w:rsid w:val="00BF5787"/>
    <w:rsid w:val="00BF7115"/>
    <w:rsid w:val="00BF783D"/>
    <w:rsid w:val="00BF7A5A"/>
    <w:rsid w:val="00C002E9"/>
    <w:rsid w:val="00C00E22"/>
    <w:rsid w:val="00C0259F"/>
    <w:rsid w:val="00C0293F"/>
    <w:rsid w:val="00C03DBC"/>
    <w:rsid w:val="00C03F9D"/>
    <w:rsid w:val="00C04405"/>
    <w:rsid w:val="00C04558"/>
    <w:rsid w:val="00C04ACE"/>
    <w:rsid w:val="00C05142"/>
    <w:rsid w:val="00C05581"/>
    <w:rsid w:val="00C05655"/>
    <w:rsid w:val="00C0577B"/>
    <w:rsid w:val="00C05828"/>
    <w:rsid w:val="00C05C15"/>
    <w:rsid w:val="00C05C2F"/>
    <w:rsid w:val="00C05F9E"/>
    <w:rsid w:val="00C06883"/>
    <w:rsid w:val="00C06BCB"/>
    <w:rsid w:val="00C06F45"/>
    <w:rsid w:val="00C07394"/>
    <w:rsid w:val="00C1012F"/>
    <w:rsid w:val="00C105E1"/>
    <w:rsid w:val="00C10860"/>
    <w:rsid w:val="00C112F3"/>
    <w:rsid w:val="00C11A63"/>
    <w:rsid w:val="00C11AA8"/>
    <w:rsid w:val="00C12217"/>
    <w:rsid w:val="00C15656"/>
    <w:rsid w:val="00C15A4B"/>
    <w:rsid w:val="00C20446"/>
    <w:rsid w:val="00C20F5B"/>
    <w:rsid w:val="00C21A5C"/>
    <w:rsid w:val="00C21F4C"/>
    <w:rsid w:val="00C23EFD"/>
    <w:rsid w:val="00C24C9B"/>
    <w:rsid w:val="00C24DDC"/>
    <w:rsid w:val="00C24E74"/>
    <w:rsid w:val="00C25895"/>
    <w:rsid w:val="00C25D14"/>
    <w:rsid w:val="00C2751D"/>
    <w:rsid w:val="00C275D9"/>
    <w:rsid w:val="00C27B2A"/>
    <w:rsid w:val="00C3069C"/>
    <w:rsid w:val="00C30DB0"/>
    <w:rsid w:val="00C31C97"/>
    <w:rsid w:val="00C320B5"/>
    <w:rsid w:val="00C320E5"/>
    <w:rsid w:val="00C325FD"/>
    <w:rsid w:val="00C32B71"/>
    <w:rsid w:val="00C32BB5"/>
    <w:rsid w:val="00C34359"/>
    <w:rsid w:val="00C34A79"/>
    <w:rsid w:val="00C34C4B"/>
    <w:rsid w:val="00C351B9"/>
    <w:rsid w:val="00C35293"/>
    <w:rsid w:val="00C36553"/>
    <w:rsid w:val="00C36CBF"/>
    <w:rsid w:val="00C3747D"/>
    <w:rsid w:val="00C375D3"/>
    <w:rsid w:val="00C41185"/>
    <w:rsid w:val="00C436AB"/>
    <w:rsid w:val="00C43D72"/>
    <w:rsid w:val="00C4415A"/>
    <w:rsid w:val="00C44828"/>
    <w:rsid w:val="00C44CB4"/>
    <w:rsid w:val="00C4509A"/>
    <w:rsid w:val="00C45A59"/>
    <w:rsid w:val="00C45C78"/>
    <w:rsid w:val="00C471A4"/>
    <w:rsid w:val="00C47C45"/>
    <w:rsid w:val="00C501C1"/>
    <w:rsid w:val="00C50A41"/>
    <w:rsid w:val="00C51393"/>
    <w:rsid w:val="00C51956"/>
    <w:rsid w:val="00C51B26"/>
    <w:rsid w:val="00C51D77"/>
    <w:rsid w:val="00C51E94"/>
    <w:rsid w:val="00C52201"/>
    <w:rsid w:val="00C52C21"/>
    <w:rsid w:val="00C5304D"/>
    <w:rsid w:val="00C531B3"/>
    <w:rsid w:val="00C538F4"/>
    <w:rsid w:val="00C54046"/>
    <w:rsid w:val="00C541EB"/>
    <w:rsid w:val="00C549D4"/>
    <w:rsid w:val="00C55664"/>
    <w:rsid w:val="00C562F7"/>
    <w:rsid w:val="00C57DC9"/>
    <w:rsid w:val="00C604BE"/>
    <w:rsid w:val="00C61265"/>
    <w:rsid w:val="00C61546"/>
    <w:rsid w:val="00C618E3"/>
    <w:rsid w:val="00C62BF2"/>
    <w:rsid w:val="00C62F6C"/>
    <w:rsid w:val="00C63078"/>
    <w:rsid w:val="00C6383C"/>
    <w:rsid w:val="00C63882"/>
    <w:rsid w:val="00C63AD3"/>
    <w:rsid w:val="00C6464B"/>
    <w:rsid w:val="00C646C8"/>
    <w:rsid w:val="00C64B06"/>
    <w:rsid w:val="00C651B8"/>
    <w:rsid w:val="00C65496"/>
    <w:rsid w:val="00C65B86"/>
    <w:rsid w:val="00C6690C"/>
    <w:rsid w:val="00C66D51"/>
    <w:rsid w:val="00C700B7"/>
    <w:rsid w:val="00C70A2F"/>
    <w:rsid w:val="00C722C0"/>
    <w:rsid w:val="00C73501"/>
    <w:rsid w:val="00C73C42"/>
    <w:rsid w:val="00C73E24"/>
    <w:rsid w:val="00C7444F"/>
    <w:rsid w:val="00C7477C"/>
    <w:rsid w:val="00C7489A"/>
    <w:rsid w:val="00C755C7"/>
    <w:rsid w:val="00C75981"/>
    <w:rsid w:val="00C75AFE"/>
    <w:rsid w:val="00C76BE4"/>
    <w:rsid w:val="00C773D3"/>
    <w:rsid w:val="00C777BD"/>
    <w:rsid w:val="00C77CD7"/>
    <w:rsid w:val="00C77F71"/>
    <w:rsid w:val="00C80C72"/>
    <w:rsid w:val="00C80EE9"/>
    <w:rsid w:val="00C81134"/>
    <w:rsid w:val="00C81876"/>
    <w:rsid w:val="00C830CA"/>
    <w:rsid w:val="00C83780"/>
    <w:rsid w:val="00C83CEC"/>
    <w:rsid w:val="00C83EAB"/>
    <w:rsid w:val="00C83FDC"/>
    <w:rsid w:val="00C845C0"/>
    <w:rsid w:val="00C84BC4"/>
    <w:rsid w:val="00C84C25"/>
    <w:rsid w:val="00C85A11"/>
    <w:rsid w:val="00C8614B"/>
    <w:rsid w:val="00C865E7"/>
    <w:rsid w:val="00C902E1"/>
    <w:rsid w:val="00C90476"/>
    <w:rsid w:val="00C90ADC"/>
    <w:rsid w:val="00C91619"/>
    <w:rsid w:val="00C918A1"/>
    <w:rsid w:val="00C91BE9"/>
    <w:rsid w:val="00C921F7"/>
    <w:rsid w:val="00C92496"/>
    <w:rsid w:val="00C92B30"/>
    <w:rsid w:val="00C938DC"/>
    <w:rsid w:val="00C93940"/>
    <w:rsid w:val="00C93CEC"/>
    <w:rsid w:val="00C93F5A"/>
    <w:rsid w:val="00C94DEA"/>
    <w:rsid w:val="00C956C5"/>
    <w:rsid w:val="00C957D5"/>
    <w:rsid w:val="00C95831"/>
    <w:rsid w:val="00C95FDA"/>
    <w:rsid w:val="00C9626C"/>
    <w:rsid w:val="00C96F29"/>
    <w:rsid w:val="00C97CC5"/>
    <w:rsid w:val="00CA06E7"/>
    <w:rsid w:val="00CA0D5A"/>
    <w:rsid w:val="00CA1049"/>
    <w:rsid w:val="00CA20EA"/>
    <w:rsid w:val="00CA2587"/>
    <w:rsid w:val="00CA272C"/>
    <w:rsid w:val="00CA3072"/>
    <w:rsid w:val="00CA3B58"/>
    <w:rsid w:val="00CA45DA"/>
    <w:rsid w:val="00CA519B"/>
    <w:rsid w:val="00CA567F"/>
    <w:rsid w:val="00CA6376"/>
    <w:rsid w:val="00CA69A8"/>
    <w:rsid w:val="00CA754F"/>
    <w:rsid w:val="00CA77C7"/>
    <w:rsid w:val="00CB0F2E"/>
    <w:rsid w:val="00CB1E1C"/>
    <w:rsid w:val="00CB1E95"/>
    <w:rsid w:val="00CB279F"/>
    <w:rsid w:val="00CB29AA"/>
    <w:rsid w:val="00CB37F7"/>
    <w:rsid w:val="00CB4A73"/>
    <w:rsid w:val="00CB4E61"/>
    <w:rsid w:val="00CB5E28"/>
    <w:rsid w:val="00CB661F"/>
    <w:rsid w:val="00CB6725"/>
    <w:rsid w:val="00CB78D6"/>
    <w:rsid w:val="00CB7A9B"/>
    <w:rsid w:val="00CB7D04"/>
    <w:rsid w:val="00CB7EE5"/>
    <w:rsid w:val="00CC04DA"/>
    <w:rsid w:val="00CC0560"/>
    <w:rsid w:val="00CC0FFA"/>
    <w:rsid w:val="00CC10CA"/>
    <w:rsid w:val="00CC2105"/>
    <w:rsid w:val="00CC254B"/>
    <w:rsid w:val="00CC336B"/>
    <w:rsid w:val="00CC3A33"/>
    <w:rsid w:val="00CC3C21"/>
    <w:rsid w:val="00CC4C19"/>
    <w:rsid w:val="00CC4E62"/>
    <w:rsid w:val="00CC5100"/>
    <w:rsid w:val="00CC53B5"/>
    <w:rsid w:val="00CC5515"/>
    <w:rsid w:val="00CC5688"/>
    <w:rsid w:val="00CC6120"/>
    <w:rsid w:val="00CC6323"/>
    <w:rsid w:val="00CC7C44"/>
    <w:rsid w:val="00CD06CD"/>
    <w:rsid w:val="00CD06EE"/>
    <w:rsid w:val="00CD23F0"/>
    <w:rsid w:val="00CD3DAC"/>
    <w:rsid w:val="00CD3FDA"/>
    <w:rsid w:val="00CD467D"/>
    <w:rsid w:val="00CD50F7"/>
    <w:rsid w:val="00CD5AEA"/>
    <w:rsid w:val="00CD5BCB"/>
    <w:rsid w:val="00CD5DB7"/>
    <w:rsid w:val="00CD5F1E"/>
    <w:rsid w:val="00CE033F"/>
    <w:rsid w:val="00CE07D7"/>
    <w:rsid w:val="00CE0E8C"/>
    <w:rsid w:val="00CE192B"/>
    <w:rsid w:val="00CE1D59"/>
    <w:rsid w:val="00CE1F8C"/>
    <w:rsid w:val="00CE23DF"/>
    <w:rsid w:val="00CE25AC"/>
    <w:rsid w:val="00CE2BD5"/>
    <w:rsid w:val="00CE313D"/>
    <w:rsid w:val="00CE40D6"/>
    <w:rsid w:val="00CE4907"/>
    <w:rsid w:val="00CE67D5"/>
    <w:rsid w:val="00CE6EC2"/>
    <w:rsid w:val="00CE769D"/>
    <w:rsid w:val="00CF2130"/>
    <w:rsid w:val="00CF2B51"/>
    <w:rsid w:val="00CF2EF8"/>
    <w:rsid w:val="00CF3582"/>
    <w:rsid w:val="00CF37AA"/>
    <w:rsid w:val="00CF3A02"/>
    <w:rsid w:val="00CF4413"/>
    <w:rsid w:val="00CF445F"/>
    <w:rsid w:val="00CF47CC"/>
    <w:rsid w:val="00CF563A"/>
    <w:rsid w:val="00CF5BF1"/>
    <w:rsid w:val="00CF65DF"/>
    <w:rsid w:val="00D000A1"/>
    <w:rsid w:val="00D003A9"/>
    <w:rsid w:val="00D00E0C"/>
    <w:rsid w:val="00D00F49"/>
    <w:rsid w:val="00D01787"/>
    <w:rsid w:val="00D02646"/>
    <w:rsid w:val="00D026CF"/>
    <w:rsid w:val="00D0293B"/>
    <w:rsid w:val="00D02C50"/>
    <w:rsid w:val="00D039AB"/>
    <w:rsid w:val="00D03A85"/>
    <w:rsid w:val="00D03C84"/>
    <w:rsid w:val="00D03D9C"/>
    <w:rsid w:val="00D040DB"/>
    <w:rsid w:val="00D05E4C"/>
    <w:rsid w:val="00D06D9F"/>
    <w:rsid w:val="00D073C4"/>
    <w:rsid w:val="00D10F73"/>
    <w:rsid w:val="00D112DA"/>
    <w:rsid w:val="00D11913"/>
    <w:rsid w:val="00D12945"/>
    <w:rsid w:val="00D139CE"/>
    <w:rsid w:val="00D13D23"/>
    <w:rsid w:val="00D14B1A"/>
    <w:rsid w:val="00D14C9C"/>
    <w:rsid w:val="00D178DB"/>
    <w:rsid w:val="00D17919"/>
    <w:rsid w:val="00D20857"/>
    <w:rsid w:val="00D209B1"/>
    <w:rsid w:val="00D21637"/>
    <w:rsid w:val="00D21D87"/>
    <w:rsid w:val="00D22621"/>
    <w:rsid w:val="00D22709"/>
    <w:rsid w:val="00D23393"/>
    <w:rsid w:val="00D23CAC"/>
    <w:rsid w:val="00D25CAA"/>
    <w:rsid w:val="00D25F07"/>
    <w:rsid w:val="00D2603E"/>
    <w:rsid w:val="00D26F3D"/>
    <w:rsid w:val="00D27C30"/>
    <w:rsid w:val="00D30094"/>
    <w:rsid w:val="00D31253"/>
    <w:rsid w:val="00D317F9"/>
    <w:rsid w:val="00D32B61"/>
    <w:rsid w:val="00D330FF"/>
    <w:rsid w:val="00D33111"/>
    <w:rsid w:val="00D33C2C"/>
    <w:rsid w:val="00D33E31"/>
    <w:rsid w:val="00D341ED"/>
    <w:rsid w:val="00D347BD"/>
    <w:rsid w:val="00D35245"/>
    <w:rsid w:val="00D35929"/>
    <w:rsid w:val="00D363A2"/>
    <w:rsid w:val="00D364A6"/>
    <w:rsid w:val="00D3699F"/>
    <w:rsid w:val="00D36F11"/>
    <w:rsid w:val="00D375D9"/>
    <w:rsid w:val="00D400BC"/>
    <w:rsid w:val="00D4027B"/>
    <w:rsid w:val="00D40560"/>
    <w:rsid w:val="00D410EB"/>
    <w:rsid w:val="00D41C90"/>
    <w:rsid w:val="00D42CCB"/>
    <w:rsid w:val="00D4368A"/>
    <w:rsid w:val="00D43C6A"/>
    <w:rsid w:val="00D44CD1"/>
    <w:rsid w:val="00D45194"/>
    <w:rsid w:val="00D46E2A"/>
    <w:rsid w:val="00D50CB0"/>
    <w:rsid w:val="00D514CA"/>
    <w:rsid w:val="00D51AF2"/>
    <w:rsid w:val="00D51ED3"/>
    <w:rsid w:val="00D52BD2"/>
    <w:rsid w:val="00D53570"/>
    <w:rsid w:val="00D53C67"/>
    <w:rsid w:val="00D54476"/>
    <w:rsid w:val="00D5528D"/>
    <w:rsid w:val="00D559AD"/>
    <w:rsid w:val="00D55A90"/>
    <w:rsid w:val="00D5653F"/>
    <w:rsid w:val="00D57858"/>
    <w:rsid w:val="00D57B4F"/>
    <w:rsid w:val="00D62628"/>
    <w:rsid w:val="00D626F3"/>
    <w:rsid w:val="00D62AD3"/>
    <w:rsid w:val="00D62E01"/>
    <w:rsid w:val="00D62F39"/>
    <w:rsid w:val="00D63433"/>
    <w:rsid w:val="00D63755"/>
    <w:rsid w:val="00D64E6D"/>
    <w:rsid w:val="00D6518B"/>
    <w:rsid w:val="00D651A5"/>
    <w:rsid w:val="00D65267"/>
    <w:rsid w:val="00D65452"/>
    <w:rsid w:val="00D662FC"/>
    <w:rsid w:val="00D66921"/>
    <w:rsid w:val="00D67654"/>
    <w:rsid w:val="00D67D31"/>
    <w:rsid w:val="00D67E49"/>
    <w:rsid w:val="00D701E5"/>
    <w:rsid w:val="00D7064E"/>
    <w:rsid w:val="00D727DD"/>
    <w:rsid w:val="00D73A98"/>
    <w:rsid w:val="00D73F72"/>
    <w:rsid w:val="00D742F6"/>
    <w:rsid w:val="00D74B40"/>
    <w:rsid w:val="00D74E48"/>
    <w:rsid w:val="00D75C4D"/>
    <w:rsid w:val="00D75CAD"/>
    <w:rsid w:val="00D76052"/>
    <w:rsid w:val="00D766AB"/>
    <w:rsid w:val="00D76B2E"/>
    <w:rsid w:val="00D77203"/>
    <w:rsid w:val="00D77B7F"/>
    <w:rsid w:val="00D77E70"/>
    <w:rsid w:val="00D800F8"/>
    <w:rsid w:val="00D80315"/>
    <w:rsid w:val="00D80C37"/>
    <w:rsid w:val="00D817AC"/>
    <w:rsid w:val="00D83951"/>
    <w:rsid w:val="00D83E97"/>
    <w:rsid w:val="00D83F80"/>
    <w:rsid w:val="00D84E4D"/>
    <w:rsid w:val="00D84F7D"/>
    <w:rsid w:val="00D851D9"/>
    <w:rsid w:val="00D85B27"/>
    <w:rsid w:val="00D864F8"/>
    <w:rsid w:val="00D873FB"/>
    <w:rsid w:val="00D8763A"/>
    <w:rsid w:val="00D8775C"/>
    <w:rsid w:val="00D901D8"/>
    <w:rsid w:val="00D9178B"/>
    <w:rsid w:val="00D92337"/>
    <w:rsid w:val="00D927FB"/>
    <w:rsid w:val="00D9287C"/>
    <w:rsid w:val="00D92C84"/>
    <w:rsid w:val="00D93099"/>
    <w:rsid w:val="00D9331E"/>
    <w:rsid w:val="00D938AD"/>
    <w:rsid w:val="00D9413A"/>
    <w:rsid w:val="00D94885"/>
    <w:rsid w:val="00D948F6"/>
    <w:rsid w:val="00D949D5"/>
    <w:rsid w:val="00D9501C"/>
    <w:rsid w:val="00D953DE"/>
    <w:rsid w:val="00D954DC"/>
    <w:rsid w:val="00D95CD8"/>
    <w:rsid w:val="00D95DF2"/>
    <w:rsid w:val="00D96B77"/>
    <w:rsid w:val="00D9756A"/>
    <w:rsid w:val="00D9759E"/>
    <w:rsid w:val="00DA293A"/>
    <w:rsid w:val="00DA2982"/>
    <w:rsid w:val="00DA3335"/>
    <w:rsid w:val="00DA3584"/>
    <w:rsid w:val="00DA3B41"/>
    <w:rsid w:val="00DA42C7"/>
    <w:rsid w:val="00DA47DD"/>
    <w:rsid w:val="00DA5444"/>
    <w:rsid w:val="00DA5623"/>
    <w:rsid w:val="00DA58A0"/>
    <w:rsid w:val="00DA6748"/>
    <w:rsid w:val="00DA6EAD"/>
    <w:rsid w:val="00DA6F48"/>
    <w:rsid w:val="00DA7113"/>
    <w:rsid w:val="00DA761A"/>
    <w:rsid w:val="00DA79F8"/>
    <w:rsid w:val="00DA7C18"/>
    <w:rsid w:val="00DB0516"/>
    <w:rsid w:val="00DB07B4"/>
    <w:rsid w:val="00DB2790"/>
    <w:rsid w:val="00DB27CC"/>
    <w:rsid w:val="00DB2A3E"/>
    <w:rsid w:val="00DB3102"/>
    <w:rsid w:val="00DB38CA"/>
    <w:rsid w:val="00DB3BD7"/>
    <w:rsid w:val="00DB3F15"/>
    <w:rsid w:val="00DB3FCA"/>
    <w:rsid w:val="00DB4D72"/>
    <w:rsid w:val="00DB509A"/>
    <w:rsid w:val="00DB6A05"/>
    <w:rsid w:val="00DC006C"/>
    <w:rsid w:val="00DC00AE"/>
    <w:rsid w:val="00DC0422"/>
    <w:rsid w:val="00DC2204"/>
    <w:rsid w:val="00DC28FB"/>
    <w:rsid w:val="00DC2B6B"/>
    <w:rsid w:val="00DC2BEB"/>
    <w:rsid w:val="00DC4089"/>
    <w:rsid w:val="00DC481B"/>
    <w:rsid w:val="00DC4AEA"/>
    <w:rsid w:val="00DC4BDF"/>
    <w:rsid w:val="00DC4EB4"/>
    <w:rsid w:val="00DC50EC"/>
    <w:rsid w:val="00DC5132"/>
    <w:rsid w:val="00DC56BF"/>
    <w:rsid w:val="00DC58D5"/>
    <w:rsid w:val="00DC5E34"/>
    <w:rsid w:val="00DC61EB"/>
    <w:rsid w:val="00DC6895"/>
    <w:rsid w:val="00DC6B81"/>
    <w:rsid w:val="00DC7733"/>
    <w:rsid w:val="00DD0107"/>
    <w:rsid w:val="00DD0681"/>
    <w:rsid w:val="00DD153C"/>
    <w:rsid w:val="00DD1C62"/>
    <w:rsid w:val="00DD1D78"/>
    <w:rsid w:val="00DD3007"/>
    <w:rsid w:val="00DD3290"/>
    <w:rsid w:val="00DD32B4"/>
    <w:rsid w:val="00DD3449"/>
    <w:rsid w:val="00DD427E"/>
    <w:rsid w:val="00DD42DC"/>
    <w:rsid w:val="00DD5B8E"/>
    <w:rsid w:val="00DD5BE6"/>
    <w:rsid w:val="00DD604B"/>
    <w:rsid w:val="00DD689C"/>
    <w:rsid w:val="00DD73CF"/>
    <w:rsid w:val="00DD798A"/>
    <w:rsid w:val="00DD7D3F"/>
    <w:rsid w:val="00DD7F3E"/>
    <w:rsid w:val="00DE0707"/>
    <w:rsid w:val="00DE0D22"/>
    <w:rsid w:val="00DE1708"/>
    <w:rsid w:val="00DE3117"/>
    <w:rsid w:val="00DE3482"/>
    <w:rsid w:val="00DE3847"/>
    <w:rsid w:val="00DE4411"/>
    <w:rsid w:val="00DE4535"/>
    <w:rsid w:val="00DE4A71"/>
    <w:rsid w:val="00DE7247"/>
    <w:rsid w:val="00DE7694"/>
    <w:rsid w:val="00DE7D91"/>
    <w:rsid w:val="00DF068C"/>
    <w:rsid w:val="00DF0E6B"/>
    <w:rsid w:val="00DF0FF0"/>
    <w:rsid w:val="00DF1222"/>
    <w:rsid w:val="00DF1AE7"/>
    <w:rsid w:val="00DF236D"/>
    <w:rsid w:val="00DF288A"/>
    <w:rsid w:val="00DF2F75"/>
    <w:rsid w:val="00DF41FD"/>
    <w:rsid w:val="00DF45CD"/>
    <w:rsid w:val="00DF4D92"/>
    <w:rsid w:val="00DF50C8"/>
    <w:rsid w:val="00DF5B4E"/>
    <w:rsid w:val="00DF5D13"/>
    <w:rsid w:val="00DF651E"/>
    <w:rsid w:val="00DF6CA8"/>
    <w:rsid w:val="00DF6D1D"/>
    <w:rsid w:val="00DF7B00"/>
    <w:rsid w:val="00E00715"/>
    <w:rsid w:val="00E0080A"/>
    <w:rsid w:val="00E00B83"/>
    <w:rsid w:val="00E00F64"/>
    <w:rsid w:val="00E01021"/>
    <w:rsid w:val="00E01B05"/>
    <w:rsid w:val="00E01E4E"/>
    <w:rsid w:val="00E01EAC"/>
    <w:rsid w:val="00E02D58"/>
    <w:rsid w:val="00E02F0E"/>
    <w:rsid w:val="00E03305"/>
    <w:rsid w:val="00E036AF"/>
    <w:rsid w:val="00E04460"/>
    <w:rsid w:val="00E04912"/>
    <w:rsid w:val="00E05A35"/>
    <w:rsid w:val="00E05C9C"/>
    <w:rsid w:val="00E06A6C"/>
    <w:rsid w:val="00E06E46"/>
    <w:rsid w:val="00E10388"/>
    <w:rsid w:val="00E10AFA"/>
    <w:rsid w:val="00E10FAC"/>
    <w:rsid w:val="00E11219"/>
    <w:rsid w:val="00E12D7C"/>
    <w:rsid w:val="00E12F31"/>
    <w:rsid w:val="00E13DF4"/>
    <w:rsid w:val="00E15451"/>
    <w:rsid w:val="00E15778"/>
    <w:rsid w:val="00E1642E"/>
    <w:rsid w:val="00E17520"/>
    <w:rsid w:val="00E17BFF"/>
    <w:rsid w:val="00E2003E"/>
    <w:rsid w:val="00E202E4"/>
    <w:rsid w:val="00E20721"/>
    <w:rsid w:val="00E2162D"/>
    <w:rsid w:val="00E216E3"/>
    <w:rsid w:val="00E219EE"/>
    <w:rsid w:val="00E21BDF"/>
    <w:rsid w:val="00E21D82"/>
    <w:rsid w:val="00E22186"/>
    <w:rsid w:val="00E237E2"/>
    <w:rsid w:val="00E239C2"/>
    <w:rsid w:val="00E239DD"/>
    <w:rsid w:val="00E23CBF"/>
    <w:rsid w:val="00E246B6"/>
    <w:rsid w:val="00E24DBD"/>
    <w:rsid w:val="00E24F8B"/>
    <w:rsid w:val="00E24FE4"/>
    <w:rsid w:val="00E254F5"/>
    <w:rsid w:val="00E2588A"/>
    <w:rsid w:val="00E262A9"/>
    <w:rsid w:val="00E26B00"/>
    <w:rsid w:val="00E26B94"/>
    <w:rsid w:val="00E26D7A"/>
    <w:rsid w:val="00E26ECE"/>
    <w:rsid w:val="00E273EE"/>
    <w:rsid w:val="00E274BF"/>
    <w:rsid w:val="00E2753B"/>
    <w:rsid w:val="00E30A79"/>
    <w:rsid w:val="00E30C3B"/>
    <w:rsid w:val="00E32970"/>
    <w:rsid w:val="00E32D2E"/>
    <w:rsid w:val="00E32E51"/>
    <w:rsid w:val="00E33687"/>
    <w:rsid w:val="00E33C63"/>
    <w:rsid w:val="00E3416C"/>
    <w:rsid w:val="00E34259"/>
    <w:rsid w:val="00E3481C"/>
    <w:rsid w:val="00E34D8F"/>
    <w:rsid w:val="00E3632D"/>
    <w:rsid w:val="00E36669"/>
    <w:rsid w:val="00E36D47"/>
    <w:rsid w:val="00E36E3B"/>
    <w:rsid w:val="00E4020F"/>
    <w:rsid w:val="00E409DB"/>
    <w:rsid w:val="00E40D2B"/>
    <w:rsid w:val="00E4167E"/>
    <w:rsid w:val="00E42812"/>
    <w:rsid w:val="00E42D2D"/>
    <w:rsid w:val="00E42F69"/>
    <w:rsid w:val="00E433F2"/>
    <w:rsid w:val="00E4351D"/>
    <w:rsid w:val="00E43B60"/>
    <w:rsid w:val="00E43BB5"/>
    <w:rsid w:val="00E44635"/>
    <w:rsid w:val="00E45A51"/>
    <w:rsid w:val="00E45D90"/>
    <w:rsid w:val="00E464BB"/>
    <w:rsid w:val="00E46683"/>
    <w:rsid w:val="00E46B44"/>
    <w:rsid w:val="00E46C6A"/>
    <w:rsid w:val="00E46C82"/>
    <w:rsid w:val="00E471DC"/>
    <w:rsid w:val="00E47260"/>
    <w:rsid w:val="00E473A0"/>
    <w:rsid w:val="00E508CD"/>
    <w:rsid w:val="00E50924"/>
    <w:rsid w:val="00E50D3A"/>
    <w:rsid w:val="00E50D9B"/>
    <w:rsid w:val="00E50E4C"/>
    <w:rsid w:val="00E512DA"/>
    <w:rsid w:val="00E52DD1"/>
    <w:rsid w:val="00E53028"/>
    <w:rsid w:val="00E53452"/>
    <w:rsid w:val="00E536BC"/>
    <w:rsid w:val="00E538B7"/>
    <w:rsid w:val="00E5410F"/>
    <w:rsid w:val="00E5412E"/>
    <w:rsid w:val="00E5430B"/>
    <w:rsid w:val="00E54B53"/>
    <w:rsid w:val="00E56290"/>
    <w:rsid w:val="00E566DC"/>
    <w:rsid w:val="00E5684F"/>
    <w:rsid w:val="00E56A49"/>
    <w:rsid w:val="00E57005"/>
    <w:rsid w:val="00E570C7"/>
    <w:rsid w:val="00E579DD"/>
    <w:rsid w:val="00E57B94"/>
    <w:rsid w:val="00E6018D"/>
    <w:rsid w:val="00E6046B"/>
    <w:rsid w:val="00E60678"/>
    <w:rsid w:val="00E6088C"/>
    <w:rsid w:val="00E60C35"/>
    <w:rsid w:val="00E621AC"/>
    <w:rsid w:val="00E621FA"/>
    <w:rsid w:val="00E6221E"/>
    <w:rsid w:val="00E6222C"/>
    <w:rsid w:val="00E62458"/>
    <w:rsid w:val="00E62E51"/>
    <w:rsid w:val="00E62F8D"/>
    <w:rsid w:val="00E63511"/>
    <w:rsid w:val="00E63F2F"/>
    <w:rsid w:val="00E64253"/>
    <w:rsid w:val="00E6491B"/>
    <w:rsid w:val="00E64F06"/>
    <w:rsid w:val="00E65064"/>
    <w:rsid w:val="00E651CC"/>
    <w:rsid w:val="00E65AB9"/>
    <w:rsid w:val="00E65C4E"/>
    <w:rsid w:val="00E65CA6"/>
    <w:rsid w:val="00E65CF5"/>
    <w:rsid w:val="00E706B9"/>
    <w:rsid w:val="00E708BB"/>
    <w:rsid w:val="00E70CFB"/>
    <w:rsid w:val="00E70EF4"/>
    <w:rsid w:val="00E7120E"/>
    <w:rsid w:val="00E72463"/>
    <w:rsid w:val="00E73168"/>
    <w:rsid w:val="00E73324"/>
    <w:rsid w:val="00E734D8"/>
    <w:rsid w:val="00E73584"/>
    <w:rsid w:val="00E73F1C"/>
    <w:rsid w:val="00E74181"/>
    <w:rsid w:val="00E74DA6"/>
    <w:rsid w:val="00E752AF"/>
    <w:rsid w:val="00E760E1"/>
    <w:rsid w:val="00E765F4"/>
    <w:rsid w:val="00E76B72"/>
    <w:rsid w:val="00E77CFD"/>
    <w:rsid w:val="00E77E35"/>
    <w:rsid w:val="00E803E4"/>
    <w:rsid w:val="00E80917"/>
    <w:rsid w:val="00E80F5F"/>
    <w:rsid w:val="00E810CF"/>
    <w:rsid w:val="00E81934"/>
    <w:rsid w:val="00E81A18"/>
    <w:rsid w:val="00E822A5"/>
    <w:rsid w:val="00E82A75"/>
    <w:rsid w:val="00E82C4C"/>
    <w:rsid w:val="00E82C93"/>
    <w:rsid w:val="00E83AC1"/>
    <w:rsid w:val="00E84ACB"/>
    <w:rsid w:val="00E84B0B"/>
    <w:rsid w:val="00E84E55"/>
    <w:rsid w:val="00E84FCA"/>
    <w:rsid w:val="00E85B7A"/>
    <w:rsid w:val="00E86530"/>
    <w:rsid w:val="00E86808"/>
    <w:rsid w:val="00E86961"/>
    <w:rsid w:val="00E86FBA"/>
    <w:rsid w:val="00E878F0"/>
    <w:rsid w:val="00E90160"/>
    <w:rsid w:val="00E91288"/>
    <w:rsid w:val="00E91B74"/>
    <w:rsid w:val="00E91BF8"/>
    <w:rsid w:val="00E92107"/>
    <w:rsid w:val="00E92274"/>
    <w:rsid w:val="00E9289C"/>
    <w:rsid w:val="00E93713"/>
    <w:rsid w:val="00E94356"/>
    <w:rsid w:val="00E943A5"/>
    <w:rsid w:val="00E94A66"/>
    <w:rsid w:val="00E94FB6"/>
    <w:rsid w:val="00E95E2C"/>
    <w:rsid w:val="00E96025"/>
    <w:rsid w:val="00E968F3"/>
    <w:rsid w:val="00E96B44"/>
    <w:rsid w:val="00E97113"/>
    <w:rsid w:val="00E97EEC"/>
    <w:rsid w:val="00EA039F"/>
    <w:rsid w:val="00EA0E7A"/>
    <w:rsid w:val="00EA18D5"/>
    <w:rsid w:val="00EA1A45"/>
    <w:rsid w:val="00EA2366"/>
    <w:rsid w:val="00EA2B2A"/>
    <w:rsid w:val="00EA2B90"/>
    <w:rsid w:val="00EA3085"/>
    <w:rsid w:val="00EA323D"/>
    <w:rsid w:val="00EA3A3D"/>
    <w:rsid w:val="00EA3AEE"/>
    <w:rsid w:val="00EA3CAB"/>
    <w:rsid w:val="00EA4E7E"/>
    <w:rsid w:val="00EA5D9A"/>
    <w:rsid w:val="00EA5F08"/>
    <w:rsid w:val="00EA5F8D"/>
    <w:rsid w:val="00EA6091"/>
    <w:rsid w:val="00EA6290"/>
    <w:rsid w:val="00EA63F2"/>
    <w:rsid w:val="00EA79F3"/>
    <w:rsid w:val="00EB024E"/>
    <w:rsid w:val="00EB1063"/>
    <w:rsid w:val="00EB1ECB"/>
    <w:rsid w:val="00EB3278"/>
    <w:rsid w:val="00EB32B1"/>
    <w:rsid w:val="00EB39E4"/>
    <w:rsid w:val="00EB40A3"/>
    <w:rsid w:val="00EB600B"/>
    <w:rsid w:val="00EB618E"/>
    <w:rsid w:val="00EB62BE"/>
    <w:rsid w:val="00EB6BF1"/>
    <w:rsid w:val="00EB6CEA"/>
    <w:rsid w:val="00EB7009"/>
    <w:rsid w:val="00EB77BE"/>
    <w:rsid w:val="00EC13BE"/>
    <w:rsid w:val="00EC17E3"/>
    <w:rsid w:val="00EC1BCA"/>
    <w:rsid w:val="00EC1C03"/>
    <w:rsid w:val="00EC229A"/>
    <w:rsid w:val="00EC25D1"/>
    <w:rsid w:val="00EC2606"/>
    <w:rsid w:val="00EC2E5F"/>
    <w:rsid w:val="00EC36E7"/>
    <w:rsid w:val="00EC4458"/>
    <w:rsid w:val="00EC45DF"/>
    <w:rsid w:val="00EC47DD"/>
    <w:rsid w:val="00EC4FF9"/>
    <w:rsid w:val="00EC55F0"/>
    <w:rsid w:val="00EC588B"/>
    <w:rsid w:val="00EC58D4"/>
    <w:rsid w:val="00EC5BBB"/>
    <w:rsid w:val="00EC75CD"/>
    <w:rsid w:val="00EC7940"/>
    <w:rsid w:val="00ED0787"/>
    <w:rsid w:val="00ED0B9C"/>
    <w:rsid w:val="00ED140C"/>
    <w:rsid w:val="00ED1ECB"/>
    <w:rsid w:val="00ED34F8"/>
    <w:rsid w:val="00ED3D80"/>
    <w:rsid w:val="00ED44C7"/>
    <w:rsid w:val="00ED4612"/>
    <w:rsid w:val="00ED61B8"/>
    <w:rsid w:val="00ED6363"/>
    <w:rsid w:val="00ED65FB"/>
    <w:rsid w:val="00ED6E0E"/>
    <w:rsid w:val="00ED7D43"/>
    <w:rsid w:val="00EE0176"/>
    <w:rsid w:val="00EE0AE7"/>
    <w:rsid w:val="00EE1204"/>
    <w:rsid w:val="00EE1286"/>
    <w:rsid w:val="00EE221E"/>
    <w:rsid w:val="00EE3659"/>
    <w:rsid w:val="00EE3A10"/>
    <w:rsid w:val="00EE3B24"/>
    <w:rsid w:val="00EE3C2E"/>
    <w:rsid w:val="00EE4056"/>
    <w:rsid w:val="00EE42BD"/>
    <w:rsid w:val="00EE4F08"/>
    <w:rsid w:val="00EE4F69"/>
    <w:rsid w:val="00EE53C7"/>
    <w:rsid w:val="00EE69C0"/>
    <w:rsid w:val="00EE6AE7"/>
    <w:rsid w:val="00EE7573"/>
    <w:rsid w:val="00EE77C9"/>
    <w:rsid w:val="00EF070E"/>
    <w:rsid w:val="00EF0C73"/>
    <w:rsid w:val="00EF1CCB"/>
    <w:rsid w:val="00EF1F46"/>
    <w:rsid w:val="00EF2323"/>
    <w:rsid w:val="00EF23BE"/>
    <w:rsid w:val="00EF4E43"/>
    <w:rsid w:val="00EF5F3F"/>
    <w:rsid w:val="00EF686E"/>
    <w:rsid w:val="00EF6B27"/>
    <w:rsid w:val="00EF74E9"/>
    <w:rsid w:val="00EF78AB"/>
    <w:rsid w:val="00EF7D02"/>
    <w:rsid w:val="00EF7DFA"/>
    <w:rsid w:val="00F00008"/>
    <w:rsid w:val="00F00A64"/>
    <w:rsid w:val="00F020B3"/>
    <w:rsid w:val="00F02341"/>
    <w:rsid w:val="00F0255E"/>
    <w:rsid w:val="00F029AD"/>
    <w:rsid w:val="00F02C95"/>
    <w:rsid w:val="00F0419C"/>
    <w:rsid w:val="00F05076"/>
    <w:rsid w:val="00F06928"/>
    <w:rsid w:val="00F069EA"/>
    <w:rsid w:val="00F0754D"/>
    <w:rsid w:val="00F07701"/>
    <w:rsid w:val="00F07CAC"/>
    <w:rsid w:val="00F10DFE"/>
    <w:rsid w:val="00F111BD"/>
    <w:rsid w:val="00F11C04"/>
    <w:rsid w:val="00F121B4"/>
    <w:rsid w:val="00F12A24"/>
    <w:rsid w:val="00F13486"/>
    <w:rsid w:val="00F13EE7"/>
    <w:rsid w:val="00F14400"/>
    <w:rsid w:val="00F14946"/>
    <w:rsid w:val="00F149BA"/>
    <w:rsid w:val="00F14D25"/>
    <w:rsid w:val="00F1507A"/>
    <w:rsid w:val="00F154FE"/>
    <w:rsid w:val="00F1550D"/>
    <w:rsid w:val="00F16CD1"/>
    <w:rsid w:val="00F17202"/>
    <w:rsid w:val="00F17658"/>
    <w:rsid w:val="00F17867"/>
    <w:rsid w:val="00F17E79"/>
    <w:rsid w:val="00F202A1"/>
    <w:rsid w:val="00F20611"/>
    <w:rsid w:val="00F20B28"/>
    <w:rsid w:val="00F20BA3"/>
    <w:rsid w:val="00F21166"/>
    <w:rsid w:val="00F21821"/>
    <w:rsid w:val="00F21DA0"/>
    <w:rsid w:val="00F22037"/>
    <w:rsid w:val="00F22C55"/>
    <w:rsid w:val="00F231BE"/>
    <w:rsid w:val="00F2336D"/>
    <w:rsid w:val="00F23A3D"/>
    <w:rsid w:val="00F24850"/>
    <w:rsid w:val="00F249DE"/>
    <w:rsid w:val="00F24CE5"/>
    <w:rsid w:val="00F2541C"/>
    <w:rsid w:val="00F26D44"/>
    <w:rsid w:val="00F276C9"/>
    <w:rsid w:val="00F30885"/>
    <w:rsid w:val="00F30A24"/>
    <w:rsid w:val="00F30FE1"/>
    <w:rsid w:val="00F3229B"/>
    <w:rsid w:val="00F328EC"/>
    <w:rsid w:val="00F329B1"/>
    <w:rsid w:val="00F3301B"/>
    <w:rsid w:val="00F33A02"/>
    <w:rsid w:val="00F34EF9"/>
    <w:rsid w:val="00F35A2D"/>
    <w:rsid w:val="00F35BBE"/>
    <w:rsid w:val="00F37356"/>
    <w:rsid w:val="00F37688"/>
    <w:rsid w:val="00F402FE"/>
    <w:rsid w:val="00F41EE7"/>
    <w:rsid w:val="00F42434"/>
    <w:rsid w:val="00F432BE"/>
    <w:rsid w:val="00F4371E"/>
    <w:rsid w:val="00F43AC2"/>
    <w:rsid w:val="00F4423A"/>
    <w:rsid w:val="00F450BA"/>
    <w:rsid w:val="00F4589C"/>
    <w:rsid w:val="00F45907"/>
    <w:rsid w:val="00F46CDD"/>
    <w:rsid w:val="00F4767A"/>
    <w:rsid w:val="00F4778D"/>
    <w:rsid w:val="00F502EE"/>
    <w:rsid w:val="00F50499"/>
    <w:rsid w:val="00F50FDE"/>
    <w:rsid w:val="00F51088"/>
    <w:rsid w:val="00F51915"/>
    <w:rsid w:val="00F51B08"/>
    <w:rsid w:val="00F529AA"/>
    <w:rsid w:val="00F52A12"/>
    <w:rsid w:val="00F53302"/>
    <w:rsid w:val="00F542D1"/>
    <w:rsid w:val="00F54C82"/>
    <w:rsid w:val="00F55181"/>
    <w:rsid w:val="00F55A36"/>
    <w:rsid w:val="00F55B40"/>
    <w:rsid w:val="00F56029"/>
    <w:rsid w:val="00F56185"/>
    <w:rsid w:val="00F56382"/>
    <w:rsid w:val="00F568CC"/>
    <w:rsid w:val="00F56D7F"/>
    <w:rsid w:val="00F57361"/>
    <w:rsid w:val="00F608DA"/>
    <w:rsid w:val="00F60B55"/>
    <w:rsid w:val="00F60C4D"/>
    <w:rsid w:val="00F60EB9"/>
    <w:rsid w:val="00F612EF"/>
    <w:rsid w:val="00F61941"/>
    <w:rsid w:val="00F61AE7"/>
    <w:rsid w:val="00F62177"/>
    <w:rsid w:val="00F6276A"/>
    <w:rsid w:val="00F62ACF"/>
    <w:rsid w:val="00F6301E"/>
    <w:rsid w:val="00F63741"/>
    <w:rsid w:val="00F63E52"/>
    <w:rsid w:val="00F651F6"/>
    <w:rsid w:val="00F65590"/>
    <w:rsid w:val="00F65651"/>
    <w:rsid w:val="00F664C5"/>
    <w:rsid w:val="00F66CA1"/>
    <w:rsid w:val="00F67125"/>
    <w:rsid w:val="00F67809"/>
    <w:rsid w:val="00F6784E"/>
    <w:rsid w:val="00F7005D"/>
    <w:rsid w:val="00F70BFE"/>
    <w:rsid w:val="00F71367"/>
    <w:rsid w:val="00F713A8"/>
    <w:rsid w:val="00F717E9"/>
    <w:rsid w:val="00F7186B"/>
    <w:rsid w:val="00F71A10"/>
    <w:rsid w:val="00F71CCD"/>
    <w:rsid w:val="00F72607"/>
    <w:rsid w:val="00F737C1"/>
    <w:rsid w:val="00F741E2"/>
    <w:rsid w:val="00F743E0"/>
    <w:rsid w:val="00F74B5F"/>
    <w:rsid w:val="00F75053"/>
    <w:rsid w:val="00F76ADE"/>
    <w:rsid w:val="00F77520"/>
    <w:rsid w:val="00F775DB"/>
    <w:rsid w:val="00F77B9E"/>
    <w:rsid w:val="00F77D85"/>
    <w:rsid w:val="00F80474"/>
    <w:rsid w:val="00F80861"/>
    <w:rsid w:val="00F812AF"/>
    <w:rsid w:val="00F81C4D"/>
    <w:rsid w:val="00F81EF0"/>
    <w:rsid w:val="00F8314E"/>
    <w:rsid w:val="00F834DD"/>
    <w:rsid w:val="00F8394F"/>
    <w:rsid w:val="00F83C93"/>
    <w:rsid w:val="00F846CB"/>
    <w:rsid w:val="00F84EC4"/>
    <w:rsid w:val="00F852EB"/>
    <w:rsid w:val="00F858F3"/>
    <w:rsid w:val="00F865DC"/>
    <w:rsid w:val="00F87D71"/>
    <w:rsid w:val="00F904F7"/>
    <w:rsid w:val="00F90564"/>
    <w:rsid w:val="00F91095"/>
    <w:rsid w:val="00F914CF"/>
    <w:rsid w:val="00F91668"/>
    <w:rsid w:val="00F91BFA"/>
    <w:rsid w:val="00F91C21"/>
    <w:rsid w:val="00F91CFA"/>
    <w:rsid w:val="00F91F7C"/>
    <w:rsid w:val="00F925FC"/>
    <w:rsid w:val="00F93EB4"/>
    <w:rsid w:val="00F940FD"/>
    <w:rsid w:val="00F94DB9"/>
    <w:rsid w:val="00F953D2"/>
    <w:rsid w:val="00F95ACA"/>
    <w:rsid w:val="00F95B9C"/>
    <w:rsid w:val="00F95C11"/>
    <w:rsid w:val="00F9687B"/>
    <w:rsid w:val="00F96BF8"/>
    <w:rsid w:val="00F972DF"/>
    <w:rsid w:val="00F974F3"/>
    <w:rsid w:val="00F97A7D"/>
    <w:rsid w:val="00F97DC7"/>
    <w:rsid w:val="00FA0AB3"/>
    <w:rsid w:val="00FA0DB2"/>
    <w:rsid w:val="00FA1129"/>
    <w:rsid w:val="00FA11E4"/>
    <w:rsid w:val="00FA1928"/>
    <w:rsid w:val="00FA240D"/>
    <w:rsid w:val="00FA2508"/>
    <w:rsid w:val="00FA2B05"/>
    <w:rsid w:val="00FA3095"/>
    <w:rsid w:val="00FA3861"/>
    <w:rsid w:val="00FA45AB"/>
    <w:rsid w:val="00FA47DE"/>
    <w:rsid w:val="00FA54D8"/>
    <w:rsid w:val="00FA575C"/>
    <w:rsid w:val="00FA686B"/>
    <w:rsid w:val="00FA6D89"/>
    <w:rsid w:val="00FA774E"/>
    <w:rsid w:val="00FA7FE1"/>
    <w:rsid w:val="00FB034F"/>
    <w:rsid w:val="00FB1155"/>
    <w:rsid w:val="00FB21AB"/>
    <w:rsid w:val="00FB2B4D"/>
    <w:rsid w:val="00FB3106"/>
    <w:rsid w:val="00FB369F"/>
    <w:rsid w:val="00FB3C01"/>
    <w:rsid w:val="00FB4862"/>
    <w:rsid w:val="00FB4D01"/>
    <w:rsid w:val="00FB535B"/>
    <w:rsid w:val="00FB5375"/>
    <w:rsid w:val="00FB6484"/>
    <w:rsid w:val="00FB6592"/>
    <w:rsid w:val="00FB712A"/>
    <w:rsid w:val="00FB7469"/>
    <w:rsid w:val="00FB7EA4"/>
    <w:rsid w:val="00FC00DF"/>
    <w:rsid w:val="00FC00F7"/>
    <w:rsid w:val="00FC0728"/>
    <w:rsid w:val="00FC0FD2"/>
    <w:rsid w:val="00FC106A"/>
    <w:rsid w:val="00FC107C"/>
    <w:rsid w:val="00FC24A2"/>
    <w:rsid w:val="00FC2EE5"/>
    <w:rsid w:val="00FC33BA"/>
    <w:rsid w:val="00FC3860"/>
    <w:rsid w:val="00FC3B89"/>
    <w:rsid w:val="00FC41C3"/>
    <w:rsid w:val="00FC58C0"/>
    <w:rsid w:val="00FC5948"/>
    <w:rsid w:val="00FC5D7A"/>
    <w:rsid w:val="00FC62BA"/>
    <w:rsid w:val="00FC643E"/>
    <w:rsid w:val="00FC6E38"/>
    <w:rsid w:val="00FC78CB"/>
    <w:rsid w:val="00FD1110"/>
    <w:rsid w:val="00FD11DF"/>
    <w:rsid w:val="00FD16B4"/>
    <w:rsid w:val="00FD1879"/>
    <w:rsid w:val="00FD216D"/>
    <w:rsid w:val="00FD2333"/>
    <w:rsid w:val="00FD2D60"/>
    <w:rsid w:val="00FD2DD2"/>
    <w:rsid w:val="00FD2E10"/>
    <w:rsid w:val="00FD2F67"/>
    <w:rsid w:val="00FD4E48"/>
    <w:rsid w:val="00FD522C"/>
    <w:rsid w:val="00FD5A7E"/>
    <w:rsid w:val="00FD5AE7"/>
    <w:rsid w:val="00FD5AE9"/>
    <w:rsid w:val="00FD6BF7"/>
    <w:rsid w:val="00FD6E0D"/>
    <w:rsid w:val="00FD7A9C"/>
    <w:rsid w:val="00FE0CAC"/>
    <w:rsid w:val="00FE1039"/>
    <w:rsid w:val="00FE14F1"/>
    <w:rsid w:val="00FE2A0E"/>
    <w:rsid w:val="00FE3C42"/>
    <w:rsid w:val="00FE44D4"/>
    <w:rsid w:val="00FE5996"/>
    <w:rsid w:val="00FE5B72"/>
    <w:rsid w:val="00FE7E25"/>
    <w:rsid w:val="00FF0E61"/>
    <w:rsid w:val="00FF1015"/>
    <w:rsid w:val="00FF1443"/>
    <w:rsid w:val="00FF1AA6"/>
    <w:rsid w:val="00FF34E4"/>
    <w:rsid w:val="00FF3B94"/>
    <w:rsid w:val="00FF48B2"/>
    <w:rsid w:val="00FF58D6"/>
    <w:rsid w:val="00FF5ABA"/>
    <w:rsid w:val="00FF5ED0"/>
    <w:rsid w:val="00FF6360"/>
    <w:rsid w:val="00FF6C23"/>
    <w:rsid w:val="00FF7088"/>
    <w:rsid w:val="00FF7A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B72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qFormat="1"/>
    <w:lsdException w:name="header" w:uiPriority="99"/>
    <w:lsdException w:name="caption" w:semiHidden="1" w:unhideWhenUsed="1" w:qFormat="1"/>
    <w:lsdException w:name="footnote reference" w:uiPriority="99"/>
    <w:lsdException w:name="endnote text" w:uiPriority="99"/>
    <w:lsdException w:name="Hyperlink" w:uiPriority="99"/>
    <w:lsdException w:name="Strong" w:uiPriority="22"/>
    <w:lsdException w:name="Emphasis" w:uiPriority="20" w:qFormat="1"/>
    <w:lsdException w:name="Normal (Web)" w:uiPriority="99"/>
    <w:lsdException w:name="No List" w:uiPriority="99"/>
    <w:lsdException w:name="Table Grid" w:uiPriority="59"/>
    <w:lsdException w:name="Note Level 1" w:semiHidden="1" w:uiPriority="99"/>
    <w:lsdException w:name="Note Level 2" w:uiPriority="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34"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342F1F"/>
    <w:pPr>
      <w:spacing w:before="120" w:after="120" w:line="360" w:lineRule="exact"/>
      <w:ind w:firstLine="567"/>
      <w:jc w:val="both"/>
    </w:pPr>
    <w:rPr>
      <w:rFonts w:ascii="Calibri" w:hAnsi="Calibri"/>
      <w:sz w:val="24"/>
      <w:szCs w:val="24"/>
      <w:lang w:val="el-GR" w:eastAsia="el-GR"/>
    </w:rPr>
  </w:style>
  <w:style w:type="paragraph" w:styleId="Heading1">
    <w:name w:val="heading 1"/>
    <w:basedOn w:val="Normal"/>
    <w:next w:val="Normal"/>
    <w:link w:val="Heading1Char"/>
    <w:qFormat/>
    <w:rsid w:val="003739B8"/>
    <w:pPr>
      <w:keepNext/>
      <w:pageBreakBefore/>
      <w:spacing w:before="240" w:after="240"/>
      <w:ind w:firstLine="0"/>
      <w:outlineLvl w:val="0"/>
    </w:pPr>
    <w:rPr>
      <w:b/>
      <w:bCs/>
      <w:kern w:val="32"/>
      <w:szCs w:val="32"/>
      <w:lang w:val="x-none" w:eastAsia="x-none"/>
    </w:rPr>
  </w:style>
  <w:style w:type="paragraph" w:styleId="Heading2">
    <w:name w:val="heading 2"/>
    <w:basedOn w:val="Normal"/>
    <w:next w:val="Normal"/>
    <w:link w:val="Heading2Char"/>
    <w:unhideWhenUsed/>
    <w:qFormat/>
    <w:rsid w:val="00C63AD3"/>
    <w:pPr>
      <w:keepNext/>
      <w:spacing w:before="240" w:after="240"/>
      <w:ind w:firstLine="0"/>
      <w:outlineLvl w:val="1"/>
    </w:pPr>
    <w:rPr>
      <w:b/>
      <w:bCs/>
      <w:lang w:val="x-none" w:eastAsia="x-none"/>
    </w:rPr>
  </w:style>
  <w:style w:type="paragraph" w:styleId="Heading3">
    <w:name w:val="heading 3"/>
    <w:basedOn w:val="Normal"/>
    <w:next w:val="Normal"/>
    <w:link w:val="Heading3Char"/>
    <w:unhideWhenUsed/>
    <w:qFormat/>
    <w:rsid w:val="00801C2A"/>
    <w:pPr>
      <w:keepNext/>
      <w:spacing w:before="240" w:after="240"/>
      <w:ind w:firstLine="0"/>
      <w:outlineLvl w:val="2"/>
    </w:pPr>
    <w:rPr>
      <w:b/>
      <w:bCs/>
      <w:szCs w:val="26"/>
      <w:lang w:val="x-none" w:eastAsia="x-none"/>
    </w:rPr>
  </w:style>
  <w:style w:type="paragraph" w:styleId="Heading4">
    <w:name w:val="heading 4"/>
    <w:basedOn w:val="Normal"/>
    <w:next w:val="Normal"/>
    <w:link w:val="Heading4Char"/>
    <w:unhideWhenUsed/>
    <w:qFormat/>
    <w:rsid w:val="00CF47CC"/>
    <w:pPr>
      <w:keepNext/>
      <w:spacing w:before="240" w:after="240"/>
      <w:ind w:firstLine="0"/>
      <w:outlineLvl w:val="3"/>
    </w:pPr>
    <w:rPr>
      <w:b/>
      <w:i/>
      <w:iCs/>
      <w:u w:val="dotDash"/>
    </w:rPr>
  </w:style>
  <w:style w:type="paragraph" w:styleId="Heading5">
    <w:name w:val="heading 5"/>
    <w:basedOn w:val="Normal"/>
    <w:next w:val="Normal"/>
    <w:link w:val="Heading5Char"/>
    <w:unhideWhenUsed/>
    <w:qFormat/>
    <w:rsid w:val="00D93099"/>
    <w:pPr>
      <w:ind w:firstLine="0"/>
      <w:outlineLvl w:val="4"/>
    </w:pPr>
    <w:rPr>
      <w:rFonts w:eastAsia="ＭＳ 明朝"/>
      <w:i/>
      <w:iCs/>
    </w:rPr>
  </w:style>
  <w:style w:type="paragraph" w:styleId="Heading6">
    <w:name w:val="heading 6"/>
    <w:basedOn w:val="Normal"/>
    <w:next w:val="Normal"/>
    <w:link w:val="Heading6Char"/>
    <w:unhideWhenUsed/>
    <w:qFormat/>
    <w:rsid w:val="004C48A1"/>
    <w:pPr>
      <w:ind w:firstLine="0"/>
      <w:outlineLvl w:val="5"/>
    </w:pPr>
    <w:rPr>
      <w:rFonts w:eastAsia="ＭＳ 明朝"/>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06D9F"/>
    <w:pPr>
      <w:tabs>
        <w:tab w:val="center" w:pos="4153"/>
        <w:tab w:val="right" w:pos="8306"/>
      </w:tabs>
    </w:pPr>
  </w:style>
  <w:style w:type="character" w:styleId="PageNumber">
    <w:name w:val="page number"/>
    <w:basedOn w:val="DefaultParagraphFont"/>
    <w:rsid w:val="00D06D9F"/>
  </w:style>
  <w:style w:type="paragraph" w:styleId="ListParagraph">
    <w:name w:val="List Paragraph"/>
    <w:basedOn w:val="Normal"/>
    <w:uiPriority w:val="34"/>
    <w:rsid w:val="00AE1674"/>
    <w:pPr>
      <w:ind w:left="720"/>
    </w:pPr>
  </w:style>
  <w:style w:type="paragraph" w:styleId="FootnoteText">
    <w:name w:val="footnote text"/>
    <w:basedOn w:val="Normal"/>
    <w:link w:val="FootnoteTextChar"/>
    <w:uiPriority w:val="99"/>
    <w:qFormat/>
    <w:rsid w:val="000F5187"/>
    <w:pPr>
      <w:spacing w:before="0" w:after="0" w:line="240" w:lineRule="auto"/>
      <w:ind w:firstLine="0"/>
    </w:pPr>
    <w:rPr>
      <w:rFonts w:cs="Arial"/>
      <w:sz w:val="20"/>
      <w:szCs w:val="26"/>
      <w:lang w:val="en-US" w:eastAsia="en-US"/>
    </w:rPr>
  </w:style>
  <w:style w:type="character" w:customStyle="1" w:styleId="FootnoteTextChar">
    <w:name w:val="Footnote Text Char"/>
    <w:link w:val="FootnoteText"/>
    <w:uiPriority w:val="99"/>
    <w:rsid w:val="000F5187"/>
    <w:rPr>
      <w:rFonts w:ascii="Calibri" w:hAnsi="Calibri" w:cs="Arial"/>
      <w:szCs w:val="26"/>
    </w:rPr>
  </w:style>
  <w:style w:type="character" w:styleId="FootnoteReference">
    <w:name w:val="footnote reference"/>
    <w:uiPriority w:val="99"/>
    <w:rsid w:val="00FB034F"/>
    <w:rPr>
      <w:vertAlign w:val="superscript"/>
    </w:rPr>
  </w:style>
  <w:style w:type="table" w:styleId="TableGrid">
    <w:name w:val="Table Grid"/>
    <w:basedOn w:val="TableNormal"/>
    <w:uiPriority w:val="59"/>
    <w:rsid w:val="00FB034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24066"/>
    <w:rPr>
      <w:b/>
    </w:rPr>
  </w:style>
  <w:style w:type="paragraph" w:styleId="DocumentMap">
    <w:name w:val="Document Map"/>
    <w:basedOn w:val="Normal"/>
    <w:link w:val="DocumentMapChar"/>
    <w:rsid w:val="007A72D8"/>
    <w:rPr>
      <w:sz w:val="28"/>
      <w:szCs w:val="16"/>
      <w:lang w:val="x-none" w:eastAsia="x-none"/>
    </w:rPr>
  </w:style>
  <w:style w:type="character" w:customStyle="1" w:styleId="DocumentMapChar">
    <w:name w:val="Document Map Char"/>
    <w:link w:val="DocumentMap"/>
    <w:rsid w:val="007A72D8"/>
    <w:rPr>
      <w:rFonts w:ascii="Calibri" w:hAnsi="Calibri"/>
      <w:sz w:val="28"/>
      <w:szCs w:val="16"/>
      <w:lang w:val="x-none" w:eastAsia="x-none"/>
    </w:rPr>
  </w:style>
  <w:style w:type="paragraph" w:styleId="Header">
    <w:name w:val="header"/>
    <w:basedOn w:val="Normal"/>
    <w:link w:val="HeaderChar"/>
    <w:uiPriority w:val="99"/>
    <w:rsid w:val="00FA2B05"/>
    <w:pPr>
      <w:tabs>
        <w:tab w:val="center" w:pos="4153"/>
        <w:tab w:val="right" w:pos="8306"/>
      </w:tabs>
    </w:pPr>
    <w:rPr>
      <w:b/>
      <w:lang w:val="x-none" w:eastAsia="x-none"/>
    </w:rPr>
  </w:style>
  <w:style w:type="character" w:customStyle="1" w:styleId="HeaderChar">
    <w:name w:val="Header Char"/>
    <w:link w:val="Header"/>
    <w:uiPriority w:val="99"/>
    <w:rsid w:val="00FA2B05"/>
    <w:rPr>
      <w:rFonts w:ascii="Calibri" w:hAnsi="Calibri"/>
      <w:b/>
      <w:sz w:val="24"/>
      <w:szCs w:val="24"/>
    </w:rPr>
  </w:style>
  <w:style w:type="character" w:customStyle="1" w:styleId="Heading1Char">
    <w:name w:val="Heading 1 Char"/>
    <w:link w:val="Heading1"/>
    <w:rsid w:val="003739B8"/>
    <w:rPr>
      <w:rFonts w:ascii="Calibri" w:hAnsi="Calibri"/>
      <w:b/>
      <w:bCs/>
      <w:kern w:val="32"/>
      <w:sz w:val="24"/>
      <w:szCs w:val="32"/>
      <w:lang w:val="x-none" w:eastAsia="x-none"/>
    </w:rPr>
  </w:style>
  <w:style w:type="character" w:customStyle="1" w:styleId="Heading2Char">
    <w:name w:val="Heading 2 Char"/>
    <w:link w:val="Heading2"/>
    <w:rsid w:val="00C63AD3"/>
    <w:rPr>
      <w:rFonts w:ascii="Calibri" w:hAnsi="Calibri"/>
      <w:b/>
      <w:bCs/>
      <w:sz w:val="24"/>
      <w:szCs w:val="24"/>
      <w:lang w:val="x-none" w:eastAsia="x-none"/>
    </w:rPr>
  </w:style>
  <w:style w:type="character" w:customStyle="1" w:styleId="Heading3Char">
    <w:name w:val="Heading 3 Char"/>
    <w:link w:val="Heading3"/>
    <w:rsid w:val="00801C2A"/>
    <w:rPr>
      <w:rFonts w:ascii="Century Schoolbook" w:hAnsi="Century Schoolbook"/>
      <w:b/>
      <w:bCs/>
      <w:sz w:val="24"/>
      <w:szCs w:val="26"/>
      <w:lang w:val="x-none" w:eastAsia="x-none"/>
    </w:rPr>
  </w:style>
  <w:style w:type="paragraph" w:styleId="TOC1">
    <w:name w:val="toc 1"/>
    <w:basedOn w:val="Normal"/>
    <w:next w:val="Normal"/>
    <w:autoRedefine/>
    <w:uiPriority w:val="39"/>
    <w:rsid w:val="00B820A3"/>
    <w:pPr>
      <w:tabs>
        <w:tab w:val="right" w:leader="underscore" w:pos="9204"/>
      </w:tabs>
      <w:ind w:firstLine="0"/>
    </w:pPr>
    <w:rPr>
      <w:b/>
      <w:szCs w:val="22"/>
    </w:rPr>
  </w:style>
  <w:style w:type="paragraph" w:styleId="TOC2">
    <w:name w:val="toc 2"/>
    <w:basedOn w:val="Normal"/>
    <w:next w:val="Normal"/>
    <w:autoRedefine/>
    <w:uiPriority w:val="39"/>
    <w:rsid w:val="0027495C"/>
    <w:pPr>
      <w:tabs>
        <w:tab w:val="right" w:leader="underscore" w:pos="9204"/>
      </w:tabs>
      <w:spacing w:before="60" w:after="60"/>
      <w:ind w:left="238" w:firstLine="0"/>
    </w:pPr>
    <w:rPr>
      <w:sz w:val="22"/>
      <w:szCs w:val="22"/>
    </w:rPr>
  </w:style>
  <w:style w:type="paragraph" w:styleId="TOC3">
    <w:name w:val="toc 3"/>
    <w:basedOn w:val="Normal"/>
    <w:next w:val="Normal"/>
    <w:autoRedefine/>
    <w:uiPriority w:val="39"/>
    <w:rsid w:val="00B820A3"/>
    <w:pPr>
      <w:spacing w:before="0" w:after="0"/>
      <w:ind w:left="482" w:firstLine="0"/>
    </w:pPr>
    <w:rPr>
      <w:sz w:val="22"/>
      <w:szCs w:val="22"/>
    </w:rPr>
  </w:style>
  <w:style w:type="paragraph" w:styleId="TOC4">
    <w:name w:val="toc 4"/>
    <w:basedOn w:val="Normal"/>
    <w:next w:val="Normal"/>
    <w:autoRedefine/>
    <w:uiPriority w:val="39"/>
    <w:rsid w:val="003C0E9A"/>
    <w:pPr>
      <w:tabs>
        <w:tab w:val="right" w:leader="underscore" w:pos="9204"/>
      </w:tabs>
      <w:spacing w:before="0" w:after="0"/>
      <w:ind w:left="720" w:firstLine="0"/>
    </w:pPr>
    <w:rPr>
      <w:i/>
      <w:sz w:val="22"/>
      <w:szCs w:val="20"/>
    </w:rPr>
  </w:style>
  <w:style w:type="paragraph" w:styleId="TOC5">
    <w:name w:val="toc 5"/>
    <w:basedOn w:val="Normal"/>
    <w:next w:val="Normal"/>
    <w:autoRedefine/>
    <w:uiPriority w:val="39"/>
    <w:rsid w:val="00686372"/>
    <w:pPr>
      <w:spacing w:before="0" w:after="0"/>
      <w:ind w:left="960"/>
      <w:jc w:val="left"/>
    </w:pPr>
    <w:rPr>
      <w:rFonts w:ascii="Cambria" w:hAnsi="Cambria"/>
      <w:sz w:val="20"/>
      <w:szCs w:val="20"/>
    </w:rPr>
  </w:style>
  <w:style w:type="paragraph" w:styleId="TOC6">
    <w:name w:val="toc 6"/>
    <w:basedOn w:val="Normal"/>
    <w:next w:val="Normal"/>
    <w:autoRedefine/>
    <w:uiPriority w:val="39"/>
    <w:rsid w:val="00686372"/>
    <w:pPr>
      <w:spacing w:before="0" w:after="0"/>
      <w:ind w:left="1200"/>
      <w:jc w:val="left"/>
    </w:pPr>
    <w:rPr>
      <w:rFonts w:ascii="Cambria" w:hAnsi="Cambria"/>
      <w:sz w:val="20"/>
      <w:szCs w:val="20"/>
    </w:rPr>
  </w:style>
  <w:style w:type="paragraph" w:styleId="TOC7">
    <w:name w:val="toc 7"/>
    <w:basedOn w:val="Normal"/>
    <w:next w:val="Normal"/>
    <w:autoRedefine/>
    <w:uiPriority w:val="39"/>
    <w:rsid w:val="00686372"/>
    <w:pPr>
      <w:spacing w:before="0" w:after="0"/>
      <w:ind w:left="1440"/>
      <w:jc w:val="left"/>
    </w:pPr>
    <w:rPr>
      <w:rFonts w:ascii="Cambria" w:hAnsi="Cambria"/>
      <w:sz w:val="20"/>
      <w:szCs w:val="20"/>
    </w:rPr>
  </w:style>
  <w:style w:type="paragraph" w:styleId="TOC8">
    <w:name w:val="toc 8"/>
    <w:basedOn w:val="Normal"/>
    <w:next w:val="Normal"/>
    <w:autoRedefine/>
    <w:uiPriority w:val="39"/>
    <w:rsid w:val="00686372"/>
    <w:pPr>
      <w:spacing w:before="0" w:after="0"/>
      <w:ind w:left="1680"/>
      <w:jc w:val="left"/>
    </w:pPr>
    <w:rPr>
      <w:rFonts w:ascii="Cambria" w:hAnsi="Cambria"/>
      <w:sz w:val="20"/>
      <w:szCs w:val="20"/>
    </w:rPr>
  </w:style>
  <w:style w:type="paragraph" w:styleId="TOC9">
    <w:name w:val="toc 9"/>
    <w:basedOn w:val="Normal"/>
    <w:next w:val="Normal"/>
    <w:autoRedefine/>
    <w:uiPriority w:val="39"/>
    <w:rsid w:val="00686372"/>
    <w:pPr>
      <w:spacing w:before="0" w:after="0"/>
      <w:ind w:left="1920"/>
      <w:jc w:val="left"/>
    </w:pPr>
    <w:rPr>
      <w:rFonts w:ascii="Cambria" w:hAnsi="Cambria"/>
      <w:sz w:val="20"/>
      <w:szCs w:val="20"/>
    </w:rPr>
  </w:style>
  <w:style w:type="character" w:styleId="Hyperlink">
    <w:name w:val="Hyperlink"/>
    <w:uiPriority w:val="99"/>
    <w:unhideWhenUsed/>
    <w:rsid w:val="00686372"/>
    <w:rPr>
      <w:color w:val="0000FF"/>
      <w:u w:val="single"/>
    </w:rPr>
  </w:style>
  <w:style w:type="character" w:customStyle="1" w:styleId="hps">
    <w:name w:val="hps"/>
    <w:basedOn w:val="DefaultParagraphFont"/>
    <w:rsid w:val="0016173E"/>
  </w:style>
  <w:style w:type="character" w:styleId="Strong">
    <w:name w:val="Strong"/>
    <w:uiPriority w:val="22"/>
    <w:rsid w:val="00594B6F"/>
    <w:rPr>
      <w:b/>
      <w:bCs/>
    </w:rPr>
  </w:style>
  <w:style w:type="character" w:customStyle="1" w:styleId="Heading4Char">
    <w:name w:val="Heading 4 Char"/>
    <w:link w:val="Heading4"/>
    <w:rsid w:val="00CF47CC"/>
    <w:rPr>
      <w:rFonts w:ascii="Calibri" w:hAnsi="Calibri"/>
      <w:b/>
      <w:i/>
      <w:iCs/>
      <w:sz w:val="24"/>
      <w:szCs w:val="24"/>
      <w:u w:val="dotDash"/>
      <w:lang w:val="el-GR" w:eastAsia="el-GR"/>
    </w:rPr>
  </w:style>
  <w:style w:type="character" w:customStyle="1" w:styleId="atn">
    <w:name w:val="atn"/>
    <w:basedOn w:val="DefaultParagraphFont"/>
    <w:rsid w:val="00A25BFC"/>
  </w:style>
  <w:style w:type="paragraph" w:styleId="ListBullet">
    <w:name w:val="List Bullet"/>
    <w:basedOn w:val="Normal"/>
    <w:rsid w:val="005B2D41"/>
    <w:pPr>
      <w:numPr>
        <w:numId w:val="1"/>
      </w:numPr>
      <w:contextualSpacing/>
    </w:pPr>
  </w:style>
  <w:style w:type="character" w:styleId="Emphasis">
    <w:name w:val="Emphasis"/>
    <w:uiPriority w:val="20"/>
    <w:qFormat/>
    <w:rsid w:val="00D85B27"/>
    <w:rPr>
      <w:i/>
      <w:iCs/>
    </w:rPr>
  </w:style>
  <w:style w:type="paragraph" w:customStyle="1" w:styleId="Default">
    <w:name w:val="Default"/>
    <w:rsid w:val="00EB77BE"/>
    <w:pPr>
      <w:autoSpaceDE w:val="0"/>
      <w:autoSpaceDN w:val="0"/>
      <w:adjustRightInd w:val="0"/>
    </w:pPr>
    <w:rPr>
      <w:color w:val="000000"/>
      <w:sz w:val="24"/>
      <w:szCs w:val="24"/>
      <w:lang w:val="el-GR" w:eastAsia="el-GR"/>
    </w:rPr>
  </w:style>
  <w:style w:type="character" w:customStyle="1" w:styleId="highlight">
    <w:name w:val="highlight"/>
    <w:basedOn w:val="DefaultParagraphFont"/>
    <w:rsid w:val="00D83E97"/>
  </w:style>
  <w:style w:type="character" w:customStyle="1" w:styleId="st">
    <w:name w:val="st"/>
    <w:basedOn w:val="DefaultParagraphFont"/>
    <w:rsid w:val="000C4F59"/>
  </w:style>
  <w:style w:type="character" w:styleId="FollowedHyperlink">
    <w:name w:val="FollowedHyperlink"/>
    <w:rsid w:val="00824343"/>
    <w:rPr>
      <w:color w:val="800080"/>
      <w:u w:val="single"/>
    </w:rPr>
  </w:style>
  <w:style w:type="character" w:customStyle="1" w:styleId="style89">
    <w:name w:val="style89"/>
    <w:basedOn w:val="DefaultParagraphFont"/>
    <w:rsid w:val="001D49AB"/>
  </w:style>
  <w:style w:type="character" w:customStyle="1" w:styleId="style90">
    <w:name w:val="style90"/>
    <w:basedOn w:val="DefaultParagraphFont"/>
    <w:rsid w:val="001D49AB"/>
  </w:style>
  <w:style w:type="paragraph" w:customStyle="1" w:styleId="style69">
    <w:name w:val="style69"/>
    <w:basedOn w:val="Normal"/>
    <w:rsid w:val="001D49AB"/>
    <w:pPr>
      <w:spacing w:before="100" w:beforeAutospacing="1" w:after="100" w:afterAutospacing="1"/>
      <w:jc w:val="left"/>
    </w:pPr>
    <w:rPr>
      <w:rFonts w:ascii="Times New Roman" w:hAnsi="Times New Roman"/>
      <w:b/>
    </w:rPr>
  </w:style>
  <w:style w:type="paragraph" w:customStyle="1" w:styleId="tx">
    <w:name w:val="tx"/>
    <w:basedOn w:val="Normal"/>
    <w:rsid w:val="00201D17"/>
    <w:pPr>
      <w:spacing w:before="100" w:beforeAutospacing="1" w:after="100" w:afterAutospacing="1"/>
      <w:jc w:val="left"/>
    </w:pPr>
    <w:rPr>
      <w:rFonts w:ascii="Times New Roman" w:hAnsi="Times New Roman"/>
      <w:b/>
    </w:rPr>
  </w:style>
  <w:style w:type="character" w:customStyle="1" w:styleId="FooterChar">
    <w:name w:val="Footer Char"/>
    <w:link w:val="Footer"/>
    <w:uiPriority w:val="99"/>
    <w:rsid w:val="00801C2A"/>
    <w:rPr>
      <w:rFonts w:ascii="Calibri" w:hAnsi="Calibri"/>
      <w:b/>
      <w:sz w:val="24"/>
      <w:szCs w:val="24"/>
    </w:rPr>
  </w:style>
  <w:style w:type="paragraph" w:styleId="EndnoteText">
    <w:name w:val="endnote text"/>
    <w:basedOn w:val="Normal"/>
    <w:link w:val="EndnoteTextChar"/>
    <w:uiPriority w:val="99"/>
    <w:unhideWhenUsed/>
    <w:rsid w:val="00801C2A"/>
    <w:rPr>
      <w:rFonts w:ascii="Century Schoolbook" w:hAnsi="Century Schoolbook"/>
      <w:b/>
      <w:sz w:val="20"/>
      <w:szCs w:val="20"/>
    </w:rPr>
  </w:style>
  <w:style w:type="character" w:customStyle="1" w:styleId="EndnoteTextChar">
    <w:name w:val="Endnote Text Char"/>
    <w:link w:val="EndnoteText"/>
    <w:uiPriority w:val="99"/>
    <w:rsid w:val="00801C2A"/>
    <w:rPr>
      <w:rFonts w:ascii="Century Schoolbook" w:hAnsi="Century Schoolbook"/>
    </w:rPr>
  </w:style>
  <w:style w:type="paragraph" w:customStyle="1" w:styleId="spip">
    <w:name w:val="spip"/>
    <w:basedOn w:val="Normal"/>
    <w:uiPriority w:val="99"/>
    <w:rsid w:val="00801C2A"/>
    <w:pPr>
      <w:spacing w:before="100" w:beforeAutospacing="1" w:after="100" w:afterAutospacing="1"/>
      <w:jc w:val="left"/>
    </w:pPr>
    <w:rPr>
      <w:rFonts w:ascii="Times New Roman" w:hAnsi="Times New Roman"/>
      <w:b/>
    </w:rPr>
  </w:style>
  <w:style w:type="paragraph" w:customStyle="1" w:styleId="lienplus">
    <w:name w:val="lien_plus"/>
    <w:basedOn w:val="Normal"/>
    <w:uiPriority w:val="99"/>
    <w:rsid w:val="00801C2A"/>
    <w:pPr>
      <w:spacing w:before="100" w:beforeAutospacing="1" w:after="100" w:afterAutospacing="1"/>
      <w:jc w:val="left"/>
    </w:pPr>
    <w:rPr>
      <w:rFonts w:ascii="Times New Roman" w:hAnsi="Times New Roman"/>
      <w:b/>
    </w:rPr>
  </w:style>
  <w:style w:type="paragraph" w:customStyle="1" w:styleId="Corpsdetexte2">
    <w:name w:val="Corps de texte 2"/>
    <w:basedOn w:val="Default"/>
    <w:next w:val="Default"/>
    <w:uiPriority w:val="99"/>
    <w:rsid w:val="00801C2A"/>
    <w:rPr>
      <w:rFonts w:ascii="BLIOCK+Arial,Bold" w:hAnsi="BLIOCK+Arial,Bold"/>
      <w:color w:val="auto"/>
    </w:rPr>
  </w:style>
  <w:style w:type="paragraph" w:customStyle="1" w:styleId="datepubli">
    <w:name w:val="date_publi"/>
    <w:basedOn w:val="Normal"/>
    <w:uiPriority w:val="99"/>
    <w:rsid w:val="00801C2A"/>
    <w:pPr>
      <w:spacing w:before="100" w:beforeAutospacing="1" w:after="100" w:afterAutospacing="1"/>
      <w:jc w:val="left"/>
    </w:pPr>
    <w:rPr>
      <w:rFonts w:ascii="Times New Roman" w:hAnsi="Times New Roman"/>
      <w:b/>
    </w:rPr>
  </w:style>
  <w:style w:type="character" w:styleId="EndnoteReference">
    <w:name w:val="endnote reference"/>
    <w:unhideWhenUsed/>
    <w:rsid w:val="00801C2A"/>
    <w:rPr>
      <w:vertAlign w:val="superscript"/>
    </w:rPr>
  </w:style>
  <w:style w:type="character" w:customStyle="1" w:styleId="hidden">
    <w:name w:val="hidden"/>
    <w:basedOn w:val="DefaultParagraphFont"/>
    <w:rsid w:val="00801C2A"/>
  </w:style>
  <w:style w:type="character" w:customStyle="1" w:styleId="date">
    <w:name w:val="date"/>
    <w:basedOn w:val="DefaultParagraphFont"/>
    <w:rsid w:val="00801C2A"/>
  </w:style>
  <w:style w:type="character" w:customStyle="1" w:styleId="glmot">
    <w:name w:val="gl_mot"/>
    <w:basedOn w:val="DefaultParagraphFont"/>
    <w:rsid w:val="00801C2A"/>
  </w:style>
  <w:style w:type="table" w:styleId="TableContemporary">
    <w:name w:val="Table Contemporary"/>
    <w:basedOn w:val="TableNormal"/>
    <w:unhideWhenUsed/>
    <w:rsid w:val="00801C2A"/>
    <w:pPr>
      <w:spacing w:before="120" w:after="120" w:line="360" w:lineRule="exact"/>
      <w:ind w:firstLine="567"/>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Revision">
    <w:name w:val="Revision"/>
    <w:hidden/>
    <w:uiPriority w:val="71"/>
    <w:unhideWhenUsed/>
    <w:rsid w:val="002B0FA3"/>
    <w:rPr>
      <w:rFonts w:ascii="Calibri" w:hAnsi="Calibri"/>
      <w:sz w:val="24"/>
      <w:szCs w:val="24"/>
      <w:lang w:val="el-GR" w:eastAsia="el-GR"/>
    </w:rPr>
  </w:style>
  <w:style w:type="paragraph" w:styleId="BalloonText">
    <w:name w:val="Balloon Text"/>
    <w:basedOn w:val="Normal"/>
    <w:link w:val="BalloonTextChar"/>
    <w:rsid w:val="002B0FA3"/>
    <w:pPr>
      <w:spacing w:before="0" w:after="0" w:line="240" w:lineRule="auto"/>
    </w:pPr>
    <w:rPr>
      <w:rFonts w:ascii="Lucida Grande" w:hAnsi="Lucida Grande" w:cs="Lucida Grande"/>
      <w:sz w:val="18"/>
      <w:szCs w:val="18"/>
    </w:rPr>
  </w:style>
  <w:style w:type="character" w:customStyle="1" w:styleId="BalloonTextChar">
    <w:name w:val="Balloon Text Char"/>
    <w:link w:val="BalloonText"/>
    <w:rsid w:val="002B0FA3"/>
    <w:rPr>
      <w:rFonts w:ascii="Lucida Grande" w:hAnsi="Lucida Grande" w:cs="Lucida Grande"/>
      <w:sz w:val="18"/>
      <w:szCs w:val="18"/>
      <w:lang w:val="el-GR" w:eastAsia="el-GR"/>
    </w:rPr>
  </w:style>
  <w:style w:type="character" w:customStyle="1" w:styleId="Heading5Char">
    <w:name w:val="Heading 5 Char"/>
    <w:link w:val="Heading5"/>
    <w:rsid w:val="00D93099"/>
    <w:rPr>
      <w:rFonts w:ascii="Calibri" w:eastAsia="ＭＳ 明朝" w:hAnsi="Calibri"/>
      <w:i/>
      <w:iCs/>
      <w:sz w:val="24"/>
      <w:szCs w:val="24"/>
      <w:lang w:val="el-GR" w:eastAsia="el-GR"/>
    </w:rPr>
  </w:style>
  <w:style w:type="character" w:customStyle="1" w:styleId="reference-text">
    <w:name w:val="reference-text"/>
    <w:rsid w:val="00BF0359"/>
  </w:style>
  <w:style w:type="character" w:customStyle="1" w:styleId="hl">
    <w:name w:val="hl"/>
    <w:rsid w:val="00B70E51"/>
  </w:style>
  <w:style w:type="paragraph" w:styleId="TOCHeading">
    <w:name w:val="TOC Heading"/>
    <w:basedOn w:val="Heading1"/>
    <w:next w:val="Normal"/>
    <w:uiPriority w:val="39"/>
    <w:unhideWhenUsed/>
    <w:rsid w:val="00385E2E"/>
    <w:pPr>
      <w:keepLines/>
      <w:pageBreakBefore w:val="0"/>
      <w:spacing w:before="480" w:after="0" w:line="276" w:lineRule="auto"/>
      <w:jc w:val="left"/>
      <w:outlineLvl w:val="9"/>
    </w:pPr>
    <w:rPr>
      <w:rFonts w:eastAsia="ＭＳ ゴシック"/>
      <w:color w:val="365F91"/>
      <w:kern w:val="0"/>
      <w:sz w:val="28"/>
      <w:szCs w:val="28"/>
      <w:lang w:val="en-US" w:eastAsia="en-US"/>
    </w:rPr>
  </w:style>
  <w:style w:type="character" w:customStyle="1" w:styleId="Heading6Char">
    <w:name w:val="Heading 6 Char"/>
    <w:link w:val="Heading6"/>
    <w:rsid w:val="004C48A1"/>
    <w:rPr>
      <w:rFonts w:ascii="Calibri" w:eastAsia="ＭＳ 明朝" w:hAnsi="Calibri" w:cs="Times New Roman"/>
      <w:b/>
      <w:bCs/>
      <w:sz w:val="24"/>
      <w:szCs w:val="22"/>
      <w:lang w:val="el-GR" w:eastAsia="el-G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qFormat="1"/>
    <w:lsdException w:name="header" w:uiPriority="99"/>
    <w:lsdException w:name="caption" w:semiHidden="1" w:unhideWhenUsed="1" w:qFormat="1"/>
    <w:lsdException w:name="footnote reference" w:uiPriority="99"/>
    <w:lsdException w:name="endnote text" w:uiPriority="99"/>
    <w:lsdException w:name="Hyperlink" w:uiPriority="99"/>
    <w:lsdException w:name="Strong" w:uiPriority="22"/>
    <w:lsdException w:name="Emphasis" w:uiPriority="20" w:qFormat="1"/>
    <w:lsdException w:name="Normal (Web)" w:uiPriority="99"/>
    <w:lsdException w:name="No List" w:uiPriority="99"/>
    <w:lsdException w:name="Table Grid" w:uiPriority="59"/>
    <w:lsdException w:name="Note Level 1" w:semiHidden="1" w:uiPriority="99"/>
    <w:lsdException w:name="Note Level 2" w:uiPriority="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34"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342F1F"/>
    <w:pPr>
      <w:spacing w:before="120" w:after="120" w:line="360" w:lineRule="exact"/>
      <w:ind w:firstLine="567"/>
      <w:jc w:val="both"/>
    </w:pPr>
    <w:rPr>
      <w:rFonts w:ascii="Calibri" w:hAnsi="Calibri"/>
      <w:sz w:val="24"/>
      <w:szCs w:val="24"/>
      <w:lang w:val="el-GR" w:eastAsia="el-GR"/>
    </w:rPr>
  </w:style>
  <w:style w:type="paragraph" w:styleId="Heading1">
    <w:name w:val="heading 1"/>
    <w:basedOn w:val="Normal"/>
    <w:next w:val="Normal"/>
    <w:link w:val="Heading1Char"/>
    <w:qFormat/>
    <w:rsid w:val="003739B8"/>
    <w:pPr>
      <w:keepNext/>
      <w:pageBreakBefore/>
      <w:spacing w:before="240" w:after="240"/>
      <w:ind w:firstLine="0"/>
      <w:outlineLvl w:val="0"/>
    </w:pPr>
    <w:rPr>
      <w:b/>
      <w:bCs/>
      <w:kern w:val="32"/>
      <w:szCs w:val="32"/>
      <w:lang w:val="x-none" w:eastAsia="x-none"/>
    </w:rPr>
  </w:style>
  <w:style w:type="paragraph" w:styleId="Heading2">
    <w:name w:val="heading 2"/>
    <w:basedOn w:val="Normal"/>
    <w:next w:val="Normal"/>
    <w:link w:val="Heading2Char"/>
    <w:unhideWhenUsed/>
    <w:qFormat/>
    <w:rsid w:val="00C63AD3"/>
    <w:pPr>
      <w:keepNext/>
      <w:spacing w:before="240" w:after="240"/>
      <w:ind w:firstLine="0"/>
      <w:outlineLvl w:val="1"/>
    </w:pPr>
    <w:rPr>
      <w:b/>
      <w:bCs/>
      <w:lang w:val="x-none" w:eastAsia="x-none"/>
    </w:rPr>
  </w:style>
  <w:style w:type="paragraph" w:styleId="Heading3">
    <w:name w:val="heading 3"/>
    <w:basedOn w:val="Normal"/>
    <w:next w:val="Normal"/>
    <w:link w:val="Heading3Char"/>
    <w:unhideWhenUsed/>
    <w:qFormat/>
    <w:rsid w:val="00801C2A"/>
    <w:pPr>
      <w:keepNext/>
      <w:spacing w:before="240" w:after="240"/>
      <w:ind w:firstLine="0"/>
      <w:outlineLvl w:val="2"/>
    </w:pPr>
    <w:rPr>
      <w:b/>
      <w:bCs/>
      <w:szCs w:val="26"/>
      <w:lang w:val="x-none" w:eastAsia="x-none"/>
    </w:rPr>
  </w:style>
  <w:style w:type="paragraph" w:styleId="Heading4">
    <w:name w:val="heading 4"/>
    <w:basedOn w:val="Normal"/>
    <w:next w:val="Normal"/>
    <w:link w:val="Heading4Char"/>
    <w:unhideWhenUsed/>
    <w:qFormat/>
    <w:rsid w:val="00CF47CC"/>
    <w:pPr>
      <w:keepNext/>
      <w:spacing w:before="240" w:after="240"/>
      <w:ind w:firstLine="0"/>
      <w:outlineLvl w:val="3"/>
    </w:pPr>
    <w:rPr>
      <w:b/>
      <w:i/>
      <w:iCs/>
      <w:u w:val="dotDash"/>
    </w:rPr>
  </w:style>
  <w:style w:type="paragraph" w:styleId="Heading5">
    <w:name w:val="heading 5"/>
    <w:basedOn w:val="Normal"/>
    <w:next w:val="Normal"/>
    <w:link w:val="Heading5Char"/>
    <w:unhideWhenUsed/>
    <w:qFormat/>
    <w:rsid w:val="00D93099"/>
    <w:pPr>
      <w:ind w:firstLine="0"/>
      <w:outlineLvl w:val="4"/>
    </w:pPr>
    <w:rPr>
      <w:rFonts w:eastAsia="ＭＳ 明朝"/>
      <w:i/>
      <w:iCs/>
    </w:rPr>
  </w:style>
  <w:style w:type="paragraph" w:styleId="Heading6">
    <w:name w:val="heading 6"/>
    <w:basedOn w:val="Normal"/>
    <w:next w:val="Normal"/>
    <w:link w:val="Heading6Char"/>
    <w:unhideWhenUsed/>
    <w:qFormat/>
    <w:rsid w:val="004C48A1"/>
    <w:pPr>
      <w:ind w:firstLine="0"/>
      <w:outlineLvl w:val="5"/>
    </w:pPr>
    <w:rPr>
      <w:rFonts w:eastAsia="ＭＳ 明朝"/>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06D9F"/>
    <w:pPr>
      <w:tabs>
        <w:tab w:val="center" w:pos="4153"/>
        <w:tab w:val="right" w:pos="8306"/>
      </w:tabs>
    </w:pPr>
  </w:style>
  <w:style w:type="character" w:styleId="PageNumber">
    <w:name w:val="page number"/>
    <w:basedOn w:val="DefaultParagraphFont"/>
    <w:rsid w:val="00D06D9F"/>
  </w:style>
  <w:style w:type="paragraph" w:styleId="ListParagraph">
    <w:name w:val="List Paragraph"/>
    <w:basedOn w:val="Normal"/>
    <w:uiPriority w:val="34"/>
    <w:rsid w:val="00AE1674"/>
    <w:pPr>
      <w:ind w:left="720"/>
    </w:pPr>
  </w:style>
  <w:style w:type="paragraph" w:styleId="FootnoteText">
    <w:name w:val="footnote text"/>
    <w:basedOn w:val="Normal"/>
    <w:link w:val="FootnoteTextChar"/>
    <w:uiPriority w:val="99"/>
    <w:qFormat/>
    <w:rsid w:val="000F5187"/>
    <w:pPr>
      <w:spacing w:before="0" w:after="0" w:line="240" w:lineRule="auto"/>
      <w:ind w:firstLine="0"/>
    </w:pPr>
    <w:rPr>
      <w:rFonts w:cs="Arial"/>
      <w:sz w:val="20"/>
      <w:szCs w:val="26"/>
      <w:lang w:val="en-US" w:eastAsia="en-US"/>
    </w:rPr>
  </w:style>
  <w:style w:type="character" w:customStyle="1" w:styleId="FootnoteTextChar">
    <w:name w:val="Footnote Text Char"/>
    <w:link w:val="FootnoteText"/>
    <w:uiPriority w:val="99"/>
    <w:rsid w:val="000F5187"/>
    <w:rPr>
      <w:rFonts w:ascii="Calibri" w:hAnsi="Calibri" w:cs="Arial"/>
      <w:szCs w:val="26"/>
    </w:rPr>
  </w:style>
  <w:style w:type="character" w:styleId="FootnoteReference">
    <w:name w:val="footnote reference"/>
    <w:uiPriority w:val="99"/>
    <w:rsid w:val="00FB034F"/>
    <w:rPr>
      <w:vertAlign w:val="superscript"/>
    </w:rPr>
  </w:style>
  <w:style w:type="table" w:styleId="TableGrid">
    <w:name w:val="Table Grid"/>
    <w:basedOn w:val="TableNormal"/>
    <w:uiPriority w:val="59"/>
    <w:rsid w:val="00FB034F"/>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24066"/>
    <w:rPr>
      <w:b/>
    </w:rPr>
  </w:style>
  <w:style w:type="paragraph" w:styleId="DocumentMap">
    <w:name w:val="Document Map"/>
    <w:basedOn w:val="Normal"/>
    <w:link w:val="DocumentMapChar"/>
    <w:rsid w:val="007A72D8"/>
    <w:rPr>
      <w:sz w:val="28"/>
      <w:szCs w:val="16"/>
      <w:lang w:val="x-none" w:eastAsia="x-none"/>
    </w:rPr>
  </w:style>
  <w:style w:type="character" w:customStyle="1" w:styleId="DocumentMapChar">
    <w:name w:val="Document Map Char"/>
    <w:link w:val="DocumentMap"/>
    <w:rsid w:val="007A72D8"/>
    <w:rPr>
      <w:rFonts w:ascii="Calibri" w:hAnsi="Calibri"/>
      <w:sz w:val="28"/>
      <w:szCs w:val="16"/>
      <w:lang w:val="x-none" w:eastAsia="x-none"/>
    </w:rPr>
  </w:style>
  <w:style w:type="paragraph" w:styleId="Header">
    <w:name w:val="header"/>
    <w:basedOn w:val="Normal"/>
    <w:link w:val="HeaderChar"/>
    <w:uiPriority w:val="99"/>
    <w:rsid w:val="00FA2B05"/>
    <w:pPr>
      <w:tabs>
        <w:tab w:val="center" w:pos="4153"/>
        <w:tab w:val="right" w:pos="8306"/>
      </w:tabs>
    </w:pPr>
    <w:rPr>
      <w:b/>
      <w:lang w:val="x-none" w:eastAsia="x-none"/>
    </w:rPr>
  </w:style>
  <w:style w:type="character" w:customStyle="1" w:styleId="HeaderChar">
    <w:name w:val="Header Char"/>
    <w:link w:val="Header"/>
    <w:uiPriority w:val="99"/>
    <w:rsid w:val="00FA2B05"/>
    <w:rPr>
      <w:rFonts w:ascii="Calibri" w:hAnsi="Calibri"/>
      <w:b/>
      <w:sz w:val="24"/>
      <w:szCs w:val="24"/>
    </w:rPr>
  </w:style>
  <w:style w:type="character" w:customStyle="1" w:styleId="Heading1Char">
    <w:name w:val="Heading 1 Char"/>
    <w:link w:val="Heading1"/>
    <w:rsid w:val="003739B8"/>
    <w:rPr>
      <w:rFonts w:ascii="Calibri" w:hAnsi="Calibri"/>
      <w:b/>
      <w:bCs/>
      <w:kern w:val="32"/>
      <w:sz w:val="24"/>
      <w:szCs w:val="32"/>
      <w:lang w:val="x-none" w:eastAsia="x-none"/>
    </w:rPr>
  </w:style>
  <w:style w:type="character" w:customStyle="1" w:styleId="Heading2Char">
    <w:name w:val="Heading 2 Char"/>
    <w:link w:val="Heading2"/>
    <w:rsid w:val="00C63AD3"/>
    <w:rPr>
      <w:rFonts w:ascii="Calibri" w:hAnsi="Calibri"/>
      <w:b/>
      <w:bCs/>
      <w:sz w:val="24"/>
      <w:szCs w:val="24"/>
      <w:lang w:val="x-none" w:eastAsia="x-none"/>
    </w:rPr>
  </w:style>
  <w:style w:type="character" w:customStyle="1" w:styleId="Heading3Char">
    <w:name w:val="Heading 3 Char"/>
    <w:link w:val="Heading3"/>
    <w:rsid w:val="00801C2A"/>
    <w:rPr>
      <w:rFonts w:ascii="Century Schoolbook" w:hAnsi="Century Schoolbook"/>
      <w:b/>
      <w:bCs/>
      <w:sz w:val="24"/>
      <w:szCs w:val="26"/>
      <w:lang w:val="x-none" w:eastAsia="x-none"/>
    </w:rPr>
  </w:style>
  <w:style w:type="paragraph" w:styleId="TOC1">
    <w:name w:val="toc 1"/>
    <w:basedOn w:val="Normal"/>
    <w:next w:val="Normal"/>
    <w:autoRedefine/>
    <w:uiPriority w:val="39"/>
    <w:rsid w:val="00B820A3"/>
    <w:pPr>
      <w:tabs>
        <w:tab w:val="right" w:leader="underscore" w:pos="9204"/>
      </w:tabs>
      <w:ind w:firstLine="0"/>
    </w:pPr>
    <w:rPr>
      <w:b/>
      <w:szCs w:val="22"/>
    </w:rPr>
  </w:style>
  <w:style w:type="paragraph" w:styleId="TOC2">
    <w:name w:val="toc 2"/>
    <w:basedOn w:val="Normal"/>
    <w:next w:val="Normal"/>
    <w:autoRedefine/>
    <w:uiPriority w:val="39"/>
    <w:rsid w:val="0027495C"/>
    <w:pPr>
      <w:tabs>
        <w:tab w:val="right" w:leader="underscore" w:pos="9204"/>
      </w:tabs>
      <w:spacing w:before="60" w:after="60"/>
      <w:ind w:left="238" w:firstLine="0"/>
    </w:pPr>
    <w:rPr>
      <w:sz w:val="22"/>
      <w:szCs w:val="22"/>
    </w:rPr>
  </w:style>
  <w:style w:type="paragraph" w:styleId="TOC3">
    <w:name w:val="toc 3"/>
    <w:basedOn w:val="Normal"/>
    <w:next w:val="Normal"/>
    <w:autoRedefine/>
    <w:uiPriority w:val="39"/>
    <w:rsid w:val="00B820A3"/>
    <w:pPr>
      <w:spacing w:before="0" w:after="0"/>
      <w:ind w:left="482" w:firstLine="0"/>
    </w:pPr>
    <w:rPr>
      <w:sz w:val="22"/>
      <w:szCs w:val="22"/>
    </w:rPr>
  </w:style>
  <w:style w:type="paragraph" w:styleId="TOC4">
    <w:name w:val="toc 4"/>
    <w:basedOn w:val="Normal"/>
    <w:next w:val="Normal"/>
    <w:autoRedefine/>
    <w:uiPriority w:val="39"/>
    <w:rsid w:val="003C0E9A"/>
    <w:pPr>
      <w:tabs>
        <w:tab w:val="right" w:leader="underscore" w:pos="9204"/>
      </w:tabs>
      <w:spacing w:before="0" w:after="0"/>
      <w:ind w:left="720" w:firstLine="0"/>
    </w:pPr>
    <w:rPr>
      <w:i/>
      <w:sz w:val="22"/>
      <w:szCs w:val="20"/>
    </w:rPr>
  </w:style>
  <w:style w:type="paragraph" w:styleId="TOC5">
    <w:name w:val="toc 5"/>
    <w:basedOn w:val="Normal"/>
    <w:next w:val="Normal"/>
    <w:autoRedefine/>
    <w:uiPriority w:val="39"/>
    <w:rsid w:val="00686372"/>
    <w:pPr>
      <w:spacing w:before="0" w:after="0"/>
      <w:ind w:left="960"/>
      <w:jc w:val="left"/>
    </w:pPr>
    <w:rPr>
      <w:rFonts w:ascii="Cambria" w:hAnsi="Cambria"/>
      <w:sz w:val="20"/>
      <w:szCs w:val="20"/>
    </w:rPr>
  </w:style>
  <w:style w:type="paragraph" w:styleId="TOC6">
    <w:name w:val="toc 6"/>
    <w:basedOn w:val="Normal"/>
    <w:next w:val="Normal"/>
    <w:autoRedefine/>
    <w:uiPriority w:val="39"/>
    <w:rsid w:val="00686372"/>
    <w:pPr>
      <w:spacing w:before="0" w:after="0"/>
      <w:ind w:left="1200"/>
      <w:jc w:val="left"/>
    </w:pPr>
    <w:rPr>
      <w:rFonts w:ascii="Cambria" w:hAnsi="Cambria"/>
      <w:sz w:val="20"/>
      <w:szCs w:val="20"/>
    </w:rPr>
  </w:style>
  <w:style w:type="paragraph" w:styleId="TOC7">
    <w:name w:val="toc 7"/>
    <w:basedOn w:val="Normal"/>
    <w:next w:val="Normal"/>
    <w:autoRedefine/>
    <w:uiPriority w:val="39"/>
    <w:rsid w:val="00686372"/>
    <w:pPr>
      <w:spacing w:before="0" w:after="0"/>
      <w:ind w:left="1440"/>
      <w:jc w:val="left"/>
    </w:pPr>
    <w:rPr>
      <w:rFonts w:ascii="Cambria" w:hAnsi="Cambria"/>
      <w:sz w:val="20"/>
      <w:szCs w:val="20"/>
    </w:rPr>
  </w:style>
  <w:style w:type="paragraph" w:styleId="TOC8">
    <w:name w:val="toc 8"/>
    <w:basedOn w:val="Normal"/>
    <w:next w:val="Normal"/>
    <w:autoRedefine/>
    <w:uiPriority w:val="39"/>
    <w:rsid w:val="00686372"/>
    <w:pPr>
      <w:spacing w:before="0" w:after="0"/>
      <w:ind w:left="1680"/>
      <w:jc w:val="left"/>
    </w:pPr>
    <w:rPr>
      <w:rFonts w:ascii="Cambria" w:hAnsi="Cambria"/>
      <w:sz w:val="20"/>
      <w:szCs w:val="20"/>
    </w:rPr>
  </w:style>
  <w:style w:type="paragraph" w:styleId="TOC9">
    <w:name w:val="toc 9"/>
    <w:basedOn w:val="Normal"/>
    <w:next w:val="Normal"/>
    <w:autoRedefine/>
    <w:uiPriority w:val="39"/>
    <w:rsid w:val="00686372"/>
    <w:pPr>
      <w:spacing w:before="0" w:after="0"/>
      <w:ind w:left="1920"/>
      <w:jc w:val="left"/>
    </w:pPr>
    <w:rPr>
      <w:rFonts w:ascii="Cambria" w:hAnsi="Cambria"/>
      <w:sz w:val="20"/>
      <w:szCs w:val="20"/>
    </w:rPr>
  </w:style>
  <w:style w:type="character" w:styleId="Hyperlink">
    <w:name w:val="Hyperlink"/>
    <w:uiPriority w:val="99"/>
    <w:unhideWhenUsed/>
    <w:rsid w:val="00686372"/>
    <w:rPr>
      <w:color w:val="0000FF"/>
      <w:u w:val="single"/>
    </w:rPr>
  </w:style>
  <w:style w:type="character" w:customStyle="1" w:styleId="hps">
    <w:name w:val="hps"/>
    <w:basedOn w:val="DefaultParagraphFont"/>
    <w:rsid w:val="0016173E"/>
  </w:style>
  <w:style w:type="character" w:styleId="Strong">
    <w:name w:val="Strong"/>
    <w:uiPriority w:val="22"/>
    <w:rsid w:val="00594B6F"/>
    <w:rPr>
      <w:b/>
      <w:bCs/>
    </w:rPr>
  </w:style>
  <w:style w:type="character" w:customStyle="1" w:styleId="Heading4Char">
    <w:name w:val="Heading 4 Char"/>
    <w:link w:val="Heading4"/>
    <w:rsid w:val="00CF47CC"/>
    <w:rPr>
      <w:rFonts w:ascii="Calibri" w:hAnsi="Calibri"/>
      <w:b/>
      <w:i/>
      <w:iCs/>
      <w:sz w:val="24"/>
      <w:szCs w:val="24"/>
      <w:u w:val="dotDash"/>
      <w:lang w:val="el-GR" w:eastAsia="el-GR"/>
    </w:rPr>
  </w:style>
  <w:style w:type="character" w:customStyle="1" w:styleId="atn">
    <w:name w:val="atn"/>
    <w:basedOn w:val="DefaultParagraphFont"/>
    <w:rsid w:val="00A25BFC"/>
  </w:style>
  <w:style w:type="paragraph" w:styleId="ListBullet">
    <w:name w:val="List Bullet"/>
    <w:basedOn w:val="Normal"/>
    <w:rsid w:val="005B2D41"/>
    <w:pPr>
      <w:numPr>
        <w:numId w:val="1"/>
      </w:numPr>
      <w:contextualSpacing/>
    </w:pPr>
  </w:style>
  <w:style w:type="character" w:styleId="Emphasis">
    <w:name w:val="Emphasis"/>
    <w:uiPriority w:val="20"/>
    <w:qFormat/>
    <w:rsid w:val="00D85B27"/>
    <w:rPr>
      <w:i/>
      <w:iCs/>
    </w:rPr>
  </w:style>
  <w:style w:type="paragraph" w:customStyle="1" w:styleId="Default">
    <w:name w:val="Default"/>
    <w:rsid w:val="00EB77BE"/>
    <w:pPr>
      <w:autoSpaceDE w:val="0"/>
      <w:autoSpaceDN w:val="0"/>
      <w:adjustRightInd w:val="0"/>
    </w:pPr>
    <w:rPr>
      <w:color w:val="000000"/>
      <w:sz w:val="24"/>
      <w:szCs w:val="24"/>
      <w:lang w:val="el-GR" w:eastAsia="el-GR"/>
    </w:rPr>
  </w:style>
  <w:style w:type="character" w:customStyle="1" w:styleId="highlight">
    <w:name w:val="highlight"/>
    <w:basedOn w:val="DefaultParagraphFont"/>
    <w:rsid w:val="00D83E97"/>
  </w:style>
  <w:style w:type="character" w:customStyle="1" w:styleId="st">
    <w:name w:val="st"/>
    <w:basedOn w:val="DefaultParagraphFont"/>
    <w:rsid w:val="000C4F59"/>
  </w:style>
  <w:style w:type="character" w:styleId="FollowedHyperlink">
    <w:name w:val="FollowedHyperlink"/>
    <w:rsid w:val="00824343"/>
    <w:rPr>
      <w:color w:val="800080"/>
      <w:u w:val="single"/>
    </w:rPr>
  </w:style>
  <w:style w:type="character" w:customStyle="1" w:styleId="style89">
    <w:name w:val="style89"/>
    <w:basedOn w:val="DefaultParagraphFont"/>
    <w:rsid w:val="001D49AB"/>
  </w:style>
  <w:style w:type="character" w:customStyle="1" w:styleId="style90">
    <w:name w:val="style90"/>
    <w:basedOn w:val="DefaultParagraphFont"/>
    <w:rsid w:val="001D49AB"/>
  </w:style>
  <w:style w:type="paragraph" w:customStyle="1" w:styleId="style69">
    <w:name w:val="style69"/>
    <w:basedOn w:val="Normal"/>
    <w:rsid w:val="001D49AB"/>
    <w:pPr>
      <w:spacing w:before="100" w:beforeAutospacing="1" w:after="100" w:afterAutospacing="1"/>
      <w:jc w:val="left"/>
    </w:pPr>
    <w:rPr>
      <w:rFonts w:ascii="Times New Roman" w:hAnsi="Times New Roman"/>
      <w:b/>
    </w:rPr>
  </w:style>
  <w:style w:type="paragraph" w:customStyle="1" w:styleId="tx">
    <w:name w:val="tx"/>
    <w:basedOn w:val="Normal"/>
    <w:rsid w:val="00201D17"/>
    <w:pPr>
      <w:spacing w:before="100" w:beforeAutospacing="1" w:after="100" w:afterAutospacing="1"/>
      <w:jc w:val="left"/>
    </w:pPr>
    <w:rPr>
      <w:rFonts w:ascii="Times New Roman" w:hAnsi="Times New Roman"/>
      <w:b/>
    </w:rPr>
  </w:style>
  <w:style w:type="character" w:customStyle="1" w:styleId="FooterChar">
    <w:name w:val="Footer Char"/>
    <w:link w:val="Footer"/>
    <w:uiPriority w:val="99"/>
    <w:rsid w:val="00801C2A"/>
    <w:rPr>
      <w:rFonts w:ascii="Calibri" w:hAnsi="Calibri"/>
      <w:b/>
      <w:sz w:val="24"/>
      <w:szCs w:val="24"/>
    </w:rPr>
  </w:style>
  <w:style w:type="paragraph" w:styleId="EndnoteText">
    <w:name w:val="endnote text"/>
    <w:basedOn w:val="Normal"/>
    <w:link w:val="EndnoteTextChar"/>
    <w:uiPriority w:val="99"/>
    <w:unhideWhenUsed/>
    <w:rsid w:val="00801C2A"/>
    <w:rPr>
      <w:rFonts w:ascii="Century Schoolbook" w:hAnsi="Century Schoolbook"/>
      <w:b/>
      <w:sz w:val="20"/>
      <w:szCs w:val="20"/>
    </w:rPr>
  </w:style>
  <w:style w:type="character" w:customStyle="1" w:styleId="EndnoteTextChar">
    <w:name w:val="Endnote Text Char"/>
    <w:link w:val="EndnoteText"/>
    <w:uiPriority w:val="99"/>
    <w:rsid w:val="00801C2A"/>
    <w:rPr>
      <w:rFonts w:ascii="Century Schoolbook" w:hAnsi="Century Schoolbook"/>
    </w:rPr>
  </w:style>
  <w:style w:type="paragraph" w:customStyle="1" w:styleId="spip">
    <w:name w:val="spip"/>
    <w:basedOn w:val="Normal"/>
    <w:uiPriority w:val="99"/>
    <w:rsid w:val="00801C2A"/>
    <w:pPr>
      <w:spacing w:before="100" w:beforeAutospacing="1" w:after="100" w:afterAutospacing="1"/>
      <w:jc w:val="left"/>
    </w:pPr>
    <w:rPr>
      <w:rFonts w:ascii="Times New Roman" w:hAnsi="Times New Roman"/>
      <w:b/>
    </w:rPr>
  </w:style>
  <w:style w:type="paragraph" w:customStyle="1" w:styleId="lienplus">
    <w:name w:val="lien_plus"/>
    <w:basedOn w:val="Normal"/>
    <w:uiPriority w:val="99"/>
    <w:rsid w:val="00801C2A"/>
    <w:pPr>
      <w:spacing w:before="100" w:beforeAutospacing="1" w:after="100" w:afterAutospacing="1"/>
      <w:jc w:val="left"/>
    </w:pPr>
    <w:rPr>
      <w:rFonts w:ascii="Times New Roman" w:hAnsi="Times New Roman"/>
      <w:b/>
    </w:rPr>
  </w:style>
  <w:style w:type="paragraph" w:customStyle="1" w:styleId="Corpsdetexte2">
    <w:name w:val="Corps de texte 2"/>
    <w:basedOn w:val="Default"/>
    <w:next w:val="Default"/>
    <w:uiPriority w:val="99"/>
    <w:rsid w:val="00801C2A"/>
    <w:rPr>
      <w:rFonts w:ascii="BLIOCK+Arial,Bold" w:hAnsi="BLIOCK+Arial,Bold"/>
      <w:color w:val="auto"/>
    </w:rPr>
  </w:style>
  <w:style w:type="paragraph" w:customStyle="1" w:styleId="datepubli">
    <w:name w:val="date_publi"/>
    <w:basedOn w:val="Normal"/>
    <w:uiPriority w:val="99"/>
    <w:rsid w:val="00801C2A"/>
    <w:pPr>
      <w:spacing w:before="100" w:beforeAutospacing="1" w:after="100" w:afterAutospacing="1"/>
      <w:jc w:val="left"/>
    </w:pPr>
    <w:rPr>
      <w:rFonts w:ascii="Times New Roman" w:hAnsi="Times New Roman"/>
      <w:b/>
    </w:rPr>
  </w:style>
  <w:style w:type="character" w:styleId="EndnoteReference">
    <w:name w:val="endnote reference"/>
    <w:unhideWhenUsed/>
    <w:rsid w:val="00801C2A"/>
    <w:rPr>
      <w:vertAlign w:val="superscript"/>
    </w:rPr>
  </w:style>
  <w:style w:type="character" w:customStyle="1" w:styleId="hidden">
    <w:name w:val="hidden"/>
    <w:basedOn w:val="DefaultParagraphFont"/>
    <w:rsid w:val="00801C2A"/>
  </w:style>
  <w:style w:type="character" w:customStyle="1" w:styleId="date">
    <w:name w:val="date"/>
    <w:basedOn w:val="DefaultParagraphFont"/>
    <w:rsid w:val="00801C2A"/>
  </w:style>
  <w:style w:type="character" w:customStyle="1" w:styleId="glmot">
    <w:name w:val="gl_mot"/>
    <w:basedOn w:val="DefaultParagraphFont"/>
    <w:rsid w:val="00801C2A"/>
  </w:style>
  <w:style w:type="table" w:styleId="TableContemporary">
    <w:name w:val="Table Contemporary"/>
    <w:basedOn w:val="TableNormal"/>
    <w:unhideWhenUsed/>
    <w:rsid w:val="00801C2A"/>
    <w:pPr>
      <w:spacing w:before="120" w:after="120" w:line="360" w:lineRule="exact"/>
      <w:ind w:firstLine="567"/>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Revision">
    <w:name w:val="Revision"/>
    <w:hidden/>
    <w:uiPriority w:val="71"/>
    <w:unhideWhenUsed/>
    <w:rsid w:val="002B0FA3"/>
    <w:rPr>
      <w:rFonts w:ascii="Calibri" w:hAnsi="Calibri"/>
      <w:sz w:val="24"/>
      <w:szCs w:val="24"/>
      <w:lang w:val="el-GR" w:eastAsia="el-GR"/>
    </w:rPr>
  </w:style>
  <w:style w:type="paragraph" w:styleId="BalloonText">
    <w:name w:val="Balloon Text"/>
    <w:basedOn w:val="Normal"/>
    <w:link w:val="BalloonTextChar"/>
    <w:rsid w:val="002B0FA3"/>
    <w:pPr>
      <w:spacing w:before="0" w:after="0" w:line="240" w:lineRule="auto"/>
    </w:pPr>
    <w:rPr>
      <w:rFonts w:ascii="Lucida Grande" w:hAnsi="Lucida Grande" w:cs="Lucida Grande"/>
      <w:sz w:val="18"/>
      <w:szCs w:val="18"/>
    </w:rPr>
  </w:style>
  <w:style w:type="character" w:customStyle="1" w:styleId="BalloonTextChar">
    <w:name w:val="Balloon Text Char"/>
    <w:link w:val="BalloonText"/>
    <w:rsid w:val="002B0FA3"/>
    <w:rPr>
      <w:rFonts w:ascii="Lucida Grande" w:hAnsi="Lucida Grande" w:cs="Lucida Grande"/>
      <w:sz w:val="18"/>
      <w:szCs w:val="18"/>
      <w:lang w:val="el-GR" w:eastAsia="el-GR"/>
    </w:rPr>
  </w:style>
  <w:style w:type="character" w:customStyle="1" w:styleId="Heading5Char">
    <w:name w:val="Heading 5 Char"/>
    <w:link w:val="Heading5"/>
    <w:rsid w:val="00D93099"/>
    <w:rPr>
      <w:rFonts w:ascii="Calibri" w:eastAsia="ＭＳ 明朝" w:hAnsi="Calibri"/>
      <w:i/>
      <w:iCs/>
      <w:sz w:val="24"/>
      <w:szCs w:val="24"/>
      <w:lang w:val="el-GR" w:eastAsia="el-GR"/>
    </w:rPr>
  </w:style>
  <w:style w:type="character" w:customStyle="1" w:styleId="reference-text">
    <w:name w:val="reference-text"/>
    <w:rsid w:val="00BF0359"/>
  </w:style>
  <w:style w:type="character" w:customStyle="1" w:styleId="hl">
    <w:name w:val="hl"/>
    <w:rsid w:val="00B70E51"/>
  </w:style>
  <w:style w:type="paragraph" w:styleId="TOCHeading">
    <w:name w:val="TOC Heading"/>
    <w:basedOn w:val="Heading1"/>
    <w:next w:val="Normal"/>
    <w:uiPriority w:val="39"/>
    <w:unhideWhenUsed/>
    <w:rsid w:val="00385E2E"/>
    <w:pPr>
      <w:keepLines/>
      <w:pageBreakBefore w:val="0"/>
      <w:spacing w:before="480" w:after="0" w:line="276" w:lineRule="auto"/>
      <w:jc w:val="left"/>
      <w:outlineLvl w:val="9"/>
    </w:pPr>
    <w:rPr>
      <w:rFonts w:eastAsia="ＭＳ ゴシック"/>
      <w:color w:val="365F91"/>
      <w:kern w:val="0"/>
      <w:sz w:val="28"/>
      <w:szCs w:val="28"/>
      <w:lang w:val="en-US" w:eastAsia="en-US"/>
    </w:rPr>
  </w:style>
  <w:style w:type="character" w:customStyle="1" w:styleId="Heading6Char">
    <w:name w:val="Heading 6 Char"/>
    <w:link w:val="Heading6"/>
    <w:rsid w:val="004C48A1"/>
    <w:rPr>
      <w:rFonts w:ascii="Calibri" w:eastAsia="ＭＳ 明朝" w:hAnsi="Calibri" w:cs="Times New Roman"/>
      <w:b/>
      <w:bCs/>
      <w:sz w:val="24"/>
      <w:szCs w:val="22"/>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849">
      <w:bodyDiv w:val="1"/>
      <w:marLeft w:val="0"/>
      <w:marRight w:val="0"/>
      <w:marTop w:val="0"/>
      <w:marBottom w:val="0"/>
      <w:divBdr>
        <w:top w:val="none" w:sz="0" w:space="0" w:color="auto"/>
        <w:left w:val="none" w:sz="0" w:space="0" w:color="auto"/>
        <w:bottom w:val="none" w:sz="0" w:space="0" w:color="auto"/>
        <w:right w:val="none" w:sz="0" w:space="0" w:color="auto"/>
      </w:divBdr>
      <w:divsChild>
        <w:div w:id="157424228">
          <w:marLeft w:val="0"/>
          <w:marRight w:val="0"/>
          <w:marTop w:val="0"/>
          <w:marBottom w:val="0"/>
          <w:divBdr>
            <w:top w:val="none" w:sz="0" w:space="0" w:color="auto"/>
            <w:left w:val="none" w:sz="0" w:space="0" w:color="auto"/>
            <w:bottom w:val="none" w:sz="0" w:space="0" w:color="auto"/>
            <w:right w:val="none" w:sz="0" w:space="0" w:color="auto"/>
          </w:divBdr>
        </w:div>
        <w:div w:id="712660240">
          <w:marLeft w:val="0"/>
          <w:marRight w:val="0"/>
          <w:marTop w:val="0"/>
          <w:marBottom w:val="0"/>
          <w:divBdr>
            <w:top w:val="none" w:sz="0" w:space="0" w:color="auto"/>
            <w:left w:val="none" w:sz="0" w:space="0" w:color="auto"/>
            <w:bottom w:val="none" w:sz="0" w:space="0" w:color="auto"/>
            <w:right w:val="none" w:sz="0" w:space="0" w:color="auto"/>
          </w:divBdr>
        </w:div>
        <w:div w:id="739252352">
          <w:marLeft w:val="0"/>
          <w:marRight w:val="0"/>
          <w:marTop w:val="0"/>
          <w:marBottom w:val="0"/>
          <w:divBdr>
            <w:top w:val="none" w:sz="0" w:space="0" w:color="auto"/>
            <w:left w:val="none" w:sz="0" w:space="0" w:color="auto"/>
            <w:bottom w:val="none" w:sz="0" w:space="0" w:color="auto"/>
            <w:right w:val="none" w:sz="0" w:space="0" w:color="auto"/>
          </w:divBdr>
        </w:div>
        <w:div w:id="978998281">
          <w:marLeft w:val="0"/>
          <w:marRight w:val="0"/>
          <w:marTop w:val="0"/>
          <w:marBottom w:val="0"/>
          <w:divBdr>
            <w:top w:val="none" w:sz="0" w:space="0" w:color="auto"/>
            <w:left w:val="none" w:sz="0" w:space="0" w:color="auto"/>
            <w:bottom w:val="none" w:sz="0" w:space="0" w:color="auto"/>
            <w:right w:val="none" w:sz="0" w:space="0" w:color="auto"/>
          </w:divBdr>
        </w:div>
        <w:div w:id="1196238954">
          <w:marLeft w:val="0"/>
          <w:marRight w:val="0"/>
          <w:marTop w:val="0"/>
          <w:marBottom w:val="0"/>
          <w:divBdr>
            <w:top w:val="none" w:sz="0" w:space="0" w:color="auto"/>
            <w:left w:val="none" w:sz="0" w:space="0" w:color="auto"/>
            <w:bottom w:val="none" w:sz="0" w:space="0" w:color="auto"/>
            <w:right w:val="none" w:sz="0" w:space="0" w:color="auto"/>
          </w:divBdr>
        </w:div>
        <w:div w:id="1296762545">
          <w:marLeft w:val="0"/>
          <w:marRight w:val="0"/>
          <w:marTop w:val="0"/>
          <w:marBottom w:val="0"/>
          <w:divBdr>
            <w:top w:val="none" w:sz="0" w:space="0" w:color="auto"/>
            <w:left w:val="none" w:sz="0" w:space="0" w:color="auto"/>
            <w:bottom w:val="none" w:sz="0" w:space="0" w:color="auto"/>
            <w:right w:val="none" w:sz="0" w:space="0" w:color="auto"/>
          </w:divBdr>
        </w:div>
        <w:div w:id="1476868903">
          <w:marLeft w:val="0"/>
          <w:marRight w:val="0"/>
          <w:marTop w:val="0"/>
          <w:marBottom w:val="0"/>
          <w:divBdr>
            <w:top w:val="none" w:sz="0" w:space="0" w:color="auto"/>
            <w:left w:val="none" w:sz="0" w:space="0" w:color="auto"/>
            <w:bottom w:val="none" w:sz="0" w:space="0" w:color="auto"/>
            <w:right w:val="none" w:sz="0" w:space="0" w:color="auto"/>
          </w:divBdr>
        </w:div>
        <w:div w:id="1506747766">
          <w:marLeft w:val="0"/>
          <w:marRight w:val="0"/>
          <w:marTop w:val="0"/>
          <w:marBottom w:val="0"/>
          <w:divBdr>
            <w:top w:val="none" w:sz="0" w:space="0" w:color="auto"/>
            <w:left w:val="none" w:sz="0" w:space="0" w:color="auto"/>
            <w:bottom w:val="none" w:sz="0" w:space="0" w:color="auto"/>
            <w:right w:val="none" w:sz="0" w:space="0" w:color="auto"/>
          </w:divBdr>
        </w:div>
        <w:div w:id="1520585568">
          <w:marLeft w:val="0"/>
          <w:marRight w:val="0"/>
          <w:marTop w:val="0"/>
          <w:marBottom w:val="0"/>
          <w:divBdr>
            <w:top w:val="none" w:sz="0" w:space="0" w:color="auto"/>
            <w:left w:val="none" w:sz="0" w:space="0" w:color="auto"/>
            <w:bottom w:val="none" w:sz="0" w:space="0" w:color="auto"/>
            <w:right w:val="none" w:sz="0" w:space="0" w:color="auto"/>
          </w:divBdr>
        </w:div>
        <w:div w:id="1536623259">
          <w:marLeft w:val="0"/>
          <w:marRight w:val="0"/>
          <w:marTop w:val="0"/>
          <w:marBottom w:val="0"/>
          <w:divBdr>
            <w:top w:val="none" w:sz="0" w:space="0" w:color="auto"/>
            <w:left w:val="none" w:sz="0" w:space="0" w:color="auto"/>
            <w:bottom w:val="none" w:sz="0" w:space="0" w:color="auto"/>
            <w:right w:val="none" w:sz="0" w:space="0" w:color="auto"/>
          </w:divBdr>
        </w:div>
        <w:div w:id="1595476301">
          <w:marLeft w:val="0"/>
          <w:marRight w:val="0"/>
          <w:marTop w:val="0"/>
          <w:marBottom w:val="0"/>
          <w:divBdr>
            <w:top w:val="none" w:sz="0" w:space="0" w:color="auto"/>
            <w:left w:val="none" w:sz="0" w:space="0" w:color="auto"/>
            <w:bottom w:val="none" w:sz="0" w:space="0" w:color="auto"/>
            <w:right w:val="none" w:sz="0" w:space="0" w:color="auto"/>
          </w:divBdr>
        </w:div>
        <w:div w:id="1673558804">
          <w:marLeft w:val="0"/>
          <w:marRight w:val="0"/>
          <w:marTop w:val="0"/>
          <w:marBottom w:val="0"/>
          <w:divBdr>
            <w:top w:val="none" w:sz="0" w:space="0" w:color="auto"/>
            <w:left w:val="none" w:sz="0" w:space="0" w:color="auto"/>
            <w:bottom w:val="none" w:sz="0" w:space="0" w:color="auto"/>
            <w:right w:val="none" w:sz="0" w:space="0" w:color="auto"/>
          </w:divBdr>
        </w:div>
        <w:div w:id="1791976497">
          <w:marLeft w:val="0"/>
          <w:marRight w:val="0"/>
          <w:marTop w:val="0"/>
          <w:marBottom w:val="0"/>
          <w:divBdr>
            <w:top w:val="none" w:sz="0" w:space="0" w:color="auto"/>
            <w:left w:val="none" w:sz="0" w:space="0" w:color="auto"/>
            <w:bottom w:val="none" w:sz="0" w:space="0" w:color="auto"/>
            <w:right w:val="none" w:sz="0" w:space="0" w:color="auto"/>
          </w:divBdr>
        </w:div>
        <w:div w:id="1830169168">
          <w:marLeft w:val="0"/>
          <w:marRight w:val="0"/>
          <w:marTop w:val="0"/>
          <w:marBottom w:val="0"/>
          <w:divBdr>
            <w:top w:val="none" w:sz="0" w:space="0" w:color="auto"/>
            <w:left w:val="none" w:sz="0" w:space="0" w:color="auto"/>
            <w:bottom w:val="none" w:sz="0" w:space="0" w:color="auto"/>
            <w:right w:val="none" w:sz="0" w:space="0" w:color="auto"/>
          </w:divBdr>
        </w:div>
        <w:div w:id="1840461727">
          <w:marLeft w:val="0"/>
          <w:marRight w:val="0"/>
          <w:marTop w:val="0"/>
          <w:marBottom w:val="0"/>
          <w:divBdr>
            <w:top w:val="none" w:sz="0" w:space="0" w:color="auto"/>
            <w:left w:val="none" w:sz="0" w:space="0" w:color="auto"/>
            <w:bottom w:val="none" w:sz="0" w:space="0" w:color="auto"/>
            <w:right w:val="none" w:sz="0" w:space="0" w:color="auto"/>
          </w:divBdr>
        </w:div>
        <w:div w:id="1858815020">
          <w:marLeft w:val="0"/>
          <w:marRight w:val="0"/>
          <w:marTop w:val="0"/>
          <w:marBottom w:val="0"/>
          <w:divBdr>
            <w:top w:val="none" w:sz="0" w:space="0" w:color="auto"/>
            <w:left w:val="none" w:sz="0" w:space="0" w:color="auto"/>
            <w:bottom w:val="none" w:sz="0" w:space="0" w:color="auto"/>
            <w:right w:val="none" w:sz="0" w:space="0" w:color="auto"/>
          </w:divBdr>
        </w:div>
        <w:div w:id="1876380697">
          <w:marLeft w:val="0"/>
          <w:marRight w:val="0"/>
          <w:marTop w:val="0"/>
          <w:marBottom w:val="0"/>
          <w:divBdr>
            <w:top w:val="none" w:sz="0" w:space="0" w:color="auto"/>
            <w:left w:val="none" w:sz="0" w:space="0" w:color="auto"/>
            <w:bottom w:val="none" w:sz="0" w:space="0" w:color="auto"/>
            <w:right w:val="none" w:sz="0" w:space="0" w:color="auto"/>
          </w:divBdr>
        </w:div>
        <w:div w:id="1878812809">
          <w:marLeft w:val="0"/>
          <w:marRight w:val="0"/>
          <w:marTop w:val="0"/>
          <w:marBottom w:val="0"/>
          <w:divBdr>
            <w:top w:val="none" w:sz="0" w:space="0" w:color="auto"/>
            <w:left w:val="none" w:sz="0" w:space="0" w:color="auto"/>
            <w:bottom w:val="none" w:sz="0" w:space="0" w:color="auto"/>
            <w:right w:val="none" w:sz="0" w:space="0" w:color="auto"/>
          </w:divBdr>
        </w:div>
        <w:div w:id="1890023784">
          <w:marLeft w:val="0"/>
          <w:marRight w:val="0"/>
          <w:marTop w:val="0"/>
          <w:marBottom w:val="0"/>
          <w:divBdr>
            <w:top w:val="none" w:sz="0" w:space="0" w:color="auto"/>
            <w:left w:val="none" w:sz="0" w:space="0" w:color="auto"/>
            <w:bottom w:val="none" w:sz="0" w:space="0" w:color="auto"/>
            <w:right w:val="none" w:sz="0" w:space="0" w:color="auto"/>
          </w:divBdr>
        </w:div>
        <w:div w:id="1919511067">
          <w:marLeft w:val="0"/>
          <w:marRight w:val="0"/>
          <w:marTop w:val="0"/>
          <w:marBottom w:val="0"/>
          <w:divBdr>
            <w:top w:val="none" w:sz="0" w:space="0" w:color="auto"/>
            <w:left w:val="none" w:sz="0" w:space="0" w:color="auto"/>
            <w:bottom w:val="none" w:sz="0" w:space="0" w:color="auto"/>
            <w:right w:val="none" w:sz="0" w:space="0" w:color="auto"/>
          </w:divBdr>
        </w:div>
        <w:div w:id="1934628731">
          <w:marLeft w:val="0"/>
          <w:marRight w:val="0"/>
          <w:marTop w:val="0"/>
          <w:marBottom w:val="0"/>
          <w:divBdr>
            <w:top w:val="none" w:sz="0" w:space="0" w:color="auto"/>
            <w:left w:val="none" w:sz="0" w:space="0" w:color="auto"/>
            <w:bottom w:val="none" w:sz="0" w:space="0" w:color="auto"/>
            <w:right w:val="none" w:sz="0" w:space="0" w:color="auto"/>
          </w:divBdr>
        </w:div>
        <w:div w:id="1984657342">
          <w:marLeft w:val="0"/>
          <w:marRight w:val="0"/>
          <w:marTop w:val="0"/>
          <w:marBottom w:val="0"/>
          <w:divBdr>
            <w:top w:val="none" w:sz="0" w:space="0" w:color="auto"/>
            <w:left w:val="none" w:sz="0" w:space="0" w:color="auto"/>
            <w:bottom w:val="none" w:sz="0" w:space="0" w:color="auto"/>
            <w:right w:val="none" w:sz="0" w:space="0" w:color="auto"/>
          </w:divBdr>
        </w:div>
        <w:div w:id="1985768882">
          <w:marLeft w:val="0"/>
          <w:marRight w:val="0"/>
          <w:marTop w:val="0"/>
          <w:marBottom w:val="0"/>
          <w:divBdr>
            <w:top w:val="none" w:sz="0" w:space="0" w:color="auto"/>
            <w:left w:val="none" w:sz="0" w:space="0" w:color="auto"/>
            <w:bottom w:val="none" w:sz="0" w:space="0" w:color="auto"/>
            <w:right w:val="none" w:sz="0" w:space="0" w:color="auto"/>
          </w:divBdr>
        </w:div>
      </w:divsChild>
    </w:div>
    <w:div w:id="31227035">
      <w:bodyDiv w:val="1"/>
      <w:marLeft w:val="0"/>
      <w:marRight w:val="0"/>
      <w:marTop w:val="0"/>
      <w:marBottom w:val="0"/>
      <w:divBdr>
        <w:top w:val="none" w:sz="0" w:space="0" w:color="auto"/>
        <w:left w:val="none" w:sz="0" w:space="0" w:color="auto"/>
        <w:bottom w:val="none" w:sz="0" w:space="0" w:color="auto"/>
        <w:right w:val="none" w:sz="0" w:space="0" w:color="auto"/>
      </w:divBdr>
    </w:div>
    <w:div w:id="35351523">
      <w:bodyDiv w:val="1"/>
      <w:marLeft w:val="0"/>
      <w:marRight w:val="0"/>
      <w:marTop w:val="0"/>
      <w:marBottom w:val="0"/>
      <w:divBdr>
        <w:top w:val="none" w:sz="0" w:space="0" w:color="auto"/>
        <w:left w:val="none" w:sz="0" w:space="0" w:color="auto"/>
        <w:bottom w:val="none" w:sz="0" w:space="0" w:color="auto"/>
        <w:right w:val="none" w:sz="0" w:space="0" w:color="auto"/>
      </w:divBdr>
      <w:divsChild>
        <w:div w:id="1690594989">
          <w:marLeft w:val="0"/>
          <w:marRight w:val="0"/>
          <w:marTop w:val="0"/>
          <w:marBottom w:val="0"/>
          <w:divBdr>
            <w:top w:val="none" w:sz="0" w:space="0" w:color="auto"/>
            <w:left w:val="none" w:sz="0" w:space="0" w:color="auto"/>
            <w:bottom w:val="none" w:sz="0" w:space="0" w:color="auto"/>
            <w:right w:val="none" w:sz="0" w:space="0" w:color="auto"/>
          </w:divBdr>
        </w:div>
        <w:div w:id="1951281501">
          <w:marLeft w:val="0"/>
          <w:marRight w:val="0"/>
          <w:marTop w:val="0"/>
          <w:marBottom w:val="0"/>
          <w:divBdr>
            <w:top w:val="none" w:sz="0" w:space="0" w:color="auto"/>
            <w:left w:val="none" w:sz="0" w:space="0" w:color="auto"/>
            <w:bottom w:val="none" w:sz="0" w:space="0" w:color="auto"/>
            <w:right w:val="none" w:sz="0" w:space="0" w:color="auto"/>
          </w:divBdr>
          <w:divsChild>
            <w:div w:id="225848523">
              <w:marLeft w:val="0"/>
              <w:marRight w:val="0"/>
              <w:marTop w:val="0"/>
              <w:marBottom w:val="0"/>
              <w:divBdr>
                <w:top w:val="none" w:sz="0" w:space="0" w:color="auto"/>
                <w:left w:val="none" w:sz="0" w:space="0" w:color="auto"/>
                <w:bottom w:val="none" w:sz="0" w:space="0" w:color="auto"/>
                <w:right w:val="none" w:sz="0" w:space="0" w:color="auto"/>
              </w:divBdr>
            </w:div>
            <w:div w:id="6986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7162">
      <w:bodyDiv w:val="1"/>
      <w:marLeft w:val="0"/>
      <w:marRight w:val="0"/>
      <w:marTop w:val="0"/>
      <w:marBottom w:val="0"/>
      <w:divBdr>
        <w:top w:val="none" w:sz="0" w:space="0" w:color="auto"/>
        <w:left w:val="none" w:sz="0" w:space="0" w:color="auto"/>
        <w:bottom w:val="none" w:sz="0" w:space="0" w:color="auto"/>
        <w:right w:val="none" w:sz="0" w:space="0" w:color="auto"/>
      </w:divBdr>
    </w:div>
    <w:div w:id="77942620">
      <w:bodyDiv w:val="1"/>
      <w:marLeft w:val="0"/>
      <w:marRight w:val="0"/>
      <w:marTop w:val="0"/>
      <w:marBottom w:val="0"/>
      <w:divBdr>
        <w:top w:val="none" w:sz="0" w:space="0" w:color="auto"/>
        <w:left w:val="none" w:sz="0" w:space="0" w:color="auto"/>
        <w:bottom w:val="none" w:sz="0" w:space="0" w:color="auto"/>
        <w:right w:val="none" w:sz="0" w:space="0" w:color="auto"/>
      </w:divBdr>
      <w:divsChild>
        <w:div w:id="1506936455">
          <w:marLeft w:val="0"/>
          <w:marRight w:val="0"/>
          <w:marTop w:val="0"/>
          <w:marBottom w:val="0"/>
          <w:divBdr>
            <w:top w:val="none" w:sz="0" w:space="0" w:color="auto"/>
            <w:left w:val="none" w:sz="0" w:space="0" w:color="auto"/>
            <w:bottom w:val="none" w:sz="0" w:space="0" w:color="auto"/>
            <w:right w:val="none" w:sz="0" w:space="0" w:color="auto"/>
          </w:divBdr>
        </w:div>
        <w:div w:id="1875920397">
          <w:marLeft w:val="0"/>
          <w:marRight w:val="0"/>
          <w:marTop w:val="0"/>
          <w:marBottom w:val="0"/>
          <w:divBdr>
            <w:top w:val="none" w:sz="0" w:space="0" w:color="auto"/>
            <w:left w:val="none" w:sz="0" w:space="0" w:color="auto"/>
            <w:bottom w:val="none" w:sz="0" w:space="0" w:color="auto"/>
            <w:right w:val="none" w:sz="0" w:space="0" w:color="auto"/>
          </w:divBdr>
        </w:div>
      </w:divsChild>
    </w:div>
    <w:div w:id="85881931">
      <w:bodyDiv w:val="1"/>
      <w:marLeft w:val="0"/>
      <w:marRight w:val="0"/>
      <w:marTop w:val="0"/>
      <w:marBottom w:val="0"/>
      <w:divBdr>
        <w:top w:val="none" w:sz="0" w:space="0" w:color="auto"/>
        <w:left w:val="none" w:sz="0" w:space="0" w:color="auto"/>
        <w:bottom w:val="none" w:sz="0" w:space="0" w:color="auto"/>
        <w:right w:val="none" w:sz="0" w:space="0" w:color="auto"/>
      </w:divBdr>
      <w:divsChild>
        <w:div w:id="1686446086">
          <w:marLeft w:val="0"/>
          <w:marRight w:val="0"/>
          <w:marTop w:val="0"/>
          <w:marBottom w:val="0"/>
          <w:divBdr>
            <w:top w:val="none" w:sz="0" w:space="0" w:color="auto"/>
            <w:left w:val="none" w:sz="0" w:space="0" w:color="auto"/>
            <w:bottom w:val="none" w:sz="0" w:space="0" w:color="auto"/>
            <w:right w:val="none" w:sz="0" w:space="0" w:color="auto"/>
          </w:divBdr>
        </w:div>
      </w:divsChild>
    </w:div>
    <w:div w:id="123425857">
      <w:bodyDiv w:val="1"/>
      <w:marLeft w:val="0"/>
      <w:marRight w:val="0"/>
      <w:marTop w:val="0"/>
      <w:marBottom w:val="0"/>
      <w:divBdr>
        <w:top w:val="none" w:sz="0" w:space="0" w:color="auto"/>
        <w:left w:val="none" w:sz="0" w:space="0" w:color="auto"/>
        <w:bottom w:val="none" w:sz="0" w:space="0" w:color="auto"/>
        <w:right w:val="none" w:sz="0" w:space="0" w:color="auto"/>
      </w:divBdr>
      <w:divsChild>
        <w:div w:id="1404254615">
          <w:marLeft w:val="0"/>
          <w:marRight w:val="0"/>
          <w:marTop w:val="0"/>
          <w:marBottom w:val="0"/>
          <w:divBdr>
            <w:top w:val="none" w:sz="0" w:space="0" w:color="auto"/>
            <w:left w:val="none" w:sz="0" w:space="0" w:color="auto"/>
            <w:bottom w:val="none" w:sz="0" w:space="0" w:color="auto"/>
            <w:right w:val="none" w:sz="0" w:space="0" w:color="auto"/>
          </w:divBdr>
        </w:div>
        <w:div w:id="1764257006">
          <w:marLeft w:val="0"/>
          <w:marRight w:val="0"/>
          <w:marTop w:val="0"/>
          <w:marBottom w:val="0"/>
          <w:divBdr>
            <w:top w:val="none" w:sz="0" w:space="0" w:color="auto"/>
            <w:left w:val="none" w:sz="0" w:space="0" w:color="auto"/>
            <w:bottom w:val="none" w:sz="0" w:space="0" w:color="auto"/>
            <w:right w:val="none" w:sz="0" w:space="0" w:color="auto"/>
          </w:divBdr>
        </w:div>
      </w:divsChild>
    </w:div>
    <w:div w:id="123888468">
      <w:bodyDiv w:val="1"/>
      <w:marLeft w:val="0"/>
      <w:marRight w:val="0"/>
      <w:marTop w:val="0"/>
      <w:marBottom w:val="0"/>
      <w:divBdr>
        <w:top w:val="none" w:sz="0" w:space="0" w:color="auto"/>
        <w:left w:val="none" w:sz="0" w:space="0" w:color="auto"/>
        <w:bottom w:val="none" w:sz="0" w:space="0" w:color="auto"/>
        <w:right w:val="none" w:sz="0" w:space="0" w:color="auto"/>
      </w:divBdr>
    </w:div>
    <w:div w:id="144398692">
      <w:bodyDiv w:val="1"/>
      <w:marLeft w:val="0"/>
      <w:marRight w:val="0"/>
      <w:marTop w:val="0"/>
      <w:marBottom w:val="0"/>
      <w:divBdr>
        <w:top w:val="none" w:sz="0" w:space="0" w:color="auto"/>
        <w:left w:val="none" w:sz="0" w:space="0" w:color="auto"/>
        <w:bottom w:val="none" w:sz="0" w:space="0" w:color="auto"/>
        <w:right w:val="none" w:sz="0" w:space="0" w:color="auto"/>
      </w:divBdr>
    </w:div>
    <w:div w:id="148139029">
      <w:bodyDiv w:val="1"/>
      <w:marLeft w:val="0"/>
      <w:marRight w:val="0"/>
      <w:marTop w:val="0"/>
      <w:marBottom w:val="0"/>
      <w:divBdr>
        <w:top w:val="none" w:sz="0" w:space="0" w:color="auto"/>
        <w:left w:val="none" w:sz="0" w:space="0" w:color="auto"/>
        <w:bottom w:val="none" w:sz="0" w:space="0" w:color="auto"/>
        <w:right w:val="none" w:sz="0" w:space="0" w:color="auto"/>
      </w:divBdr>
      <w:divsChild>
        <w:div w:id="139615896">
          <w:marLeft w:val="0"/>
          <w:marRight w:val="0"/>
          <w:marTop w:val="0"/>
          <w:marBottom w:val="0"/>
          <w:divBdr>
            <w:top w:val="none" w:sz="0" w:space="0" w:color="auto"/>
            <w:left w:val="none" w:sz="0" w:space="0" w:color="auto"/>
            <w:bottom w:val="none" w:sz="0" w:space="0" w:color="auto"/>
            <w:right w:val="none" w:sz="0" w:space="0" w:color="auto"/>
          </w:divBdr>
          <w:divsChild>
            <w:div w:id="9302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4686">
      <w:bodyDiv w:val="1"/>
      <w:marLeft w:val="0"/>
      <w:marRight w:val="0"/>
      <w:marTop w:val="0"/>
      <w:marBottom w:val="0"/>
      <w:divBdr>
        <w:top w:val="none" w:sz="0" w:space="0" w:color="auto"/>
        <w:left w:val="none" w:sz="0" w:space="0" w:color="auto"/>
        <w:bottom w:val="none" w:sz="0" w:space="0" w:color="auto"/>
        <w:right w:val="none" w:sz="0" w:space="0" w:color="auto"/>
      </w:divBdr>
      <w:divsChild>
        <w:div w:id="615790361">
          <w:marLeft w:val="0"/>
          <w:marRight w:val="0"/>
          <w:marTop w:val="0"/>
          <w:marBottom w:val="0"/>
          <w:divBdr>
            <w:top w:val="none" w:sz="0" w:space="0" w:color="auto"/>
            <w:left w:val="none" w:sz="0" w:space="0" w:color="auto"/>
            <w:bottom w:val="none" w:sz="0" w:space="0" w:color="auto"/>
            <w:right w:val="none" w:sz="0" w:space="0" w:color="auto"/>
          </w:divBdr>
        </w:div>
        <w:div w:id="1087464772">
          <w:marLeft w:val="0"/>
          <w:marRight w:val="0"/>
          <w:marTop w:val="0"/>
          <w:marBottom w:val="0"/>
          <w:divBdr>
            <w:top w:val="none" w:sz="0" w:space="0" w:color="auto"/>
            <w:left w:val="none" w:sz="0" w:space="0" w:color="auto"/>
            <w:bottom w:val="none" w:sz="0" w:space="0" w:color="auto"/>
            <w:right w:val="none" w:sz="0" w:space="0" w:color="auto"/>
          </w:divBdr>
        </w:div>
        <w:div w:id="1421370596">
          <w:marLeft w:val="0"/>
          <w:marRight w:val="0"/>
          <w:marTop w:val="0"/>
          <w:marBottom w:val="0"/>
          <w:divBdr>
            <w:top w:val="none" w:sz="0" w:space="0" w:color="auto"/>
            <w:left w:val="none" w:sz="0" w:space="0" w:color="auto"/>
            <w:bottom w:val="none" w:sz="0" w:space="0" w:color="auto"/>
            <w:right w:val="none" w:sz="0" w:space="0" w:color="auto"/>
          </w:divBdr>
        </w:div>
        <w:div w:id="2081367760">
          <w:marLeft w:val="0"/>
          <w:marRight w:val="0"/>
          <w:marTop w:val="0"/>
          <w:marBottom w:val="0"/>
          <w:divBdr>
            <w:top w:val="none" w:sz="0" w:space="0" w:color="auto"/>
            <w:left w:val="none" w:sz="0" w:space="0" w:color="auto"/>
            <w:bottom w:val="none" w:sz="0" w:space="0" w:color="auto"/>
            <w:right w:val="none" w:sz="0" w:space="0" w:color="auto"/>
          </w:divBdr>
        </w:div>
      </w:divsChild>
    </w:div>
    <w:div w:id="151145447">
      <w:bodyDiv w:val="1"/>
      <w:marLeft w:val="0"/>
      <w:marRight w:val="0"/>
      <w:marTop w:val="0"/>
      <w:marBottom w:val="0"/>
      <w:divBdr>
        <w:top w:val="none" w:sz="0" w:space="0" w:color="auto"/>
        <w:left w:val="none" w:sz="0" w:space="0" w:color="auto"/>
        <w:bottom w:val="none" w:sz="0" w:space="0" w:color="auto"/>
        <w:right w:val="none" w:sz="0" w:space="0" w:color="auto"/>
      </w:divBdr>
      <w:divsChild>
        <w:div w:id="1034421325">
          <w:marLeft w:val="0"/>
          <w:marRight w:val="0"/>
          <w:marTop w:val="0"/>
          <w:marBottom w:val="0"/>
          <w:divBdr>
            <w:top w:val="none" w:sz="0" w:space="0" w:color="auto"/>
            <w:left w:val="none" w:sz="0" w:space="0" w:color="auto"/>
            <w:bottom w:val="none" w:sz="0" w:space="0" w:color="auto"/>
            <w:right w:val="none" w:sz="0" w:space="0" w:color="auto"/>
          </w:divBdr>
          <w:divsChild>
            <w:div w:id="778647998">
              <w:marLeft w:val="0"/>
              <w:marRight w:val="0"/>
              <w:marTop w:val="0"/>
              <w:marBottom w:val="0"/>
              <w:divBdr>
                <w:top w:val="none" w:sz="0" w:space="0" w:color="auto"/>
                <w:left w:val="none" w:sz="0" w:space="0" w:color="auto"/>
                <w:bottom w:val="none" w:sz="0" w:space="0" w:color="auto"/>
                <w:right w:val="none" w:sz="0" w:space="0" w:color="auto"/>
              </w:divBdr>
              <w:divsChild>
                <w:div w:id="10633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00">
      <w:bodyDiv w:val="1"/>
      <w:marLeft w:val="0"/>
      <w:marRight w:val="0"/>
      <w:marTop w:val="0"/>
      <w:marBottom w:val="0"/>
      <w:divBdr>
        <w:top w:val="none" w:sz="0" w:space="0" w:color="auto"/>
        <w:left w:val="none" w:sz="0" w:space="0" w:color="auto"/>
        <w:bottom w:val="none" w:sz="0" w:space="0" w:color="auto"/>
        <w:right w:val="none" w:sz="0" w:space="0" w:color="auto"/>
      </w:divBdr>
      <w:divsChild>
        <w:div w:id="497767876">
          <w:marLeft w:val="0"/>
          <w:marRight w:val="0"/>
          <w:marTop w:val="0"/>
          <w:marBottom w:val="0"/>
          <w:divBdr>
            <w:top w:val="none" w:sz="0" w:space="0" w:color="auto"/>
            <w:left w:val="none" w:sz="0" w:space="0" w:color="auto"/>
            <w:bottom w:val="none" w:sz="0" w:space="0" w:color="auto"/>
            <w:right w:val="none" w:sz="0" w:space="0" w:color="auto"/>
          </w:divBdr>
        </w:div>
        <w:div w:id="1009909972">
          <w:marLeft w:val="0"/>
          <w:marRight w:val="0"/>
          <w:marTop w:val="0"/>
          <w:marBottom w:val="0"/>
          <w:divBdr>
            <w:top w:val="none" w:sz="0" w:space="0" w:color="auto"/>
            <w:left w:val="none" w:sz="0" w:space="0" w:color="auto"/>
            <w:bottom w:val="none" w:sz="0" w:space="0" w:color="auto"/>
            <w:right w:val="none" w:sz="0" w:space="0" w:color="auto"/>
          </w:divBdr>
        </w:div>
        <w:div w:id="1415321155">
          <w:marLeft w:val="0"/>
          <w:marRight w:val="0"/>
          <w:marTop w:val="0"/>
          <w:marBottom w:val="0"/>
          <w:divBdr>
            <w:top w:val="none" w:sz="0" w:space="0" w:color="auto"/>
            <w:left w:val="none" w:sz="0" w:space="0" w:color="auto"/>
            <w:bottom w:val="none" w:sz="0" w:space="0" w:color="auto"/>
            <w:right w:val="none" w:sz="0" w:space="0" w:color="auto"/>
          </w:divBdr>
        </w:div>
        <w:div w:id="1453942023">
          <w:marLeft w:val="0"/>
          <w:marRight w:val="0"/>
          <w:marTop w:val="0"/>
          <w:marBottom w:val="0"/>
          <w:divBdr>
            <w:top w:val="none" w:sz="0" w:space="0" w:color="auto"/>
            <w:left w:val="none" w:sz="0" w:space="0" w:color="auto"/>
            <w:bottom w:val="none" w:sz="0" w:space="0" w:color="auto"/>
            <w:right w:val="none" w:sz="0" w:space="0" w:color="auto"/>
          </w:divBdr>
        </w:div>
        <w:div w:id="1477795691">
          <w:marLeft w:val="0"/>
          <w:marRight w:val="0"/>
          <w:marTop w:val="0"/>
          <w:marBottom w:val="0"/>
          <w:divBdr>
            <w:top w:val="none" w:sz="0" w:space="0" w:color="auto"/>
            <w:left w:val="none" w:sz="0" w:space="0" w:color="auto"/>
            <w:bottom w:val="none" w:sz="0" w:space="0" w:color="auto"/>
            <w:right w:val="none" w:sz="0" w:space="0" w:color="auto"/>
          </w:divBdr>
        </w:div>
        <w:div w:id="1501434477">
          <w:marLeft w:val="0"/>
          <w:marRight w:val="0"/>
          <w:marTop w:val="0"/>
          <w:marBottom w:val="0"/>
          <w:divBdr>
            <w:top w:val="none" w:sz="0" w:space="0" w:color="auto"/>
            <w:left w:val="none" w:sz="0" w:space="0" w:color="auto"/>
            <w:bottom w:val="none" w:sz="0" w:space="0" w:color="auto"/>
            <w:right w:val="none" w:sz="0" w:space="0" w:color="auto"/>
          </w:divBdr>
        </w:div>
        <w:div w:id="1736584985">
          <w:marLeft w:val="0"/>
          <w:marRight w:val="0"/>
          <w:marTop w:val="0"/>
          <w:marBottom w:val="0"/>
          <w:divBdr>
            <w:top w:val="none" w:sz="0" w:space="0" w:color="auto"/>
            <w:left w:val="none" w:sz="0" w:space="0" w:color="auto"/>
            <w:bottom w:val="none" w:sz="0" w:space="0" w:color="auto"/>
            <w:right w:val="none" w:sz="0" w:space="0" w:color="auto"/>
          </w:divBdr>
        </w:div>
        <w:div w:id="1863976203">
          <w:marLeft w:val="0"/>
          <w:marRight w:val="0"/>
          <w:marTop w:val="0"/>
          <w:marBottom w:val="0"/>
          <w:divBdr>
            <w:top w:val="none" w:sz="0" w:space="0" w:color="auto"/>
            <w:left w:val="none" w:sz="0" w:space="0" w:color="auto"/>
            <w:bottom w:val="none" w:sz="0" w:space="0" w:color="auto"/>
            <w:right w:val="none" w:sz="0" w:space="0" w:color="auto"/>
          </w:divBdr>
        </w:div>
        <w:div w:id="2126725984">
          <w:marLeft w:val="0"/>
          <w:marRight w:val="0"/>
          <w:marTop w:val="0"/>
          <w:marBottom w:val="0"/>
          <w:divBdr>
            <w:top w:val="none" w:sz="0" w:space="0" w:color="auto"/>
            <w:left w:val="none" w:sz="0" w:space="0" w:color="auto"/>
            <w:bottom w:val="none" w:sz="0" w:space="0" w:color="auto"/>
            <w:right w:val="none" w:sz="0" w:space="0" w:color="auto"/>
          </w:divBdr>
        </w:div>
        <w:div w:id="2141457221">
          <w:marLeft w:val="0"/>
          <w:marRight w:val="0"/>
          <w:marTop w:val="0"/>
          <w:marBottom w:val="0"/>
          <w:divBdr>
            <w:top w:val="none" w:sz="0" w:space="0" w:color="auto"/>
            <w:left w:val="none" w:sz="0" w:space="0" w:color="auto"/>
            <w:bottom w:val="none" w:sz="0" w:space="0" w:color="auto"/>
            <w:right w:val="none" w:sz="0" w:space="0" w:color="auto"/>
          </w:divBdr>
        </w:div>
      </w:divsChild>
    </w:div>
    <w:div w:id="188300695">
      <w:bodyDiv w:val="1"/>
      <w:marLeft w:val="0"/>
      <w:marRight w:val="0"/>
      <w:marTop w:val="0"/>
      <w:marBottom w:val="0"/>
      <w:divBdr>
        <w:top w:val="none" w:sz="0" w:space="0" w:color="auto"/>
        <w:left w:val="none" w:sz="0" w:space="0" w:color="auto"/>
        <w:bottom w:val="none" w:sz="0" w:space="0" w:color="auto"/>
        <w:right w:val="none" w:sz="0" w:space="0" w:color="auto"/>
      </w:divBdr>
    </w:div>
    <w:div w:id="216742294">
      <w:bodyDiv w:val="1"/>
      <w:marLeft w:val="0"/>
      <w:marRight w:val="0"/>
      <w:marTop w:val="0"/>
      <w:marBottom w:val="0"/>
      <w:divBdr>
        <w:top w:val="none" w:sz="0" w:space="0" w:color="auto"/>
        <w:left w:val="none" w:sz="0" w:space="0" w:color="auto"/>
        <w:bottom w:val="none" w:sz="0" w:space="0" w:color="auto"/>
        <w:right w:val="none" w:sz="0" w:space="0" w:color="auto"/>
      </w:divBdr>
      <w:divsChild>
        <w:div w:id="1543010256">
          <w:marLeft w:val="0"/>
          <w:marRight w:val="0"/>
          <w:marTop w:val="0"/>
          <w:marBottom w:val="0"/>
          <w:divBdr>
            <w:top w:val="none" w:sz="0" w:space="0" w:color="auto"/>
            <w:left w:val="none" w:sz="0" w:space="0" w:color="auto"/>
            <w:bottom w:val="none" w:sz="0" w:space="0" w:color="auto"/>
            <w:right w:val="none" w:sz="0" w:space="0" w:color="auto"/>
          </w:divBdr>
          <w:divsChild>
            <w:div w:id="145245437">
              <w:marLeft w:val="0"/>
              <w:marRight w:val="0"/>
              <w:marTop w:val="0"/>
              <w:marBottom w:val="0"/>
              <w:divBdr>
                <w:top w:val="none" w:sz="0" w:space="0" w:color="auto"/>
                <w:left w:val="none" w:sz="0" w:space="0" w:color="auto"/>
                <w:bottom w:val="none" w:sz="0" w:space="0" w:color="auto"/>
                <w:right w:val="none" w:sz="0" w:space="0" w:color="auto"/>
              </w:divBdr>
            </w:div>
            <w:div w:id="230309044">
              <w:marLeft w:val="0"/>
              <w:marRight w:val="0"/>
              <w:marTop w:val="0"/>
              <w:marBottom w:val="0"/>
              <w:divBdr>
                <w:top w:val="none" w:sz="0" w:space="0" w:color="auto"/>
                <w:left w:val="none" w:sz="0" w:space="0" w:color="auto"/>
                <w:bottom w:val="none" w:sz="0" w:space="0" w:color="auto"/>
                <w:right w:val="none" w:sz="0" w:space="0" w:color="auto"/>
              </w:divBdr>
            </w:div>
            <w:div w:id="508952784">
              <w:marLeft w:val="0"/>
              <w:marRight w:val="0"/>
              <w:marTop w:val="0"/>
              <w:marBottom w:val="0"/>
              <w:divBdr>
                <w:top w:val="none" w:sz="0" w:space="0" w:color="auto"/>
                <w:left w:val="none" w:sz="0" w:space="0" w:color="auto"/>
                <w:bottom w:val="none" w:sz="0" w:space="0" w:color="auto"/>
                <w:right w:val="none" w:sz="0" w:space="0" w:color="auto"/>
              </w:divBdr>
            </w:div>
            <w:div w:id="699941605">
              <w:marLeft w:val="0"/>
              <w:marRight w:val="0"/>
              <w:marTop w:val="0"/>
              <w:marBottom w:val="0"/>
              <w:divBdr>
                <w:top w:val="none" w:sz="0" w:space="0" w:color="auto"/>
                <w:left w:val="none" w:sz="0" w:space="0" w:color="auto"/>
                <w:bottom w:val="none" w:sz="0" w:space="0" w:color="auto"/>
                <w:right w:val="none" w:sz="0" w:space="0" w:color="auto"/>
              </w:divBdr>
            </w:div>
            <w:div w:id="791946748">
              <w:marLeft w:val="0"/>
              <w:marRight w:val="0"/>
              <w:marTop w:val="0"/>
              <w:marBottom w:val="0"/>
              <w:divBdr>
                <w:top w:val="none" w:sz="0" w:space="0" w:color="auto"/>
                <w:left w:val="none" w:sz="0" w:space="0" w:color="auto"/>
                <w:bottom w:val="none" w:sz="0" w:space="0" w:color="auto"/>
                <w:right w:val="none" w:sz="0" w:space="0" w:color="auto"/>
              </w:divBdr>
            </w:div>
            <w:div w:id="810908007">
              <w:marLeft w:val="0"/>
              <w:marRight w:val="0"/>
              <w:marTop w:val="0"/>
              <w:marBottom w:val="0"/>
              <w:divBdr>
                <w:top w:val="none" w:sz="0" w:space="0" w:color="auto"/>
                <w:left w:val="none" w:sz="0" w:space="0" w:color="auto"/>
                <w:bottom w:val="none" w:sz="0" w:space="0" w:color="auto"/>
                <w:right w:val="none" w:sz="0" w:space="0" w:color="auto"/>
              </w:divBdr>
            </w:div>
            <w:div w:id="853420721">
              <w:marLeft w:val="0"/>
              <w:marRight w:val="0"/>
              <w:marTop w:val="0"/>
              <w:marBottom w:val="0"/>
              <w:divBdr>
                <w:top w:val="none" w:sz="0" w:space="0" w:color="auto"/>
                <w:left w:val="none" w:sz="0" w:space="0" w:color="auto"/>
                <w:bottom w:val="none" w:sz="0" w:space="0" w:color="auto"/>
                <w:right w:val="none" w:sz="0" w:space="0" w:color="auto"/>
              </w:divBdr>
            </w:div>
            <w:div w:id="1296643384">
              <w:marLeft w:val="0"/>
              <w:marRight w:val="0"/>
              <w:marTop w:val="0"/>
              <w:marBottom w:val="0"/>
              <w:divBdr>
                <w:top w:val="none" w:sz="0" w:space="0" w:color="auto"/>
                <w:left w:val="none" w:sz="0" w:space="0" w:color="auto"/>
                <w:bottom w:val="none" w:sz="0" w:space="0" w:color="auto"/>
                <w:right w:val="none" w:sz="0" w:space="0" w:color="auto"/>
              </w:divBdr>
            </w:div>
            <w:div w:id="1381130509">
              <w:marLeft w:val="0"/>
              <w:marRight w:val="0"/>
              <w:marTop w:val="0"/>
              <w:marBottom w:val="0"/>
              <w:divBdr>
                <w:top w:val="none" w:sz="0" w:space="0" w:color="auto"/>
                <w:left w:val="none" w:sz="0" w:space="0" w:color="auto"/>
                <w:bottom w:val="none" w:sz="0" w:space="0" w:color="auto"/>
                <w:right w:val="none" w:sz="0" w:space="0" w:color="auto"/>
              </w:divBdr>
            </w:div>
            <w:div w:id="1400590002">
              <w:marLeft w:val="0"/>
              <w:marRight w:val="0"/>
              <w:marTop w:val="0"/>
              <w:marBottom w:val="0"/>
              <w:divBdr>
                <w:top w:val="none" w:sz="0" w:space="0" w:color="auto"/>
                <w:left w:val="none" w:sz="0" w:space="0" w:color="auto"/>
                <w:bottom w:val="none" w:sz="0" w:space="0" w:color="auto"/>
                <w:right w:val="none" w:sz="0" w:space="0" w:color="auto"/>
              </w:divBdr>
            </w:div>
            <w:div w:id="1542091349">
              <w:marLeft w:val="0"/>
              <w:marRight w:val="0"/>
              <w:marTop w:val="0"/>
              <w:marBottom w:val="0"/>
              <w:divBdr>
                <w:top w:val="none" w:sz="0" w:space="0" w:color="auto"/>
                <w:left w:val="none" w:sz="0" w:space="0" w:color="auto"/>
                <w:bottom w:val="none" w:sz="0" w:space="0" w:color="auto"/>
                <w:right w:val="none" w:sz="0" w:space="0" w:color="auto"/>
              </w:divBdr>
            </w:div>
            <w:div w:id="1545218914">
              <w:marLeft w:val="0"/>
              <w:marRight w:val="0"/>
              <w:marTop w:val="0"/>
              <w:marBottom w:val="0"/>
              <w:divBdr>
                <w:top w:val="none" w:sz="0" w:space="0" w:color="auto"/>
                <w:left w:val="none" w:sz="0" w:space="0" w:color="auto"/>
                <w:bottom w:val="none" w:sz="0" w:space="0" w:color="auto"/>
                <w:right w:val="none" w:sz="0" w:space="0" w:color="auto"/>
              </w:divBdr>
            </w:div>
            <w:div w:id="1615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7802">
      <w:bodyDiv w:val="1"/>
      <w:marLeft w:val="0"/>
      <w:marRight w:val="0"/>
      <w:marTop w:val="0"/>
      <w:marBottom w:val="0"/>
      <w:divBdr>
        <w:top w:val="none" w:sz="0" w:space="0" w:color="auto"/>
        <w:left w:val="none" w:sz="0" w:space="0" w:color="auto"/>
        <w:bottom w:val="none" w:sz="0" w:space="0" w:color="auto"/>
        <w:right w:val="none" w:sz="0" w:space="0" w:color="auto"/>
      </w:divBdr>
      <w:divsChild>
        <w:div w:id="271672077">
          <w:marLeft w:val="0"/>
          <w:marRight w:val="0"/>
          <w:marTop w:val="0"/>
          <w:marBottom w:val="0"/>
          <w:divBdr>
            <w:top w:val="none" w:sz="0" w:space="0" w:color="auto"/>
            <w:left w:val="none" w:sz="0" w:space="0" w:color="auto"/>
            <w:bottom w:val="none" w:sz="0" w:space="0" w:color="auto"/>
            <w:right w:val="none" w:sz="0" w:space="0" w:color="auto"/>
          </w:divBdr>
          <w:divsChild>
            <w:div w:id="16175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40583">
      <w:bodyDiv w:val="1"/>
      <w:marLeft w:val="0"/>
      <w:marRight w:val="0"/>
      <w:marTop w:val="0"/>
      <w:marBottom w:val="0"/>
      <w:divBdr>
        <w:top w:val="none" w:sz="0" w:space="0" w:color="auto"/>
        <w:left w:val="none" w:sz="0" w:space="0" w:color="auto"/>
        <w:bottom w:val="none" w:sz="0" w:space="0" w:color="auto"/>
        <w:right w:val="none" w:sz="0" w:space="0" w:color="auto"/>
      </w:divBdr>
    </w:div>
    <w:div w:id="290019173">
      <w:bodyDiv w:val="1"/>
      <w:marLeft w:val="0"/>
      <w:marRight w:val="0"/>
      <w:marTop w:val="0"/>
      <w:marBottom w:val="0"/>
      <w:divBdr>
        <w:top w:val="none" w:sz="0" w:space="0" w:color="auto"/>
        <w:left w:val="none" w:sz="0" w:space="0" w:color="auto"/>
        <w:bottom w:val="none" w:sz="0" w:space="0" w:color="auto"/>
        <w:right w:val="none" w:sz="0" w:space="0" w:color="auto"/>
      </w:divBdr>
      <w:divsChild>
        <w:div w:id="1533109526">
          <w:marLeft w:val="0"/>
          <w:marRight w:val="0"/>
          <w:marTop w:val="0"/>
          <w:marBottom w:val="0"/>
          <w:divBdr>
            <w:top w:val="none" w:sz="0" w:space="0" w:color="auto"/>
            <w:left w:val="none" w:sz="0" w:space="0" w:color="auto"/>
            <w:bottom w:val="none" w:sz="0" w:space="0" w:color="auto"/>
            <w:right w:val="none" w:sz="0" w:space="0" w:color="auto"/>
          </w:divBdr>
        </w:div>
      </w:divsChild>
    </w:div>
    <w:div w:id="307059323">
      <w:bodyDiv w:val="1"/>
      <w:marLeft w:val="0"/>
      <w:marRight w:val="0"/>
      <w:marTop w:val="0"/>
      <w:marBottom w:val="0"/>
      <w:divBdr>
        <w:top w:val="none" w:sz="0" w:space="0" w:color="auto"/>
        <w:left w:val="none" w:sz="0" w:space="0" w:color="auto"/>
        <w:bottom w:val="none" w:sz="0" w:space="0" w:color="auto"/>
        <w:right w:val="none" w:sz="0" w:space="0" w:color="auto"/>
      </w:divBdr>
      <w:divsChild>
        <w:div w:id="591470115">
          <w:marLeft w:val="0"/>
          <w:marRight w:val="0"/>
          <w:marTop w:val="0"/>
          <w:marBottom w:val="0"/>
          <w:divBdr>
            <w:top w:val="none" w:sz="0" w:space="0" w:color="auto"/>
            <w:left w:val="none" w:sz="0" w:space="0" w:color="auto"/>
            <w:bottom w:val="none" w:sz="0" w:space="0" w:color="auto"/>
            <w:right w:val="none" w:sz="0" w:space="0" w:color="auto"/>
          </w:divBdr>
        </w:div>
        <w:div w:id="1049066158">
          <w:marLeft w:val="0"/>
          <w:marRight w:val="0"/>
          <w:marTop w:val="0"/>
          <w:marBottom w:val="0"/>
          <w:divBdr>
            <w:top w:val="none" w:sz="0" w:space="0" w:color="auto"/>
            <w:left w:val="none" w:sz="0" w:space="0" w:color="auto"/>
            <w:bottom w:val="none" w:sz="0" w:space="0" w:color="auto"/>
            <w:right w:val="none" w:sz="0" w:space="0" w:color="auto"/>
          </w:divBdr>
        </w:div>
        <w:div w:id="1218855195">
          <w:marLeft w:val="0"/>
          <w:marRight w:val="0"/>
          <w:marTop w:val="0"/>
          <w:marBottom w:val="0"/>
          <w:divBdr>
            <w:top w:val="none" w:sz="0" w:space="0" w:color="auto"/>
            <w:left w:val="none" w:sz="0" w:space="0" w:color="auto"/>
            <w:bottom w:val="none" w:sz="0" w:space="0" w:color="auto"/>
            <w:right w:val="none" w:sz="0" w:space="0" w:color="auto"/>
          </w:divBdr>
        </w:div>
      </w:divsChild>
    </w:div>
    <w:div w:id="316039533">
      <w:bodyDiv w:val="1"/>
      <w:marLeft w:val="0"/>
      <w:marRight w:val="0"/>
      <w:marTop w:val="0"/>
      <w:marBottom w:val="0"/>
      <w:divBdr>
        <w:top w:val="none" w:sz="0" w:space="0" w:color="auto"/>
        <w:left w:val="none" w:sz="0" w:space="0" w:color="auto"/>
        <w:bottom w:val="none" w:sz="0" w:space="0" w:color="auto"/>
        <w:right w:val="none" w:sz="0" w:space="0" w:color="auto"/>
      </w:divBdr>
    </w:div>
    <w:div w:id="332295935">
      <w:bodyDiv w:val="1"/>
      <w:marLeft w:val="0"/>
      <w:marRight w:val="0"/>
      <w:marTop w:val="0"/>
      <w:marBottom w:val="0"/>
      <w:divBdr>
        <w:top w:val="none" w:sz="0" w:space="0" w:color="auto"/>
        <w:left w:val="none" w:sz="0" w:space="0" w:color="auto"/>
        <w:bottom w:val="none" w:sz="0" w:space="0" w:color="auto"/>
        <w:right w:val="none" w:sz="0" w:space="0" w:color="auto"/>
      </w:divBdr>
      <w:divsChild>
        <w:div w:id="1229807977">
          <w:marLeft w:val="0"/>
          <w:marRight w:val="0"/>
          <w:marTop w:val="0"/>
          <w:marBottom w:val="0"/>
          <w:divBdr>
            <w:top w:val="none" w:sz="0" w:space="0" w:color="auto"/>
            <w:left w:val="none" w:sz="0" w:space="0" w:color="auto"/>
            <w:bottom w:val="none" w:sz="0" w:space="0" w:color="auto"/>
            <w:right w:val="none" w:sz="0" w:space="0" w:color="auto"/>
          </w:divBdr>
          <w:divsChild>
            <w:div w:id="1581139908">
              <w:marLeft w:val="0"/>
              <w:marRight w:val="0"/>
              <w:marTop w:val="0"/>
              <w:marBottom w:val="0"/>
              <w:divBdr>
                <w:top w:val="none" w:sz="0" w:space="0" w:color="auto"/>
                <w:left w:val="none" w:sz="0" w:space="0" w:color="auto"/>
                <w:bottom w:val="none" w:sz="0" w:space="0" w:color="auto"/>
                <w:right w:val="none" w:sz="0" w:space="0" w:color="auto"/>
              </w:divBdr>
              <w:divsChild>
                <w:div w:id="185599839">
                  <w:marLeft w:val="0"/>
                  <w:marRight w:val="0"/>
                  <w:marTop w:val="0"/>
                  <w:marBottom w:val="0"/>
                  <w:divBdr>
                    <w:top w:val="none" w:sz="0" w:space="0" w:color="auto"/>
                    <w:left w:val="none" w:sz="0" w:space="0" w:color="auto"/>
                    <w:bottom w:val="none" w:sz="0" w:space="0" w:color="auto"/>
                    <w:right w:val="none" w:sz="0" w:space="0" w:color="auto"/>
                  </w:divBdr>
                  <w:divsChild>
                    <w:div w:id="2713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189536">
      <w:bodyDiv w:val="1"/>
      <w:marLeft w:val="0"/>
      <w:marRight w:val="0"/>
      <w:marTop w:val="0"/>
      <w:marBottom w:val="0"/>
      <w:divBdr>
        <w:top w:val="none" w:sz="0" w:space="0" w:color="auto"/>
        <w:left w:val="none" w:sz="0" w:space="0" w:color="auto"/>
        <w:bottom w:val="none" w:sz="0" w:space="0" w:color="auto"/>
        <w:right w:val="none" w:sz="0" w:space="0" w:color="auto"/>
      </w:divBdr>
    </w:div>
    <w:div w:id="465927012">
      <w:bodyDiv w:val="1"/>
      <w:marLeft w:val="0"/>
      <w:marRight w:val="0"/>
      <w:marTop w:val="0"/>
      <w:marBottom w:val="0"/>
      <w:divBdr>
        <w:top w:val="none" w:sz="0" w:space="0" w:color="auto"/>
        <w:left w:val="none" w:sz="0" w:space="0" w:color="auto"/>
        <w:bottom w:val="none" w:sz="0" w:space="0" w:color="auto"/>
        <w:right w:val="none" w:sz="0" w:space="0" w:color="auto"/>
      </w:divBdr>
      <w:divsChild>
        <w:div w:id="1134757212">
          <w:marLeft w:val="0"/>
          <w:marRight w:val="0"/>
          <w:marTop w:val="0"/>
          <w:marBottom w:val="0"/>
          <w:divBdr>
            <w:top w:val="none" w:sz="0" w:space="0" w:color="auto"/>
            <w:left w:val="none" w:sz="0" w:space="0" w:color="auto"/>
            <w:bottom w:val="none" w:sz="0" w:space="0" w:color="auto"/>
            <w:right w:val="none" w:sz="0" w:space="0" w:color="auto"/>
          </w:divBdr>
          <w:divsChild>
            <w:div w:id="1156533659">
              <w:marLeft w:val="0"/>
              <w:marRight w:val="0"/>
              <w:marTop w:val="0"/>
              <w:marBottom w:val="0"/>
              <w:divBdr>
                <w:top w:val="none" w:sz="0" w:space="0" w:color="auto"/>
                <w:left w:val="none" w:sz="0" w:space="0" w:color="auto"/>
                <w:bottom w:val="none" w:sz="0" w:space="0" w:color="auto"/>
                <w:right w:val="none" w:sz="0" w:space="0" w:color="auto"/>
              </w:divBdr>
            </w:div>
          </w:divsChild>
        </w:div>
        <w:div w:id="1785077329">
          <w:marLeft w:val="0"/>
          <w:marRight w:val="0"/>
          <w:marTop w:val="0"/>
          <w:marBottom w:val="0"/>
          <w:divBdr>
            <w:top w:val="none" w:sz="0" w:space="0" w:color="auto"/>
            <w:left w:val="none" w:sz="0" w:space="0" w:color="auto"/>
            <w:bottom w:val="none" w:sz="0" w:space="0" w:color="auto"/>
            <w:right w:val="none" w:sz="0" w:space="0" w:color="auto"/>
          </w:divBdr>
          <w:divsChild>
            <w:div w:id="901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4849">
      <w:bodyDiv w:val="1"/>
      <w:marLeft w:val="0"/>
      <w:marRight w:val="0"/>
      <w:marTop w:val="0"/>
      <w:marBottom w:val="0"/>
      <w:divBdr>
        <w:top w:val="none" w:sz="0" w:space="0" w:color="auto"/>
        <w:left w:val="none" w:sz="0" w:space="0" w:color="auto"/>
        <w:bottom w:val="none" w:sz="0" w:space="0" w:color="auto"/>
        <w:right w:val="none" w:sz="0" w:space="0" w:color="auto"/>
      </w:divBdr>
    </w:div>
    <w:div w:id="496043382">
      <w:bodyDiv w:val="1"/>
      <w:marLeft w:val="0"/>
      <w:marRight w:val="0"/>
      <w:marTop w:val="0"/>
      <w:marBottom w:val="0"/>
      <w:divBdr>
        <w:top w:val="none" w:sz="0" w:space="0" w:color="auto"/>
        <w:left w:val="none" w:sz="0" w:space="0" w:color="auto"/>
        <w:bottom w:val="none" w:sz="0" w:space="0" w:color="auto"/>
        <w:right w:val="none" w:sz="0" w:space="0" w:color="auto"/>
      </w:divBdr>
    </w:div>
    <w:div w:id="502284270">
      <w:bodyDiv w:val="1"/>
      <w:marLeft w:val="0"/>
      <w:marRight w:val="0"/>
      <w:marTop w:val="0"/>
      <w:marBottom w:val="0"/>
      <w:divBdr>
        <w:top w:val="none" w:sz="0" w:space="0" w:color="auto"/>
        <w:left w:val="none" w:sz="0" w:space="0" w:color="auto"/>
        <w:bottom w:val="none" w:sz="0" w:space="0" w:color="auto"/>
        <w:right w:val="none" w:sz="0" w:space="0" w:color="auto"/>
      </w:divBdr>
      <w:divsChild>
        <w:div w:id="192814923">
          <w:marLeft w:val="0"/>
          <w:marRight w:val="0"/>
          <w:marTop w:val="0"/>
          <w:marBottom w:val="0"/>
          <w:divBdr>
            <w:top w:val="none" w:sz="0" w:space="0" w:color="auto"/>
            <w:left w:val="none" w:sz="0" w:space="0" w:color="auto"/>
            <w:bottom w:val="none" w:sz="0" w:space="0" w:color="auto"/>
            <w:right w:val="none" w:sz="0" w:space="0" w:color="auto"/>
          </w:divBdr>
          <w:divsChild>
            <w:div w:id="233510136">
              <w:marLeft w:val="0"/>
              <w:marRight w:val="0"/>
              <w:marTop w:val="0"/>
              <w:marBottom w:val="0"/>
              <w:divBdr>
                <w:top w:val="none" w:sz="0" w:space="0" w:color="auto"/>
                <w:left w:val="none" w:sz="0" w:space="0" w:color="auto"/>
                <w:bottom w:val="none" w:sz="0" w:space="0" w:color="auto"/>
                <w:right w:val="none" w:sz="0" w:space="0" w:color="auto"/>
              </w:divBdr>
              <w:divsChild>
                <w:div w:id="13643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1179">
      <w:bodyDiv w:val="1"/>
      <w:marLeft w:val="0"/>
      <w:marRight w:val="0"/>
      <w:marTop w:val="0"/>
      <w:marBottom w:val="0"/>
      <w:divBdr>
        <w:top w:val="none" w:sz="0" w:space="0" w:color="auto"/>
        <w:left w:val="none" w:sz="0" w:space="0" w:color="auto"/>
        <w:bottom w:val="none" w:sz="0" w:space="0" w:color="auto"/>
        <w:right w:val="none" w:sz="0" w:space="0" w:color="auto"/>
      </w:divBdr>
      <w:divsChild>
        <w:div w:id="1880702627">
          <w:marLeft w:val="0"/>
          <w:marRight w:val="0"/>
          <w:marTop w:val="0"/>
          <w:marBottom w:val="0"/>
          <w:divBdr>
            <w:top w:val="none" w:sz="0" w:space="0" w:color="auto"/>
            <w:left w:val="none" w:sz="0" w:space="0" w:color="auto"/>
            <w:bottom w:val="none" w:sz="0" w:space="0" w:color="auto"/>
            <w:right w:val="none" w:sz="0" w:space="0" w:color="auto"/>
          </w:divBdr>
          <w:divsChild>
            <w:div w:id="1237980638">
              <w:marLeft w:val="0"/>
              <w:marRight w:val="0"/>
              <w:marTop w:val="0"/>
              <w:marBottom w:val="0"/>
              <w:divBdr>
                <w:top w:val="none" w:sz="0" w:space="0" w:color="auto"/>
                <w:left w:val="none" w:sz="0" w:space="0" w:color="auto"/>
                <w:bottom w:val="none" w:sz="0" w:space="0" w:color="auto"/>
                <w:right w:val="none" w:sz="0" w:space="0" w:color="auto"/>
              </w:divBdr>
              <w:divsChild>
                <w:div w:id="19445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0895">
      <w:bodyDiv w:val="1"/>
      <w:marLeft w:val="0"/>
      <w:marRight w:val="0"/>
      <w:marTop w:val="0"/>
      <w:marBottom w:val="0"/>
      <w:divBdr>
        <w:top w:val="none" w:sz="0" w:space="0" w:color="auto"/>
        <w:left w:val="none" w:sz="0" w:space="0" w:color="auto"/>
        <w:bottom w:val="none" w:sz="0" w:space="0" w:color="auto"/>
        <w:right w:val="none" w:sz="0" w:space="0" w:color="auto"/>
      </w:divBdr>
    </w:div>
    <w:div w:id="607739047">
      <w:bodyDiv w:val="1"/>
      <w:marLeft w:val="0"/>
      <w:marRight w:val="0"/>
      <w:marTop w:val="0"/>
      <w:marBottom w:val="0"/>
      <w:divBdr>
        <w:top w:val="none" w:sz="0" w:space="0" w:color="auto"/>
        <w:left w:val="none" w:sz="0" w:space="0" w:color="auto"/>
        <w:bottom w:val="none" w:sz="0" w:space="0" w:color="auto"/>
        <w:right w:val="none" w:sz="0" w:space="0" w:color="auto"/>
      </w:divBdr>
      <w:divsChild>
        <w:div w:id="818228185">
          <w:marLeft w:val="0"/>
          <w:marRight w:val="0"/>
          <w:marTop w:val="0"/>
          <w:marBottom w:val="0"/>
          <w:divBdr>
            <w:top w:val="none" w:sz="0" w:space="0" w:color="auto"/>
            <w:left w:val="none" w:sz="0" w:space="0" w:color="auto"/>
            <w:bottom w:val="none" w:sz="0" w:space="0" w:color="auto"/>
            <w:right w:val="none" w:sz="0" w:space="0" w:color="auto"/>
          </w:divBdr>
        </w:div>
        <w:div w:id="1002128066">
          <w:marLeft w:val="0"/>
          <w:marRight w:val="0"/>
          <w:marTop w:val="0"/>
          <w:marBottom w:val="0"/>
          <w:divBdr>
            <w:top w:val="none" w:sz="0" w:space="0" w:color="auto"/>
            <w:left w:val="none" w:sz="0" w:space="0" w:color="auto"/>
            <w:bottom w:val="none" w:sz="0" w:space="0" w:color="auto"/>
            <w:right w:val="none" w:sz="0" w:space="0" w:color="auto"/>
          </w:divBdr>
        </w:div>
        <w:div w:id="1088692009">
          <w:marLeft w:val="0"/>
          <w:marRight w:val="0"/>
          <w:marTop w:val="0"/>
          <w:marBottom w:val="0"/>
          <w:divBdr>
            <w:top w:val="none" w:sz="0" w:space="0" w:color="auto"/>
            <w:left w:val="none" w:sz="0" w:space="0" w:color="auto"/>
            <w:bottom w:val="none" w:sz="0" w:space="0" w:color="auto"/>
            <w:right w:val="none" w:sz="0" w:space="0" w:color="auto"/>
          </w:divBdr>
        </w:div>
        <w:div w:id="1253048376">
          <w:marLeft w:val="0"/>
          <w:marRight w:val="0"/>
          <w:marTop w:val="0"/>
          <w:marBottom w:val="0"/>
          <w:divBdr>
            <w:top w:val="none" w:sz="0" w:space="0" w:color="auto"/>
            <w:left w:val="none" w:sz="0" w:space="0" w:color="auto"/>
            <w:bottom w:val="none" w:sz="0" w:space="0" w:color="auto"/>
            <w:right w:val="none" w:sz="0" w:space="0" w:color="auto"/>
          </w:divBdr>
        </w:div>
        <w:div w:id="1422752571">
          <w:marLeft w:val="0"/>
          <w:marRight w:val="0"/>
          <w:marTop w:val="0"/>
          <w:marBottom w:val="0"/>
          <w:divBdr>
            <w:top w:val="none" w:sz="0" w:space="0" w:color="auto"/>
            <w:left w:val="none" w:sz="0" w:space="0" w:color="auto"/>
            <w:bottom w:val="none" w:sz="0" w:space="0" w:color="auto"/>
            <w:right w:val="none" w:sz="0" w:space="0" w:color="auto"/>
          </w:divBdr>
        </w:div>
        <w:div w:id="1487017180">
          <w:marLeft w:val="0"/>
          <w:marRight w:val="0"/>
          <w:marTop w:val="0"/>
          <w:marBottom w:val="0"/>
          <w:divBdr>
            <w:top w:val="none" w:sz="0" w:space="0" w:color="auto"/>
            <w:left w:val="none" w:sz="0" w:space="0" w:color="auto"/>
            <w:bottom w:val="none" w:sz="0" w:space="0" w:color="auto"/>
            <w:right w:val="none" w:sz="0" w:space="0" w:color="auto"/>
          </w:divBdr>
        </w:div>
        <w:div w:id="1780102424">
          <w:marLeft w:val="0"/>
          <w:marRight w:val="0"/>
          <w:marTop w:val="0"/>
          <w:marBottom w:val="0"/>
          <w:divBdr>
            <w:top w:val="none" w:sz="0" w:space="0" w:color="auto"/>
            <w:left w:val="none" w:sz="0" w:space="0" w:color="auto"/>
            <w:bottom w:val="none" w:sz="0" w:space="0" w:color="auto"/>
            <w:right w:val="none" w:sz="0" w:space="0" w:color="auto"/>
          </w:divBdr>
        </w:div>
        <w:div w:id="1870142734">
          <w:marLeft w:val="0"/>
          <w:marRight w:val="0"/>
          <w:marTop w:val="0"/>
          <w:marBottom w:val="0"/>
          <w:divBdr>
            <w:top w:val="none" w:sz="0" w:space="0" w:color="auto"/>
            <w:left w:val="none" w:sz="0" w:space="0" w:color="auto"/>
            <w:bottom w:val="none" w:sz="0" w:space="0" w:color="auto"/>
            <w:right w:val="none" w:sz="0" w:space="0" w:color="auto"/>
          </w:divBdr>
        </w:div>
        <w:div w:id="1972830924">
          <w:marLeft w:val="0"/>
          <w:marRight w:val="0"/>
          <w:marTop w:val="0"/>
          <w:marBottom w:val="0"/>
          <w:divBdr>
            <w:top w:val="none" w:sz="0" w:space="0" w:color="auto"/>
            <w:left w:val="none" w:sz="0" w:space="0" w:color="auto"/>
            <w:bottom w:val="none" w:sz="0" w:space="0" w:color="auto"/>
            <w:right w:val="none" w:sz="0" w:space="0" w:color="auto"/>
          </w:divBdr>
        </w:div>
      </w:divsChild>
    </w:div>
    <w:div w:id="662244750">
      <w:bodyDiv w:val="1"/>
      <w:marLeft w:val="0"/>
      <w:marRight w:val="0"/>
      <w:marTop w:val="0"/>
      <w:marBottom w:val="0"/>
      <w:divBdr>
        <w:top w:val="none" w:sz="0" w:space="0" w:color="auto"/>
        <w:left w:val="none" w:sz="0" w:space="0" w:color="auto"/>
        <w:bottom w:val="none" w:sz="0" w:space="0" w:color="auto"/>
        <w:right w:val="none" w:sz="0" w:space="0" w:color="auto"/>
      </w:divBdr>
      <w:divsChild>
        <w:div w:id="1820880775">
          <w:marLeft w:val="0"/>
          <w:marRight w:val="0"/>
          <w:marTop w:val="0"/>
          <w:marBottom w:val="0"/>
          <w:divBdr>
            <w:top w:val="none" w:sz="0" w:space="0" w:color="auto"/>
            <w:left w:val="none" w:sz="0" w:space="0" w:color="auto"/>
            <w:bottom w:val="none" w:sz="0" w:space="0" w:color="auto"/>
            <w:right w:val="none" w:sz="0" w:space="0" w:color="auto"/>
          </w:divBdr>
          <w:divsChild>
            <w:div w:id="3948304">
              <w:marLeft w:val="0"/>
              <w:marRight w:val="0"/>
              <w:marTop w:val="0"/>
              <w:marBottom w:val="0"/>
              <w:divBdr>
                <w:top w:val="none" w:sz="0" w:space="0" w:color="auto"/>
                <w:left w:val="none" w:sz="0" w:space="0" w:color="auto"/>
                <w:bottom w:val="none" w:sz="0" w:space="0" w:color="auto"/>
                <w:right w:val="none" w:sz="0" w:space="0" w:color="auto"/>
              </w:divBdr>
              <w:divsChild>
                <w:div w:id="18326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6307">
      <w:bodyDiv w:val="1"/>
      <w:marLeft w:val="0"/>
      <w:marRight w:val="0"/>
      <w:marTop w:val="0"/>
      <w:marBottom w:val="0"/>
      <w:divBdr>
        <w:top w:val="none" w:sz="0" w:space="0" w:color="auto"/>
        <w:left w:val="none" w:sz="0" w:space="0" w:color="auto"/>
        <w:bottom w:val="none" w:sz="0" w:space="0" w:color="auto"/>
        <w:right w:val="none" w:sz="0" w:space="0" w:color="auto"/>
      </w:divBdr>
      <w:divsChild>
        <w:div w:id="453017446">
          <w:marLeft w:val="0"/>
          <w:marRight w:val="0"/>
          <w:marTop w:val="0"/>
          <w:marBottom w:val="0"/>
          <w:divBdr>
            <w:top w:val="none" w:sz="0" w:space="0" w:color="auto"/>
            <w:left w:val="none" w:sz="0" w:space="0" w:color="auto"/>
            <w:bottom w:val="none" w:sz="0" w:space="0" w:color="auto"/>
            <w:right w:val="none" w:sz="0" w:space="0" w:color="auto"/>
          </w:divBdr>
          <w:divsChild>
            <w:div w:id="1389036468">
              <w:marLeft w:val="0"/>
              <w:marRight w:val="0"/>
              <w:marTop w:val="0"/>
              <w:marBottom w:val="0"/>
              <w:divBdr>
                <w:top w:val="none" w:sz="0" w:space="0" w:color="auto"/>
                <w:left w:val="none" w:sz="0" w:space="0" w:color="auto"/>
                <w:bottom w:val="none" w:sz="0" w:space="0" w:color="auto"/>
                <w:right w:val="none" w:sz="0" w:space="0" w:color="auto"/>
              </w:divBdr>
              <w:divsChild>
                <w:div w:id="20077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37238">
      <w:bodyDiv w:val="1"/>
      <w:marLeft w:val="0"/>
      <w:marRight w:val="0"/>
      <w:marTop w:val="0"/>
      <w:marBottom w:val="0"/>
      <w:divBdr>
        <w:top w:val="none" w:sz="0" w:space="0" w:color="auto"/>
        <w:left w:val="none" w:sz="0" w:space="0" w:color="auto"/>
        <w:bottom w:val="none" w:sz="0" w:space="0" w:color="auto"/>
        <w:right w:val="none" w:sz="0" w:space="0" w:color="auto"/>
      </w:divBdr>
    </w:div>
    <w:div w:id="712123019">
      <w:bodyDiv w:val="1"/>
      <w:marLeft w:val="0"/>
      <w:marRight w:val="0"/>
      <w:marTop w:val="0"/>
      <w:marBottom w:val="0"/>
      <w:divBdr>
        <w:top w:val="none" w:sz="0" w:space="0" w:color="auto"/>
        <w:left w:val="none" w:sz="0" w:space="0" w:color="auto"/>
        <w:bottom w:val="none" w:sz="0" w:space="0" w:color="auto"/>
        <w:right w:val="none" w:sz="0" w:space="0" w:color="auto"/>
      </w:divBdr>
      <w:divsChild>
        <w:div w:id="650256757">
          <w:marLeft w:val="0"/>
          <w:marRight w:val="0"/>
          <w:marTop w:val="0"/>
          <w:marBottom w:val="0"/>
          <w:divBdr>
            <w:top w:val="none" w:sz="0" w:space="0" w:color="auto"/>
            <w:left w:val="none" w:sz="0" w:space="0" w:color="auto"/>
            <w:bottom w:val="none" w:sz="0" w:space="0" w:color="auto"/>
            <w:right w:val="none" w:sz="0" w:space="0" w:color="auto"/>
          </w:divBdr>
          <w:divsChild>
            <w:div w:id="1313635758">
              <w:marLeft w:val="0"/>
              <w:marRight w:val="0"/>
              <w:marTop w:val="0"/>
              <w:marBottom w:val="0"/>
              <w:divBdr>
                <w:top w:val="none" w:sz="0" w:space="0" w:color="auto"/>
                <w:left w:val="none" w:sz="0" w:space="0" w:color="auto"/>
                <w:bottom w:val="none" w:sz="0" w:space="0" w:color="auto"/>
                <w:right w:val="none" w:sz="0" w:space="0" w:color="auto"/>
              </w:divBdr>
              <w:divsChild>
                <w:div w:id="13672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80">
      <w:bodyDiv w:val="1"/>
      <w:marLeft w:val="0"/>
      <w:marRight w:val="0"/>
      <w:marTop w:val="0"/>
      <w:marBottom w:val="0"/>
      <w:divBdr>
        <w:top w:val="none" w:sz="0" w:space="0" w:color="auto"/>
        <w:left w:val="none" w:sz="0" w:space="0" w:color="auto"/>
        <w:bottom w:val="none" w:sz="0" w:space="0" w:color="auto"/>
        <w:right w:val="none" w:sz="0" w:space="0" w:color="auto"/>
      </w:divBdr>
      <w:divsChild>
        <w:div w:id="1235967384">
          <w:marLeft w:val="0"/>
          <w:marRight w:val="0"/>
          <w:marTop w:val="0"/>
          <w:marBottom w:val="0"/>
          <w:divBdr>
            <w:top w:val="none" w:sz="0" w:space="0" w:color="auto"/>
            <w:left w:val="none" w:sz="0" w:space="0" w:color="auto"/>
            <w:bottom w:val="none" w:sz="0" w:space="0" w:color="auto"/>
            <w:right w:val="none" w:sz="0" w:space="0" w:color="auto"/>
          </w:divBdr>
          <w:divsChild>
            <w:div w:id="1999266715">
              <w:marLeft w:val="0"/>
              <w:marRight w:val="0"/>
              <w:marTop w:val="0"/>
              <w:marBottom w:val="0"/>
              <w:divBdr>
                <w:top w:val="none" w:sz="0" w:space="0" w:color="auto"/>
                <w:left w:val="none" w:sz="0" w:space="0" w:color="auto"/>
                <w:bottom w:val="none" w:sz="0" w:space="0" w:color="auto"/>
                <w:right w:val="none" w:sz="0" w:space="0" w:color="auto"/>
              </w:divBdr>
              <w:divsChild>
                <w:div w:id="15899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1661">
      <w:bodyDiv w:val="1"/>
      <w:marLeft w:val="0"/>
      <w:marRight w:val="0"/>
      <w:marTop w:val="0"/>
      <w:marBottom w:val="0"/>
      <w:divBdr>
        <w:top w:val="none" w:sz="0" w:space="0" w:color="auto"/>
        <w:left w:val="none" w:sz="0" w:space="0" w:color="auto"/>
        <w:bottom w:val="none" w:sz="0" w:space="0" w:color="auto"/>
        <w:right w:val="none" w:sz="0" w:space="0" w:color="auto"/>
      </w:divBdr>
    </w:div>
    <w:div w:id="747113713">
      <w:bodyDiv w:val="1"/>
      <w:marLeft w:val="0"/>
      <w:marRight w:val="0"/>
      <w:marTop w:val="0"/>
      <w:marBottom w:val="0"/>
      <w:divBdr>
        <w:top w:val="none" w:sz="0" w:space="0" w:color="auto"/>
        <w:left w:val="none" w:sz="0" w:space="0" w:color="auto"/>
        <w:bottom w:val="none" w:sz="0" w:space="0" w:color="auto"/>
        <w:right w:val="none" w:sz="0" w:space="0" w:color="auto"/>
      </w:divBdr>
    </w:div>
    <w:div w:id="751899070">
      <w:bodyDiv w:val="1"/>
      <w:marLeft w:val="0"/>
      <w:marRight w:val="0"/>
      <w:marTop w:val="0"/>
      <w:marBottom w:val="0"/>
      <w:divBdr>
        <w:top w:val="none" w:sz="0" w:space="0" w:color="auto"/>
        <w:left w:val="none" w:sz="0" w:space="0" w:color="auto"/>
        <w:bottom w:val="none" w:sz="0" w:space="0" w:color="auto"/>
        <w:right w:val="none" w:sz="0" w:space="0" w:color="auto"/>
      </w:divBdr>
    </w:div>
    <w:div w:id="758060008">
      <w:bodyDiv w:val="1"/>
      <w:marLeft w:val="0"/>
      <w:marRight w:val="0"/>
      <w:marTop w:val="0"/>
      <w:marBottom w:val="0"/>
      <w:divBdr>
        <w:top w:val="none" w:sz="0" w:space="0" w:color="auto"/>
        <w:left w:val="none" w:sz="0" w:space="0" w:color="auto"/>
        <w:bottom w:val="none" w:sz="0" w:space="0" w:color="auto"/>
        <w:right w:val="none" w:sz="0" w:space="0" w:color="auto"/>
      </w:divBdr>
      <w:divsChild>
        <w:div w:id="173155290">
          <w:marLeft w:val="0"/>
          <w:marRight w:val="0"/>
          <w:marTop w:val="0"/>
          <w:marBottom w:val="0"/>
          <w:divBdr>
            <w:top w:val="none" w:sz="0" w:space="0" w:color="auto"/>
            <w:left w:val="none" w:sz="0" w:space="0" w:color="auto"/>
            <w:bottom w:val="none" w:sz="0" w:space="0" w:color="auto"/>
            <w:right w:val="none" w:sz="0" w:space="0" w:color="auto"/>
          </w:divBdr>
          <w:divsChild>
            <w:div w:id="632754926">
              <w:marLeft w:val="0"/>
              <w:marRight w:val="0"/>
              <w:marTop w:val="0"/>
              <w:marBottom w:val="0"/>
              <w:divBdr>
                <w:top w:val="none" w:sz="0" w:space="0" w:color="auto"/>
                <w:left w:val="none" w:sz="0" w:space="0" w:color="auto"/>
                <w:bottom w:val="none" w:sz="0" w:space="0" w:color="auto"/>
                <w:right w:val="none" w:sz="0" w:space="0" w:color="auto"/>
              </w:divBdr>
            </w:div>
            <w:div w:id="930285635">
              <w:marLeft w:val="0"/>
              <w:marRight w:val="0"/>
              <w:marTop w:val="0"/>
              <w:marBottom w:val="0"/>
              <w:divBdr>
                <w:top w:val="none" w:sz="0" w:space="0" w:color="auto"/>
                <w:left w:val="none" w:sz="0" w:space="0" w:color="auto"/>
                <w:bottom w:val="none" w:sz="0" w:space="0" w:color="auto"/>
                <w:right w:val="none" w:sz="0" w:space="0" w:color="auto"/>
              </w:divBdr>
            </w:div>
          </w:divsChild>
        </w:div>
        <w:div w:id="192959990">
          <w:marLeft w:val="0"/>
          <w:marRight w:val="0"/>
          <w:marTop w:val="0"/>
          <w:marBottom w:val="0"/>
          <w:divBdr>
            <w:top w:val="none" w:sz="0" w:space="0" w:color="auto"/>
            <w:left w:val="none" w:sz="0" w:space="0" w:color="auto"/>
            <w:bottom w:val="none" w:sz="0" w:space="0" w:color="auto"/>
            <w:right w:val="none" w:sz="0" w:space="0" w:color="auto"/>
          </w:divBdr>
          <w:divsChild>
            <w:div w:id="822895780">
              <w:marLeft w:val="0"/>
              <w:marRight w:val="0"/>
              <w:marTop w:val="0"/>
              <w:marBottom w:val="0"/>
              <w:divBdr>
                <w:top w:val="none" w:sz="0" w:space="0" w:color="auto"/>
                <w:left w:val="none" w:sz="0" w:space="0" w:color="auto"/>
                <w:bottom w:val="none" w:sz="0" w:space="0" w:color="auto"/>
                <w:right w:val="none" w:sz="0" w:space="0" w:color="auto"/>
              </w:divBdr>
            </w:div>
            <w:div w:id="1660382137">
              <w:marLeft w:val="0"/>
              <w:marRight w:val="0"/>
              <w:marTop w:val="0"/>
              <w:marBottom w:val="0"/>
              <w:divBdr>
                <w:top w:val="none" w:sz="0" w:space="0" w:color="auto"/>
                <w:left w:val="none" w:sz="0" w:space="0" w:color="auto"/>
                <w:bottom w:val="none" w:sz="0" w:space="0" w:color="auto"/>
                <w:right w:val="none" w:sz="0" w:space="0" w:color="auto"/>
              </w:divBdr>
            </w:div>
          </w:divsChild>
        </w:div>
        <w:div w:id="394743548">
          <w:marLeft w:val="0"/>
          <w:marRight w:val="0"/>
          <w:marTop w:val="0"/>
          <w:marBottom w:val="0"/>
          <w:divBdr>
            <w:top w:val="none" w:sz="0" w:space="0" w:color="auto"/>
            <w:left w:val="none" w:sz="0" w:space="0" w:color="auto"/>
            <w:bottom w:val="none" w:sz="0" w:space="0" w:color="auto"/>
            <w:right w:val="none" w:sz="0" w:space="0" w:color="auto"/>
          </w:divBdr>
          <w:divsChild>
            <w:div w:id="447356167">
              <w:marLeft w:val="0"/>
              <w:marRight w:val="0"/>
              <w:marTop w:val="0"/>
              <w:marBottom w:val="0"/>
              <w:divBdr>
                <w:top w:val="none" w:sz="0" w:space="0" w:color="auto"/>
                <w:left w:val="none" w:sz="0" w:space="0" w:color="auto"/>
                <w:bottom w:val="none" w:sz="0" w:space="0" w:color="auto"/>
                <w:right w:val="none" w:sz="0" w:space="0" w:color="auto"/>
              </w:divBdr>
            </w:div>
            <w:div w:id="1427572737">
              <w:marLeft w:val="0"/>
              <w:marRight w:val="0"/>
              <w:marTop w:val="0"/>
              <w:marBottom w:val="0"/>
              <w:divBdr>
                <w:top w:val="none" w:sz="0" w:space="0" w:color="auto"/>
                <w:left w:val="none" w:sz="0" w:space="0" w:color="auto"/>
                <w:bottom w:val="none" w:sz="0" w:space="0" w:color="auto"/>
                <w:right w:val="none" w:sz="0" w:space="0" w:color="auto"/>
              </w:divBdr>
            </w:div>
          </w:divsChild>
        </w:div>
        <w:div w:id="403340338">
          <w:marLeft w:val="0"/>
          <w:marRight w:val="0"/>
          <w:marTop w:val="0"/>
          <w:marBottom w:val="0"/>
          <w:divBdr>
            <w:top w:val="none" w:sz="0" w:space="0" w:color="auto"/>
            <w:left w:val="none" w:sz="0" w:space="0" w:color="auto"/>
            <w:bottom w:val="none" w:sz="0" w:space="0" w:color="auto"/>
            <w:right w:val="none" w:sz="0" w:space="0" w:color="auto"/>
          </w:divBdr>
          <w:divsChild>
            <w:div w:id="82803868">
              <w:marLeft w:val="0"/>
              <w:marRight w:val="0"/>
              <w:marTop w:val="0"/>
              <w:marBottom w:val="0"/>
              <w:divBdr>
                <w:top w:val="none" w:sz="0" w:space="0" w:color="auto"/>
                <w:left w:val="none" w:sz="0" w:space="0" w:color="auto"/>
                <w:bottom w:val="none" w:sz="0" w:space="0" w:color="auto"/>
                <w:right w:val="none" w:sz="0" w:space="0" w:color="auto"/>
              </w:divBdr>
            </w:div>
            <w:div w:id="1919825343">
              <w:marLeft w:val="0"/>
              <w:marRight w:val="0"/>
              <w:marTop w:val="0"/>
              <w:marBottom w:val="0"/>
              <w:divBdr>
                <w:top w:val="none" w:sz="0" w:space="0" w:color="auto"/>
                <w:left w:val="none" w:sz="0" w:space="0" w:color="auto"/>
                <w:bottom w:val="none" w:sz="0" w:space="0" w:color="auto"/>
                <w:right w:val="none" w:sz="0" w:space="0" w:color="auto"/>
              </w:divBdr>
            </w:div>
          </w:divsChild>
        </w:div>
        <w:div w:id="669679107">
          <w:marLeft w:val="0"/>
          <w:marRight w:val="0"/>
          <w:marTop w:val="0"/>
          <w:marBottom w:val="0"/>
          <w:divBdr>
            <w:top w:val="none" w:sz="0" w:space="0" w:color="auto"/>
            <w:left w:val="none" w:sz="0" w:space="0" w:color="auto"/>
            <w:bottom w:val="none" w:sz="0" w:space="0" w:color="auto"/>
            <w:right w:val="none" w:sz="0" w:space="0" w:color="auto"/>
          </w:divBdr>
          <w:divsChild>
            <w:div w:id="197008481">
              <w:marLeft w:val="0"/>
              <w:marRight w:val="0"/>
              <w:marTop w:val="0"/>
              <w:marBottom w:val="0"/>
              <w:divBdr>
                <w:top w:val="none" w:sz="0" w:space="0" w:color="auto"/>
                <w:left w:val="none" w:sz="0" w:space="0" w:color="auto"/>
                <w:bottom w:val="none" w:sz="0" w:space="0" w:color="auto"/>
                <w:right w:val="none" w:sz="0" w:space="0" w:color="auto"/>
              </w:divBdr>
            </w:div>
            <w:div w:id="1407728445">
              <w:marLeft w:val="0"/>
              <w:marRight w:val="0"/>
              <w:marTop w:val="0"/>
              <w:marBottom w:val="0"/>
              <w:divBdr>
                <w:top w:val="none" w:sz="0" w:space="0" w:color="auto"/>
                <w:left w:val="none" w:sz="0" w:space="0" w:color="auto"/>
                <w:bottom w:val="none" w:sz="0" w:space="0" w:color="auto"/>
                <w:right w:val="none" w:sz="0" w:space="0" w:color="auto"/>
              </w:divBdr>
            </w:div>
          </w:divsChild>
        </w:div>
        <w:div w:id="1006246923">
          <w:marLeft w:val="0"/>
          <w:marRight w:val="0"/>
          <w:marTop w:val="408"/>
          <w:marBottom w:val="272"/>
          <w:divBdr>
            <w:top w:val="none" w:sz="0" w:space="0" w:color="auto"/>
            <w:left w:val="none" w:sz="0" w:space="0" w:color="auto"/>
            <w:bottom w:val="none" w:sz="0" w:space="0" w:color="auto"/>
            <w:right w:val="none" w:sz="0" w:space="0" w:color="auto"/>
          </w:divBdr>
        </w:div>
        <w:div w:id="1384282694">
          <w:marLeft w:val="0"/>
          <w:marRight w:val="0"/>
          <w:marTop w:val="0"/>
          <w:marBottom w:val="0"/>
          <w:divBdr>
            <w:top w:val="none" w:sz="0" w:space="0" w:color="auto"/>
            <w:left w:val="none" w:sz="0" w:space="0" w:color="auto"/>
            <w:bottom w:val="none" w:sz="0" w:space="0" w:color="auto"/>
            <w:right w:val="none" w:sz="0" w:space="0" w:color="auto"/>
          </w:divBdr>
          <w:divsChild>
            <w:div w:id="109864714">
              <w:marLeft w:val="0"/>
              <w:marRight w:val="0"/>
              <w:marTop w:val="0"/>
              <w:marBottom w:val="0"/>
              <w:divBdr>
                <w:top w:val="none" w:sz="0" w:space="0" w:color="auto"/>
                <w:left w:val="none" w:sz="0" w:space="0" w:color="auto"/>
                <w:bottom w:val="none" w:sz="0" w:space="0" w:color="auto"/>
                <w:right w:val="none" w:sz="0" w:space="0" w:color="auto"/>
              </w:divBdr>
            </w:div>
            <w:div w:id="526870657">
              <w:marLeft w:val="0"/>
              <w:marRight w:val="0"/>
              <w:marTop w:val="0"/>
              <w:marBottom w:val="0"/>
              <w:divBdr>
                <w:top w:val="none" w:sz="0" w:space="0" w:color="auto"/>
                <w:left w:val="none" w:sz="0" w:space="0" w:color="auto"/>
                <w:bottom w:val="none" w:sz="0" w:space="0" w:color="auto"/>
                <w:right w:val="none" w:sz="0" w:space="0" w:color="auto"/>
              </w:divBdr>
            </w:div>
          </w:divsChild>
        </w:div>
        <w:div w:id="1781409829">
          <w:marLeft w:val="0"/>
          <w:marRight w:val="0"/>
          <w:marTop w:val="0"/>
          <w:marBottom w:val="0"/>
          <w:divBdr>
            <w:top w:val="none" w:sz="0" w:space="0" w:color="auto"/>
            <w:left w:val="none" w:sz="0" w:space="0" w:color="auto"/>
            <w:bottom w:val="none" w:sz="0" w:space="0" w:color="auto"/>
            <w:right w:val="none" w:sz="0" w:space="0" w:color="auto"/>
          </w:divBdr>
          <w:divsChild>
            <w:div w:id="51008604">
              <w:marLeft w:val="0"/>
              <w:marRight w:val="0"/>
              <w:marTop w:val="0"/>
              <w:marBottom w:val="0"/>
              <w:divBdr>
                <w:top w:val="none" w:sz="0" w:space="0" w:color="auto"/>
                <w:left w:val="none" w:sz="0" w:space="0" w:color="auto"/>
                <w:bottom w:val="none" w:sz="0" w:space="0" w:color="auto"/>
                <w:right w:val="none" w:sz="0" w:space="0" w:color="auto"/>
              </w:divBdr>
            </w:div>
            <w:div w:id="1966084090">
              <w:marLeft w:val="0"/>
              <w:marRight w:val="0"/>
              <w:marTop w:val="0"/>
              <w:marBottom w:val="0"/>
              <w:divBdr>
                <w:top w:val="none" w:sz="0" w:space="0" w:color="auto"/>
                <w:left w:val="none" w:sz="0" w:space="0" w:color="auto"/>
                <w:bottom w:val="none" w:sz="0" w:space="0" w:color="auto"/>
                <w:right w:val="none" w:sz="0" w:space="0" w:color="auto"/>
              </w:divBdr>
            </w:div>
          </w:divsChild>
        </w:div>
        <w:div w:id="1904169733">
          <w:marLeft w:val="0"/>
          <w:marRight w:val="0"/>
          <w:marTop w:val="0"/>
          <w:marBottom w:val="0"/>
          <w:divBdr>
            <w:top w:val="none" w:sz="0" w:space="0" w:color="auto"/>
            <w:left w:val="none" w:sz="0" w:space="0" w:color="auto"/>
            <w:bottom w:val="none" w:sz="0" w:space="0" w:color="auto"/>
            <w:right w:val="none" w:sz="0" w:space="0" w:color="auto"/>
          </w:divBdr>
          <w:divsChild>
            <w:div w:id="949975858">
              <w:marLeft w:val="0"/>
              <w:marRight w:val="0"/>
              <w:marTop w:val="0"/>
              <w:marBottom w:val="0"/>
              <w:divBdr>
                <w:top w:val="none" w:sz="0" w:space="0" w:color="auto"/>
                <w:left w:val="none" w:sz="0" w:space="0" w:color="auto"/>
                <w:bottom w:val="none" w:sz="0" w:space="0" w:color="auto"/>
                <w:right w:val="none" w:sz="0" w:space="0" w:color="auto"/>
              </w:divBdr>
            </w:div>
            <w:div w:id="1440567321">
              <w:marLeft w:val="0"/>
              <w:marRight w:val="0"/>
              <w:marTop w:val="0"/>
              <w:marBottom w:val="0"/>
              <w:divBdr>
                <w:top w:val="none" w:sz="0" w:space="0" w:color="auto"/>
                <w:left w:val="none" w:sz="0" w:space="0" w:color="auto"/>
                <w:bottom w:val="none" w:sz="0" w:space="0" w:color="auto"/>
                <w:right w:val="none" w:sz="0" w:space="0" w:color="auto"/>
              </w:divBdr>
            </w:div>
          </w:divsChild>
        </w:div>
        <w:div w:id="2028480201">
          <w:marLeft w:val="0"/>
          <w:marRight w:val="0"/>
          <w:marTop w:val="408"/>
          <w:marBottom w:val="272"/>
          <w:divBdr>
            <w:top w:val="none" w:sz="0" w:space="0" w:color="auto"/>
            <w:left w:val="none" w:sz="0" w:space="0" w:color="auto"/>
            <w:bottom w:val="none" w:sz="0" w:space="0" w:color="auto"/>
            <w:right w:val="none" w:sz="0" w:space="0" w:color="auto"/>
          </w:divBdr>
        </w:div>
      </w:divsChild>
    </w:div>
    <w:div w:id="758988454">
      <w:bodyDiv w:val="1"/>
      <w:marLeft w:val="0"/>
      <w:marRight w:val="0"/>
      <w:marTop w:val="0"/>
      <w:marBottom w:val="0"/>
      <w:divBdr>
        <w:top w:val="none" w:sz="0" w:space="0" w:color="auto"/>
        <w:left w:val="none" w:sz="0" w:space="0" w:color="auto"/>
        <w:bottom w:val="none" w:sz="0" w:space="0" w:color="auto"/>
        <w:right w:val="none" w:sz="0" w:space="0" w:color="auto"/>
      </w:divBdr>
    </w:div>
    <w:div w:id="809443071">
      <w:bodyDiv w:val="1"/>
      <w:marLeft w:val="0"/>
      <w:marRight w:val="0"/>
      <w:marTop w:val="0"/>
      <w:marBottom w:val="0"/>
      <w:divBdr>
        <w:top w:val="none" w:sz="0" w:space="0" w:color="auto"/>
        <w:left w:val="none" w:sz="0" w:space="0" w:color="auto"/>
        <w:bottom w:val="none" w:sz="0" w:space="0" w:color="auto"/>
        <w:right w:val="none" w:sz="0" w:space="0" w:color="auto"/>
      </w:divBdr>
    </w:div>
    <w:div w:id="812989020">
      <w:bodyDiv w:val="1"/>
      <w:marLeft w:val="0"/>
      <w:marRight w:val="0"/>
      <w:marTop w:val="0"/>
      <w:marBottom w:val="0"/>
      <w:divBdr>
        <w:top w:val="none" w:sz="0" w:space="0" w:color="auto"/>
        <w:left w:val="none" w:sz="0" w:space="0" w:color="auto"/>
        <w:bottom w:val="none" w:sz="0" w:space="0" w:color="auto"/>
        <w:right w:val="none" w:sz="0" w:space="0" w:color="auto"/>
      </w:divBdr>
    </w:div>
    <w:div w:id="827985810">
      <w:bodyDiv w:val="1"/>
      <w:marLeft w:val="0"/>
      <w:marRight w:val="0"/>
      <w:marTop w:val="0"/>
      <w:marBottom w:val="0"/>
      <w:divBdr>
        <w:top w:val="none" w:sz="0" w:space="0" w:color="auto"/>
        <w:left w:val="none" w:sz="0" w:space="0" w:color="auto"/>
        <w:bottom w:val="none" w:sz="0" w:space="0" w:color="auto"/>
        <w:right w:val="none" w:sz="0" w:space="0" w:color="auto"/>
      </w:divBdr>
    </w:div>
    <w:div w:id="845290666">
      <w:bodyDiv w:val="1"/>
      <w:marLeft w:val="0"/>
      <w:marRight w:val="0"/>
      <w:marTop w:val="0"/>
      <w:marBottom w:val="0"/>
      <w:divBdr>
        <w:top w:val="none" w:sz="0" w:space="0" w:color="auto"/>
        <w:left w:val="none" w:sz="0" w:space="0" w:color="auto"/>
        <w:bottom w:val="none" w:sz="0" w:space="0" w:color="auto"/>
        <w:right w:val="none" w:sz="0" w:space="0" w:color="auto"/>
      </w:divBdr>
      <w:divsChild>
        <w:div w:id="1357659291">
          <w:marLeft w:val="0"/>
          <w:marRight w:val="0"/>
          <w:marTop w:val="0"/>
          <w:marBottom w:val="0"/>
          <w:divBdr>
            <w:top w:val="none" w:sz="0" w:space="0" w:color="auto"/>
            <w:left w:val="none" w:sz="0" w:space="0" w:color="auto"/>
            <w:bottom w:val="none" w:sz="0" w:space="0" w:color="auto"/>
            <w:right w:val="none" w:sz="0" w:space="0" w:color="auto"/>
          </w:divBdr>
          <w:divsChild>
            <w:div w:id="953753811">
              <w:marLeft w:val="0"/>
              <w:marRight w:val="0"/>
              <w:marTop w:val="0"/>
              <w:marBottom w:val="0"/>
              <w:divBdr>
                <w:top w:val="none" w:sz="0" w:space="0" w:color="auto"/>
                <w:left w:val="none" w:sz="0" w:space="0" w:color="auto"/>
                <w:bottom w:val="none" w:sz="0" w:space="0" w:color="auto"/>
                <w:right w:val="none" w:sz="0" w:space="0" w:color="auto"/>
              </w:divBdr>
              <w:divsChild>
                <w:div w:id="11513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26806">
      <w:bodyDiv w:val="1"/>
      <w:marLeft w:val="0"/>
      <w:marRight w:val="0"/>
      <w:marTop w:val="0"/>
      <w:marBottom w:val="0"/>
      <w:divBdr>
        <w:top w:val="none" w:sz="0" w:space="0" w:color="auto"/>
        <w:left w:val="none" w:sz="0" w:space="0" w:color="auto"/>
        <w:bottom w:val="none" w:sz="0" w:space="0" w:color="auto"/>
        <w:right w:val="none" w:sz="0" w:space="0" w:color="auto"/>
      </w:divBdr>
      <w:divsChild>
        <w:div w:id="1365909704">
          <w:marLeft w:val="0"/>
          <w:marRight w:val="0"/>
          <w:marTop w:val="0"/>
          <w:marBottom w:val="0"/>
          <w:divBdr>
            <w:top w:val="none" w:sz="0" w:space="0" w:color="auto"/>
            <w:left w:val="none" w:sz="0" w:space="0" w:color="auto"/>
            <w:bottom w:val="none" w:sz="0" w:space="0" w:color="auto"/>
            <w:right w:val="none" w:sz="0" w:space="0" w:color="auto"/>
          </w:divBdr>
          <w:divsChild>
            <w:div w:id="574897011">
              <w:marLeft w:val="0"/>
              <w:marRight w:val="0"/>
              <w:marTop w:val="0"/>
              <w:marBottom w:val="0"/>
              <w:divBdr>
                <w:top w:val="none" w:sz="0" w:space="0" w:color="auto"/>
                <w:left w:val="none" w:sz="0" w:space="0" w:color="auto"/>
                <w:bottom w:val="none" w:sz="0" w:space="0" w:color="auto"/>
                <w:right w:val="none" w:sz="0" w:space="0" w:color="auto"/>
              </w:divBdr>
              <w:divsChild>
                <w:div w:id="1691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61225">
      <w:bodyDiv w:val="1"/>
      <w:marLeft w:val="0"/>
      <w:marRight w:val="0"/>
      <w:marTop w:val="0"/>
      <w:marBottom w:val="0"/>
      <w:divBdr>
        <w:top w:val="none" w:sz="0" w:space="0" w:color="auto"/>
        <w:left w:val="none" w:sz="0" w:space="0" w:color="auto"/>
        <w:bottom w:val="none" w:sz="0" w:space="0" w:color="auto"/>
        <w:right w:val="none" w:sz="0" w:space="0" w:color="auto"/>
      </w:divBdr>
      <w:divsChild>
        <w:div w:id="682706246">
          <w:marLeft w:val="0"/>
          <w:marRight w:val="0"/>
          <w:marTop w:val="0"/>
          <w:marBottom w:val="0"/>
          <w:divBdr>
            <w:top w:val="none" w:sz="0" w:space="0" w:color="auto"/>
            <w:left w:val="none" w:sz="0" w:space="0" w:color="auto"/>
            <w:bottom w:val="none" w:sz="0" w:space="0" w:color="auto"/>
            <w:right w:val="none" w:sz="0" w:space="0" w:color="auto"/>
          </w:divBdr>
          <w:divsChild>
            <w:div w:id="1252468249">
              <w:marLeft w:val="0"/>
              <w:marRight w:val="0"/>
              <w:marTop w:val="0"/>
              <w:marBottom w:val="0"/>
              <w:divBdr>
                <w:top w:val="none" w:sz="0" w:space="0" w:color="auto"/>
                <w:left w:val="none" w:sz="0" w:space="0" w:color="auto"/>
                <w:bottom w:val="none" w:sz="0" w:space="0" w:color="auto"/>
                <w:right w:val="none" w:sz="0" w:space="0" w:color="auto"/>
              </w:divBdr>
              <w:divsChild>
                <w:div w:id="18608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11923">
      <w:bodyDiv w:val="1"/>
      <w:marLeft w:val="0"/>
      <w:marRight w:val="0"/>
      <w:marTop w:val="0"/>
      <w:marBottom w:val="0"/>
      <w:divBdr>
        <w:top w:val="none" w:sz="0" w:space="0" w:color="auto"/>
        <w:left w:val="none" w:sz="0" w:space="0" w:color="auto"/>
        <w:bottom w:val="none" w:sz="0" w:space="0" w:color="auto"/>
        <w:right w:val="none" w:sz="0" w:space="0" w:color="auto"/>
      </w:divBdr>
      <w:divsChild>
        <w:div w:id="1588464031">
          <w:marLeft w:val="0"/>
          <w:marRight w:val="0"/>
          <w:marTop w:val="0"/>
          <w:marBottom w:val="0"/>
          <w:divBdr>
            <w:top w:val="none" w:sz="0" w:space="0" w:color="auto"/>
            <w:left w:val="none" w:sz="0" w:space="0" w:color="auto"/>
            <w:bottom w:val="none" w:sz="0" w:space="0" w:color="auto"/>
            <w:right w:val="none" w:sz="0" w:space="0" w:color="auto"/>
          </w:divBdr>
          <w:divsChild>
            <w:div w:id="1354263252">
              <w:marLeft w:val="0"/>
              <w:marRight w:val="0"/>
              <w:marTop w:val="0"/>
              <w:marBottom w:val="0"/>
              <w:divBdr>
                <w:top w:val="none" w:sz="0" w:space="0" w:color="auto"/>
                <w:left w:val="none" w:sz="0" w:space="0" w:color="auto"/>
                <w:bottom w:val="none" w:sz="0" w:space="0" w:color="auto"/>
                <w:right w:val="none" w:sz="0" w:space="0" w:color="auto"/>
              </w:divBdr>
              <w:divsChild>
                <w:div w:id="405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5214">
      <w:bodyDiv w:val="1"/>
      <w:marLeft w:val="0"/>
      <w:marRight w:val="0"/>
      <w:marTop w:val="0"/>
      <w:marBottom w:val="0"/>
      <w:divBdr>
        <w:top w:val="none" w:sz="0" w:space="0" w:color="auto"/>
        <w:left w:val="none" w:sz="0" w:space="0" w:color="auto"/>
        <w:bottom w:val="none" w:sz="0" w:space="0" w:color="auto"/>
        <w:right w:val="none" w:sz="0" w:space="0" w:color="auto"/>
      </w:divBdr>
    </w:div>
    <w:div w:id="933900331">
      <w:bodyDiv w:val="1"/>
      <w:marLeft w:val="0"/>
      <w:marRight w:val="0"/>
      <w:marTop w:val="0"/>
      <w:marBottom w:val="0"/>
      <w:divBdr>
        <w:top w:val="none" w:sz="0" w:space="0" w:color="auto"/>
        <w:left w:val="none" w:sz="0" w:space="0" w:color="auto"/>
        <w:bottom w:val="none" w:sz="0" w:space="0" w:color="auto"/>
        <w:right w:val="none" w:sz="0" w:space="0" w:color="auto"/>
      </w:divBdr>
    </w:div>
    <w:div w:id="968320386">
      <w:bodyDiv w:val="1"/>
      <w:marLeft w:val="0"/>
      <w:marRight w:val="0"/>
      <w:marTop w:val="0"/>
      <w:marBottom w:val="0"/>
      <w:divBdr>
        <w:top w:val="none" w:sz="0" w:space="0" w:color="auto"/>
        <w:left w:val="none" w:sz="0" w:space="0" w:color="auto"/>
        <w:bottom w:val="none" w:sz="0" w:space="0" w:color="auto"/>
        <w:right w:val="none" w:sz="0" w:space="0" w:color="auto"/>
      </w:divBdr>
      <w:divsChild>
        <w:div w:id="44107701">
          <w:marLeft w:val="0"/>
          <w:marRight w:val="0"/>
          <w:marTop w:val="0"/>
          <w:marBottom w:val="0"/>
          <w:divBdr>
            <w:top w:val="none" w:sz="0" w:space="0" w:color="auto"/>
            <w:left w:val="none" w:sz="0" w:space="0" w:color="auto"/>
            <w:bottom w:val="none" w:sz="0" w:space="0" w:color="auto"/>
            <w:right w:val="none" w:sz="0" w:space="0" w:color="auto"/>
          </w:divBdr>
        </w:div>
        <w:div w:id="62610750">
          <w:marLeft w:val="0"/>
          <w:marRight w:val="0"/>
          <w:marTop w:val="0"/>
          <w:marBottom w:val="0"/>
          <w:divBdr>
            <w:top w:val="none" w:sz="0" w:space="0" w:color="auto"/>
            <w:left w:val="none" w:sz="0" w:space="0" w:color="auto"/>
            <w:bottom w:val="none" w:sz="0" w:space="0" w:color="auto"/>
            <w:right w:val="none" w:sz="0" w:space="0" w:color="auto"/>
          </w:divBdr>
        </w:div>
        <w:div w:id="917053983">
          <w:marLeft w:val="0"/>
          <w:marRight w:val="0"/>
          <w:marTop w:val="0"/>
          <w:marBottom w:val="0"/>
          <w:divBdr>
            <w:top w:val="none" w:sz="0" w:space="0" w:color="auto"/>
            <w:left w:val="none" w:sz="0" w:space="0" w:color="auto"/>
            <w:bottom w:val="none" w:sz="0" w:space="0" w:color="auto"/>
            <w:right w:val="none" w:sz="0" w:space="0" w:color="auto"/>
          </w:divBdr>
        </w:div>
      </w:divsChild>
    </w:div>
    <w:div w:id="1014116490">
      <w:bodyDiv w:val="1"/>
      <w:marLeft w:val="0"/>
      <w:marRight w:val="0"/>
      <w:marTop w:val="0"/>
      <w:marBottom w:val="0"/>
      <w:divBdr>
        <w:top w:val="none" w:sz="0" w:space="0" w:color="auto"/>
        <w:left w:val="none" w:sz="0" w:space="0" w:color="auto"/>
        <w:bottom w:val="none" w:sz="0" w:space="0" w:color="auto"/>
        <w:right w:val="none" w:sz="0" w:space="0" w:color="auto"/>
      </w:divBdr>
    </w:div>
    <w:div w:id="1020548819">
      <w:bodyDiv w:val="1"/>
      <w:marLeft w:val="0"/>
      <w:marRight w:val="0"/>
      <w:marTop w:val="0"/>
      <w:marBottom w:val="0"/>
      <w:divBdr>
        <w:top w:val="none" w:sz="0" w:space="0" w:color="auto"/>
        <w:left w:val="none" w:sz="0" w:space="0" w:color="auto"/>
        <w:bottom w:val="none" w:sz="0" w:space="0" w:color="auto"/>
        <w:right w:val="none" w:sz="0" w:space="0" w:color="auto"/>
      </w:divBdr>
      <w:divsChild>
        <w:div w:id="201789569">
          <w:marLeft w:val="0"/>
          <w:marRight w:val="0"/>
          <w:marTop w:val="0"/>
          <w:marBottom w:val="0"/>
          <w:divBdr>
            <w:top w:val="none" w:sz="0" w:space="0" w:color="auto"/>
            <w:left w:val="none" w:sz="0" w:space="0" w:color="auto"/>
            <w:bottom w:val="none" w:sz="0" w:space="0" w:color="auto"/>
            <w:right w:val="none" w:sz="0" w:space="0" w:color="auto"/>
          </w:divBdr>
        </w:div>
        <w:div w:id="744258250">
          <w:marLeft w:val="0"/>
          <w:marRight w:val="0"/>
          <w:marTop w:val="0"/>
          <w:marBottom w:val="0"/>
          <w:divBdr>
            <w:top w:val="none" w:sz="0" w:space="0" w:color="auto"/>
            <w:left w:val="none" w:sz="0" w:space="0" w:color="auto"/>
            <w:bottom w:val="none" w:sz="0" w:space="0" w:color="auto"/>
            <w:right w:val="none" w:sz="0" w:space="0" w:color="auto"/>
          </w:divBdr>
        </w:div>
        <w:div w:id="1139768597">
          <w:marLeft w:val="0"/>
          <w:marRight w:val="0"/>
          <w:marTop w:val="0"/>
          <w:marBottom w:val="0"/>
          <w:divBdr>
            <w:top w:val="none" w:sz="0" w:space="0" w:color="auto"/>
            <w:left w:val="none" w:sz="0" w:space="0" w:color="auto"/>
            <w:bottom w:val="none" w:sz="0" w:space="0" w:color="auto"/>
            <w:right w:val="none" w:sz="0" w:space="0" w:color="auto"/>
          </w:divBdr>
        </w:div>
        <w:div w:id="1975678658">
          <w:marLeft w:val="0"/>
          <w:marRight w:val="0"/>
          <w:marTop w:val="0"/>
          <w:marBottom w:val="0"/>
          <w:divBdr>
            <w:top w:val="none" w:sz="0" w:space="0" w:color="auto"/>
            <w:left w:val="none" w:sz="0" w:space="0" w:color="auto"/>
            <w:bottom w:val="none" w:sz="0" w:space="0" w:color="auto"/>
            <w:right w:val="none" w:sz="0" w:space="0" w:color="auto"/>
          </w:divBdr>
        </w:div>
      </w:divsChild>
    </w:div>
    <w:div w:id="1030573655">
      <w:bodyDiv w:val="1"/>
      <w:marLeft w:val="0"/>
      <w:marRight w:val="0"/>
      <w:marTop w:val="0"/>
      <w:marBottom w:val="0"/>
      <w:divBdr>
        <w:top w:val="none" w:sz="0" w:space="0" w:color="auto"/>
        <w:left w:val="none" w:sz="0" w:space="0" w:color="auto"/>
        <w:bottom w:val="none" w:sz="0" w:space="0" w:color="auto"/>
        <w:right w:val="none" w:sz="0" w:space="0" w:color="auto"/>
      </w:divBdr>
    </w:div>
    <w:div w:id="1071349743">
      <w:bodyDiv w:val="1"/>
      <w:marLeft w:val="0"/>
      <w:marRight w:val="0"/>
      <w:marTop w:val="0"/>
      <w:marBottom w:val="0"/>
      <w:divBdr>
        <w:top w:val="none" w:sz="0" w:space="0" w:color="auto"/>
        <w:left w:val="none" w:sz="0" w:space="0" w:color="auto"/>
        <w:bottom w:val="none" w:sz="0" w:space="0" w:color="auto"/>
        <w:right w:val="none" w:sz="0" w:space="0" w:color="auto"/>
      </w:divBdr>
      <w:divsChild>
        <w:div w:id="525607776">
          <w:marLeft w:val="0"/>
          <w:marRight w:val="0"/>
          <w:marTop w:val="0"/>
          <w:marBottom w:val="0"/>
          <w:divBdr>
            <w:top w:val="none" w:sz="0" w:space="0" w:color="auto"/>
            <w:left w:val="none" w:sz="0" w:space="0" w:color="auto"/>
            <w:bottom w:val="none" w:sz="0" w:space="0" w:color="auto"/>
            <w:right w:val="none" w:sz="0" w:space="0" w:color="auto"/>
          </w:divBdr>
          <w:divsChild>
            <w:div w:id="483550352">
              <w:marLeft w:val="0"/>
              <w:marRight w:val="0"/>
              <w:marTop w:val="0"/>
              <w:marBottom w:val="0"/>
              <w:divBdr>
                <w:top w:val="none" w:sz="0" w:space="0" w:color="auto"/>
                <w:left w:val="none" w:sz="0" w:space="0" w:color="auto"/>
                <w:bottom w:val="none" w:sz="0" w:space="0" w:color="auto"/>
                <w:right w:val="none" w:sz="0" w:space="0" w:color="auto"/>
              </w:divBdr>
            </w:div>
            <w:div w:id="1198733177">
              <w:marLeft w:val="0"/>
              <w:marRight w:val="0"/>
              <w:marTop w:val="0"/>
              <w:marBottom w:val="0"/>
              <w:divBdr>
                <w:top w:val="none" w:sz="0" w:space="0" w:color="auto"/>
                <w:left w:val="none" w:sz="0" w:space="0" w:color="auto"/>
                <w:bottom w:val="none" w:sz="0" w:space="0" w:color="auto"/>
                <w:right w:val="none" w:sz="0" w:space="0" w:color="auto"/>
              </w:divBdr>
            </w:div>
          </w:divsChild>
        </w:div>
        <w:div w:id="956444193">
          <w:marLeft w:val="0"/>
          <w:marRight w:val="0"/>
          <w:marTop w:val="0"/>
          <w:marBottom w:val="0"/>
          <w:divBdr>
            <w:top w:val="none" w:sz="0" w:space="0" w:color="auto"/>
            <w:left w:val="none" w:sz="0" w:space="0" w:color="auto"/>
            <w:bottom w:val="none" w:sz="0" w:space="0" w:color="auto"/>
            <w:right w:val="none" w:sz="0" w:space="0" w:color="auto"/>
          </w:divBdr>
        </w:div>
      </w:divsChild>
    </w:div>
    <w:div w:id="1074813676">
      <w:bodyDiv w:val="1"/>
      <w:marLeft w:val="0"/>
      <w:marRight w:val="0"/>
      <w:marTop w:val="0"/>
      <w:marBottom w:val="0"/>
      <w:divBdr>
        <w:top w:val="none" w:sz="0" w:space="0" w:color="auto"/>
        <w:left w:val="none" w:sz="0" w:space="0" w:color="auto"/>
        <w:bottom w:val="none" w:sz="0" w:space="0" w:color="auto"/>
        <w:right w:val="none" w:sz="0" w:space="0" w:color="auto"/>
      </w:divBdr>
      <w:divsChild>
        <w:div w:id="10691058">
          <w:marLeft w:val="0"/>
          <w:marRight w:val="0"/>
          <w:marTop w:val="0"/>
          <w:marBottom w:val="0"/>
          <w:divBdr>
            <w:top w:val="none" w:sz="0" w:space="0" w:color="auto"/>
            <w:left w:val="none" w:sz="0" w:space="0" w:color="auto"/>
            <w:bottom w:val="none" w:sz="0" w:space="0" w:color="auto"/>
            <w:right w:val="none" w:sz="0" w:space="0" w:color="auto"/>
          </w:divBdr>
        </w:div>
        <w:div w:id="57671823">
          <w:marLeft w:val="0"/>
          <w:marRight w:val="0"/>
          <w:marTop w:val="0"/>
          <w:marBottom w:val="0"/>
          <w:divBdr>
            <w:top w:val="none" w:sz="0" w:space="0" w:color="auto"/>
            <w:left w:val="none" w:sz="0" w:space="0" w:color="auto"/>
            <w:bottom w:val="none" w:sz="0" w:space="0" w:color="auto"/>
            <w:right w:val="none" w:sz="0" w:space="0" w:color="auto"/>
          </w:divBdr>
        </w:div>
        <w:div w:id="903418956">
          <w:marLeft w:val="0"/>
          <w:marRight w:val="0"/>
          <w:marTop w:val="0"/>
          <w:marBottom w:val="0"/>
          <w:divBdr>
            <w:top w:val="none" w:sz="0" w:space="0" w:color="auto"/>
            <w:left w:val="none" w:sz="0" w:space="0" w:color="auto"/>
            <w:bottom w:val="none" w:sz="0" w:space="0" w:color="auto"/>
            <w:right w:val="none" w:sz="0" w:space="0" w:color="auto"/>
          </w:divBdr>
        </w:div>
        <w:div w:id="1060445623">
          <w:marLeft w:val="0"/>
          <w:marRight w:val="0"/>
          <w:marTop w:val="0"/>
          <w:marBottom w:val="0"/>
          <w:divBdr>
            <w:top w:val="none" w:sz="0" w:space="0" w:color="auto"/>
            <w:left w:val="none" w:sz="0" w:space="0" w:color="auto"/>
            <w:bottom w:val="none" w:sz="0" w:space="0" w:color="auto"/>
            <w:right w:val="none" w:sz="0" w:space="0" w:color="auto"/>
          </w:divBdr>
        </w:div>
        <w:div w:id="1338076599">
          <w:marLeft w:val="0"/>
          <w:marRight w:val="0"/>
          <w:marTop w:val="0"/>
          <w:marBottom w:val="0"/>
          <w:divBdr>
            <w:top w:val="none" w:sz="0" w:space="0" w:color="auto"/>
            <w:left w:val="none" w:sz="0" w:space="0" w:color="auto"/>
            <w:bottom w:val="none" w:sz="0" w:space="0" w:color="auto"/>
            <w:right w:val="none" w:sz="0" w:space="0" w:color="auto"/>
          </w:divBdr>
        </w:div>
        <w:div w:id="1586956769">
          <w:marLeft w:val="0"/>
          <w:marRight w:val="0"/>
          <w:marTop w:val="0"/>
          <w:marBottom w:val="0"/>
          <w:divBdr>
            <w:top w:val="none" w:sz="0" w:space="0" w:color="auto"/>
            <w:left w:val="none" w:sz="0" w:space="0" w:color="auto"/>
            <w:bottom w:val="none" w:sz="0" w:space="0" w:color="auto"/>
            <w:right w:val="none" w:sz="0" w:space="0" w:color="auto"/>
          </w:divBdr>
        </w:div>
        <w:div w:id="1662847640">
          <w:marLeft w:val="0"/>
          <w:marRight w:val="0"/>
          <w:marTop w:val="0"/>
          <w:marBottom w:val="0"/>
          <w:divBdr>
            <w:top w:val="none" w:sz="0" w:space="0" w:color="auto"/>
            <w:left w:val="none" w:sz="0" w:space="0" w:color="auto"/>
            <w:bottom w:val="none" w:sz="0" w:space="0" w:color="auto"/>
            <w:right w:val="none" w:sz="0" w:space="0" w:color="auto"/>
          </w:divBdr>
        </w:div>
        <w:div w:id="1882092316">
          <w:marLeft w:val="0"/>
          <w:marRight w:val="0"/>
          <w:marTop w:val="0"/>
          <w:marBottom w:val="0"/>
          <w:divBdr>
            <w:top w:val="none" w:sz="0" w:space="0" w:color="auto"/>
            <w:left w:val="none" w:sz="0" w:space="0" w:color="auto"/>
            <w:bottom w:val="none" w:sz="0" w:space="0" w:color="auto"/>
            <w:right w:val="none" w:sz="0" w:space="0" w:color="auto"/>
          </w:divBdr>
        </w:div>
        <w:div w:id="1962959334">
          <w:marLeft w:val="0"/>
          <w:marRight w:val="0"/>
          <w:marTop w:val="0"/>
          <w:marBottom w:val="0"/>
          <w:divBdr>
            <w:top w:val="none" w:sz="0" w:space="0" w:color="auto"/>
            <w:left w:val="none" w:sz="0" w:space="0" w:color="auto"/>
            <w:bottom w:val="none" w:sz="0" w:space="0" w:color="auto"/>
            <w:right w:val="none" w:sz="0" w:space="0" w:color="auto"/>
          </w:divBdr>
        </w:div>
      </w:divsChild>
    </w:div>
    <w:div w:id="1077702343">
      <w:bodyDiv w:val="1"/>
      <w:marLeft w:val="0"/>
      <w:marRight w:val="0"/>
      <w:marTop w:val="0"/>
      <w:marBottom w:val="0"/>
      <w:divBdr>
        <w:top w:val="none" w:sz="0" w:space="0" w:color="auto"/>
        <w:left w:val="none" w:sz="0" w:space="0" w:color="auto"/>
        <w:bottom w:val="none" w:sz="0" w:space="0" w:color="auto"/>
        <w:right w:val="none" w:sz="0" w:space="0" w:color="auto"/>
      </w:divBdr>
    </w:div>
    <w:div w:id="1085422967">
      <w:bodyDiv w:val="1"/>
      <w:marLeft w:val="0"/>
      <w:marRight w:val="0"/>
      <w:marTop w:val="0"/>
      <w:marBottom w:val="0"/>
      <w:divBdr>
        <w:top w:val="none" w:sz="0" w:space="0" w:color="auto"/>
        <w:left w:val="none" w:sz="0" w:space="0" w:color="auto"/>
        <w:bottom w:val="none" w:sz="0" w:space="0" w:color="auto"/>
        <w:right w:val="none" w:sz="0" w:space="0" w:color="auto"/>
      </w:divBdr>
      <w:divsChild>
        <w:div w:id="933900713">
          <w:marLeft w:val="0"/>
          <w:marRight w:val="0"/>
          <w:marTop w:val="0"/>
          <w:marBottom w:val="0"/>
          <w:divBdr>
            <w:top w:val="none" w:sz="0" w:space="0" w:color="auto"/>
            <w:left w:val="none" w:sz="0" w:space="0" w:color="auto"/>
            <w:bottom w:val="none" w:sz="0" w:space="0" w:color="auto"/>
            <w:right w:val="none" w:sz="0" w:space="0" w:color="auto"/>
          </w:divBdr>
          <w:divsChild>
            <w:div w:id="820388981">
              <w:marLeft w:val="0"/>
              <w:marRight w:val="0"/>
              <w:marTop w:val="0"/>
              <w:marBottom w:val="0"/>
              <w:divBdr>
                <w:top w:val="none" w:sz="0" w:space="0" w:color="auto"/>
                <w:left w:val="none" w:sz="0" w:space="0" w:color="auto"/>
                <w:bottom w:val="none" w:sz="0" w:space="0" w:color="auto"/>
                <w:right w:val="none" w:sz="0" w:space="0" w:color="auto"/>
              </w:divBdr>
              <w:divsChild>
                <w:div w:id="740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16552">
      <w:bodyDiv w:val="1"/>
      <w:marLeft w:val="0"/>
      <w:marRight w:val="0"/>
      <w:marTop w:val="0"/>
      <w:marBottom w:val="0"/>
      <w:divBdr>
        <w:top w:val="none" w:sz="0" w:space="0" w:color="auto"/>
        <w:left w:val="none" w:sz="0" w:space="0" w:color="auto"/>
        <w:bottom w:val="none" w:sz="0" w:space="0" w:color="auto"/>
        <w:right w:val="none" w:sz="0" w:space="0" w:color="auto"/>
      </w:divBdr>
      <w:divsChild>
        <w:div w:id="2105955419">
          <w:marLeft w:val="0"/>
          <w:marRight w:val="0"/>
          <w:marTop w:val="0"/>
          <w:marBottom w:val="0"/>
          <w:divBdr>
            <w:top w:val="none" w:sz="0" w:space="0" w:color="auto"/>
            <w:left w:val="none" w:sz="0" w:space="0" w:color="auto"/>
            <w:bottom w:val="none" w:sz="0" w:space="0" w:color="auto"/>
            <w:right w:val="none" w:sz="0" w:space="0" w:color="auto"/>
          </w:divBdr>
          <w:divsChild>
            <w:div w:id="499778126">
              <w:marLeft w:val="0"/>
              <w:marRight w:val="0"/>
              <w:marTop w:val="0"/>
              <w:marBottom w:val="0"/>
              <w:divBdr>
                <w:top w:val="none" w:sz="0" w:space="0" w:color="auto"/>
                <w:left w:val="none" w:sz="0" w:space="0" w:color="auto"/>
                <w:bottom w:val="none" w:sz="0" w:space="0" w:color="auto"/>
                <w:right w:val="none" w:sz="0" w:space="0" w:color="auto"/>
              </w:divBdr>
            </w:div>
            <w:div w:id="11493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7476">
      <w:bodyDiv w:val="1"/>
      <w:marLeft w:val="0"/>
      <w:marRight w:val="0"/>
      <w:marTop w:val="0"/>
      <w:marBottom w:val="0"/>
      <w:divBdr>
        <w:top w:val="none" w:sz="0" w:space="0" w:color="auto"/>
        <w:left w:val="none" w:sz="0" w:space="0" w:color="auto"/>
        <w:bottom w:val="none" w:sz="0" w:space="0" w:color="auto"/>
        <w:right w:val="none" w:sz="0" w:space="0" w:color="auto"/>
      </w:divBdr>
    </w:div>
    <w:div w:id="1190295733">
      <w:bodyDiv w:val="1"/>
      <w:marLeft w:val="0"/>
      <w:marRight w:val="0"/>
      <w:marTop w:val="0"/>
      <w:marBottom w:val="0"/>
      <w:divBdr>
        <w:top w:val="none" w:sz="0" w:space="0" w:color="auto"/>
        <w:left w:val="none" w:sz="0" w:space="0" w:color="auto"/>
        <w:bottom w:val="none" w:sz="0" w:space="0" w:color="auto"/>
        <w:right w:val="none" w:sz="0" w:space="0" w:color="auto"/>
      </w:divBdr>
      <w:divsChild>
        <w:div w:id="370807034">
          <w:marLeft w:val="0"/>
          <w:marRight w:val="0"/>
          <w:marTop w:val="0"/>
          <w:marBottom w:val="0"/>
          <w:divBdr>
            <w:top w:val="none" w:sz="0" w:space="0" w:color="auto"/>
            <w:left w:val="none" w:sz="0" w:space="0" w:color="auto"/>
            <w:bottom w:val="none" w:sz="0" w:space="0" w:color="auto"/>
            <w:right w:val="none" w:sz="0" w:space="0" w:color="auto"/>
          </w:divBdr>
        </w:div>
        <w:div w:id="819492940">
          <w:marLeft w:val="0"/>
          <w:marRight w:val="0"/>
          <w:marTop w:val="0"/>
          <w:marBottom w:val="0"/>
          <w:divBdr>
            <w:top w:val="none" w:sz="0" w:space="0" w:color="auto"/>
            <w:left w:val="none" w:sz="0" w:space="0" w:color="auto"/>
            <w:bottom w:val="none" w:sz="0" w:space="0" w:color="auto"/>
            <w:right w:val="none" w:sz="0" w:space="0" w:color="auto"/>
          </w:divBdr>
        </w:div>
        <w:div w:id="970598867">
          <w:marLeft w:val="0"/>
          <w:marRight w:val="0"/>
          <w:marTop w:val="0"/>
          <w:marBottom w:val="0"/>
          <w:divBdr>
            <w:top w:val="none" w:sz="0" w:space="0" w:color="auto"/>
            <w:left w:val="none" w:sz="0" w:space="0" w:color="auto"/>
            <w:bottom w:val="none" w:sz="0" w:space="0" w:color="auto"/>
            <w:right w:val="none" w:sz="0" w:space="0" w:color="auto"/>
          </w:divBdr>
        </w:div>
      </w:divsChild>
    </w:div>
    <w:div w:id="1217087373">
      <w:bodyDiv w:val="1"/>
      <w:marLeft w:val="0"/>
      <w:marRight w:val="0"/>
      <w:marTop w:val="0"/>
      <w:marBottom w:val="0"/>
      <w:divBdr>
        <w:top w:val="none" w:sz="0" w:space="0" w:color="auto"/>
        <w:left w:val="none" w:sz="0" w:space="0" w:color="auto"/>
        <w:bottom w:val="none" w:sz="0" w:space="0" w:color="auto"/>
        <w:right w:val="none" w:sz="0" w:space="0" w:color="auto"/>
      </w:divBdr>
      <w:divsChild>
        <w:div w:id="1589659658">
          <w:marLeft w:val="0"/>
          <w:marRight w:val="0"/>
          <w:marTop w:val="0"/>
          <w:marBottom w:val="0"/>
          <w:divBdr>
            <w:top w:val="none" w:sz="0" w:space="0" w:color="auto"/>
            <w:left w:val="none" w:sz="0" w:space="0" w:color="auto"/>
            <w:bottom w:val="none" w:sz="0" w:space="0" w:color="auto"/>
            <w:right w:val="none" w:sz="0" w:space="0" w:color="auto"/>
          </w:divBdr>
          <w:divsChild>
            <w:div w:id="68625532">
              <w:marLeft w:val="0"/>
              <w:marRight w:val="0"/>
              <w:marTop w:val="0"/>
              <w:marBottom w:val="0"/>
              <w:divBdr>
                <w:top w:val="none" w:sz="0" w:space="0" w:color="auto"/>
                <w:left w:val="none" w:sz="0" w:space="0" w:color="auto"/>
                <w:bottom w:val="none" w:sz="0" w:space="0" w:color="auto"/>
                <w:right w:val="none" w:sz="0" w:space="0" w:color="auto"/>
              </w:divBdr>
            </w:div>
            <w:div w:id="101145349">
              <w:marLeft w:val="0"/>
              <w:marRight w:val="0"/>
              <w:marTop w:val="0"/>
              <w:marBottom w:val="0"/>
              <w:divBdr>
                <w:top w:val="none" w:sz="0" w:space="0" w:color="auto"/>
                <w:left w:val="none" w:sz="0" w:space="0" w:color="auto"/>
                <w:bottom w:val="none" w:sz="0" w:space="0" w:color="auto"/>
                <w:right w:val="none" w:sz="0" w:space="0" w:color="auto"/>
              </w:divBdr>
            </w:div>
            <w:div w:id="144515255">
              <w:marLeft w:val="0"/>
              <w:marRight w:val="0"/>
              <w:marTop w:val="0"/>
              <w:marBottom w:val="0"/>
              <w:divBdr>
                <w:top w:val="none" w:sz="0" w:space="0" w:color="auto"/>
                <w:left w:val="none" w:sz="0" w:space="0" w:color="auto"/>
                <w:bottom w:val="none" w:sz="0" w:space="0" w:color="auto"/>
                <w:right w:val="none" w:sz="0" w:space="0" w:color="auto"/>
              </w:divBdr>
            </w:div>
            <w:div w:id="178081400">
              <w:marLeft w:val="0"/>
              <w:marRight w:val="0"/>
              <w:marTop w:val="0"/>
              <w:marBottom w:val="0"/>
              <w:divBdr>
                <w:top w:val="none" w:sz="0" w:space="0" w:color="auto"/>
                <w:left w:val="none" w:sz="0" w:space="0" w:color="auto"/>
                <w:bottom w:val="none" w:sz="0" w:space="0" w:color="auto"/>
                <w:right w:val="none" w:sz="0" w:space="0" w:color="auto"/>
              </w:divBdr>
            </w:div>
            <w:div w:id="182286691">
              <w:marLeft w:val="0"/>
              <w:marRight w:val="0"/>
              <w:marTop w:val="0"/>
              <w:marBottom w:val="0"/>
              <w:divBdr>
                <w:top w:val="none" w:sz="0" w:space="0" w:color="auto"/>
                <w:left w:val="none" w:sz="0" w:space="0" w:color="auto"/>
                <w:bottom w:val="none" w:sz="0" w:space="0" w:color="auto"/>
                <w:right w:val="none" w:sz="0" w:space="0" w:color="auto"/>
              </w:divBdr>
            </w:div>
            <w:div w:id="235819850">
              <w:marLeft w:val="0"/>
              <w:marRight w:val="0"/>
              <w:marTop w:val="0"/>
              <w:marBottom w:val="0"/>
              <w:divBdr>
                <w:top w:val="none" w:sz="0" w:space="0" w:color="auto"/>
                <w:left w:val="none" w:sz="0" w:space="0" w:color="auto"/>
                <w:bottom w:val="none" w:sz="0" w:space="0" w:color="auto"/>
                <w:right w:val="none" w:sz="0" w:space="0" w:color="auto"/>
              </w:divBdr>
            </w:div>
            <w:div w:id="238448768">
              <w:marLeft w:val="0"/>
              <w:marRight w:val="0"/>
              <w:marTop w:val="0"/>
              <w:marBottom w:val="0"/>
              <w:divBdr>
                <w:top w:val="none" w:sz="0" w:space="0" w:color="auto"/>
                <w:left w:val="none" w:sz="0" w:space="0" w:color="auto"/>
                <w:bottom w:val="none" w:sz="0" w:space="0" w:color="auto"/>
                <w:right w:val="none" w:sz="0" w:space="0" w:color="auto"/>
              </w:divBdr>
            </w:div>
            <w:div w:id="260526992">
              <w:marLeft w:val="0"/>
              <w:marRight w:val="0"/>
              <w:marTop w:val="0"/>
              <w:marBottom w:val="0"/>
              <w:divBdr>
                <w:top w:val="none" w:sz="0" w:space="0" w:color="auto"/>
                <w:left w:val="none" w:sz="0" w:space="0" w:color="auto"/>
                <w:bottom w:val="none" w:sz="0" w:space="0" w:color="auto"/>
                <w:right w:val="none" w:sz="0" w:space="0" w:color="auto"/>
              </w:divBdr>
            </w:div>
            <w:div w:id="291403596">
              <w:marLeft w:val="0"/>
              <w:marRight w:val="0"/>
              <w:marTop w:val="0"/>
              <w:marBottom w:val="0"/>
              <w:divBdr>
                <w:top w:val="none" w:sz="0" w:space="0" w:color="auto"/>
                <w:left w:val="none" w:sz="0" w:space="0" w:color="auto"/>
                <w:bottom w:val="none" w:sz="0" w:space="0" w:color="auto"/>
                <w:right w:val="none" w:sz="0" w:space="0" w:color="auto"/>
              </w:divBdr>
            </w:div>
            <w:div w:id="312568104">
              <w:marLeft w:val="0"/>
              <w:marRight w:val="0"/>
              <w:marTop w:val="0"/>
              <w:marBottom w:val="0"/>
              <w:divBdr>
                <w:top w:val="none" w:sz="0" w:space="0" w:color="auto"/>
                <w:left w:val="none" w:sz="0" w:space="0" w:color="auto"/>
                <w:bottom w:val="none" w:sz="0" w:space="0" w:color="auto"/>
                <w:right w:val="none" w:sz="0" w:space="0" w:color="auto"/>
              </w:divBdr>
            </w:div>
            <w:div w:id="347685673">
              <w:marLeft w:val="0"/>
              <w:marRight w:val="0"/>
              <w:marTop w:val="0"/>
              <w:marBottom w:val="0"/>
              <w:divBdr>
                <w:top w:val="none" w:sz="0" w:space="0" w:color="auto"/>
                <w:left w:val="none" w:sz="0" w:space="0" w:color="auto"/>
                <w:bottom w:val="none" w:sz="0" w:space="0" w:color="auto"/>
                <w:right w:val="none" w:sz="0" w:space="0" w:color="auto"/>
              </w:divBdr>
            </w:div>
            <w:div w:id="353651156">
              <w:marLeft w:val="0"/>
              <w:marRight w:val="0"/>
              <w:marTop w:val="0"/>
              <w:marBottom w:val="0"/>
              <w:divBdr>
                <w:top w:val="none" w:sz="0" w:space="0" w:color="auto"/>
                <w:left w:val="none" w:sz="0" w:space="0" w:color="auto"/>
                <w:bottom w:val="none" w:sz="0" w:space="0" w:color="auto"/>
                <w:right w:val="none" w:sz="0" w:space="0" w:color="auto"/>
              </w:divBdr>
            </w:div>
            <w:div w:id="359207157">
              <w:marLeft w:val="0"/>
              <w:marRight w:val="0"/>
              <w:marTop w:val="0"/>
              <w:marBottom w:val="0"/>
              <w:divBdr>
                <w:top w:val="none" w:sz="0" w:space="0" w:color="auto"/>
                <w:left w:val="none" w:sz="0" w:space="0" w:color="auto"/>
                <w:bottom w:val="none" w:sz="0" w:space="0" w:color="auto"/>
                <w:right w:val="none" w:sz="0" w:space="0" w:color="auto"/>
              </w:divBdr>
            </w:div>
            <w:div w:id="422267874">
              <w:marLeft w:val="0"/>
              <w:marRight w:val="0"/>
              <w:marTop w:val="0"/>
              <w:marBottom w:val="0"/>
              <w:divBdr>
                <w:top w:val="none" w:sz="0" w:space="0" w:color="auto"/>
                <w:left w:val="none" w:sz="0" w:space="0" w:color="auto"/>
                <w:bottom w:val="none" w:sz="0" w:space="0" w:color="auto"/>
                <w:right w:val="none" w:sz="0" w:space="0" w:color="auto"/>
              </w:divBdr>
            </w:div>
            <w:div w:id="443501154">
              <w:marLeft w:val="0"/>
              <w:marRight w:val="0"/>
              <w:marTop w:val="0"/>
              <w:marBottom w:val="0"/>
              <w:divBdr>
                <w:top w:val="none" w:sz="0" w:space="0" w:color="auto"/>
                <w:left w:val="none" w:sz="0" w:space="0" w:color="auto"/>
                <w:bottom w:val="none" w:sz="0" w:space="0" w:color="auto"/>
                <w:right w:val="none" w:sz="0" w:space="0" w:color="auto"/>
              </w:divBdr>
            </w:div>
            <w:div w:id="444273354">
              <w:marLeft w:val="0"/>
              <w:marRight w:val="0"/>
              <w:marTop w:val="0"/>
              <w:marBottom w:val="0"/>
              <w:divBdr>
                <w:top w:val="none" w:sz="0" w:space="0" w:color="auto"/>
                <w:left w:val="none" w:sz="0" w:space="0" w:color="auto"/>
                <w:bottom w:val="none" w:sz="0" w:space="0" w:color="auto"/>
                <w:right w:val="none" w:sz="0" w:space="0" w:color="auto"/>
              </w:divBdr>
            </w:div>
            <w:div w:id="500972399">
              <w:marLeft w:val="0"/>
              <w:marRight w:val="0"/>
              <w:marTop w:val="0"/>
              <w:marBottom w:val="0"/>
              <w:divBdr>
                <w:top w:val="none" w:sz="0" w:space="0" w:color="auto"/>
                <w:left w:val="none" w:sz="0" w:space="0" w:color="auto"/>
                <w:bottom w:val="none" w:sz="0" w:space="0" w:color="auto"/>
                <w:right w:val="none" w:sz="0" w:space="0" w:color="auto"/>
              </w:divBdr>
            </w:div>
            <w:div w:id="545340594">
              <w:marLeft w:val="0"/>
              <w:marRight w:val="0"/>
              <w:marTop w:val="0"/>
              <w:marBottom w:val="0"/>
              <w:divBdr>
                <w:top w:val="none" w:sz="0" w:space="0" w:color="auto"/>
                <w:left w:val="none" w:sz="0" w:space="0" w:color="auto"/>
                <w:bottom w:val="none" w:sz="0" w:space="0" w:color="auto"/>
                <w:right w:val="none" w:sz="0" w:space="0" w:color="auto"/>
              </w:divBdr>
            </w:div>
            <w:div w:id="586842106">
              <w:marLeft w:val="0"/>
              <w:marRight w:val="0"/>
              <w:marTop w:val="0"/>
              <w:marBottom w:val="0"/>
              <w:divBdr>
                <w:top w:val="none" w:sz="0" w:space="0" w:color="auto"/>
                <w:left w:val="none" w:sz="0" w:space="0" w:color="auto"/>
                <w:bottom w:val="none" w:sz="0" w:space="0" w:color="auto"/>
                <w:right w:val="none" w:sz="0" w:space="0" w:color="auto"/>
              </w:divBdr>
            </w:div>
            <w:div w:id="621694208">
              <w:marLeft w:val="0"/>
              <w:marRight w:val="0"/>
              <w:marTop w:val="0"/>
              <w:marBottom w:val="0"/>
              <w:divBdr>
                <w:top w:val="none" w:sz="0" w:space="0" w:color="auto"/>
                <w:left w:val="none" w:sz="0" w:space="0" w:color="auto"/>
                <w:bottom w:val="none" w:sz="0" w:space="0" w:color="auto"/>
                <w:right w:val="none" w:sz="0" w:space="0" w:color="auto"/>
              </w:divBdr>
            </w:div>
            <w:div w:id="624626279">
              <w:marLeft w:val="0"/>
              <w:marRight w:val="0"/>
              <w:marTop w:val="0"/>
              <w:marBottom w:val="0"/>
              <w:divBdr>
                <w:top w:val="none" w:sz="0" w:space="0" w:color="auto"/>
                <w:left w:val="none" w:sz="0" w:space="0" w:color="auto"/>
                <w:bottom w:val="none" w:sz="0" w:space="0" w:color="auto"/>
                <w:right w:val="none" w:sz="0" w:space="0" w:color="auto"/>
              </w:divBdr>
            </w:div>
            <w:div w:id="656110399">
              <w:marLeft w:val="0"/>
              <w:marRight w:val="0"/>
              <w:marTop w:val="0"/>
              <w:marBottom w:val="0"/>
              <w:divBdr>
                <w:top w:val="none" w:sz="0" w:space="0" w:color="auto"/>
                <w:left w:val="none" w:sz="0" w:space="0" w:color="auto"/>
                <w:bottom w:val="none" w:sz="0" w:space="0" w:color="auto"/>
                <w:right w:val="none" w:sz="0" w:space="0" w:color="auto"/>
              </w:divBdr>
            </w:div>
            <w:div w:id="658460981">
              <w:marLeft w:val="0"/>
              <w:marRight w:val="0"/>
              <w:marTop w:val="0"/>
              <w:marBottom w:val="0"/>
              <w:divBdr>
                <w:top w:val="none" w:sz="0" w:space="0" w:color="auto"/>
                <w:left w:val="none" w:sz="0" w:space="0" w:color="auto"/>
                <w:bottom w:val="none" w:sz="0" w:space="0" w:color="auto"/>
                <w:right w:val="none" w:sz="0" w:space="0" w:color="auto"/>
              </w:divBdr>
            </w:div>
            <w:div w:id="734864632">
              <w:marLeft w:val="0"/>
              <w:marRight w:val="0"/>
              <w:marTop w:val="0"/>
              <w:marBottom w:val="0"/>
              <w:divBdr>
                <w:top w:val="none" w:sz="0" w:space="0" w:color="auto"/>
                <w:left w:val="none" w:sz="0" w:space="0" w:color="auto"/>
                <w:bottom w:val="none" w:sz="0" w:space="0" w:color="auto"/>
                <w:right w:val="none" w:sz="0" w:space="0" w:color="auto"/>
              </w:divBdr>
            </w:div>
            <w:div w:id="742725417">
              <w:marLeft w:val="0"/>
              <w:marRight w:val="0"/>
              <w:marTop w:val="0"/>
              <w:marBottom w:val="0"/>
              <w:divBdr>
                <w:top w:val="none" w:sz="0" w:space="0" w:color="auto"/>
                <w:left w:val="none" w:sz="0" w:space="0" w:color="auto"/>
                <w:bottom w:val="none" w:sz="0" w:space="0" w:color="auto"/>
                <w:right w:val="none" w:sz="0" w:space="0" w:color="auto"/>
              </w:divBdr>
            </w:div>
            <w:div w:id="775170545">
              <w:marLeft w:val="0"/>
              <w:marRight w:val="0"/>
              <w:marTop w:val="0"/>
              <w:marBottom w:val="0"/>
              <w:divBdr>
                <w:top w:val="none" w:sz="0" w:space="0" w:color="auto"/>
                <w:left w:val="none" w:sz="0" w:space="0" w:color="auto"/>
                <w:bottom w:val="none" w:sz="0" w:space="0" w:color="auto"/>
                <w:right w:val="none" w:sz="0" w:space="0" w:color="auto"/>
              </w:divBdr>
            </w:div>
            <w:div w:id="803623143">
              <w:marLeft w:val="0"/>
              <w:marRight w:val="0"/>
              <w:marTop w:val="0"/>
              <w:marBottom w:val="0"/>
              <w:divBdr>
                <w:top w:val="none" w:sz="0" w:space="0" w:color="auto"/>
                <w:left w:val="none" w:sz="0" w:space="0" w:color="auto"/>
                <w:bottom w:val="none" w:sz="0" w:space="0" w:color="auto"/>
                <w:right w:val="none" w:sz="0" w:space="0" w:color="auto"/>
              </w:divBdr>
            </w:div>
            <w:div w:id="821890688">
              <w:marLeft w:val="0"/>
              <w:marRight w:val="0"/>
              <w:marTop w:val="0"/>
              <w:marBottom w:val="0"/>
              <w:divBdr>
                <w:top w:val="none" w:sz="0" w:space="0" w:color="auto"/>
                <w:left w:val="none" w:sz="0" w:space="0" w:color="auto"/>
                <w:bottom w:val="none" w:sz="0" w:space="0" w:color="auto"/>
                <w:right w:val="none" w:sz="0" w:space="0" w:color="auto"/>
              </w:divBdr>
            </w:div>
            <w:div w:id="832261435">
              <w:marLeft w:val="0"/>
              <w:marRight w:val="0"/>
              <w:marTop w:val="0"/>
              <w:marBottom w:val="0"/>
              <w:divBdr>
                <w:top w:val="none" w:sz="0" w:space="0" w:color="auto"/>
                <w:left w:val="none" w:sz="0" w:space="0" w:color="auto"/>
                <w:bottom w:val="none" w:sz="0" w:space="0" w:color="auto"/>
                <w:right w:val="none" w:sz="0" w:space="0" w:color="auto"/>
              </w:divBdr>
            </w:div>
            <w:div w:id="869802616">
              <w:marLeft w:val="0"/>
              <w:marRight w:val="0"/>
              <w:marTop w:val="0"/>
              <w:marBottom w:val="0"/>
              <w:divBdr>
                <w:top w:val="none" w:sz="0" w:space="0" w:color="auto"/>
                <w:left w:val="none" w:sz="0" w:space="0" w:color="auto"/>
                <w:bottom w:val="none" w:sz="0" w:space="0" w:color="auto"/>
                <w:right w:val="none" w:sz="0" w:space="0" w:color="auto"/>
              </w:divBdr>
            </w:div>
            <w:div w:id="889145909">
              <w:marLeft w:val="0"/>
              <w:marRight w:val="0"/>
              <w:marTop w:val="0"/>
              <w:marBottom w:val="0"/>
              <w:divBdr>
                <w:top w:val="none" w:sz="0" w:space="0" w:color="auto"/>
                <w:left w:val="none" w:sz="0" w:space="0" w:color="auto"/>
                <w:bottom w:val="none" w:sz="0" w:space="0" w:color="auto"/>
                <w:right w:val="none" w:sz="0" w:space="0" w:color="auto"/>
              </w:divBdr>
            </w:div>
            <w:div w:id="919830341">
              <w:marLeft w:val="0"/>
              <w:marRight w:val="0"/>
              <w:marTop w:val="0"/>
              <w:marBottom w:val="0"/>
              <w:divBdr>
                <w:top w:val="none" w:sz="0" w:space="0" w:color="auto"/>
                <w:left w:val="none" w:sz="0" w:space="0" w:color="auto"/>
                <w:bottom w:val="none" w:sz="0" w:space="0" w:color="auto"/>
                <w:right w:val="none" w:sz="0" w:space="0" w:color="auto"/>
              </w:divBdr>
            </w:div>
            <w:div w:id="932862323">
              <w:marLeft w:val="0"/>
              <w:marRight w:val="0"/>
              <w:marTop w:val="0"/>
              <w:marBottom w:val="0"/>
              <w:divBdr>
                <w:top w:val="none" w:sz="0" w:space="0" w:color="auto"/>
                <w:left w:val="none" w:sz="0" w:space="0" w:color="auto"/>
                <w:bottom w:val="none" w:sz="0" w:space="0" w:color="auto"/>
                <w:right w:val="none" w:sz="0" w:space="0" w:color="auto"/>
              </w:divBdr>
            </w:div>
            <w:div w:id="960692580">
              <w:marLeft w:val="0"/>
              <w:marRight w:val="0"/>
              <w:marTop w:val="0"/>
              <w:marBottom w:val="0"/>
              <w:divBdr>
                <w:top w:val="none" w:sz="0" w:space="0" w:color="auto"/>
                <w:left w:val="none" w:sz="0" w:space="0" w:color="auto"/>
                <w:bottom w:val="none" w:sz="0" w:space="0" w:color="auto"/>
                <w:right w:val="none" w:sz="0" w:space="0" w:color="auto"/>
              </w:divBdr>
            </w:div>
            <w:div w:id="986545645">
              <w:marLeft w:val="0"/>
              <w:marRight w:val="0"/>
              <w:marTop w:val="0"/>
              <w:marBottom w:val="0"/>
              <w:divBdr>
                <w:top w:val="none" w:sz="0" w:space="0" w:color="auto"/>
                <w:left w:val="none" w:sz="0" w:space="0" w:color="auto"/>
                <w:bottom w:val="none" w:sz="0" w:space="0" w:color="auto"/>
                <w:right w:val="none" w:sz="0" w:space="0" w:color="auto"/>
              </w:divBdr>
            </w:div>
            <w:div w:id="1016544316">
              <w:marLeft w:val="0"/>
              <w:marRight w:val="0"/>
              <w:marTop w:val="0"/>
              <w:marBottom w:val="0"/>
              <w:divBdr>
                <w:top w:val="none" w:sz="0" w:space="0" w:color="auto"/>
                <w:left w:val="none" w:sz="0" w:space="0" w:color="auto"/>
                <w:bottom w:val="none" w:sz="0" w:space="0" w:color="auto"/>
                <w:right w:val="none" w:sz="0" w:space="0" w:color="auto"/>
              </w:divBdr>
            </w:div>
            <w:div w:id="1024861670">
              <w:marLeft w:val="0"/>
              <w:marRight w:val="0"/>
              <w:marTop w:val="0"/>
              <w:marBottom w:val="0"/>
              <w:divBdr>
                <w:top w:val="none" w:sz="0" w:space="0" w:color="auto"/>
                <w:left w:val="none" w:sz="0" w:space="0" w:color="auto"/>
                <w:bottom w:val="none" w:sz="0" w:space="0" w:color="auto"/>
                <w:right w:val="none" w:sz="0" w:space="0" w:color="auto"/>
              </w:divBdr>
            </w:div>
            <w:div w:id="1126507043">
              <w:marLeft w:val="0"/>
              <w:marRight w:val="0"/>
              <w:marTop w:val="0"/>
              <w:marBottom w:val="0"/>
              <w:divBdr>
                <w:top w:val="none" w:sz="0" w:space="0" w:color="auto"/>
                <w:left w:val="none" w:sz="0" w:space="0" w:color="auto"/>
                <w:bottom w:val="none" w:sz="0" w:space="0" w:color="auto"/>
                <w:right w:val="none" w:sz="0" w:space="0" w:color="auto"/>
              </w:divBdr>
            </w:div>
            <w:div w:id="1141774179">
              <w:marLeft w:val="0"/>
              <w:marRight w:val="0"/>
              <w:marTop w:val="0"/>
              <w:marBottom w:val="0"/>
              <w:divBdr>
                <w:top w:val="none" w:sz="0" w:space="0" w:color="auto"/>
                <w:left w:val="none" w:sz="0" w:space="0" w:color="auto"/>
                <w:bottom w:val="none" w:sz="0" w:space="0" w:color="auto"/>
                <w:right w:val="none" w:sz="0" w:space="0" w:color="auto"/>
              </w:divBdr>
            </w:div>
            <w:div w:id="1242325593">
              <w:marLeft w:val="0"/>
              <w:marRight w:val="0"/>
              <w:marTop w:val="0"/>
              <w:marBottom w:val="0"/>
              <w:divBdr>
                <w:top w:val="none" w:sz="0" w:space="0" w:color="auto"/>
                <w:left w:val="none" w:sz="0" w:space="0" w:color="auto"/>
                <w:bottom w:val="none" w:sz="0" w:space="0" w:color="auto"/>
                <w:right w:val="none" w:sz="0" w:space="0" w:color="auto"/>
              </w:divBdr>
            </w:div>
            <w:div w:id="1247693681">
              <w:marLeft w:val="0"/>
              <w:marRight w:val="0"/>
              <w:marTop w:val="0"/>
              <w:marBottom w:val="0"/>
              <w:divBdr>
                <w:top w:val="none" w:sz="0" w:space="0" w:color="auto"/>
                <w:left w:val="none" w:sz="0" w:space="0" w:color="auto"/>
                <w:bottom w:val="none" w:sz="0" w:space="0" w:color="auto"/>
                <w:right w:val="none" w:sz="0" w:space="0" w:color="auto"/>
              </w:divBdr>
            </w:div>
            <w:div w:id="1328096420">
              <w:marLeft w:val="0"/>
              <w:marRight w:val="0"/>
              <w:marTop w:val="0"/>
              <w:marBottom w:val="0"/>
              <w:divBdr>
                <w:top w:val="none" w:sz="0" w:space="0" w:color="auto"/>
                <w:left w:val="none" w:sz="0" w:space="0" w:color="auto"/>
                <w:bottom w:val="none" w:sz="0" w:space="0" w:color="auto"/>
                <w:right w:val="none" w:sz="0" w:space="0" w:color="auto"/>
              </w:divBdr>
            </w:div>
            <w:div w:id="1329363418">
              <w:marLeft w:val="0"/>
              <w:marRight w:val="0"/>
              <w:marTop w:val="0"/>
              <w:marBottom w:val="0"/>
              <w:divBdr>
                <w:top w:val="none" w:sz="0" w:space="0" w:color="auto"/>
                <w:left w:val="none" w:sz="0" w:space="0" w:color="auto"/>
                <w:bottom w:val="none" w:sz="0" w:space="0" w:color="auto"/>
                <w:right w:val="none" w:sz="0" w:space="0" w:color="auto"/>
              </w:divBdr>
            </w:div>
            <w:div w:id="1350637691">
              <w:marLeft w:val="0"/>
              <w:marRight w:val="0"/>
              <w:marTop w:val="0"/>
              <w:marBottom w:val="0"/>
              <w:divBdr>
                <w:top w:val="none" w:sz="0" w:space="0" w:color="auto"/>
                <w:left w:val="none" w:sz="0" w:space="0" w:color="auto"/>
                <w:bottom w:val="none" w:sz="0" w:space="0" w:color="auto"/>
                <w:right w:val="none" w:sz="0" w:space="0" w:color="auto"/>
              </w:divBdr>
            </w:div>
            <w:div w:id="1365251494">
              <w:marLeft w:val="0"/>
              <w:marRight w:val="0"/>
              <w:marTop w:val="0"/>
              <w:marBottom w:val="0"/>
              <w:divBdr>
                <w:top w:val="none" w:sz="0" w:space="0" w:color="auto"/>
                <w:left w:val="none" w:sz="0" w:space="0" w:color="auto"/>
                <w:bottom w:val="none" w:sz="0" w:space="0" w:color="auto"/>
                <w:right w:val="none" w:sz="0" w:space="0" w:color="auto"/>
              </w:divBdr>
            </w:div>
            <w:div w:id="1383943632">
              <w:marLeft w:val="0"/>
              <w:marRight w:val="0"/>
              <w:marTop w:val="0"/>
              <w:marBottom w:val="0"/>
              <w:divBdr>
                <w:top w:val="none" w:sz="0" w:space="0" w:color="auto"/>
                <w:left w:val="none" w:sz="0" w:space="0" w:color="auto"/>
                <w:bottom w:val="none" w:sz="0" w:space="0" w:color="auto"/>
                <w:right w:val="none" w:sz="0" w:space="0" w:color="auto"/>
              </w:divBdr>
            </w:div>
            <w:div w:id="1387798568">
              <w:marLeft w:val="0"/>
              <w:marRight w:val="0"/>
              <w:marTop w:val="0"/>
              <w:marBottom w:val="0"/>
              <w:divBdr>
                <w:top w:val="none" w:sz="0" w:space="0" w:color="auto"/>
                <w:left w:val="none" w:sz="0" w:space="0" w:color="auto"/>
                <w:bottom w:val="none" w:sz="0" w:space="0" w:color="auto"/>
                <w:right w:val="none" w:sz="0" w:space="0" w:color="auto"/>
              </w:divBdr>
            </w:div>
            <w:div w:id="1451782939">
              <w:marLeft w:val="0"/>
              <w:marRight w:val="0"/>
              <w:marTop w:val="0"/>
              <w:marBottom w:val="0"/>
              <w:divBdr>
                <w:top w:val="none" w:sz="0" w:space="0" w:color="auto"/>
                <w:left w:val="none" w:sz="0" w:space="0" w:color="auto"/>
                <w:bottom w:val="none" w:sz="0" w:space="0" w:color="auto"/>
                <w:right w:val="none" w:sz="0" w:space="0" w:color="auto"/>
              </w:divBdr>
            </w:div>
            <w:div w:id="1460562308">
              <w:marLeft w:val="0"/>
              <w:marRight w:val="0"/>
              <w:marTop w:val="0"/>
              <w:marBottom w:val="0"/>
              <w:divBdr>
                <w:top w:val="none" w:sz="0" w:space="0" w:color="auto"/>
                <w:left w:val="none" w:sz="0" w:space="0" w:color="auto"/>
                <w:bottom w:val="none" w:sz="0" w:space="0" w:color="auto"/>
                <w:right w:val="none" w:sz="0" w:space="0" w:color="auto"/>
              </w:divBdr>
            </w:div>
            <w:div w:id="1473716324">
              <w:marLeft w:val="0"/>
              <w:marRight w:val="0"/>
              <w:marTop w:val="0"/>
              <w:marBottom w:val="0"/>
              <w:divBdr>
                <w:top w:val="none" w:sz="0" w:space="0" w:color="auto"/>
                <w:left w:val="none" w:sz="0" w:space="0" w:color="auto"/>
                <w:bottom w:val="none" w:sz="0" w:space="0" w:color="auto"/>
                <w:right w:val="none" w:sz="0" w:space="0" w:color="auto"/>
              </w:divBdr>
            </w:div>
            <w:div w:id="1488782879">
              <w:marLeft w:val="0"/>
              <w:marRight w:val="0"/>
              <w:marTop w:val="0"/>
              <w:marBottom w:val="0"/>
              <w:divBdr>
                <w:top w:val="none" w:sz="0" w:space="0" w:color="auto"/>
                <w:left w:val="none" w:sz="0" w:space="0" w:color="auto"/>
                <w:bottom w:val="none" w:sz="0" w:space="0" w:color="auto"/>
                <w:right w:val="none" w:sz="0" w:space="0" w:color="auto"/>
              </w:divBdr>
            </w:div>
            <w:div w:id="1497260645">
              <w:marLeft w:val="0"/>
              <w:marRight w:val="0"/>
              <w:marTop w:val="0"/>
              <w:marBottom w:val="0"/>
              <w:divBdr>
                <w:top w:val="none" w:sz="0" w:space="0" w:color="auto"/>
                <w:left w:val="none" w:sz="0" w:space="0" w:color="auto"/>
                <w:bottom w:val="none" w:sz="0" w:space="0" w:color="auto"/>
                <w:right w:val="none" w:sz="0" w:space="0" w:color="auto"/>
              </w:divBdr>
            </w:div>
            <w:div w:id="1503157108">
              <w:marLeft w:val="0"/>
              <w:marRight w:val="0"/>
              <w:marTop w:val="0"/>
              <w:marBottom w:val="0"/>
              <w:divBdr>
                <w:top w:val="none" w:sz="0" w:space="0" w:color="auto"/>
                <w:left w:val="none" w:sz="0" w:space="0" w:color="auto"/>
                <w:bottom w:val="none" w:sz="0" w:space="0" w:color="auto"/>
                <w:right w:val="none" w:sz="0" w:space="0" w:color="auto"/>
              </w:divBdr>
            </w:div>
            <w:div w:id="1524397185">
              <w:marLeft w:val="0"/>
              <w:marRight w:val="0"/>
              <w:marTop w:val="0"/>
              <w:marBottom w:val="0"/>
              <w:divBdr>
                <w:top w:val="none" w:sz="0" w:space="0" w:color="auto"/>
                <w:left w:val="none" w:sz="0" w:space="0" w:color="auto"/>
                <w:bottom w:val="none" w:sz="0" w:space="0" w:color="auto"/>
                <w:right w:val="none" w:sz="0" w:space="0" w:color="auto"/>
              </w:divBdr>
            </w:div>
            <w:div w:id="1569924310">
              <w:marLeft w:val="0"/>
              <w:marRight w:val="0"/>
              <w:marTop w:val="0"/>
              <w:marBottom w:val="0"/>
              <w:divBdr>
                <w:top w:val="none" w:sz="0" w:space="0" w:color="auto"/>
                <w:left w:val="none" w:sz="0" w:space="0" w:color="auto"/>
                <w:bottom w:val="none" w:sz="0" w:space="0" w:color="auto"/>
                <w:right w:val="none" w:sz="0" w:space="0" w:color="auto"/>
              </w:divBdr>
            </w:div>
            <w:div w:id="1577784947">
              <w:marLeft w:val="0"/>
              <w:marRight w:val="0"/>
              <w:marTop w:val="0"/>
              <w:marBottom w:val="0"/>
              <w:divBdr>
                <w:top w:val="none" w:sz="0" w:space="0" w:color="auto"/>
                <w:left w:val="none" w:sz="0" w:space="0" w:color="auto"/>
                <w:bottom w:val="none" w:sz="0" w:space="0" w:color="auto"/>
                <w:right w:val="none" w:sz="0" w:space="0" w:color="auto"/>
              </w:divBdr>
            </w:div>
            <w:div w:id="1612543086">
              <w:marLeft w:val="0"/>
              <w:marRight w:val="0"/>
              <w:marTop w:val="0"/>
              <w:marBottom w:val="0"/>
              <w:divBdr>
                <w:top w:val="none" w:sz="0" w:space="0" w:color="auto"/>
                <w:left w:val="none" w:sz="0" w:space="0" w:color="auto"/>
                <w:bottom w:val="none" w:sz="0" w:space="0" w:color="auto"/>
                <w:right w:val="none" w:sz="0" w:space="0" w:color="auto"/>
              </w:divBdr>
            </w:div>
            <w:div w:id="1613510504">
              <w:marLeft w:val="0"/>
              <w:marRight w:val="0"/>
              <w:marTop w:val="0"/>
              <w:marBottom w:val="0"/>
              <w:divBdr>
                <w:top w:val="none" w:sz="0" w:space="0" w:color="auto"/>
                <w:left w:val="none" w:sz="0" w:space="0" w:color="auto"/>
                <w:bottom w:val="none" w:sz="0" w:space="0" w:color="auto"/>
                <w:right w:val="none" w:sz="0" w:space="0" w:color="auto"/>
              </w:divBdr>
            </w:div>
            <w:div w:id="1670714600">
              <w:marLeft w:val="0"/>
              <w:marRight w:val="0"/>
              <w:marTop w:val="0"/>
              <w:marBottom w:val="0"/>
              <w:divBdr>
                <w:top w:val="none" w:sz="0" w:space="0" w:color="auto"/>
                <w:left w:val="none" w:sz="0" w:space="0" w:color="auto"/>
                <w:bottom w:val="none" w:sz="0" w:space="0" w:color="auto"/>
                <w:right w:val="none" w:sz="0" w:space="0" w:color="auto"/>
              </w:divBdr>
            </w:div>
            <w:div w:id="1698307346">
              <w:marLeft w:val="0"/>
              <w:marRight w:val="0"/>
              <w:marTop w:val="0"/>
              <w:marBottom w:val="0"/>
              <w:divBdr>
                <w:top w:val="none" w:sz="0" w:space="0" w:color="auto"/>
                <w:left w:val="none" w:sz="0" w:space="0" w:color="auto"/>
                <w:bottom w:val="none" w:sz="0" w:space="0" w:color="auto"/>
                <w:right w:val="none" w:sz="0" w:space="0" w:color="auto"/>
              </w:divBdr>
            </w:div>
            <w:div w:id="1703281720">
              <w:marLeft w:val="0"/>
              <w:marRight w:val="0"/>
              <w:marTop w:val="0"/>
              <w:marBottom w:val="0"/>
              <w:divBdr>
                <w:top w:val="none" w:sz="0" w:space="0" w:color="auto"/>
                <w:left w:val="none" w:sz="0" w:space="0" w:color="auto"/>
                <w:bottom w:val="none" w:sz="0" w:space="0" w:color="auto"/>
                <w:right w:val="none" w:sz="0" w:space="0" w:color="auto"/>
              </w:divBdr>
            </w:div>
            <w:div w:id="1734695288">
              <w:marLeft w:val="0"/>
              <w:marRight w:val="0"/>
              <w:marTop w:val="0"/>
              <w:marBottom w:val="0"/>
              <w:divBdr>
                <w:top w:val="none" w:sz="0" w:space="0" w:color="auto"/>
                <w:left w:val="none" w:sz="0" w:space="0" w:color="auto"/>
                <w:bottom w:val="none" w:sz="0" w:space="0" w:color="auto"/>
                <w:right w:val="none" w:sz="0" w:space="0" w:color="auto"/>
              </w:divBdr>
            </w:div>
            <w:div w:id="1797016981">
              <w:marLeft w:val="0"/>
              <w:marRight w:val="0"/>
              <w:marTop w:val="0"/>
              <w:marBottom w:val="0"/>
              <w:divBdr>
                <w:top w:val="none" w:sz="0" w:space="0" w:color="auto"/>
                <w:left w:val="none" w:sz="0" w:space="0" w:color="auto"/>
                <w:bottom w:val="none" w:sz="0" w:space="0" w:color="auto"/>
                <w:right w:val="none" w:sz="0" w:space="0" w:color="auto"/>
              </w:divBdr>
            </w:div>
            <w:div w:id="1820610681">
              <w:marLeft w:val="0"/>
              <w:marRight w:val="0"/>
              <w:marTop w:val="0"/>
              <w:marBottom w:val="0"/>
              <w:divBdr>
                <w:top w:val="none" w:sz="0" w:space="0" w:color="auto"/>
                <w:left w:val="none" w:sz="0" w:space="0" w:color="auto"/>
                <w:bottom w:val="none" w:sz="0" w:space="0" w:color="auto"/>
                <w:right w:val="none" w:sz="0" w:space="0" w:color="auto"/>
              </w:divBdr>
            </w:div>
            <w:div w:id="1908758807">
              <w:marLeft w:val="0"/>
              <w:marRight w:val="0"/>
              <w:marTop w:val="0"/>
              <w:marBottom w:val="0"/>
              <w:divBdr>
                <w:top w:val="none" w:sz="0" w:space="0" w:color="auto"/>
                <w:left w:val="none" w:sz="0" w:space="0" w:color="auto"/>
                <w:bottom w:val="none" w:sz="0" w:space="0" w:color="auto"/>
                <w:right w:val="none" w:sz="0" w:space="0" w:color="auto"/>
              </w:divBdr>
            </w:div>
            <w:div w:id="1944262308">
              <w:marLeft w:val="0"/>
              <w:marRight w:val="0"/>
              <w:marTop w:val="0"/>
              <w:marBottom w:val="0"/>
              <w:divBdr>
                <w:top w:val="none" w:sz="0" w:space="0" w:color="auto"/>
                <w:left w:val="none" w:sz="0" w:space="0" w:color="auto"/>
                <w:bottom w:val="none" w:sz="0" w:space="0" w:color="auto"/>
                <w:right w:val="none" w:sz="0" w:space="0" w:color="auto"/>
              </w:divBdr>
            </w:div>
            <w:div w:id="1951890902">
              <w:marLeft w:val="0"/>
              <w:marRight w:val="0"/>
              <w:marTop w:val="0"/>
              <w:marBottom w:val="0"/>
              <w:divBdr>
                <w:top w:val="none" w:sz="0" w:space="0" w:color="auto"/>
                <w:left w:val="none" w:sz="0" w:space="0" w:color="auto"/>
                <w:bottom w:val="none" w:sz="0" w:space="0" w:color="auto"/>
                <w:right w:val="none" w:sz="0" w:space="0" w:color="auto"/>
              </w:divBdr>
            </w:div>
            <w:div w:id="1969432441">
              <w:marLeft w:val="0"/>
              <w:marRight w:val="0"/>
              <w:marTop w:val="0"/>
              <w:marBottom w:val="0"/>
              <w:divBdr>
                <w:top w:val="none" w:sz="0" w:space="0" w:color="auto"/>
                <w:left w:val="none" w:sz="0" w:space="0" w:color="auto"/>
                <w:bottom w:val="none" w:sz="0" w:space="0" w:color="auto"/>
                <w:right w:val="none" w:sz="0" w:space="0" w:color="auto"/>
              </w:divBdr>
            </w:div>
            <w:div w:id="2019117972">
              <w:marLeft w:val="0"/>
              <w:marRight w:val="0"/>
              <w:marTop w:val="0"/>
              <w:marBottom w:val="0"/>
              <w:divBdr>
                <w:top w:val="none" w:sz="0" w:space="0" w:color="auto"/>
                <w:left w:val="none" w:sz="0" w:space="0" w:color="auto"/>
                <w:bottom w:val="none" w:sz="0" w:space="0" w:color="auto"/>
                <w:right w:val="none" w:sz="0" w:space="0" w:color="auto"/>
              </w:divBdr>
            </w:div>
            <w:div w:id="2037071370">
              <w:marLeft w:val="0"/>
              <w:marRight w:val="0"/>
              <w:marTop w:val="0"/>
              <w:marBottom w:val="0"/>
              <w:divBdr>
                <w:top w:val="none" w:sz="0" w:space="0" w:color="auto"/>
                <w:left w:val="none" w:sz="0" w:space="0" w:color="auto"/>
                <w:bottom w:val="none" w:sz="0" w:space="0" w:color="auto"/>
                <w:right w:val="none" w:sz="0" w:space="0" w:color="auto"/>
              </w:divBdr>
            </w:div>
            <w:div w:id="20931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067">
      <w:bodyDiv w:val="1"/>
      <w:marLeft w:val="0"/>
      <w:marRight w:val="0"/>
      <w:marTop w:val="0"/>
      <w:marBottom w:val="0"/>
      <w:divBdr>
        <w:top w:val="none" w:sz="0" w:space="0" w:color="auto"/>
        <w:left w:val="none" w:sz="0" w:space="0" w:color="auto"/>
        <w:bottom w:val="none" w:sz="0" w:space="0" w:color="auto"/>
        <w:right w:val="none" w:sz="0" w:space="0" w:color="auto"/>
      </w:divBdr>
    </w:div>
    <w:div w:id="1301694765">
      <w:bodyDiv w:val="1"/>
      <w:marLeft w:val="0"/>
      <w:marRight w:val="0"/>
      <w:marTop w:val="0"/>
      <w:marBottom w:val="0"/>
      <w:divBdr>
        <w:top w:val="none" w:sz="0" w:space="0" w:color="auto"/>
        <w:left w:val="none" w:sz="0" w:space="0" w:color="auto"/>
        <w:bottom w:val="none" w:sz="0" w:space="0" w:color="auto"/>
        <w:right w:val="none" w:sz="0" w:space="0" w:color="auto"/>
      </w:divBdr>
      <w:divsChild>
        <w:div w:id="875580657">
          <w:marLeft w:val="0"/>
          <w:marRight w:val="0"/>
          <w:marTop w:val="0"/>
          <w:marBottom w:val="0"/>
          <w:divBdr>
            <w:top w:val="none" w:sz="0" w:space="0" w:color="auto"/>
            <w:left w:val="none" w:sz="0" w:space="0" w:color="auto"/>
            <w:bottom w:val="none" w:sz="0" w:space="0" w:color="auto"/>
            <w:right w:val="none" w:sz="0" w:space="0" w:color="auto"/>
          </w:divBdr>
          <w:divsChild>
            <w:div w:id="693964419">
              <w:marLeft w:val="0"/>
              <w:marRight w:val="0"/>
              <w:marTop w:val="0"/>
              <w:marBottom w:val="0"/>
              <w:divBdr>
                <w:top w:val="none" w:sz="0" w:space="0" w:color="auto"/>
                <w:left w:val="none" w:sz="0" w:space="0" w:color="auto"/>
                <w:bottom w:val="none" w:sz="0" w:space="0" w:color="auto"/>
                <w:right w:val="none" w:sz="0" w:space="0" w:color="auto"/>
              </w:divBdr>
              <w:divsChild>
                <w:div w:id="1173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856">
      <w:bodyDiv w:val="1"/>
      <w:marLeft w:val="0"/>
      <w:marRight w:val="0"/>
      <w:marTop w:val="0"/>
      <w:marBottom w:val="0"/>
      <w:divBdr>
        <w:top w:val="none" w:sz="0" w:space="0" w:color="auto"/>
        <w:left w:val="none" w:sz="0" w:space="0" w:color="auto"/>
        <w:bottom w:val="none" w:sz="0" w:space="0" w:color="auto"/>
        <w:right w:val="none" w:sz="0" w:space="0" w:color="auto"/>
      </w:divBdr>
    </w:div>
    <w:div w:id="1322346780">
      <w:bodyDiv w:val="1"/>
      <w:marLeft w:val="0"/>
      <w:marRight w:val="0"/>
      <w:marTop w:val="0"/>
      <w:marBottom w:val="0"/>
      <w:divBdr>
        <w:top w:val="none" w:sz="0" w:space="0" w:color="auto"/>
        <w:left w:val="none" w:sz="0" w:space="0" w:color="auto"/>
        <w:bottom w:val="none" w:sz="0" w:space="0" w:color="auto"/>
        <w:right w:val="none" w:sz="0" w:space="0" w:color="auto"/>
      </w:divBdr>
    </w:div>
    <w:div w:id="1367683677">
      <w:bodyDiv w:val="1"/>
      <w:marLeft w:val="0"/>
      <w:marRight w:val="0"/>
      <w:marTop w:val="0"/>
      <w:marBottom w:val="0"/>
      <w:divBdr>
        <w:top w:val="none" w:sz="0" w:space="0" w:color="auto"/>
        <w:left w:val="none" w:sz="0" w:space="0" w:color="auto"/>
        <w:bottom w:val="none" w:sz="0" w:space="0" w:color="auto"/>
        <w:right w:val="none" w:sz="0" w:space="0" w:color="auto"/>
      </w:divBdr>
      <w:divsChild>
        <w:div w:id="114300102">
          <w:marLeft w:val="0"/>
          <w:marRight w:val="0"/>
          <w:marTop w:val="0"/>
          <w:marBottom w:val="0"/>
          <w:divBdr>
            <w:top w:val="none" w:sz="0" w:space="0" w:color="auto"/>
            <w:left w:val="none" w:sz="0" w:space="0" w:color="auto"/>
            <w:bottom w:val="none" w:sz="0" w:space="0" w:color="auto"/>
            <w:right w:val="none" w:sz="0" w:space="0" w:color="auto"/>
          </w:divBdr>
        </w:div>
        <w:div w:id="237860964">
          <w:marLeft w:val="0"/>
          <w:marRight w:val="0"/>
          <w:marTop w:val="0"/>
          <w:marBottom w:val="0"/>
          <w:divBdr>
            <w:top w:val="none" w:sz="0" w:space="0" w:color="auto"/>
            <w:left w:val="none" w:sz="0" w:space="0" w:color="auto"/>
            <w:bottom w:val="none" w:sz="0" w:space="0" w:color="auto"/>
            <w:right w:val="none" w:sz="0" w:space="0" w:color="auto"/>
          </w:divBdr>
        </w:div>
        <w:div w:id="300810752">
          <w:marLeft w:val="0"/>
          <w:marRight w:val="0"/>
          <w:marTop w:val="0"/>
          <w:marBottom w:val="0"/>
          <w:divBdr>
            <w:top w:val="none" w:sz="0" w:space="0" w:color="auto"/>
            <w:left w:val="none" w:sz="0" w:space="0" w:color="auto"/>
            <w:bottom w:val="none" w:sz="0" w:space="0" w:color="auto"/>
            <w:right w:val="none" w:sz="0" w:space="0" w:color="auto"/>
          </w:divBdr>
        </w:div>
        <w:div w:id="381485487">
          <w:marLeft w:val="0"/>
          <w:marRight w:val="0"/>
          <w:marTop w:val="0"/>
          <w:marBottom w:val="0"/>
          <w:divBdr>
            <w:top w:val="none" w:sz="0" w:space="0" w:color="auto"/>
            <w:left w:val="none" w:sz="0" w:space="0" w:color="auto"/>
            <w:bottom w:val="none" w:sz="0" w:space="0" w:color="auto"/>
            <w:right w:val="none" w:sz="0" w:space="0" w:color="auto"/>
          </w:divBdr>
        </w:div>
        <w:div w:id="556094376">
          <w:marLeft w:val="0"/>
          <w:marRight w:val="0"/>
          <w:marTop w:val="0"/>
          <w:marBottom w:val="0"/>
          <w:divBdr>
            <w:top w:val="none" w:sz="0" w:space="0" w:color="auto"/>
            <w:left w:val="none" w:sz="0" w:space="0" w:color="auto"/>
            <w:bottom w:val="none" w:sz="0" w:space="0" w:color="auto"/>
            <w:right w:val="none" w:sz="0" w:space="0" w:color="auto"/>
          </w:divBdr>
        </w:div>
        <w:div w:id="658193232">
          <w:marLeft w:val="0"/>
          <w:marRight w:val="0"/>
          <w:marTop w:val="0"/>
          <w:marBottom w:val="0"/>
          <w:divBdr>
            <w:top w:val="none" w:sz="0" w:space="0" w:color="auto"/>
            <w:left w:val="none" w:sz="0" w:space="0" w:color="auto"/>
            <w:bottom w:val="none" w:sz="0" w:space="0" w:color="auto"/>
            <w:right w:val="none" w:sz="0" w:space="0" w:color="auto"/>
          </w:divBdr>
        </w:div>
        <w:div w:id="677464611">
          <w:marLeft w:val="0"/>
          <w:marRight w:val="0"/>
          <w:marTop w:val="0"/>
          <w:marBottom w:val="0"/>
          <w:divBdr>
            <w:top w:val="none" w:sz="0" w:space="0" w:color="auto"/>
            <w:left w:val="none" w:sz="0" w:space="0" w:color="auto"/>
            <w:bottom w:val="none" w:sz="0" w:space="0" w:color="auto"/>
            <w:right w:val="none" w:sz="0" w:space="0" w:color="auto"/>
          </w:divBdr>
        </w:div>
        <w:div w:id="770472701">
          <w:marLeft w:val="0"/>
          <w:marRight w:val="0"/>
          <w:marTop w:val="0"/>
          <w:marBottom w:val="0"/>
          <w:divBdr>
            <w:top w:val="none" w:sz="0" w:space="0" w:color="auto"/>
            <w:left w:val="none" w:sz="0" w:space="0" w:color="auto"/>
            <w:bottom w:val="none" w:sz="0" w:space="0" w:color="auto"/>
            <w:right w:val="none" w:sz="0" w:space="0" w:color="auto"/>
          </w:divBdr>
        </w:div>
        <w:div w:id="975448725">
          <w:marLeft w:val="0"/>
          <w:marRight w:val="0"/>
          <w:marTop w:val="0"/>
          <w:marBottom w:val="0"/>
          <w:divBdr>
            <w:top w:val="none" w:sz="0" w:space="0" w:color="auto"/>
            <w:left w:val="none" w:sz="0" w:space="0" w:color="auto"/>
            <w:bottom w:val="none" w:sz="0" w:space="0" w:color="auto"/>
            <w:right w:val="none" w:sz="0" w:space="0" w:color="auto"/>
          </w:divBdr>
        </w:div>
        <w:div w:id="1042830911">
          <w:marLeft w:val="0"/>
          <w:marRight w:val="0"/>
          <w:marTop w:val="0"/>
          <w:marBottom w:val="0"/>
          <w:divBdr>
            <w:top w:val="none" w:sz="0" w:space="0" w:color="auto"/>
            <w:left w:val="none" w:sz="0" w:space="0" w:color="auto"/>
            <w:bottom w:val="none" w:sz="0" w:space="0" w:color="auto"/>
            <w:right w:val="none" w:sz="0" w:space="0" w:color="auto"/>
          </w:divBdr>
        </w:div>
        <w:div w:id="1059858927">
          <w:marLeft w:val="0"/>
          <w:marRight w:val="0"/>
          <w:marTop w:val="0"/>
          <w:marBottom w:val="0"/>
          <w:divBdr>
            <w:top w:val="none" w:sz="0" w:space="0" w:color="auto"/>
            <w:left w:val="none" w:sz="0" w:space="0" w:color="auto"/>
            <w:bottom w:val="none" w:sz="0" w:space="0" w:color="auto"/>
            <w:right w:val="none" w:sz="0" w:space="0" w:color="auto"/>
          </w:divBdr>
        </w:div>
        <w:div w:id="1138231793">
          <w:marLeft w:val="0"/>
          <w:marRight w:val="0"/>
          <w:marTop w:val="0"/>
          <w:marBottom w:val="0"/>
          <w:divBdr>
            <w:top w:val="none" w:sz="0" w:space="0" w:color="auto"/>
            <w:left w:val="none" w:sz="0" w:space="0" w:color="auto"/>
            <w:bottom w:val="none" w:sz="0" w:space="0" w:color="auto"/>
            <w:right w:val="none" w:sz="0" w:space="0" w:color="auto"/>
          </w:divBdr>
        </w:div>
        <w:div w:id="1179386702">
          <w:marLeft w:val="0"/>
          <w:marRight w:val="0"/>
          <w:marTop w:val="0"/>
          <w:marBottom w:val="0"/>
          <w:divBdr>
            <w:top w:val="none" w:sz="0" w:space="0" w:color="auto"/>
            <w:left w:val="none" w:sz="0" w:space="0" w:color="auto"/>
            <w:bottom w:val="none" w:sz="0" w:space="0" w:color="auto"/>
            <w:right w:val="none" w:sz="0" w:space="0" w:color="auto"/>
          </w:divBdr>
        </w:div>
        <w:div w:id="1193306128">
          <w:marLeft w:val="0"/>
          <w:marRight w:val="0"/>
          <w:marTop w:val="0"/>
          <w:marBottom w:val="0"/>
          <w:divBdr>
            <w:top w:val="none" w:sz="0" w:space="0" w:color="auto"/>
            <w:left w:val="none" w:sz="0" w:space="0" w:color="auto"/>
            <w:bottom w:val="none" w:sz="0" w:space="0" w:color="auto"/>
            <w:right w:val="none" w:sz="0" w:space="0" w:color="auto"/>
          </w:divBdr>
        </w:div>
        <w:div w:id="1235428565">
          <w:marLeft w:val="0"/>
          <w:marRight w:val="0"/>
          <w:marTop w:val="0"/>
          <w:marBottom w:val="0"/>
          <w:divBdr>
            <w:top w:val="none" w:sz="0" w:space="0" w:color="auto"/>
            <w:left w:val="none" w:sz="0" w:space="0" w:color="auto"/>
            <w:bottom w:val="none" w:sz="0" w:space="0" w:color="auto"/>
            <w:right w:val="none" w:sz="0" w:space="0" w:color="auto"/>
          </w:divBdr>
        </w:div>
        <w:div w:id="1283918368">
          <w:marLeft w:val="0"/>
          <w:marRight w:val="0"/>
          <w:marTop w:val="0"/>
          <w:marBottom w:val="0"/>
          <w:divBdr>
            <w:top w:val="none" w:sz="0" w:space="0" w:color="auto"/>
            <w:left w:val="none" w:sz="0" w:space="0" w:color="auto"/>
            <w:bottom w:val="none" w:sz="0" w:space="0" w:color="auto"/>
            <w:right w:val="none" w:sz="0" w:space="0" w:color="auto"/>
          </w:divBdr>
        </w:div>
        <w:div w:id="1401097255">
          <w:marLeft w:val="0"/>
          <w:marRight w:val="0"/>
          <w:marTop w:val="0"/>
          <w:marBottom w:val="0"/>
          <w:divBdr>
            <w:top w:val="none" w:sz="0" w:space="0" w:color="auto"/>
            <w:left w:val="none" w:sz="0" w:space="0" w:color="auto"/>
            <w:bottom w:val="none" w:sz="0" w:space="0" w:color="auto"/>
            <w:right w:val="none" w:sz="0" w:space="0" w:color="auto"/>
          </w:divBdr>
        </w:div>
        <w:div w:id="1476332603">
          <w:marLeft w:val="0"/>
          <w:marRight w:val="0"/>
          <w:marTop w:val="0"/>
          <w:marBottom w:val="0"/>
          <w:divBdr>
            <w:top w:val="none" w:sz="0" w:space="0" w:color="auto"/>
            <w:left w:val="none" w:sz="0" w:space="0" w:color="auto"/>
            <w:bottom w:val="none" w:sz="0" w:space="0" w:color="auto"/>
            <w:right w:val="none" w:sz="0" w:space="0" w:color="auto"/>
          </w:divBdr>
        </w:div>
        <w:div w:id="1516767873">
          <w:marLeft w:val="0"/>
          <w:marRight w:val="0"/>
          <w:marTop w:val="0"/>
          <w:marBottom w:val="0"/>
          <w:divBdr>
            <w:top w:val="none" w:sz="0" w:space="0" w:color="auto"/>
            <w:left w:val="none" w:sz="0" w:space="0" w:color="auto"/>
            <w:bottom w:val="none" w:sz="0" w:space="0" w:color="auto"/>
            <w:right w:val="none" w:sz="0" w:space="0" w:color="auto"/>
          </w:divBdr>
        </w:div>
        <w:div w:id="1525099589">
          <w:marLeft w:val="0"/>
          <w:marRight w:val="0"/>
          <w:marTop w:val="0"/>
          <w:marBottom w:val="0"/>
          <w:divBdr>
            <w:top w:val="none" w:sz="0" w:space="0" w:color="auto"/>
            <w:left w:val="none" w:sz="0" w:space="0" w:color="auto"/>
            <w:bottom w:val="none" w:sz="0" w:space="0" w:color="auto"/>
            <w:right w:val="none" w:sz="0" w:space="0" w:color="auto"/>
          </w:divBdr>
        </w:div>
        <w:div w:id="1682077436">
          <w:marLeft w:val="0"/>
          <w:marRight w:val="0"/>
          <w:marTop w:val="0"/>
          <w:marBottom w:val="0"/>
          <w:divBdr>
            <w:top w:val="none" w:sz="0" w:space="0" w:color="auto"/>
            <w:left w:val="none" w:sz="0" w:space="0" w:color="auto"/>
            <w:bottom w:val="none" w:sz="0" w:space="0" w:color="auto"/>
            <w:right w:val="none" w:sz="0" w:space="0" w:color="auto"/>
          </w:divBdr>
        </w:div>
        <w:div w:id="1948079924">
          <w:marLeft w:val="0"/>
          <w:marRight w:val="0"/>
          <w:marTop w:val="0"/>
          <w:marBottom w:val="0"/>
          <w:divBdr>
            <w:top w:val="none" w:sz="0" w:space="0" w:color="auto"/>
            <w:left w:val="none" w:sz="0" w:space="0" w:color="auto"/>
            <w:bottom w:val="none" w:sz="0" w:space="0" w:color="auto"/>
            <w:right w:val="none" w:sz="0" w:space="0" w:color="auto"/>
          </w:divBdr>
        </w:div>
        <w:div w:id="1973094085">
          <w:marLeft w:val="0"/>
          <w:marRight w:val="0"/>
          <w:marTop w:val="0"/>
          <w:marBottom w:val="0"/>
          <w:divBdr>
            <w:top w:val="none" w:sz="0" w:space="0" w:color="auto"/>
            <w:left w:val="none" w:sz="0" w:space="0" w:color="auto"/>
            <w:bottom w:val="none" w:sz="0" w:space="0" w:color="auto"/>
            <w:right w:val="none" w:sz="0" w:space="0" w:color="auto"/>
          </w:divBdr>
        </w:div>
        <w:div w:id="1981615267">
          <w:marLeft w:val="0"/>
          <w:marRight w:val="0"/>
          <w:marTop w:val="0"/>
          <w:marBottom w:val="0"/>
          <w:divBdr>
            <w:top w:val="none" w:sz="0" w:space="0" w:color="auto"/>
            <w:left w:val="none" w:sz="0" w:space="0" w:color="auto"/>
            <w:bottom w:val="none" w:sz="0" w:space="0" w:color="auto"/>
            <w:right w:val="none" w:sz="0" w:space="0" w:color="auto"/>
          </w:divBdr>
        </w:div>
        <w:div w:id="2068260214">
          <w:marLeft w:val="0"/>
          <w:marRight w:val="0"/>
          <w:marTop w:val="0"/>
          <w:marBottom w:val="0"/>
          <w:divBdr>
            <w:top w:val="none" w:sz="0" w:space="0" w:color="auto"/>
            <w:left w:val="none" w:sz="0" w:space="0" w:color="auto"/>
            <w:bottom w:val="none" w:sz="0" w:space="0" w:color="auto"/>
            <w:right w:val="none" w:sz="0" w:space="0" w:color="auto"/>
          </w:divBdr>
        </w:div>
        <w:div w:id="2129854776">
          <w:marLeft w:val="0"/>
          <w:marRight w:val="0"/>
          <w:marTop w:val="0"/>
          <w:marBottom w:val="0"/>
          <w:divBdr>
            <w:top w:val="none" w:sz="0" w:space="0" w:color="auto"/>
            <w:left w:val="none" w:sz="0" w:space="0" w:color="auto"/>
            <w:bottom w:val="none" w:sz="0" w:space="0" w:color="auto"/>
            <w:right w:val="none" w:sz="0" w:space="0" w:color="auto"/>
          </w:divBdr>
        </w:div>
      </w:divsChild>
    </w:div>
    <w:div w:id="1374307903">
      <w:bodyDiv w:val="1"/>
      <w:marLeft w:val="0"/>
      <w:marRight w:val="0"/>
      <w:marTop w:val="0"/>
      <w:marBottom w:val="0"/>
      <w:divBdr>
        <w:top w:val="none" w:sz="0" w:space="0" w:color="auto"/>
        <w:left w:val="none" w:sz="0" w:space="0" w:color="auto"/>
        <w:bottom w:val="none" w:sz="0" w:space="0" w:color="auto"/>
        <w:right w:val="none" w:sz="0" w:space="0" w:color="auto"/>
      </w:divBdr>
    </w:div>
    <w:div w:id="1378551541">
      <w:bodyDiv w:val="1"/>
      <w:marLeft w:val="0"/>
      <w:marRight w:val="0"/>
      <w:marTop w:val="0"/>
      <w:marBottom w:val="0"/>
      <w:divBdr>
        <w:top w:val="none" w:sz="0" w:space="0" w:color="auto"/>
        <w:left w:val="none" w:sz="0" w:space="0" w:color="auto"/>
        <w:bottom w:val="none" w:sz="0" w:space="0" w:color="auto"/>
        <w:right w:val="none" w:sz="0" w:space="0" w:color="auto"/>
      </w:divBdr>
      <w:divsChild>
        <w:div w:id="1189098812">
          <w:marLeft w:val="0"/>
          <w:marRight w:val="0"/>
          <w:marTop w:val="0"/>
          <w:marBottom w:val="0"/>
          <w:divBdr>
            <w:top w:val="none" w:sz="0" w:space="0" w:color="auto"/>
            <w:left w:val="none" w:sz="0" w:space="0" w:color="auto"/>
            <w:bottom w:val="none" w:sz="0" w:space="0" w:color="auto"/>
            <w:right w:val="none" w:sz="0" w:space="0" w:color="auto"/>
          </w:divBdr>
        </w:div>
      </w:divsChild>
    </w:div>
    <w:div w:id="1411778462">
      <w:bodyDiv w:val="1"/>
      <w:marLeft w:val="0"/>
      <w:marRight w:val="0"/>
      <w:marTop w:val="0"/>
      <w:marBottom w:val="0"/>
      <w:divBdr>
        <w:top w:val="none" w:sz="0" w:space="0" w:color="auto"/>
        <w:left w:val="none" w:sz="0" w:space="0" w:color="auto"/>
        <w:bottom w:val="none" w:sz="0" w:space="0" w:color="auto"/>
        <w:right w:val="none" w:sz="0" w:space="0" w:color="auto"/>
      </w:divBdr>
    </w:div>
    <w:div w:id="1440569884">
      <w:bodyDiv w:val="1"/>
      <w:marLeft w:val="0"/>
      <w:marRight w:val="0"/>
      <w:marTop w:val="0"/>
      <w:marBottom w:val="0"/>
      <w:divBdr>
        <w:top w:val="none" w:sz="0" w:space="0" w:color="auto"/>
        <w:left w:val="none" w:sz="0" w:space="0" w:color="auto"/>
        <w:bottom w:val="none" w:sz="0" w:space="0" w:color="auto"/>
        <w:right w:val="none" w:sz="0" w:space="0" w:color="auto"/>
      </w:divBdr>
      <w:divsChild>
        <w:div w:id="495651693">
          <w:marLeft w:val="0"/>
          <w:marRight w:val="0"/>
          <w:marTop w:val="0"/>
          <w:marBottom w:val="0"/>
          <w:divBdr>
            <w:top w:val="none" w:sz="0" w:space="0" w:color="auto"/>
            <w:left w:val="none" w:sz="0" w:space="0" w:color="auto"/>
            <w:bottom w:val="none" w:sz="0" w:space="0" w:color="auto"/>
            <w:right w:val="none" w:sz="0" w:space="0" w:color="auto"/>
          </w:divBdr>
        </w:div>
        <w:div w:id="749354728">
          <w:marLeft w:val="0"/>
          <w:marRight w:val="0"/>
          <w:marTop w:val="0"/>
          <w:marBottom w:val="0"/>
          <w:divBdr>
            <w:top w:val="none" w:sz="0" w:space="0" w:color="auto"/>
            <w:left w:val="none" w:sz="0" w:space="0" w:color="auto"/>
            <w:bottom w:val="none" w:sz="0" w:space="0" w:color="auto"/>
            <w:right w:val="none" w:sz="0" w:space="0" w:color="auto"/>
          </w:divBdr>
        </w:div>
        <w:div w:id="988898865">
          <w:marLeft w:val="0"/>
          <w:marRight w:val="0"/>
          <w:marTop w:val="0"/>
          <w:marBottom w:val="0"/>
          <w:divBdr>
            <w:top w:val="none" w:sz="0" w:space="0" w:color="auto"/>
            <w:left w:val="none" w:sz="0" w:space="0" w:color="auto"/>
            <w:bottom w:val="none" w:sz="0" w:space="0" w:color="auto"/>
            <w:right w:val="none" w:sz="0" w:space="0" w:color="auto"/>
          </w:divBdr>
        </w:div>
        <w:div w:id="1514996401">
          <w:marLeft w:val="0"/>
          <w:marRight w:val="0"/>
          <w:marTop w:val="0"/>
          <w:marBottom w:val="0"/>
          <w:divBdr>
            <w:top w:val="none" w:sz="0" w:space="0" w:color="auto"/>
            <w:left w:val="none" w:sz="0" w:space="0" w:color="auto"/>
            <w:bottom w:val="none" w:sz="0" w:space="0" w:color="auto"/>
            <w:right w:val="none" w:sz="0" w:space="0" w:color="auto"/>
          </w:divBdr>
        </w:div>
        <w:div w:id="1522278217">
          <w:marLeft w:val="0"/>
          <w:marRight w:val="0"/>
          <w:marTop w:val="0"/>
          <w:marBottom w:val="0"/>
          <w:divBdr>
            <w:top w:val="none" w:sz="0" w:space="0" w:color="auto"/>
            <w:left w:val="none" w:sz="0" w:space="0" w:color="auto"/>
            <w:bottom w:val="none" w:sz="0" w:space="0" w:color="auto"/>
            <w:right w:val="none" w:sz="0" w:space="0" w:color="auto"/>
          </w:divBdr>
        </w:div>
      </w:divsChild>
    </w:div>
    <w:div w:id="1441149036">
      <w:bodyDiv w:val="1"/>
      <w:marLeft w:val="0"/>
      <w:marRight w:val="0"/>
      <w:marTop w:val="0"/>
      <w:marBottom w:val="0"/>
      <w:divBdr>
        <w:top w:val="none" w:sz="0" w:space="0" w:color="auto"/>
        <w:left w:val="none" w:sz="0" w:space="0" w:color="auto"/>
        <w:bottom w:val="none" w:sz="0" w:space="0" w:color="auto"/>
        <w:right w:val="none" w:sz="0" w:space="0" w:color="auto"/>
      </w:divBdr>
    </w:div>
    <w:div w:id="1443645585">
      <w:bodyDiv w:val="1"/>
      <w:marLeft w:val="0"/>
      <w:marRight w:val="0"/>
      <w:marTop w:val="0"/>
      <w:marBottom w:val="0"/>
      <w:divBdr>
        <w:top w:val="none" w:sz="0" w:space="0" w:color="auto"/>
        <w:left w:val="none" w:sz="0" w:space="0" w:color="auto"/>
        <w:bottom w:val="none" w:sz="0" w:space="0" w:color="auto"/>
        <w:right w:val="none" w:sz="0" w:space="0" w:color="auto"/>
      </w:divBdr>
      <w:divsChild>
        <w:div w:id="395587990">
          <w:marLeft w:val="0"/>
          <w:marRight w:val="0"/>
          <w:marTop w:val="0"/>
          <w:marBottom w:val="0"/>
          <w:divBdr>
            <w:top w:val="none" w:sz="0" w:space="0" w:color="auto"/>
            <w:left w:val="none" w:sz="0" w:space="0" w:color="auto"/>
            <w:bottom w:val="none" w:sz="0" w:space="0" w:color="auto"/>
            <w:right w:val="none" w:sz="0" w:space="0" w:color="auto"/>
          </w:divBdr>
        </w:div>
      </w:divsChild>
    </w:div>
    <w:div w:id="1479304124">
      <w:bodyDiv w:val="1"/>
      <w:marLeft w:val="0"/>
      <w:marRight w:val="0"/>
      <w:marTop w:val="0"/>
      <w:marBottom w:val="0"/>
      <w:divBdr>
        <w:top w:val="none" w:sz="0" w:space="0" w:color="auto"/>
        <w:left w:val="none" w:sz="0" w:space="0" w:color="auto"/>
        <w:bottom w:val="none" w:sz="0" w:space="0" w:color="auto"/>
        <w:right w:val="none" w:sz="0" w:space="0" w:color="auto"/>
      </w:divBdr>
      <w:divsChild>
        <w:div w:id="1306351751">
          <w:marLeft w:val="0"/>
          <w:marRight w:val="0"/>
          <w:marTop w:val="0"/>
          <w:marBottom w:val="0"/>
          <w:divBdr>
            <w:top w:val="none" w:sz="0" w:space="0" w:color="auto"/>
            <w:left w:val="none" w:sz="0" w:space="0" w:color="auto"/>
            <w:bottom w:val="none" w:sz="0" w:space="0" w:color="auto"/>
            <w:right w:val="none" w:sz="0" w:space="0" w:color="auto"/>
          </w:divBdr>
        </w:div>
      </w:divsChild>
    </w:div>
    <w:div w:id="1537309329">
      <w:bodyDiv w:val="1"/>
      <w:marLeft w:val="0"/>
      <w:marRight w:val="0"/>
      <w:marTop w:val="0"/>
      <w:marBottom w:val="0"/>
      <w:divBdr>
        <w:top w:val="none" w:sz="0" w:space="0" w:color="auto"/>
        <w:left w:val="none" w:sz="0" w:space="0" w:color="auto"/>
        <w:bottom w:val="none" w:sz="0" w:space="0" w:color="auto"/>
        <w:right w:val="none" w:sz="0" w:space="0" w:color="auto"/>
      </w:divBdr>
      <w:divsChild>
        <w:div w:id="1608082438">
          <w:marLeft w:val="0"/>
          <w:marRight w:val="0"/>
          <w:marTop w:val="0"/>
          <w:marBottom w:val="0"/>
          <w:divBdr>
            <w:top w:val="none" w:sz="0" w:space="0" w:color="auto"/>
            <w:left w:val="none" w:sz="0" w:space="0" w:color="auto"/>
            <w:bottom w:val="none" w:sz="0" w:space="0" w:color="auto"/>
            <w:right w:val="none" w:sz="0" w:space="0" w:color="auto"/>
          </w:divBdr>
          <w:divsChild>
            <w:div w:id="1802308591">
              <w:marLeft w:val="0"/>
              <w:marRight w:val="0"/>
              <w:marTop w:val="0"/>
              <w:marBottom w:val="0"/>
              <w:divBdr>
                <w:top w:val="none" w:sz="0" w:space="0" w:color="auto"/>
                <w:left w:val="none" w:sz="0" w:space="0" w:color="auto"/>
                <w:bottom w:val="none" w:sz="0" w:space="0" w:color="auto"/>
                <w:right w:val="none" w:sz="0" w:space="0" w:color="auto"/>
              </w:divBdr>
              <w:divsChild>
                <w:div w:id="20869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7351">
      <w:bodyDiv w:val="1"/>
      <w:marLeft w:val="0"/>
      <w:marRight w:val="0"/>
      <w:marTop w:val="0"/>
      <w:marBottom w:val="0"/>
      <w:divBdr>
        <w:top w:val="none" w:sz="0" w:space="0" w:color="auto"/>
        <w:left w:val="none" w:sz="0" w:space="0" w:color="auto"/>
        <w:bottom w:val="none" w:sz="0" w:space="0" w:color="auto"/>
        <w:right w:val="none" w:sz="0" w:space="0" w:color="auto"/>
      </w:divBdr>
      <w:divsChild>
        <w:div w:id="525945831">
          <w:marLeft w:val="0"/>
          <w:marRight w:val="0"/>
          <w:marTop w:val="0"/>
          <w:marBottom w:val="0"/>
          <w:divBdr>
            <w:top w:val="none" w:sz="0" w:space="0" w:color="auto"/>
            <w:left w:val="none" w:sz="0" w:space="0" w:color="auto"/>
            <w:bottom w:val="none" w:sz="0" w:space="0" w:color="auto"/>
            <w:right w:val="none" w:sz="0" w:space="0" w:color="auto"/>
          </w:divBdr>
        </w:div>
        <w:div w:id="1049299935">
          <w:marLeft w:val="0"/>
          <w:marRight w:val="0"/>
          <w:marTop w:val="0"/>
          <w:marBottom w:val="0"/>
          <w:divBdr>
            <w:top w:val="none" w:sz="0" w:space="0" w:color="auto"/>
            <w:left w:val="none" w:sz="0" w:space="0" w:color="auto"/>
            <w:bottom w:val="none" w:sz="0" w:space="0" w:color="auto"/>
            <w:right w:val="none" w:sz="0" w:space="0" w:color="auto"/>
          </w:divBdr>
        </w:div>
        <w:div w:id="1124275507">
          <w:marLeft w:val="0"/>
          <w:marRight w:val="0"/>
          <w:marTop w:val="0"/>
          <w:marBottom w:val="0"/>
          <w:divBdr>
            <w:top w:val="none" w:sz="0" w:space="0" w:color="auto"/>
            <w:left w:val="none" w:sz="0" w:space="0" w:color="auto"/>
            <w:bottom w:val="none" w:sz="0" w:space="0" w:color="auto"/>
            <w:right w:val="none" w:sz="0" w:space="0" w:color="auto"/>
          </w:divBdr>
        </w:div>
        <w:div w:id="1710689613">
          <w:marLeft w:val="0"/>
          <w:marRight w:val="0"/>
          <w:marTop w:val="0"/>
          <w:marBottom w:val="0"/>
          <w:divBdr>
            <w:top w:val="none" w:sz="0" w:space="0" w:color="auto"/>
            <w:left w:val="none" w:sz="0" w:space="0" w:color="auto"/>
            <w:bottom w:val="none" w:sz="0" w:space="0" w:color="auto"/>
            <w:right w:val="none" w:sz="0" w:space="0" w:color="auto"/>
          </w:divBdr>
        </w:div>
        <w:div w:id="1926570092">
          <w:marLeft w:val="0"/>
          <w:marRight w:val="0"/>
          <w:marTop w:val="0"/>
          <w:marBottom w:val="0"/>
          <w:divBdr>
            <w:top w:val="none" w:sz="0" w:space="0" w:color="auto"/>
            <w:left w:val="none" w:sz="0" w:space="0" w:color="auto"/>
            <w:bottom w:val="none" w:sz="0" w:space="0" w:color="auto"/>
            <w:right w:val="none" w:sz="0" w:space="0" w:color="auto"/>
          </w:divBdr>
        </w:div>
        <w:div w:id="2018460474">
          <w:marLeft w:val="0"/>
          <w:marRight w:val="0"/>
          <w:marTop w:val="0"/>
          <w:marBottom w:val="0"/>
          <w:divBdr>
            <w:top w:val="none" w:sz="0" w:space="0" w:color="auto"/>
            <w:left w:val="none" w:sz="0" w:space="0" w:color="auto"/>
            <w:bottom w:val="none" w:sz="0" w:space="0" w:color="auto"/>
            <w:right w:val="none" w:sz="0" w:space="0" w:color="auto"/>
          </w:divBdr>
        </w:div>
      </w:divsChild>
    </w:div>
    <w:div w:id="1597640417">
      <w:bodyDiv w:val="1"/>
      <w:marLeft w:val="0"/>
      <w:marRight w:val="0"/>
      <w:marTop w:val="0"/>
      <w:marBottom w:val="0"/>
      <w:divBdr>
        <w:top w:val="none" w:sz="0" w:space="0" w:color="auto"/>
        <w:left w:val="none" w:sz="0" w:space="0" w:color="auto"/>
        <w:bottom w:val="none" w:sz="0" w:space="0" w:color="auto"/>
        <w:right w:val="none" w:sz="0" w:space="0" w:color="auto"/>
      </w:divBdr>
      <w:divsChild>
        <w:div w:id="1707372214">
          <w:marLeft w:val="0"/>
          <w:marRight w:val="0"/>
          <w:marTop w:val="0"/>
          <w:marBottom w:val="0"/>
          <w:divBdr>
            <w:top w:val="none" w:sz="0" w:space="0" w:color="auto"/>
            <w:left w:val="none" w:sz="0" w:space="0" w:color="auto"/>
            <w:bottom w:val="none" w:sz="0" w:space="0" w:color="auto"/>
            <w:right w:val="none" w:sz="0" w:space="0" w:color="auto"/>
          </w:divBdr>
          <w:divsChild>
            <w:div w:id="2033727781">
              <w:marLeft w:val="0"/>
              <w:marRight w:val="0"/>
              <w:marTop w:val="0"/>
              <w:marBottom w:val="0"/>
              <w:divBdr>
                <w:top w:val="none" w:sz="0" w:space="0" w:color="auto"/>
                <w:left w:val="none" w:sz="0" w:space="0" w:color="auto"/>
                <w:bottom w:val="none" w:sz="0" w:space="0" w:color="auto"/>
                <w:right w:val="none" w:sz="0" w:space="0" w:color="auto"/>
              </w:divBdr>
              <w:divsChild>
                <w:div w:id="1901941992">
                  <w:marLeft w:val="0"/>
                  <w:marRight w:val="0"/>
                  <w:marTop w:val="0"/>
                  <w:marBottom w:val="0"/>
                  <w:divBdr>
                    <w:top w:val="none" w:sz="0" w:space="0" w:color="auto"/>
                    <w:left w:val="none" w:sz="0" w:space="0" w:color="auto"/>
                    <w:bottom w:val="none" w:sz="0" w:space="0" w:color="auto"/>
                    <w:right w:val="none" w:sz="0" w:space="0" w:color="auto"/>
                  </w:divBdr>
                  <w:divsChild>
                    <w:div w:id="8425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8371">
      <w:bodyDiv w:val="1"/>
      <w:marLeft w:val="0"/>
      <w:marRight w:val="0"/>
      <w:marTop w:val="0"/>
      <w:marBottom w:val="0"/>
      <w:divBdr>
        <w:top w:val="none" w:sz="0" w:space="0" w:color="auto"/>
        <w:left w:val="none" w:sz="0" w:space="0" w:color="auto"/>
        <w:bottom w:val="none" w:sz="0" w:space="0" w:color="auto"/>
        <w:right w:val="none" w:sz="0" w:space="0" w:color="auto"/>
      </w:divBdr>
    </w:div>
    <w:div w:id="1607958259">
      <w:bodyDiv w:val="1"/>
      <w:marLeft w:val="0"/>
      <w:marRight w:val="0"/>
      <w:marTop w:val="0"/>
      <w:marBottom w:val="0"/>
      <w:divBdr>
        <w:top w:val="none" w:sz="0" w:space="0" w:color="auto"/>
        <w:left w:val="none" w:sz="0" w:space="0" w:color="auto"/>
        <w:bottom w:val="none" w:sz="0" w:space="0" w:color="auto"/>
        <w:right w:val="none" w:sz="0" w:space="0" w:color="auto"/>
      </w:divBdr>
      <w:divsChild>
        <w:div w:id="533931800">
          <w:marLeft w:val="0"/>
          <w:marRight w:val="0"/>
          <w:marTop w:val="0"/>
          <w:marBottom w:val="0"/>
          <w:divBdr>
            <w:top w:val="none" w:sz="0" w:space="0" w:color="auto"/>
            <w:left w:val="none" w:sz="0" w:space="0" w:color="auto"/>
            <w:bottom w:val="none" w:sz="0" w:space="0" w:color="auto"/>
            <w:right w:val="none" w:sz="0" w:space="0" w:color="auto"/>
          </w:divBdr>
          <w:divsChild>
            <w:div w:id="448663130">
              <w:marLeft w:val="0"/>
              <w:marRight w:val="0"/>
              <w:marTop w:val="0"/>
              <w:marBottom w:val="0"/>
              <w:divBdr>
                <w:top w:val="none" w:sz="0" w:space="0" w:color="auto"/>
                <w:left w:val="none" w:sz="0" w:space="0" w:color="auto"/>
                <w:bottom w:val="none" w:sz="0" w:space="0" w:color="auto"/>
                <w:right w:val="none" w:sz="0" w:space="0" w:color="auto"/>
              </w:divBdr>
              <w:divsChild>
                <w:div w:id="7140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1344">
      <w:bodyDiv w:val="1"/>
      <w:marLeft w:val="0"/>
      <w:marRight w:val="0"/>
      <w:marTop w:val="0"/>
      <w:marBottom w:val="0"/>
      <w:divBdr>
        <w:top w:val="none" w:sz="0" w:space="0" w:color="auto"/>
        <w:left w:val="none" w:sz="0" w:space="0" w:color="auto"/>
        <w:bottom w:val="none" w:sz="0" w:space="0" w:color="auto"/>
        <w:right w:val="none" w:sz="0" w:space="0" w:color="auto"/>
      </w:divBdr>
    </w:div>
    <w:div w:id="1623799688">
      <w:bodyDiv w:val="1"/>
      <w:marLeft w:val="0"/>
      <w:marRight w:val="0"/>
      <w:marTop w:val="0"/>
      <w:marBottom w:val="0"/>
      <w:divBdr>
        <w:top w:val="none" w:sz="0" w:space="0" w:color="auto"/>
        <w:left w:val="none" w:sz="0" w:space="0" w:color="auto"/>
        <w:bottom w:val="none" w:sz="0" w:space="0" w:color="auto"/>
        <w:right w:val="none" w:sz="0" w:space="0" w:color="auto"/>
      </w:divBdr>
    </w:div>
    <w:div w:id="1632829557">
      <w:bodyDiv w:val="1"/>
      <w:marLeft w:val="0"/>
      <w:marRight w:val="0"/>
      <w:marTop w:val="0"/>
      <w:marBottom w:val="0"/>
      <w:divBdr>
        <w:top w:val="none" w:sz="0" w:space="0" w:color="auto"/>
        <w:left w:val="none" w:sz="0" w:space="0" w:color="auto"/>
        <w:bottom w:val="none" w:sz="0" w:space="0" w:color="auto"/>
        <w:right w:val="none" w:sz="0" w:space="0" w:color="auto"/>
      </w:divBdr>
      <w:divsChild>
        <w:div w:id="1173105689">
          <w:marLeft w:val="0"/>
          <w:marRight w:val="0"/>
          <w:marTop w:val="0"/>
          <w:marBottom w:val="0"/>
          <w:divBdr>
            <w:top w:val="none" w:sz="0" w:space="0" w:color="auto"/>
            <w:left w:val="none" w:sz="0" w:space="0" w:color="auto"/>
            <w:bottom w:val="none" w:sz="0" w:space="0" w:color="auto"/>
            <w:right w:val="none" w:sz="0" w:space="0" w:color="auto"/>
          </w:divBdr>
          <w:divsChild>
            <w:div w:id="1060132064">
              <w:marLeft w:val="0"/>
              <w:marRight w:val="0"/>
              <w:marTop w:val="0"/>
              <w:marBottom w:val="0"/>
              <w:divBdr>
                <w:top w:val="none" w:sz="0" w:space="0" w:color="auto"/>
                <w:left w:val="none" w:sz="0" w:space="0" w:color="auto"/>
                <w:bottom w:val="none" w:sz="0" w:space="0" w:color="auto"/>
                <w:right w:val="none" w:sz="0" w:space="0" w:color="auto"/>
              </w:divBdr>
              <w:divsChild>
                <w:div w:id="5883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4004">
      <w:bodyDiv w:val="1"/>
      <w:marLeft w:val="0"/>
      <w:marRight w:val="0"/>
      <w:marTop w:val="0"/>
      <w:marBottom w:val="0"/>
      <w:divBdr>
        <w:top w:val="none" w:sz="0" w:space="0" w:color="auto"/>
        <w:left w:val="none" w:sz="0" w:space="0" w:color="auto"/>
        <w:bottom w:val="none" w:sz="0" w:space="0" w:color="auto"/>
        <w:right w:val="none" w:sz="0" w:space="0" w:color="auto"/>
      </w:divBdr>
      <w:divsChild>
        <w:div w:id="573470380">
          <w:marLeft w:val="0"/>
          <w:marRight w:val="0"/>
          <w:marTop w:val="0"/>
          <w:marBottom w:val="0"/>
          <w:divBdr>
            <w:top w:val="none" w:sz="0" w:space="0" w:color="auto"/>
            <w:left w:val="none" w:sz="0" w:space="0" w:color="auto"/>
            <w:bottom w:val="none" w:sz="0" w:space="0" w:color="auto"/>
            <w:right w:val="none" w:sz="0" w:space="0" w:color="auto"/>
          </w:divBdr>
        </w:div>
        <w:div w:id="887036036">
          <w:marLeft w:val="0"/>
          <w:marRight w:val="0"/>
          <w:marTop w:val="0"/>
          <w:marBottom w:val="0"/>
          <w:divBdr>
            <w:top w:val="none" w:sz="0" w:space="0" w:color="auto"/>
            <w:left w:val="none" w:sz="0" w:space="0" w:color="auto"/>
            <w:bottom w:val="none" w:sz="0" w:space="0" w:color="auto"/>
            <w:right w:val="none" w:sz="0" w:space="0" w:color="auto"/>
          </w:divBdr>
        </w:div>
        <w:div w:id="1248535530">
          <w:marLeft w:val="0"/>
          <w:marRight w:val="0"/>
          <w:marTop w:val="0"/>
          <w:marBottom w:val="0"/>
          <w:divBdr>
            <w:top w:val="none" w:sz="0" w:space="0" w:color="auto"/>
            <w:left w:val="none" w:sz="0" w:space="0" w:color="auto"/>
            <w:bottom w:val="none" w:sz="0" w:space="0" w:color="auto"/>
            <w:right w:val="none" w:sz="0" w:space="0" w:color="auto"/>
          </w:divBdr>
        </w:div>
      </w:divsChild>
    </w:div>
    <w:div w:id="1673676405">
      <w:bodyDiv w:val="1"/>
      <w:marLeft w:val="0"/>
      <w:marRight w:val="0"/>
      <w:marTop w:val="0"/>
      <w:marBottom w:val="0"/>
      <w:divBdr>
        <w:top w:val="none" w:sz="0" w:space="0" w:color="auto"/>
        <w:left w:val="none" w:sz="0" w:space="0" w:color="auto"/>
        <w:bottom w:val="none" w:sz="0" w:space="0" w:color="auto"/>
        <w:right w:val="none" w:sz="0" w:space="0" w:color="auto"/>
      </w:divBdr>
      <w:divsChild>
        <w:div w:id="470170487">
          <w:marLeft w:val="0"/>
          <w:marRight w:val="0"/>
          <w:marTop w:val="0"/>
          <w:marBottom w:val="0"/>
          <w:divBdr>
            <w:top w:val="none" w:sz="0" w:space="0" w:color="auto"/>
            <w:left w:val="none" w:sz="0" w:space="0" w:color="auto"/>
            <w:bottom w:val="none" w:sz="0" w:space="0" w:color="auto"/>
            <w:right w:val="none" w:sz="0" w:space="0" w:color="auto"/>
          </w:divBdr>
          <w:divsChild>
            <w:div w:id="270549511">
              <w:marLeft w:val="0"/>
              <w:marRight w:val="0"/>
              <w:marTop w:val="0"/>
              <w:marBottom w:val="0"/>
              <w:divBdr>
                <w:top w:val="none" w:sz="0" w:space="0" w:color="auto"/>
                <w:left w:val="none" w:sz="0" w:space="0" w:color="auto"/>
                <w:bottom w:val="none" w:sz="0" w:space="0" w:color="auto"/>
                <w:right w:val="none" w:sz="0" w:space="0" w:color="auto"/>
              </w:divBdr>
              <w:divsChild>
                <w:div w:id="17002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228224">
      <w:bodyDiv w:val="1"/>
      <w:marLeft w:val="0"/>
      <w:marRight w:val="0"/>
      <w:marTop w:val="0"/>
      <w:marBottom w:val="0"/>
      <w:divBdr>
        <w:top w:val="none" w:sz="0" w:space="0" w:color="auto"/>
        <w:left w:val="none" w:sz="0" w:space="0" w:color="auto"/>
        <w:bottom w:val="none" w:sz="0" w:space="0" w:color="auto"/>
        <w:right w:val="none" w:sz="0" w:space="0" w:color="auto"/>
      </w:divBdr>
      <w:divsChild>
        <w:div w:id="412896891">
          <w:marLeft w:val="0"/>
          <w:marRight w:val="0"/>
          <w:marTop w:val="0"/>
          <w:marBottom w:val="0"/>
          <w:divBdr>
            <w:top w:val="none" w:sz="0" w:space="0" w:color="auto"/>
            <w:left w:val="none" w:sz="0" w:space="0" w:color="auto"/>
            <w:bottom w:val="none" w:sz="0" w:space="0" w:color="auto"/>
            <w:right w:val="none" w:sz="0" w:space="0" w:color="auto"/>
          </w:divBdr>
          <w:divsChild>
            <w:div w:id="1836917680">
              <w:marLeft w:val="0"/>
              <w:marRight w:val="0"/>
              <w:marTop w:val="0"/>
              <w:marBottom w:val="0"/>
              <w:divBdr>
                <w:top w:val="none" w:sz="0" w:space="0" w:color="auto"/>
                <w:left w:val="none" w:sz="0" w:space="0" w:color="auto"/>
                <w:bottom w:val="none" w:sz="0" w:space="0" w:color="auto"/>
                <w:right w:val="none" w:sz="0" w:space="0" w:color="auto"/>
              </w:divBdr>
              <w:divsChild>
                <w:div w:id="2141419207">
                  <w:marLeft w:val="0"/>
                  <w:marRight w:val="0"/>
                  <w:marTop w:val="0"/>
                  <w:marBottom w:val="0"/>
                  <w:divBdr>
                    <w:top w:val="none" w:sz="0" w:space="0" w:color="auto"/>
                    <w:left w:val="none" w:sz="0" w:space="0" w:color="auto"/>
                    <w:bottom w:val="none" w:sz="0" w:space="0" w:color="auto"/>
                    <w:right w:val="none" w:sz="0" w:space="0" w:color="auto"/>
                  </w:divBdr>
                  <w:divsChild>
                    <w:div w:id="8299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30003">
      <w:bodyDiv w:val="1"/>
      <w:marLeft w:val="0"/>
      <w:marRight w:val="0"/>
      <w:marTop w:val="0"/>
      <w:marBottom w:val="0"/>
      <w:divBdr>
        <w:top w:val="none" w:sz="0" w:space="0" w:color="auto"/>
        <w:left w:val="none" w:sz="0" w:space="0" w:color="auto"/>
        <w:bottom w:val="none" w:sz="0" w:space="0" w:color="auto"/>
        <w:right w:val="none" w:sz="0" w:space="0" w:color="auto"/>
      </w:divBdr>
    </w:div>
    <w:div w:id="1799104373">
      <w:bodyDiv w:val="1"/>
      <w:marLeft w:val="0"/>
      <w:marRight w:val="0"/>
      <w:marTop w:val="0"/>
      <w:marBottom w:val="0"/>
      <w:divBdr>
        <w:top w:val="none" w:sz="0" w:space="0" w:color="auto"/>
        <w:left w:val="none" w:sz="0" w:space="0" w:color="auto"/>
        <w:bottom w:val="none" w:sz="0" w:space="0" w:color="auto"/>
        <w:right w:val="none" w:sz="0" w:space="0" w:color="auto"/>
      </w:divBdr>
      <w:divsChild>
        <w:div w:id="1407914735">
          <w:marLeft w:val="0"/>
          <w:marRight w:val="0"/>
          <w:marTop w:val="0"/>
          <w:marBottom w:val="0"/>
          <w:divBdr>
            <w:top w:val="none" w:sz="0" w:space="0" w:color="auto"/>
            <w:left w:val="none" w:sz="0" w:space="0" w:color="auto"/>
            <w:bottom w:val="none" w:sz="0" w:space="0" w:color="auto"/>
            <w:right w:val="none" w:sz="0" w:space="0" w:color="auto"/>
          </w:divBdr>
        </w:div>
        <w:div w:id="1624001681">
          <w:marLeft w:val="0"/>
          <w:marRight w:val="0"/>
          <w:marTop w:val="0"/>
          <w:marBottom w:val="0"/>
          <w:divBdr>
            <w:top w:val="none" w:sz="0" w:space="0" w:color="auto"/>
            <w:left w:val="none" w:sz="0" w:space="0" w:color="auto"/>
            <w:bottom w:val="none" w:sz="0" w:space="0" w:color="auto"/>
            <w:right w:val="none" w:sz="0" w:space="0" w:color="auto"/>
          </w:divBdr>
        </w:div>
        <w:div w:id="1935816043">
          <w:marLeft w:val="0"/>
          <w:marRight w:val="0"/>
          <w:marTop w:val="0"/>
          <w:marBottom w:val="0"/>
          <w:divBdr>
            <w:top w:val="none" w:sz="0" w:space="0" w:color="auto"/>
            <w:left w:val="none" w:sz="0" w:space="0" w:color="auto"/>
            <w:bottom w:val="none" w:sz="0" w:space="0" w:color="auto"/>
            <w:right w:val="none" w:sz="0" w:space="0" w:color="auto"/>
          </w:divBdr>
        </w:div>
      </w:divsChild>
    </w:div>
    <w:div w:id="1837765655">
      <w:bodyDiv w:val="1"/>
      <w:marLeft w:val="0"/>
      <w:marRight w:val="0"/>
      <w:marTop w:val="0"/>
      <w:marBottom w:val="0"/>
      <w:divBdr>
        <w:top w:val="none" w:sz="0" w:space="0" w:color="auto"/>
        <w:left w:val="none" w:sz="0" w:space="0" w:color="auto"/>
        <w:bottom w:val="none" w:sz="0" w:space="0" w:color="auto"/>
        <w:right w:val="none" w:sz="0" w:space="0" w:color="auto"/>
      </w:divBdr>
      <w:divsChild>
        <w:div w:id="1652055231">
          <w:marLeft w:val="0"/>
          <w:marRight w:val="0"/>
          <w:marTop w:val="0"/>
          <w:marBottom w:val="0"/>
          <w:divBdr>
            <w:top w:val="none" w:sz="0" w:space="0" w:color="auto"/>
            <w:left w:val="none" w:sz="0" w:space="0" w:color="auto"/>
            <w:bottom w:val="none" w:sz="0" w:space="0" w:color="auto"/>
            <w:right w:val="none" w:sz="0" w:space="0" w:color="auto"/>
          </w:divBdr>
          <w:divsChild>
            <w:div w:id="812915443">
              <w:marLeft w:val="0"/>
              <w:marRight w:val="0"/>
              <w:marTop w:val="0"/>
              <w:marBottom w:val="0"/>
              <w:divBdr>
                <w:top w:val="none" w:sz="0" w:space="0" w:color="auto"/>
                <w:left w:val="none" w:sz="0" w:space="0" w:color="auto"/>
                <w:bottom w:val="none" w:sz="0" w:space="0" w:color="auto"/>
                <w:right w:val="none" w:sz="0" w:space="0" w:color="auto"/>
              </w:divBdr>
              <w:divsChild>
                <w:div w:id="464351655">
                  <w:marLeft w:val="0"/>
                  <w:marRight w:val="0"/>
                  <w:marTop w:val="0"/>
                  <w:marBottom w:val="0"/>
                  <w:divBdr>
                    <w:top w:val="none" w:sz="0" w:space="0" w:color="auto"/>
                    <w:left w:val="none" w:sz="0" w:space="0" w:color="auto"/>
                    <w:bottom w:val="none" w:sz="0" w:space="0" w:color="auto"/>
                    <w:right w:val="none" w:sz="0" w:space="0" w:color="auto"/>
                  </w:divBdr>
                </w:div>
              </w:divsChild>
            </w:div>
            <w:div w:id="1210606562">
              <w:marLeft w:val="0"/>
              <w:marRight w:val="0"/>
              <w:marTop w:val="0"/>
              <w:marBottom w:val="0"/>
              <w:divBdr>
                <w:top w:val="none" w:sz="0" w:space="0" w:color="auto"/>
                <w:left w:val="none" w:sz="0" w:space="0" w:color="auto"/>
                <w:bottom w:val="none" w:sz="0" w:space="0" w:color="auto"/>
                <w:right w:val="none" w:sz="0" w:space="0" w:color="auto"/>
              </w:divBdr>
              <w:divsChild>
                <w:div w:id="1897618797">
                  <w:marLeft w:val="0"/>
                  <w:marRight w:val="0"/>
                  <w:marTop w:val="0"/>
                  <w:marBottom w:val="0"/>
                  <w:divBdr>
                    <w:top w:val="none" w:sz="0" w:space="0" w:color="auto"/>
                    <w:left w:val="none" w:sz="0" w:space="0" w:color="auto"/>
                    <w:bottom w:val="none" w:sz="0" w:space="0" w:color="auto"/>
                    <w:right w:val="none" w:sz="0" w:space="0" w:color="auto"/>
                  </w:divBdr>
                </w:div>
              </w:divsChild>
            </w:div>
            <w:div w:id="1762028524">
              <w:marLeft w:val="0"/>
              <w:marRight w:val="0"/>
              <w:marTop w:val="0"/>
              <w:marBottom w:val="0"/>
              <w:divBdr>
                <w:top w:val="none" w:sz="0" w:space="0" w:color="auto"/>
                <w:left w:val="none" w:sz="0" w:space="0" w:color="auto"/>
                <w:bottom w:val="none" w:sz="0" w:space="0" w:color="auto"/>
                <w:right w:val="none" w:sz="0" w:space="0" w:color="auto"/>
              </w:divBdr>
              <w:divsChild>
                <w:div w:id="385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9097">
          <w:marLeft w:val="0"/>
          <w:marRight w:val="0"/>
          <w:marTop w:val="0"/>
          <w:marBottom w:val="0"/>
          <w:divBdr>
            <w:top w:val="none" w:sz="0" w:space="0" w:color="auto"/>
            <w:left w:val="none" w:sz="0" w:space="0" w:color="auto"/>
            <w:bottom w:val="none" w:sz="0" w:space="0" w:color="auto"/>
            <w:right w:val="none" w:sz="0" w:space="0" w:color="auto"/>
          </w:divBdr>
          <w:divsChild>
            <w:div w:id="456141224">
              <w:marLeft w:val="0"/>
              <w:marRight w:val="0"/>
              <w:marTop w:val="0"/>
              <w:marBottom w:val="0"/>
              <w:divBdr>
                <w:top w:val="none" w:sz="0" w:space="0" w:color="auto"/>
                <w:left w:val="none" w:sz="0" w:space="0" w:color="auto"/>
                <w:bottom w:val="none" w:sz="0" w:space="0" w:color="auto"/>
                <w:right w:val="none" w:sz="0" w:space="0" w:color="auto"/>
              </w:divBdr>
              <w:divsChild>
                <w:div w:id="745957044">
                  <w:marLeft w:val="0"/>
                  <w:marRight w:val="0"/>
                  <w:marTop w:val="0"/>
                  <w:marBottom w:val="0"/>
                  <w:divBdr>
                    <w:top w:val="none" w:sz="0" w:space="0" w:color="auto"/>
                    <w:left w:val="none" w:sz="0" w:space="0" w:color="auto"/>
                    <w:bottom w:val="none" w:sz="0" w:space="0" w:color="auto"/>
                    <w:right w:val="none" w:sz="0" w:space="0" w:color="auto"/>
                  </w:divBdr>
                </w:div>
                <w:div w:id="756750091">
                  <w:marLeft w:val="0"/>
                  <w:marRight w:val="0"/>
                  <w:marTop w:val="0"/>
                  <w:marBottom w:val="0"/>
                  <w:divBdr>
                    <w:top w:val="none" w:sz="0" w:space="0" w:color="auto"/>
                    <w:left w:val="none" w:sz="0" w:space="0" w:color="auto"/>
                    <w:bottom w:val="none" w:sz="0" w:space="0" w:color="auto"/>
                    <w:right w:val="none" w:sz="0" w:space="0" w:color="auto"/>
                  </w:divBdr>
                </w:div>
              </w:divsChild>
            </w:div>
            <w:div w:id="1595280683">
              <w:marLeft w:val="0"/>
              <w:marRight w:val="0"/>
              <w:marTop w:val="0"/>
              <w:marBottom w:val="0"/>
              <w:divBdr>
                <w:top w:val="none" w:sz="0" w:space="0" w:color="auto"/>
                <w:left w:val="none" w:sz="0" w:space="0" w:color="auto"/>
                <w:bottom w:val="none" w:sz="0" w:space="0" w:color="auto"/>
                <w:right w:val="none" w:sz="0" w:space="0" w:color="auto"/>
              </w:divBdr>
              <w:divsChild>
                <w:div w:id="6401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2019">
          <w:marLeft w:val="0"/>
          <w:marRight w:val="0"/>
          <w:marTop w:val="0"/>
          <w:marBottom w:val="0"/>
          <w:divBdr>
            <w:top w:val="none" w:sz="0" w:space="0" w:color="auto"/>
            <w:left w:val="none" w:sz="0" w:space="0" w:color="auto"/>
            <w:bottom w:val="none" w:sz="0" w:space="0" w:color="auto"/>
            <w:right w:val="none" w:sz="0" w:space="0" w:color="auto"/>
          </w:divBdr>
          <w:divsChild>
            <w:div w:id="244842707">
              <w:marLeft w:val="0"/>
              <w:marRight w:val="0"/>
              <w:marTop w:val="0"/>
              <w:marBottom w:val="0"/>
              <w:divBdr>
                <w:top w:val="none" w:sz="0" w:space="0" w:color="auto"/>
                <w:left w:val="none" w:sz="0" w:space="0" w:color="auto"/>
                <w:bottom w:val="none" w:sz="0" w:space="0" w:color="auto"/>
                <w:right w:val="none" w:sz="0" w:space="0" w:color="auto"/>
              </w:divBdr>
              <w:divsChild>
                <w:div w:id="136723279">
                  <w:marLeft w:val="0"/>
                  <w:marRight w:val="0"/>
                  <w:marTop w:val="0"/>
                  <w:marBottom w:val="0"/>
                  <w:divBdr>
                    <w:top w:val="none" w:sz="0" w:space="0" w:color="auto"/>
                    <w:left w:val="none" w:sz="0" w:space="0" w:color="auto"/>
                    <w:bottom w:val="none" w:sz="0" w:space="0" w:color="auto"/>
                    <w:right w:val="none" w:sz="0" w:space="0" w:color="auto"/>
                  </w:divBdr>
                </w:div>
                <w:div w:id="1847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66274">
      <w:bodyDiv w:val="1"/>
      <w:marLeft w:val="0"/>
      <w:marRight w:val="0"/>
      <w:marTop w:val="0"/>
      <w:marBottom w:val="0"/>
      <w:divBdr>
        <w:top w:val="none" w:sz="0" w:space="0" w:color="auto"/>
        <w:left w:val="none" w:sz="0" w:space="0" w:color="auto"/>
        <w:bottom w:val="none" w:sz="0" w:space="0" w:color="auto"/>
        <w:right w:val="none" w:sz="0" w:space="0" w:color="auto"/>
      </w:divBdr>
      <w:divsChild>
        <w:div w:id="533494752">
          <w:marLeft w:val="0"/>
          <w:marRight w:val="0"/>
          <w:marTop w:val="0"/>
          <w:marBottom w:val="0"/>
          <w:divBdr>
            <w:top w:val="none" w:sz="0" w:space="0" w:color="auto"/>
            <w:left w:val="none" w:sz="0" w:space="0" w:color="auto"/>
            <w:bottom w:val="none" w:sz="0" w:space="0" w:color="auto"/>
            <w:right w:val="none" w:sz="0" w:space="0" w:color="auto"/>
          </w:divBdr>
        </w:div>
        <w:div w:id="1725443201">
          <w:marLeft w:val="0"/>
          <w:marRight w:val="0"/>
          <w:marTop w:val="0"/>
          <w:marBottom w:val="0"/>
          <w:divBdr>
            <w:top w:val="none" w:sz="0" w:space="0" w:color="auto"/>
            <w:left w:val="none" w:sz="0" w:space="0" w:color="auto"/>
            <w:bottom w:val="none" w:sz="0" w:space="0" w:color="auto"/>
            <w:right w:val="none" w:sz="0" w:space="0" w:color="auto"/>
          </w:divBdr>
        </w:div>
      </w:divsChild>
    </w:div>
    <w:div w:id="1888100975">
      <w:bodyDiv w:val="1"/>
      <w:marLeft w:val="0"/>
      <w:marRight w:val="0"/>
      <w:marTop w:val="0"/>
      <w:marBottom w:val="0"/>
      <w:divBdr>
        <w:top w:val="none" w:sz="0" w:space="0" w:color="auto"/>
        <w:left w:val="none" w:sz="0" w:space="0" w:color="auto"/>
        <w:bottom w:val="none" w:sz="0" w:space="0" w:color="auto"/>
        <w:right w:val="none" w:sz="0" w:space="0" w:color="auto"/>
      </w:divBdr>
    </w:div>
    <w:div w:id="1901861429">
      <w:bodyDiv w:val="1"/>
      <w:marLeft w:val="0"/>
      <w:marRight w:val="0"/>
      <w:marTop w:val="0"/>
      <w:marBottom w:val="0"/>
      <w:divBdr>
        <w:top w:val="none" w:sz="0" w:space="0" w:color="auto"/>
        <w:left w:val="none" w:sz="0" w:space="0" w:color="auto"/>
        <w:bottom w:val="none" w:sz="0" w:space="0" w:color="auto"/>
        <w:right w:val="none" w:sz="0" w:space="0" w:color="auto"/>
      </w:divBdr>
      <w:divsChild>
        <w:div w:id="1079139137">
          <w:marLeft w:val="0"/>
          <w:marRight w:val="0"/>
          <w:marTop w:val="0"/>
          <w:marBottom w:val="0"/>
          <w:divBdr>
            <w:top w:val="none" w:sz="0" w:space="0" w:color="auto"/>
            <w:left w:val="none" w:sz="0" w:space="0" w:color="auto"/>
            <w:bottom w:val="none" w:sz="0" w:space="0" w:color="auto"/>
            <w:right w:val="none" w:sz="0" w:space="0" w:color="auto"/>
          </w:divBdr>
          <w:divsChild>
            <w:div w:id="45225363">
              <w:marLeft w:val="0"/>
              <w:marRight w:val="0"/>
              <w:marTop w:val="0"/>
              <w:marBottom w:val="0"/>
              <w:divBdr>
                <w:top w:val="none" w:sz="0" w:space="0" w:color="auto"/>
                <w:left w:val="none" w:sz="0" w:space="0" w:color="auto"/>
                <w:bottom w:val="none" w:sz="0" w:space="0" w:color="auto"/>
                <w:right w:val="none" w:sz="0" w:space="0" w:color="auto"/>
              </w:divBdr>
              <w:divsChild>
                <w:div w:id="2025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6320">
      <w:bodyDiv w:val="1"/>
      <w:marLeft w:val="0"/>
      <w:marRight w:val="0"/>
      <w:marTop w:val="0"/>
      <w:marBottom w:val="0"/>
      <w:divBdr>
        <w:top w:val="none" w:sz="0" w:space="0" w:color="auto"/>
        <w:left w:val="none" w:sz="0" w:space="0" w:color="auto"/>
        <w:bottom w:val="none" w:sz="0" w:space="0" w:color="auto"/>
        <w:right w:val="none" w:sz="0" w:space="0" w:color="auto"/>
      </w:divBdr>
      <w:divsChild>
        <w:div w:id="747534533">
          <w:marLeft w:val="0"/>
          <w:marRight w:val="0"/>
          <w:marTop w:val="0"/>
          <w:marBottom w:val="0"/>
          <w:divBdr>
            <w:top w:val="none" w:sz="0" w:space="0" w:color="auto"/>
            <w:left w:val="none" w:sz="0" w:space="0" w:color="auto"/>
            <w:bottom w:val="none" w:sz="0" w:space="0" w:color="auto"/>
            <w:right w:val="none" w:sz="0" w:space="0" w:color="auto"/>
          </w:divBdr>
        </w:div>
        <w:div w:id="1452093016">
          <w:marLeft w:val="0"/>
          <w:marRight w:val="0"/>
          <w:marTop w:val="0"/>
          <w:marBottom w:val="0"/>
          <w:divBdr>
            <w:top w:val="none" w:sz="0" w:space="0" w:color="auto"/>
            <w:left w:val="none" w:sz="0" w:space="0" w:color="auto"/>
            <w:bottom w:val="none" w:sz="0" w:space="0" w:color="auto"/>
            <w:right w:val="none" w:sz="0" w:space="0" w:color="auto"/>
          </w:divBdr>
        </w:div>
      </w:divsChild>
    </w:div>
    <w:div w:id="1903367508">
      <w:bodyDiv w:val="1"/>
      <w:marLeft w:val="0"/>
      <w:marRight w:val="0"/>
      <w:marTop w:val="0"/>
      <w:marBottom w:val="0"/>
      <w:divBdr>
        <w:top w:val="none" w:sz="0" w:space="0" w:color="auto"/>
        <w:left w:val="none" w:sz="0" w:space="0" w:color="auto"/>
        <w:bottom w:val="none" w:sz="0" w:space="0" w:color="auto"/>
        <w:right w:val="none" w:sz="0" w:space="0" w:color="auto"/>
      </w:divBdr>
      <w:divsChild>
        <w:div w:id="1878422175">
          <w:marLeft w:val="0"/>
          <w:marRight w:val="0"/>
          <w:marTop w:val="0"/>
          <w:marBottom w:val="0"/>
          <w:divBdr>
            <w:top w:val="none" w:sz="0" w:space="0" w:color="auto"/>
            <w:left w:val="none" w:sz="0" w:space="0" w:color="auto"/>
            <w:bottom w:val="none" w:sz="0" w:space="0" w:color="auto"/>
            <w:right w:val="none" w:sz="0" w:space="0" w:color="auto"/>
          </w:divBdr>
          <w:divsChild>
            <w:div w:id="1051268424">
              <w:marLeft w:val="0"/>
              <w:marRight w:val="0"/>
              <w:marTop w:val="0"/>
              <w:marBottom w:val="0"/>
              <w:divBdr>
                <w:top w:val="none" w:sz="0" w:space="0" w:color="auto"/>
                <w:left w:val="none" w:sz="0" w:space="0" w:color="auto"/>
                <w:bottom w:val="none" w:sz="0" w:space="0" w:color="auto"/>
                <w:right w:val="none" w:sz="0" w:space="0" w:color="auto"/>
              </w:divBdr>
              <w:divsChild>
                <w:div w:id="19934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3886">
      <w:bodyDiv w:val="1"/>
      <w:marLeft w:val="0"/>
      <w:marRight w:val="0"/>
      <w:marTop w:val="0"/>
      <w:marBottom w:val="0"/>
      <w:divBdr>
        <w:top w:val="none" w:sz="0" w:space="0" w:color="auto"/>
        <w:left w:val="none" w:sz="0" w:space="0" w:color="auto"/>
        <w:bottom w:val="none" w:sz="0" w:space="0" w:color="auto"/>
        <w:right w:val="none" w:sz="0" w:space="0" w:color="auto"/>
      </w:divBdr>
      <w:divsChild>
        <w:div w:id="2586290">
          <w:marLeft w:val="0"/>
          <w:marRight w:val="0"/>
          <w:marTop w:val="0"/>
          <w:marBottom w:val="0"/>
          <w:divBdr>
            <w:top w:val="none" w:sz="0" w:space="0" w:color="auto"/>
            <w:left w:val="none" w:sz="0" w:space="0" w:color="auto"/>
            <w:bottom w:val="none" w:sz="0" w:space="0" w:color="auto"/>
            <w:right w:val="none" w:sz="0" w:space="0" w:color="auto"/>
          </w:divBdr>
        </w:div>
        <w:div w:id="457453510">
          <w:marLeft w:val="0"/>
          <w:marRight w:val="0"/>
          <w:marTop w:val="0"/>
          <w:marBottom w:val="0"/>
          <w:divBdr>
            <w:top w:val="none" w:sz="0" w:space="0" w:color="auto"/>
            <w:left w:val="none" w:sz="0" w:space="0" w:color="auto"/>
            <w:bottom w:val="none" w:sz="0" w:space="0" w:color="auto"/>
            <w:right w:val="none" w:sz="0" w:space="0" w:color="auto"/>
          </w:divBdr>
        </w:div>
        <w:div w:id="482357212">
          <w:marLeft w:val="0"/>
          <w:marRight w:val="0"/>
          <w:marTop w:val="0"/>
          <w:marBottom w:val="0"/>
          <w:divBdr>
            <w:top w:val="none" w:sz="0" w:space="0" w:color="auto"/>
            <w:left w:val="none" w:sz="0" w:space="0" w:color="auto"/>
            <w:bottom w:val="none" w:sz="0" w:space="0" w:color="auto"/>
            <w:right w:val="none" w:sz="0" w:space="0" w:color="auto"/>
          </w:divBdr>
        </w:div>
        <w:div w:id="767119856">
          <w:marLeft w:val="0"/>
          <w:marRight w:val="0"/>
          <w:marTop w:val="0"/>
          <w:marBottom w:val="0"/>
          <w:divBdr>
            <w:top w:val="none" w:sz="0" w:space="0" w:color="auto"/>
            <w:left w:val="none" w:sz="0" w:space="0" w:color="auto"/>
            <w:bottom w:val="none" w:sz="0" w:space="0" w:color="auto"/>
            <w:right w:val="none" w:sz="0" w:space="0" w:color="auto"/>
          </w:divBdr>
        </w:div>
        <w:div w:id="866677942">
          <w:marLeft w:val="0"/>
          <w:marRight w:val="0"/>
          <w:marTop w:val="0"/>
          <w:marBottom w:val="0"/>
          <w:divBdr>
            <w:top w:val="none" w:sz="0" w:space="0" w:color="auto"/>
            <w:left w:val="none" w:sz="0" w:space="0" w:color="auto"/>
            <w:bottom w:val="none" w:sz="0" w:space="0" w:color="auto"/>
            <w:right w:val="none" w:sz="0" w:space="0" w:color="auto"/>
          </w:divBdr>
        </w:div>
        <w:div w:id="890271745">
          <w:marLeft w:val="0"/>
          <w:marRight w:val="0"/>
          <w:marTop w:val="0"/>
          <w:marBottom w:val="0"/>
          <w:divBdr>
            <w:top w:val="none" w:sz="0" w:space="0" w:color="auto"/>
            <w:left w:val="none" w:sz="0" w:space="0" w:color="auto"/>
            <w:bottom w:val="none" w:sz="0" w:space="0" w:color="auto"/>
            <w:right w:val="none" w:sz="0" w:space="0" w:color="auto"/>
          </w:divBdr>
        </w:div>
        <w:div w:id="1072897808">
          <w:marLeft w:val="0"/>
          <w:marRight w:val="0"/>
          <w:marTop w:val="0"/>
          <w:marBottom w:val="0"/>
          <w:divBdr>
            <w:top w:val="none" w:sz="0" w:space="0" w:color="auto"/>
            <w:left w:val="none" w:sz="0" w:space="0" w:color="auto"/>
            <w:bottom w:val="none" w:sz="0" w:space="0" w:color="auto"/>
            <w:right w:val="none" w:sz="0" w:space="0" w:color="auto"/>
          </w:divBdr>
        </w:div>
        <w:div w:id="1128669810">
          <w:marLeft w:val="0"/>
          <w:marRight w:val="0"/>
          <w:marTop w:val="0"/>
          <w:marBottom w:val="0"/>
          <w:divBdr>
            <w:top w:val="none" w:sz="0" w:space="0" w:color="auto"/>
            <w:left w:val="none" w:sz="0" w:space="0" w:color="auto"/>
            <w:bottom w:val="none" w:sz="0" w:space="0" w:color="auto"/>
            <w:right w:val="none" w:sz="0" w:space="0" w:color="auto"/>
          </w:divBdr>
        </w:div>
        <w:div w:id="1149394906">
          <w:marLeft w:val="0"/>
          <w:marRight w:val="0"/>
          <w:marTop w:val="0"/>
          <w:marBottom w:val="0"/>
          <w:divBdr>
            <w:top w:val="none" w:sz="0" w:space="0" w:color="auto"/>
            <w:left w:val="none" w:sz="0" w:space="0" w:color="auto"/>
            <w:bottom w:val="none" w:sz="0" w:space="0" w:color="auto"/>
            <w:right w:val="none" w:sz="0" w:space="0" w:color="auto"/>
          </w:divBdr>
        </w:div>
        <w:div w:id="1383942476">
          <w:marLeft w:val="0"/>
          <w:marRight w:val="0"/>
          <w:marTop w:val="0"/>
          <w:marBottom w:val="0"/>
          <w:divBdr>
            <w:top w:val="none" w:sz="0" w:space="0" w:color="auto"/>
            <w:left w:val="none" w:sz="0" w:space="0" w:color="auto"/>
            <w:bottom w:val="none" w:sz="0" w:space="0" w:color="auto"/>
            <w:right w:val="none" w:sz="0" w:space="0" w:color="auto"/>
          </w:divBdr>
        </w:div>
        <w:div w:id="1408454641">
          <w:marLeft w:val="0"/>
          <w:marRight w:val="0"/>
          <w:marTop w:val="0"/>
          <w:marBottom w:val="0"/>
          <w:divBdr>
            <w:top w:val="none" w:sz="0" w:space="0" w:color="auto"/>
            <w:left w:val="none" w:sz="0" w:space="0" w:color="auto"/>
            <w:bottom w:val="none" w:sz="0" w:space="0" w:color="auto"/>
            <w:right w:val="none" w:sz="0" w:space="0" w:color="auto"/>
          </w:divBdr>
        </w:div>
        <w:div w:id="1430657087">
          <w:marLeft w:val="0"/>
          <w:marRight w:val="0"/>
          <w:marTop w:val="0"/>
          <w:marBottom w:val="0"/>
          <w:divBdr>
            <w:top w:val="none" w:sz="0" w:space="0" w:color="auto"/>
            <w:left w:val="none" w:sz="0" w:space="0" w:color="auto"/>
            <w:bottom w:val="none" w:sz="0" w:space="0" w:color="auto"/>
            <w:right w:val="none" w:sz="0" w:space="0" w:color="auto"/>
          </w:divBdr>
        </w:div>
        <w:div w:id="1610433986">
          <w:marLeft w:val="0"/>
          <w:marRight w:val="0"/>
          <w:marTop w:val="0"/>
          <w:marBottom w:val="0"/>
          <w:divBdr>
            <w:top w:val="none" w:sz="0" w:space="0" w:color="auto"/>
            <w:left w:val="none" w:sz="0" w:space="0" w:color="auto"/>
            <w:bottom w:val="none" w:sz="0" w:space="0" w:color="auto"/>
            <w:right w:val="none" w:sz="0" w:space="0" w:color="auto"/>
          </w:divBdr>
        </w:div>
        <w:div w:id="1616865403">
          <w:marLeft w:val="0"/>
          <w:marRight w:val="0"/>
          <w:marTop w:val="0"/>
          <w:marBottom w:val="0"/>
          <w:divBdr>
            <w:top w:val="none" w:sz="0" w:space="0" w:color="auto"/>
            <w:left w:val="none" w:sz="0" w:space="0" w:color="auto"/>
            <w:bottom w:val="none" w:sz="0" w:space="0" w:color="auto"/>
            <w:right w:val="none" w:sz="0" w:space="0" w:color="auto"/>
          </w:divBdr>
        </w:div>
        <w:div w:id="1852646626">
          <w:marLeft w:val="0"/>
          <w:marRight w:val="0"/>
          <w:marTop w:val="0"/>
          <w:marBottom w:val="0"/>
          <w:divBdr>
            <w:top w:val="none" w:sz="0" w:space="0" w:color="auto"/>
            <w:left w:val="none" w:sz="0" w:space="0" w:color="auto"/>
            <w:bottom w:val="none" w:sz="0" w:space="0" w:color="auto"/>
            <w:right w:val="none" w:sz="0" w:space="0" w:color="auto"/>
          </w:divBdr>
        </w:div>
        <w:div w:id="1994218680">
          <w:marLeft w:val="0"/>
          <w:marRight w:val="0"/>
          <w:marTop w:val="0"/>
          <w:marBottom w:val="0"/>
          <w:divBdr>
            <w:top w:val="none" w:sz="0" w:space="0" w:color="auto"/>
            <w:left w:val="none" w:sz="0" w:space="0" w:color="auto"/>
            <w:bottom w:val="none" w:sz="0" w:space="0" w:color="auto"/>
            <w:right w:val="none" w:sz="0" w:space="0" w:color="auto"/>
          </w:divBdr>
        </w:div>
        <w:div w:id="2084334218">
          <w:marLeft w:val="0"/>
          <w:marRight w:val="0"/>
          <w:marTop w:val="0"/>
          <w:marBottom w:val="0"/>
          <w:divBdr>
            <w:top w:val="none" w:sz="0" w:space="0" w:color="auto"/>
            <w:left w:val="none" w:sz="0" w:space="0" w:color="auto"/>
            <w:bottom w:val="none" w:sz="0" w:space="0" w:color="auto"/>
            <w:right w:val="none" w:sz="0" w:space="0" w:color="auto"/>
          </w:divBdr>
        </w:div>
      </w:divsChild>
    </w:div>
    <w:div w:id="1977178076">
      <w:bodyDiv w:val="1"/>
      <w:marLeft w:val="0"/>
      <w:marRight w:val="0"/>
      <w:marTop w:val="0"/>
      <w:marBottom w:val="0"/>
      <w:divBdr>
        <w:top w:val="none" w:sz="0" w:space="0" w:color="auto"/>
        <w:left w:val="none" w:sz="0" w:space="0" w:color="auto"/>
        <w:bottom w:val="none" w:sz="0" w:space="0" w:color="auto"/>
        <w:right w:val="none" w:sz="0" w:space="0" w:color="auto"/>
      </w:divBdr>
      <w:divsChild>
        <w:div w:id="1384256229">
          <w:marLeft w:val="0"/>
          <w:marRight w:val="0"/>
          <w:marTop w:val="0"/>
          <w:marBottom w:val="0"/>
          <w:divBdr>
            <w:top w:val="none" w:sz="0" w:space="0" w:color="auto"/>
            <w:left w:val="none" w:sz="0" w:space="0" w:color="auto"/>
            <w:bottom w:val="none" w:sz="0" w:space="0" w:color="auto"/>
            <w:right w:val="none" w:sz="0" w:space="0" w:color="auto"/>
          </w:divBdr>
          <w:divsChild>
            <w:div w:id="553204248">
              <w:marLeft w:val="0"/>
              <w:marRight w:val="0"/>
              <w:marTop w:val="0"/>
              <w:marBottom w:val="0"/>
              <w:divBdr>
                <w:top w:val="none" w:sz="0" w:space="0" w:color="auto"/>
                <w:left w:val="none" w:sz="0" w:space="0" w:color="auto"/>
                <w:bottom w:val="none" w:sz="0" w:space="0" w:color="auto"/>
                <w:right w:val="none" w:sz="0" w:space="0" w:color="auto"/>
              </w:divBdr>
              <w:divsChild>
                <w:div w:id="7941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23">
      <w:bodyDiv w:val="1"/>
      <w:marLeft w:val="0"/>
      <w:marRight w:val="0"/>
      <w:marTop w:val="0"/>
      <w:marBottom w:val="0"/>
      <w:divBdr>
        <w:top w:val="none" w:sz="0" w:space="0" w:color="auto"/>
        <w:left w:val="none" w:sz="0" w:space="0" w:color="auto"/>
        <w:bottom w:val="none" w:sz="0" w:space="0" w:color="auto"/>
        <w:right w:val="none" w:sz="0" w:space="0" w:color="auto"/>
      </w:divBdr>
      <w:divsChild>
        <w:div w:id="2047292393">
          <w:marLeft w:val="0"/>
          <w:marRight w:val="0"/>
          <w:marTop w:val="0"/>
          <w:marBottom w:val="0"/>
          <w:divBdr>
            <w:top w:val="none" w:sz="0" w:space="0" w:color="auto"/>
            <w:left w:val="none" w:sz="0" w:space="0" w:color="auto"/>
            <w:bottom w:val="none" w:sz="0" w:space="0" w:color="auto"/>
            <w:right w:val="none" w:sz="0" w:space="0" w:color="auto"/>
          </w:divBdr>
          <w:divsChild>
            <w:div w:id="1724602160">
              <w:marLeft w:val="0"/>
              <w:marRight w:val="0"/>
              <w:marTop w:val="0"/>
              <w:marBottom w:val="0"/>
              <w:divBdr>
                <w:top w:val="none" w:sz="0" w:space="0" w:color="auto"/>
                <w:left w:val="none" w:sz="0" w:space="0" w:color="auto"/>
                <w:bottom w:val="none" w:sz="0" w:space="0" w:color="auto"/>
                <w:right w:val="none" w:sz="0" w:space="0" w:color="auto"/>
              </w:divBdr>
              <w:divsChild>
                <w:div w:id="15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3693">
      <w:bodyDiv w:val="1"/>
      <w:marLeft w:val="0"/>
      <w:marRight w:val="0"/>
      <w:marTop w:val="0"/>
      <w:marBottom w:val="0"/>
      <w:divBdr>
        <w:top w:val="none" w:sz="0" w:space="0" w:color="auto"/>
        <w:left w:val="none" w:sz="0" w:space="0" w:color="auto"/>
        <w:bottom w:val="none" w:sz="0" w:space="0" w:color="auto"/>
        <w:right w:val="none" w:sz="0" w:space="0" w:color="auto"/>
      </w:divBdr>
      <w:divsChild>
        <w:div w:id="56056874">
          <w:marLeft w:val="0"/>
          <w:marRight w:val="0"/>
          <w:marTop w:val="0"/>
          <w:marBottom w:val="0"/>
          <w:divBdr>
            <w:top w:val="none" w:sz="0" w:space="0" w:color="auto"/>
            <w:left w:val="none" w:sz="0" w:space="0" w:color="auto"/>
            <w:bottom w:val="none" w:sz="0" w:space="0" w:color="auto"/>
            <w:right w:val="none" w:sz="0" w:space="0" w:color="auto"/>
          </w:divBdr>
        </w:div>
        <w:div w:id="139926076">
          <w:marLeft w:val="0"/>
          <w:marRight w:val="0"/>
          <w:marTop w:val="0"/>
          <w:marBottom w:val="0"/>
          <w:divBdr>
            <w:top w:val="none" w:sz="0" w:space="0" w:color="auto"/>
            <w:left w:val="none" w:sz="0" w:space="0" w:color="auto"/>
            <w:bottom w:val="none" w:sz="0" w:space="0" w:color="auto"/>
            <w:right w:val="none" w:sz="0" w:space="0" w:color="auto"/>
          </w:divBdr>
        </w:div>
        <w:div w:id="145319061">
          <w:marLeft w:val="0"/>
          <w:marRight w:val="0"/>
          <w:marTop w:val="0"/>
          <w:marBottom w:val="0"/>
          <w:divBdr>
            <w:top w:val="none" w:sz="0" w:space="0" w:color="auto"/>
            <w:left w:val="none" w:sz="0" w:space="0" w:color="auto"/>
            <w:bottom w:val="none" w:sz="0" w:space="0" w:color="auto"/>
            <w:right w:val="none" w:sz="0" w:space="0" w:color="auto"/>
          </w:divBdr>
        </w:div>
        <w:div w:id="407070968">
          <w:marLeft w:val="0"/>
          <w:marRight w:val="0"/>
          <w:marTop w:val="0"/>
          <w:marBottom w:val="0"/>
          <w:divBdr>
            <w:top w:val="none" w:sz="0" w:space="0" w:color="auto"/>
            <w:left w:val="none" w:sz="0" w:space="0" w:color="auto"/>
            <w:bottom w:val="none" w:sz="0" w:space="0" w:color="auto"/>
            <w:right w:val="none" w:sz="0" w:space="0" w:color="auto"/>
          </w:divBdr>
        </w:div>
        <w:div w:id="756445317">
          <w:marLeft w:val="0"/>
          <w:marRight w:val="0"/>
          <w:marTop w:val="0"/>
          <w:marBottom w:val="0"/>
          <w:divBdr>
            <w:top w:val="none" w:sz="0" w:space="0" w:color="auto"/>
            <w:left w:val="none" w:sz="0" w:space="0" w:color="auto"/>
            <w:bottom w:val="none" w:sz="0" w:space="0" w:color="auto"/>
            <w:right w:val="none" w:sz="0" w:space="0" w:color="auto"/>
          </w:divBdr>
        </w:div>
        <w:div w:id="977535740">
          <w:marLeft w:val="0"/>
          <w:marRight w:val="0"/>
          <w:marTop w:val="0"/>
          <w:marBottom w:val="0"/>
          <w:divBdr>
            <w:top w:val="none" w:sz="0" w:space="0" w:color="auto"/>
            <w:left w:val="none" w:sz="0" w:space="0" w:color="auto"/>
            <w:bottom w:val="none" w:sz="0" w:space="0" w:color="auto"/>
            <w:right w:val="none" w:sz="0" w:space="0" w:color="auto"/>
          </w:divBdr>
        </w:div>
        <w:div w:id="1231772312">
          <w:marLeft w:val="0"/>
          <w:marRight w:val="0"/>
          <w:marTop w:val="0"/>
          <w:marBottom w:val="0"/>
          <w:divBdr>
            <w:top w:val="none" w:sz="0" w:space="0" w:color="auto"/>
            <w:left w:val="none" w:sz="0" w:space="0" w:color="auto"/>
            <w:bottom w:val="none" w:sz="0" w:space="0" w:color="auto"/>
            <w:right w:val="none" w:sz="0" w:space="0" w:color="auto"/>
          </w:divBdr>
        </w:div>
        <w:div w:id="1369180857">
          <w:marLeft w:val="0"/>
          <w:marRight w:val="0"/>
          <w:marTop w:val="0"/>
          <w:marBottom w:val="0"/>
          <w:divBdr>
            <w:top w:val="none" w:sz="0" w:space="0" w:color="auto"/>
            <w:left w:val="none" w:sz="0" w:space="0" w:color="auto"/>
            <w:bottom w:val="none" w:sz="0" w:space="0" w:color="auto"/>
            <w:right w:val="none" w:sz="0" w:space="0" w:color="auto"/>
          </w:divBdr>
        </w:div>
        <w:div w:id="1570845431">
          <w:marLeft w:val="0"/>
          <w:marRight w:val="0"/>
          <w:marTop w:val="0"/>
          <w:marBottom w:val="0"/>
          <w:divBdr>
            <w:top w:val="none" w:sz="0" w:space="0" w:color="auto"/>
            <w:left w:val="none" w:sz="0" w:space="0" w:color="auto"/>
            <w:bottom w:val="none" w:sz="0" w:space="0" w:color="auto"/>
            <w:right w:val="none" w:sz="0" w:space="0" w:color="auto"/>
          </w:divBdr>
        </w:div>
        <w:div w:id="1608460105">
          <w:marLeft w:val="0"/>
          <w:marRight w:val="0"/>
          <w:marTop w:val="0"/>
          <w:marBottom w:val="0"/>
          <w:divBdr>
            <w:top w:val="none" w:sz="0" w:space="0" w:color="auto"/>
            <w:left w:val="none" w:sz="0" w:space="0" w:color="auto"/>
            <w:bottom w:val="none" w:sz="0" w:space="0" w:color="auto"/>
            <w:right w:val="none" w:sz="0" w:space="0" w:color="auto"/>
          </w:divBdr>
        </w:div>
        <w:div w:id="1716153287">
          <w:marLeft w:val="0"/>
          <w:marRight w:val="0"/>
          <w:marTop w:val="0"/>
          <w:marBottom w:val="0"/>
          <w:divBdr>
            <w:top w:val="none" w:sz="0" w:space="0" w:color="auto"/>
            <w:left w:val="none" w:sz="0" w:space="0" w:color="auto"/>
            <w:bottom w:val="none" w:sz="0" w:space="0" w:color="auto"/>
            <w:right w:val="none" w:sz="0" w:space="0" w:color="auto"/>
          </w:divBdr>
        </w:div>
      </w:divsChild>
    </w:div>
    <w:div w:id="2046321838">
      <w:bodyDiv w:val="1"/>
      <w:marLeft w:val="0"/>
      <w:marRight w:val="0"/>
      <w:marTop w:val="0"/>
      <w:marBottom w:val="0"/>
      <w:divBdr>
        <w:top w:val="none" w:sz="0" w:space="0" w:color="auto"/>
        <w:left w:val="none" w:sz="0" w:space="0" w:color="auto"/>
        <w:bottom w:val="none" w:sz="0" w:space="0" w:color="auto"/>
        <w:right w:val="none" w:sz="0" w:space="0" w:color="auto"/>
      </w:divBdr>
      <w:divsChild>
        <w:div w:id="567300645">
          <w:marLeft w:val="0"/>
          <w:marRight w:val="0"/>
          <w:marTop w:val="0"/>
          <w:marBottom w:val="0"/>
          <w:divBdr>
            <w:top w:val="none" w:sz="0" w:space="0" w:color="auto"/>
            <w:left w:val="none" w:sz="0" w:space="0" w:color="auto"/>
            <w:bottom w:val="none" w:sz="0" w:space="0" w:color="auto"/>
            <w:right w:val="none" w:sz="0" w:space="0" w:color="auto"/>
          </w:divBdr>
          <w:divsChild>
            <w:div w:id="709764443">
              <w:marLeft w:val="0"/>
              <w:marRight w:val="0"/>
              <w:marTop w:val="0"/>
              <w:marBottom w:val="0"/>
              <w:divBdr>
                <w:top w:val="none" w:sz="0" w:space="0" w:color="auto"/>
                <w:left w:val="none" w:sz="0" w:space="0" w:color="auto"/>
                <w:bottom w:val="none" w:sz="0" w:space="0" w:color="auto"/>
                <w:right w:val="none" w:sz="0" w:space="0" w:color="auto"/>
              </w:divBdr>
              <w:divsChild>
                <w:div w:id="19452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2016">
      <w:bodyDiv w:val="1"/>
      <w:marLeft w:val="0"/>
      <w:marRight w:val="0"/>
      <w:marTop w:val="0"/>
      <w:marBottom w:val="0"/>
      <w:divBdr>
        <w:top w:val="none" w:sz="0" w:space="0" w:color="auto"/>
        <w:left w:val="none" w:sz="0" w:space="0" w:color="auto"/>
        <w:bottom w:val="none" w:sz="0" w:space="0" w:color="auto"/>
        <w:right w:val="none" w:sz="0" w:space="0" w:color="auto"/>
      </w:divBdr>
      <w:divsChild>
        <w:div w:id="1013921065">
          <w:marLeft w:val="0"/>
          <w:marRight w:val="0"/>
          <w:marTop w:val="0"/>
          <w:marBottom w:val="0"/>
          <w:divBdr>
            <w:top w:val="none" w:sz="0" w:space="0" w:color="auto"/>
            <w:left w:val="none" w:sz="0" w:space="0" w:color="auto"/>
            <w:bottom w:val="none" w:sz="0" w:space="0" w:color="auto"/>
            <w:right w:val="none" w:sz="0" w:space="0" w:color="auto"/>
          </w:divBdr>
          <w:divsChild>
            <w:div w:id="1499614068">
              <w:marLeft w:val="0"/>
              <w:marRight w:val="0"/>
              <w:marTop w:val="0"/>
              <w:marBottom w:val="0"/>
              <w:divBdr>
                <w:top w:val="none" w:sz="0" w:space="0" w:color="auto"/>
                <w:left w:val="none" w:sz="0" w:space="0" w:color="auto"/>
                <w:bottom w:val="none" w:sz="0" w:space="0" w:color="auto"/>
                <w:right w:val="none" w:sz="0" w:space="0" w:color="auto"/>
              </w:divBdr>
              <w:divsChild>
                <w:div w:id="2126460434">
                  <w:marLeft w:val="0"/>
                  <w:marRight w:val="0"/>
                  <w:marTop w:val="0"/>
                  <w:marBottom w:val="0"/>
                  <w:divBdr>
                    <w:top w:val="none" w:sz="0" w:space="0" w:color="auto"/>
                    <w:left w:val="none" w:sz="0" w:space="0" w:color="auto"/>
                    <w:bottom w:val="none" w:sz="0" w:space="0" w:color="auto"/>
                    <w:right w:val="none" w:sz="0" w:space="0" w:color="auto"/>
                  </w:divBdr>
                  <w:divsChild>
                    <w:div w:id="1100762104">
                      <w:marLeft w:val="0"/>
                      <w:marRight w:val="0"/>
                      <w:marTop w:val="0"/>
                      <w:marBottom w:val="0"/>
                      <w:divBdr>
                        <w:top w:val="none" w:sz="0" w:space="0" w:color="auto"/>
                        <w:left w:val="none" w:sz="0" w:space="0" w:color="auto"/>
                        <w:bottom w:val="none" w:sz="0" w:space="0" w:color="auto"/>
                        <w:right w:val="none" w:sz="0" w:space="0" w:color="auto"/>
                      </w:divBdr>
                      <w:divsChild>
                        <w:div w:id="230166477">
                          <w:marLeft w:val="0"/>
                          <w:marRight w:val="0"/>
                          <w:marTop w:val="0"/>
                          <w:marBottom w:val="0"/>
                          <w:divBdr>
                            <w:top w:val="none" w:sz="0" w:space="0" w:color="auto"/>
                            <w:left w:val="none" w:sz="0" w:space="0" w:color="auto"/>
                            <w:bottom w:val="none" w:sz="0" w:space="0" w:color="auto"/>
                            <w:right w:val="none" w:sz="0" w:space="0" w:color="auto"/>
                          </w:divBdr>
                          <w:divsChild>
                            <w:div w:id="5858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89230">
      <w:bodyDiv w:val="1"/>
      <w:marLeft w:val="0"/>
      <w:marRight w:val="0"/>
      <w:marTop w:val="0"/>
      <w:marBottom w:val="0"/>
      <w:divBdr>
        <w:top w:val="none" w:sz="0" w:space="0" w:color="auto"/>
        <w:left w:val="none" w:sz="0" w:space="0" w:color="auto"/>
        <w:bottom w:val="none" w:sz="0" w:space="0" w:color="auto"/>
        <w:right w:val="none" w:sz="0" w:space="0" w:color="auto"/>
      </w:divBdr>
      <w:divsChild>
        <w:div w:id="1017729650">
          <w:marLeft w:val="0"/>
          <w:marRight w:val="0"/>
          <w:marTop w:val="0"/>
          <w:marBottom w:val="0"/>
          <w:divBdr>
            <w:top w:val="none" w:sz="0" w:space="0" w:color="auto"/>
            <w:left w:val="none" w:sz="0" w:space="0" w:color="auto"/>
            <w:bottom w:val="none" w:sz="0" w:space="0" w:color="auto"/>
            <w:right w:val="none" w:sz="0" w:space="0" w:color="auto"/>
          </w:divBdr>
        </w:div>
        <w:div w:id="1859730481">
          <w:marLeft w:val="0"/>
          <w:marRight w:val="0"/>
          <w:marTop w:val="0"/>
          <w:marBottom w:val="0"/>
          <w:divBdr>
            <w:top w:val="none" w:sz="0" w:space="0" w:color="auto"/>
            <w:left w:val="none" w:sz="0" w:space="0" w:color="auto"/>
            <w:bottom w:val="none" w:sz="0" w:space="0" w:color="auto"/>
            <w:right w:val="none" w:sz="0" w:space="0" w:color="auto"/>
          </w:divBdr>
        </w:div>
      </w:divsChild>
    </w:div>
    <w:div w:id="2109619540">
      <w:bodyDiv w:val="1"/>
      <w:marLeft w:val="0"/>
      <w:marRight w:val="0"/>
      <w:marTop w:val="0"/>
      <w:marBottom w:val="0"/>
      <w:divBdr>
        <w:top w:val="none" w:sz="0" w:space="0" w:color="auto"/>
        <w:left w:val="none" w:sz="0" w:space="0" w:color="auto"/>
        <w:bottom w:val="none" w:sz="0" w:space="0" w:color="auto"/>
        <w:right w:val="none" w:sz="0" w:space="0" w:color="auto"/>
      </w:divBdr>
      <w:divsChild>
        <w:div w:id="8723984">
          <w:marLeft w:val="0"/>
          <w:marRight w:val="0"/>
          <w:marTop w:val="0"/>
          <w:marBottom w:val="0"/>
          <w:divBdr>
            <w:top w:val="none" w:sz="0" w:space="0" w:color="auto"/>
            <w:left w:val="none" w:sz="0" w:space="0" w:color="auto"/>
            <w:bottom w:val="none" w:sz="0" w:space="0" w:color="auto"/>
            <w:right w:val="none" w:sz="0" w:space="0" w:color="auto"/>
          </w:divBdr>
        </w:div>
        <w:div w:id="17656678">
          <w:marLeft w:val="0"/>
          <w:marRight w:val="0"/>
          <w:marTop w:val="0"/>
          <w:marBottom w:val="0"/>
          <w:divBdr>
            <w:top w:val="none" w:sz="0" w:space="0" w:color="auto"/>
            <w:left w:val="none" w:sz="0" w:space="0" w:color="auto"/>
            <w:bottom w:val="none" w:sz="0" w:space="0" w:color="auto"/>
            <w:right w:val="none" w:sz="0" w:space="0" w:color="auto"/>
          </w:divBdr>
        </w:div>
        <w:div w:id="18748682">
          <w:marLeft w:val="0"/>
          <w:marRight w:val="0"/>
          <w:marTop w:val="0"/>
          <w:marBottom w:val="0"/>
          <w:divBdr>
            <w:top w:val="none" w:sz="0" w:space="0" w:color="auto"/>
            <w:left w:val="none" w:sz="0" w:space="0" w:color="auto"/>
            <w:bottom w:val="none" w:sz="0" w:space="0" w:color="auto"/>
            <w:right w:val="none" w:sz="0" w:space="0" w:color="auto"/>
          </w:divBdr>
        </w:div>
        <w:div w:id="19162280">
          <w:marLeft w:val="0"/>
          <w:marRight w:val="0"/>
          <w:marTop w:val="0"/>
          <w:marBottom w:val="0"/>
          <w:divBdr>
            <w:top w:val="none" w:sz="0" w:space="0" w:color="auto"/>
            <w:left w:val="none" w:sz="0" w:space="0" w:color="auto"/>
            <w:bottom w:val="none" w:sz="0" w:space="0" w:color="auto"/>
            <w:right w:val="none" w:sz="0" w:space="0" w:color="auto"/>
          </w:divBdr>
        </w:div>
        <w:div w:id="30881195">
          <w:marLeft w:val="0"/>
          <w:marRight w:val="0"/>
          <w:marTop w:val="0"/>
          <w:marBottom w:val="0"/>
          <w:divBdr>
            <w:top w:val="none" w:sz="0" w:space="0" w:color="auto"/>
            <w:left w:val="none" w:sz="0" w:space="0" w:color="auto"/>
            <w:bottom w:val="none" w:sz="0" w:space="0" w:color="auto"/>
            <w:right w:val="none" w:sz="0" w:space="0" w:color="auto"/>
          </w:divBdr>
        </w:div>
        <w:div w:id="43457119">
          <w:marLeft w:val="0"/>
          <w:marRight w:val="0"/>
          <w:marTop w:val="0"/>
          <w:marBottom w:val="0"/>
          <w:divBdr>
            <w:top w:val="none" w:sz="0" w:space="0" w:color="auto"/>
            <w:left w:val="none" w:sz="0" w:space="0" w:color="auto"/>
            <w:bottom w:val="none" w:sz="0" w:space="0" w:color="auto"/>
            <w:right w:val="none" w:sz="0" w:space="0" w:color="auto"/>
          </w:divBdr>
        </w:div>
        <w:div w:id="55514911">
          <w:marLeft w:val="0"/>
          <w:marRight w:val="0"/>
          <w:marTop w:val="0"/>
          <w:marBottom w:val="0"/>
          <w:divBdr>
            <w:top w:val="none" w:sz="0" w:space="0" w:color="auto"/>
            <w:left w:val="none" w:sz="0" w:space="0" w:color="auto"/>
            <w:bottom w:val="none" w:sz="0" w:space="0" w:color="auto"/>
            <w:right w:val="none" w:sz="0" w:space="0" w:color="auto"/>
          </w:divBdr>
        </w:div>
        <w:div w:id="55706798">
          <w:marLeft w:val="0"/>
          <w:marRight w:val="0"/>
          <w:marTop w:val="0"/>
          <w:marBottom w:val="0"/>
          <w:divBdr>
            <w:top w:val="none" w:sz="0" w:space="0" w:color="auto"/>
            <w:left w:val="none" w:sz="0" w:space="0" w:color="auto"/>
            <w:bottom w:val="none" w:sz="0" w:space="0" w:color="auto"/>
            <w:right w:val="none" w:sz="0" w:space="0" w:color="auto"/>
          </w:divBdr>
        </w:div>
        <w:div w:id="68161724">
          <w:marLeft w:val="0"/>
          <w:marRight w:val="0"/>
          <w:marTop w:val="0"/>
          <w:marBottom w:val="0"/>
          <w:divBdr>
            <w:top w:val="none" w:sz="0" w:space="0" w:color="auto"/>
            <w:left w:val="none" w:sz="0" w:space="0" w:color="auto"/>
            <w:bottom w:val="none" w:sz="0" w:space="0" w:color="auto"/>
            <w:right w:val="none" w:sz="0" w:space="0" w:color="auto"/>
          </w:divBdr>
        </w:div>
        <w:div w:id="75976784">
          <w:marLeft w:val="0"/>
          <w:marRight w:val="0"/>
          <w:marTop w:val="0"/>
          <w:marBottom w:val="0"/>
          <w:divBdr>
            <w:top w:val="none" w:sz="0" w:space="0" w:color="auto"/>
            <w:left w:val="none" w:sz="0" w:space="0" w:color="auto"/>
            <w:bottom w:val="none" w:sz="0" w:space="0" w:color="auto"/>
            <w:right w:val="none" w:sz="0" w:space="0" w:color="auto"/>
          </w:divBdr>
        </w:div>
        <w:div w:id="77673736">
          <w:marLeft w:val="0"/>
          <w:marRight w:val="0"/>
          <w:marTop w:val="0"/>
          <w:marBottom w:val="0"/>
          <w:divBdr>
            <w:top w:val="none" w:sz="0" w:space="0" w:color="auto"/>
            <w:left w:val="none" w:sz="0" w:space="0" w:color="auto"/>
            <w:bottom w:val="none" w:sz="0" w:space="0" w:color="auto"/>
            <w:right w:val="none" w:sz="0" w:space="0" w:color="auto"/>
          </w:divBdr>
        </w:div>
        <w:div w:id="81996424">
          <w:marLeft w:val="0"/>
          <w:marRight w:val="0"/>
          <w:marTop w:val="0"/>
          <w:marBottom w:val="0"/>
          <w:divBdr>
            <w:top w:val="none" w:sz="0" w:space="0" w:color="auto"/>
            <w:left w:val="none" w:sz="0" w:space="0" w:color="auto"/>
            <w:bottom w:val="none" w:sz="0" w:space="0" w:color="auto"/>
            <w:right w:val="none" w:sz="0" w:space="0" w:color="auto"/>
          </w:divBdr>
        </w:div>
        <w:div w:id="89550543">
          <w:marLeft w:val="0"/>
          <w:marRight w:val="0"/>
          <w:marTop w:val="0"/>
          <w:marBottom w:val="0"/>
          <w:divBdr>
            <w:top w:val="none" w:sz="0" w:space="0" w:color="auto"/>
            <w:left w:val="none" w:sz="0" w:space="0" w:color="auto"/>
            <w:bottom w:val="none" w:sz="0" w:space="0" w:color="auto"/>
            <w:right w:val="none" w:sz="0" w:space="0" w:color="auto"/>
          </w:divBdr>
        </w:div>
        <w:div w:id="92945708">
          <w:marLeft w:val="0"/>
          <w:marRight w:val="0"/>
          <w:marTop w:val="0"/>
          <w:marBottom w:val="0"/>
          <w:divBdr>
            <w:top w:val="none" w:sz="0" w:space="0" w:color="auto"/>
            <w:left w:val="none" w:sz="0" w:space="0" w:color="auto"/>
            <w:bottom w:val="none" w:sz="0" w:space="0" w:color="auto"/>
            <w:right w:val="none" w:sz="0" w:space="0" w:color="auto"/>
          </w:divBdr>
        </w:div>
        <w:div w:id="104275436">
          <w:marLeft w:val="0"/>
          <w:marRight w:val="0"/>
          <w:marTop w:val="0"/>
          <w:marBottom w:val="0"/>
          <w:divBdr>
            <w:top w:val="none" w:sz="0" w:space="0" w:color="auto"/>
            <w:left w:val="none" w:sz="0" w:space="0" w:color="auto"/>
            <w:bottom w:val="none" w:sz="0" w:space="0" w:color="auto"/>
            <w:right w:val="none" w:sz="0" w:space="0" w:color="auto"/>
          </w:divBdr>
        </w:div>
        <w:div w:id="105540028">
          <w:marLeft w:val="0"/>
          <w:marRight w:val="0"/>
          <w:marTop w:val="0"/>
          <w:marBottom w:val="0"/>
          <w:divBdr>
            <w:top w:val="none" w:sz="0" w:space="0" w:color="auto"/>
            <w:left w:val="none" w:sz="0" w:space="0" w:color="auto"/>
            <w:bottom w:val="none" w:sz="0" w:space="0" w:color="auto"/>
            <w:right w:val="none" w:sz="0" w:space="0" w:color="auto"/>
          </w:divBdr>
        </w:div>
        <w:div w:id="110438186">
          <w:marLeft w:val="0"/>
          <w:marRight w:val="0"/>
          <w:marTop w:val="0"/>
          <w:marBottom w:val="0"/>
          <w:divBdr>
            <w:top w:val="none" w:sz="0" w:space="0" w:color="auto"/>
            <w:left w:val="none" w:sz="0" w:space="0" w:color="auto"/>
            <w:bottom w:val="none" w:sz="0" w:space="0" w:color="auto"/>
            <w:right w:val="none" w:sz="0" w:space="0" w:color="auto"/>
          </w:divBdr>
        </w:div>
        <w:div w:id="112526566">
          <w:marLeft w:val="0"/>
          <w:marRight w:val="0"/>
          <w:marTop w:val="0"/>
          <w:marBottom w:val="0"/>
          <w:divBdr>
            <w:top w:val="none" w:sz="0" w:space="0" w:color="auto"/>
            <w:left w:val="none" w:sz="0" w:space="0" w:color="auto"/>
            <w:bottom w:val="none" w:sz="0" w:space="0" w:color="auto"/>
            <w:right w:val="none" w:sz="0" w:space="0" w:color="auto"/>
          </w:divBdr>
        </w:div>
        <w:div w:id="118691728">
          <w:marLeft w:val="0"/>
          <w:marRight w:val="0"/>
          <w:marTop w:val="0"/>
          <w:marBottom w:val="0"/>
          <w:divBdr>
            <w:top w:val="none" w:sz="0" w:space="0" w:color="auto"/>
            <w:left w:val="none" w:sz="0" w:space="0" w:color="auto"/>
            <w:bottom w:val="none" w:sz="0" w:space="0" w:color="auto"/>
            <w:right w:val="none" w:sz="0" w:space="0" w:color="auto"/>
          </w:divBdr>
        </w:div>
        <w:div w:id="137571519">
          <w:marLeft w:val="0"/>
          <w:marRight w:val="0"/>
          <w:marTop w:val="0"/>
          <w:marBottom w:val="0"/>
          <w:divBdr>
            <w:top w:val="none" w:sz="0" w:space="0" w:color="auto"/>
            <w:left w:val="none" w:sz="0" w:space="0" w:color="auto"/>
            <w:bottom w:val="none" w:sz="0" w:space="0" w:color="auto"/>
            <w:right w:val="none" w:sz="0" w:space="0" w:color="auto"/>
          </w:divBdr>
        </w:div>
        <w:div w:id="138377517">
          <w:marLeft w:val="0"/>
          <w:marRight w:val="0"/>
          <w:marTop w:val="0"/>
          <w:marBottom w:val="0"/>
          <w:divBdr>
            <w:top w:val="none" w:sz="0" w:space="0" w:color="auto"/>
            <w:left w:val="none" w:sz="0" w:space="0" w:color="auto"/>
            <w:bottom w:val="none" w:sz="0" w:space="0" w:color="auto"/>
            <w:right w:val="none" w:sz="0" w:space="0" w:color="auto"/>
          </w:divBdr>
        </w:div>
        <w:div w:id="144011664">
          <w:marLeft w:val="0"/>
          <w:marRight w:val="0"/>
          <w:marTop w:val="0"/>
          <w:marBottom w:val="0"/>
          <w:divBdr>
            <w:top w:val="none" w:sz="0" w:space="0" w:color="auto"/>
            <w:left w:val="none" w:sz="0" w:space="0" w:color="auto"/>
            <w:bottom w:val="none" w:sz="0" w:space="0" w:color="auto"/>
            <w:right w:val="none" w:sz="0" w:space="0" w:color="auto"/>
          </w:divBdr>
        </w:div>
        <w:div w:id="145321382">
          <w:marLeft w:val="0"/>
          <w:marRight w:val="0"/>
          <w:marTop w:val="0"/>
          <w:marBottom w:val="0"/>
          <w:divBdr>
            <w:top w:val="none" w:sz="0" w:space="0" w:color="auto"/>
            <w:left w:val="none" w:sz="0" w:space="0" w:color="auto"/>
            <w:bottom w:val="none" w:sz="0" w:space="0" w:color="auto"/>
            <w:right w:val="none" w:sz="0" w:space="0" w:color="auto"/>
          </w:divBdr>
        </w:div>
        <w:div w:id="149752388">
          <w:marLeft w:val="0"/>
          <w:marRight w:val="0"/>
          <w:marTop w:val="0"/>
          <w:marBottom w:val="0"/>
          <w:divBdr>
            <w:top w:val="none" w:sz="0" w:space="0" w:color="auto"/>
            <w:left w:val="none" w:sz="0" w:space="0" w:color="auto"/>
            <w:bottom w:val="none" w:sz="0" w:space="0" w:color="auto"/>
            <w:right w:val="none" w:sz="0" w:space="0" w:color="auto"/>
          </w:divBdr>
        </w:div>
        <w:div w:id="167672797">
          <w:marLeft w:val="0"/>
          <w:marRight w:val="0"/>
          <w:marTop w:val="0"/>
          <w:marBottom w:val="0"/>
          <w:divBdr>
            <w:top w:val="none" w:sz="0" w:space="0" w:color="auto"/>
            <w:left w:val="none" w:sz="0" w:space="0" w:color="auto"/>
            <w:bottom w:val="none" w:sz="0" w:space="0" w:color="auto"/>
            <w:right w:val="none" w:sz="0" w:space="0" w:color="auto"/>
          </w:divBdr>
        </w:div>
        <w:div w:id="172765447">
          <w:marLeft w:val="0"/>
          <w:marRight w:val="0"/>
          <w:marTop w:val="0"/>
          <w:marBottom w:val="0"/>
          <w:divBdr>
            <w:top w:val="none" w:sz="0" w:space="0" w:color="auto"/>
            <w:left w:val="none" w:sz="0" w:space="0" w:color="auto"/>
            <w:bottom w:val="none" w:sz="0" w:space="0" w:color="auto"/>
            <w:right w:val="none" w:sz="0" w:space="0" w:color="auto"/>
          </w:divBdr>
        </w:div>
        <w:div w:id="175196252">
          <w:marLeft w:val="0"/>
          <w:marRight w:val="0"/>
          <w:marTop w:val="0"/>
          <w:marBottom w:val="0"/>
          <w:divBdr>
            <w:top w:val="none" w:sz="0" w:space="0" w:color="auto"/>
            <w:left w:val="none" w:sz="0" w:space="0" w:color="auto"/>
            <w:bottom w:val="none" w:sz="0" w:space="0" w:color="auto"/>
            <w:right w:val="none" w:sz="0" w:space="0" w:color="auto"/>
          </w:divBdr>
        </w:div>
        <w:div w:id="179394050">
          <w:marLeft w:val="0"/>
          <w:marRight w:val="0"/>
          <w:marTop w:val="0"/>
          <w:marBottom w:val="0"/>
          <w:divBdr>
            <w:top w:val="none" w:sz="0" w:space="0" w:color="auto"/>
            <w:left w:val="none" w:sz="0" w:space="0" w:color="auto"/>
            <w:bottom w:val="none" w:sz="0" w:space="0" w:color="auto"/>
            <w:right w:val="none" w:sz="0" w:space="0" w:color="auto"/>
          </w:divBdr>
        </w:div>
        <w:div w:id="186331617">
          <w:marLeft w:val="0"/>
          <w:marRight w:val="0"/>
          <w:marTop w:val="0"/>
          <w:marBottom w:val="0"/>
          <w:divBdr>
            <w:top w:val="none" w:sz="0" w:space="0" w:color="auto"/>
            <w:left w:val="none" w:sz="0" w:space="0" w:color="auto"/>
            <w:bottom w:val="none" w:sz="0" w:space="0" w:color="auto"/>
            <w:right w:val="none" w:sz="0" w:space="0" w:color="auto"/>
          </w:divBdr>
        </w:div>
        <w:div w:id="209191880">
          <w:marLeft w:val="0"/>
          <w:marRight w:val="0"/>
          <w:marTop w:val="0"/>
          <w:marBottom w:val="0"/>
          <w:divBdr>
            <w:top w:val="none" w:sz="0" w:space="0" w:color="auto"/>
            <w:left w:val="none" w:sz="0" w:space="0" w:color="auto"/>
            <w:bottom w:val="none" w:sz="0" w:space="0" w:color="auto"/>
            <w:right w:val="none" w:sz="0" w:space="0" w:color="auto"/>
          </w:divBdr>
        </w:div>
        <w:div w:id="219444116">
          <w:marLeft w:val="0"/>
          <w:marRight w:val="0"/>
          <w:marTop w:val="0"/>
          <w:marBottom w:val="0"/>
          <w:divBdr>
            <w:top w:val="none" w:sz="0" w:space="0" w:color="auto"/>
            <w:left w:val="none" w:sz="0" w:space="0" w:color="auto"/>
            <w:bottom w:val="none" w:sz="0" w:space="0" w:color="auto"/>
            <w:right w:val="none" w:sz="0" w:space="0" w:color="auto"/>
          </w:divBdr>
        </w:div>
        <w:div w:id="220333992">
          <w:marLeft w:val="0"/>
          <w:marRight w:val="0"/>
          <w:marTop w:val="0"/>
          <w:marBottom w:val="0"/>
          <w:divBdr>
            <w:top w:val="none" w:sz="0" w:space="0" w:color="auto"/>
            <w:left w:val="none" w:sz="0" w:space="0" w:color="auto"/>
            <w:bottom w:val="none" w:sz="0" w:space="0" w:color="auto"/>
            <w:right w:val="none" w:sz="0" w:space="0" w:color="auto"/>
          </w:divBdr>
        </w:div>
        <w:div w:id="222645823">
          <w:marLeft w:val="0"/>
          <w:marRight w:val="0"/>
          <w:marTop w:val="0"/>
          <w:marBottom w:val="0"/>
          <w:divBdr>
            <w:top w:val="none" w:sz="0" w:space="0" w:color="auto"/>
            <w:left w:val="none" w:sz="0" w:space="0" w:color="auto"/>
            <w:bottom w:val="none" w:sz="0" w:space="0" w:color="auto"/>
            <w:right w:val="none" w:sz="0" w:space="0" w:color="auto"/>
          </w:divBdr>
        </w:div>
        <w:div w:id="224145747">
          <w:marLeft w:val="0"/>
          <w:marRight w:val="0"/>
          <w:marTop w:val="0"/>
          <w:marBottom w:val="0"/>
          <w:divBdr>
            <w:top w:val="none" w:sz="0" w:space="0" w:color="auto"/>
            <w:left w:val="none" w:sz="0" w:space="0" w:color="auto"/>
            <w:bottom w:val="none" w:sz="0" w:space="0" w:color="auto"/>
            <w:right w:val="none" w:sz="0" w:space="0" w:color="auto"/>
          </w:divBdr>
        </w:div>
        <w:div w:id="253822763">
          <w:marLeft w:val="0"/>
          <w:marRight w:val="0"/>
          <w:marTop w:val="0"/>
          <w:marBottom w:val="0"/>
          <w:divBdr>
            <w:top w:val="none" w:sz="0" w:space="0" w:color="auto"/>
            <w:left w:val="none" w:sz="0" w:space="0" w:color="auto"/>
            <w:bottom w:val="none" w:sz="0" w:space="0" w:color="auto"/>
            <w:right w:val="none" w:sz="0" w:space="0" w:color="auto"/>
          </w:divBdr>
        </w:div>
        <w:div w:id="258098188">
          <w:marLeft w:val="0"/>
          <w:marRight w:val="0"/>
          <w:marTop w:val="0"/>
          <w:marBottom w:val="0"/>
          <w:divBdr>
            <w:top w:val="none" w:sz="0" w:space="0" w:color="auto"/>
            <w:left w:val="none" w:sz="0" w:space="0" w:color="auto"/>
            <w:bottom w:val="none" w:sz="0" w:space="0" w:color="auto"/>
            <w:right w:val="none" w:sz="0" w:space="0" w:color="auto"/>
          </w:divBdr>
        </w:div>
        <w:div w:id="273944653">
          <w:marLeft w:val="0"/>
          <w:marRight w:val="0"/>
          <w:marTop w:val="0"/>
          <w:marBottom w:val="0"/>
          <w:divBdr>
            <w:top w:val="none" w:sz="0" w:space="0" w:color="auto"/>
            <w:left w:val="none" w:sz="0" w:space="0" w:color="auto"/>
            <w:bottom w:val="none" w:sz="0" w:space="0" w:color="auto"/>
            <w:right w:val="none" w:sz="0" w:space="0" w:color="auto"/>
          </w:divBdr>
        </w:div>
        <w:div w:id="274750006">
          <w:marLeft w:val="0"/>
          <w:marRight w:val="0"/>
          <w:marTop w:val="0"/>
          <w:marBottom w:val="0"/>
          <w:divBdr>
            <w:top w:val="none" w:sz="0" w:space="0" w:color="auto"/>
            <w:left w:val="none" w:sz="0" w:space="0" w:color="auto"/>
            <w:bottom w:val="none" w:sz="0" w:space="0" w:color="auto"/>
            <w:right w:val="none" w:sz="0" w:space="0" w:color="auto"/>
          </w:divBdr>
        </w:div>
        <w:div w:id="279607996">
          <w:marLeft w:val="0"/>
          <w:marRight w:val="0"/>
          <w:marTop w:val="0"/>
          <w:marBottom w:val="0"/>
          <w:divBdr>
            <w:top w:val="none" w:sz="0" w:space="0" w:color="auto"/>
            <w:left w:val="none" w:sz="0" w:space="0" w:color="auto"/>
            <w:bottom w:val="none" w:sz="0" w:space="0" w:color="auto"/>
            <w:right w:val="none" w:sz="0" w:space="0" w:color="auto"/>
          </w:divBdr>
        </w:div>
        <w:div w:id="285089615">
          <w:marLeft w:val="0"/>
          <w:marRight w:val="0"/>
          <w:marTop w:val="0"/>
          <w:marBottom w:val="0"/>
          <w:divBdr>
            <w:top w:val="none" w:sz="0" w:space="0" w:color="auto"/>
            <w:left w:val="none" w:sz="0" w:space="0" w:color="auto"/>
            <w:bottom w:val="none" w:sz="0" w:space="0" w:color="auto"/>
            <w:right w:val="none" w:sz="0" w:space="0" w:color="auto"/>
          </w:divBdr>
        </w:div>
        <w:div w:id="285742925">
          <w:marLeft w:val="0"/>
          <w:marRight w:val="0"/>
          <w:marTop w:val="0"/>
          <w:marBottom w:val="0"/>
          <w:divBdr>
            <w:top w:val="none" w:sz="0" w:space="0" w:color="auto"/>
            <w:left w:val="none" w:sz="0" w:space="0" w:color="auto"/>
            <w:bottom w:val="none" w:sz="0" w:space="0" w:color="auto"/>
            <w:right w:val="none" w:sz="0" w:space="0" w:color="auto"/>
          </w:divBdr>
        </w:div>
        <w:div w:id="299262772">
          <w:marLeft w:val="0"/>
          <w:marRight w:val="0"/>
          <w:marTop w:val="0"/>
          <w:marBottom w:val="0"/>
          <w:divBdr>
            <w:top w:val="none" w:sz="0" w:space="0" w:color="auto"/>
            <w:left w:val="none" w:sz="0" w:space="0" w:color="auto"/>
            <w:bottom w:val="none" w:sz="0" w:space="0" w:color="auto"/>
            <w:right w:val="none" w:sz="0" w:space="0" w:color="auto"/>
          </w:divBdr>
        </w:div>
        <w:div w:id="301203861">
          <w:marLeft w:val="0"/>
          <w:marRight w:val="0"/>
          <w:marTop w:val="0"/>
          <w:marBottom w:val="0"/>
          <w:divBdr>
            <w:top w:val="none" w:sz="0" w:space="0" w:color="auto"/>
            <w:left w:val="none" w:sz="0" w:space="0" w:color="auto"/>
            <w:bottom w:val="none" w:sz="0" w:space="0" w:color="auto"/>
            <w:right w:val="none" w:sz="0" w:space="0" w:color="auto"/>
          </w:divBdr>
        </w:div>
        <w:div w:id="316736819">
          <w:marLeft w:val="0"/>
          <w:marRight w:val="0"/>
          <w:marTop w:val="0"/>
          <w:marBottom w:val="0"/>
          <w:divBdr>
            <w:top w:val="none" w:sz="0" w:space="0" w:color="auto"/>
            <w:left w:val="none" w:sz="0" w:space="0" w:color="auto"/>
            <w:bottom w:val="none" w:sz="0" w:space="0" w:color="auto"/>
            <w:right w:val="none" w:sz="0" w:space="0" w:color="auto"/>
          </w:divBdr>
        </w:div>
        <w:div w:id="317661215">
          <w:marLeft w:val="0"/>
          <w:marRight w:val="0"/>
          <w:marTop w:val="0"/>
          <w:marBottom w:val="0"/>
          <w:divBdr>
            <w:top w:val="none" w:sz="0" w:space="0" w:color="auto"/>
            <w:left w:val="none" w:sz="0" w:space="0" w:color="auto"/>
            <w:bottom w:val="none" w:sz="0" w:space="0" w:color="auto"/>
            <w:right w:val="none" w:sz="0" w:space="0" w:color="auto"/>
          </w:divBdr>
        </w:div>
        <w:div w:id="317733282">
          <w:marLeft w:val="0"/>
          <w:marRight w:val="0"/>
          <w:marTop w:val="0"/>
          <w:marBottom w:val="0"/>
          <w:divBdr>
            <w:top w:val="none" w:sz="0" w:space="0" w:color="auto"/>
            <w:left w:val="none" w:sz="0" w:space="0" w:color="auto"/>
            <w:bottom w:val="none" w:sz="0" w:space="0" w:color="auto"/>
            <w:right w:val="none" w:sz="0" w:space="0" w:color="auto"/>
          </w:divBdr>
        </w:div>
        <w:div w:id="319044645">
          <w:marLeft w:val="0"/>
          <w:marRight w:val="0"/>
          <w:marTop w:val="0"/>
          <w:marBottom w:val="0"/>
          <w:divBdr>
            <w:top w:val="none" w:sz="0" w:space="0" w:color="auto"/>
            <w:left w:val="none" w:sz="0" w:space="0" w:color="auto"/>
            <w:bottom w:val="none" w:sz="0" w:space="0" w:color="auto"/>
            <w:right w:val="none" w:sz="0" w:space="0" w:color="auto"/>
          </w:divBdr>
        </w:div>
        <w:div w:id="335040385">
          <w:marLeft w:val="0"/>
          <w:marRight w:val="0"/>
          <w:marTop w:val="0"/>
          <w:marBottom w:val="0"/>
          <w:divBdr>
            <w:top w:val="none" w:sz="0" w:space="0" w:color="auto"/>
            <w:left w:val="none" w:sz="0" w:space="0" w:color="auto"/>
            <w:bottom w:val="none" w:sz="0" w:space="0" w:color="auto"/>
            <w:right w:val="none" w:sz="0" w:space="0" w:color="auto"/>
          </w:divBdr>
        </w:div>
        <w:div w:id="352271409">
          <w:marLeft w:val="0"/>
          <w:marRight w:val="0"/>
          <w:marTop w:val="0"/>
          <w:marBottom w:val="0"/>
          <w:divBdr>
            <w:top w:val="none" w:sz="0" w:space="0" w:color="auto"/>
            <w:left w:val="none" w:sz="0" w:space="0" w:color="auto"/>
            <w:bottom w:val="none" w:sz="0" w:space="0" w:color="auto"/>
            <w:right w:val="none" w:sz="0" w:space="0" w:color="auto"/>
          </w:divBdr>
        </w:div>
        <w:div w:id="356854502">
          <w:marLeft w:val="0"/>
          <w:marRight w:val="0"/>
          <w:marTop w:val="0"/>
          <w:marBottom w:val="0"/>
          <w:divBdr>
            <w:top w:val="none" w:sz="0" w:space="0" w:color="auto"/>
            <w:left w:val="none" w:sz="0" w:space="0" w:color="auto"/>
            <w:bottom w:val="none" w:sz="0" w:space="0" w:color="auto"/>
            <w:right w:val="none" w:sz="0" w:space="0" w:color="auto"/>
          </w:divBdr>
        </w:div>
        <w:div w:id="364670742">
          <w:marLeft w:val="0"/>
          <w:marRight w:val="0"/>
          <w:marTop w:val="0"/>
          <w:marBottom w:val="0"/>
          <w:divBdr>
            <w:top w:val="none" w:sz="0" w:space="0" w:color="auto"/>
            <w:left w:val="none" w:sz="0" w:space="0" w:color="auto"/>
            <w:bottom w:val="none" w:sz="0" w:space="0" w:color="auto"/>
            <w:right w:val="none" w:sz="0" w:space="0" w:color="auto"/>
          </w:divBdr>
        </w:div>
        <w:div w:id="365298765">
          <w:marLeft w:val="0"/>
          <w:marRight w:val="0"/>
          <w:marTop w:val="0"/>
          <w:marBottom w:val="0"/>
          <w:divBdr>
            <w:top w:val="none" w:sz="0" w:space="0" w:color="auto"/>
            <w:left w:val="none" w:sz="0" w:space="0" w:color="auto"/>
            <w:bottom w:val="none" w:sz="0" w:space="0" w:color="auto"/>
            <w:right w:val="none" w:sz="0" w:space="0" w:color="auto"/>
          </w:divBdr>
        </w:div>
        <w:div w:id="367070047">
          <w:marLeft w:val="0"/>
          <w:marRight w:val="0"/>
          <w:marTop w:val="0"/>
          <w:marBottom w:val="0"/>
          <w:divBdr>
            <w:top w:val="none" w:sz="0" w:space="0" w:color="auto"/>
            <w:left w:val="none" w:sz="0" w:space="0" w:color="auto"/>
            <w:bottom w:val="none" w:sz="0" w:space="0" w:color="auto"/>
            <w:right w:val="none" w:sz="0" w:space="0" w:color="auto"/>
          </w:divBdr>
        </w:div>
        <w:div w:id="369065289">
          <w:marLeft w:val="0"/>
          <w:marRight w:val="0"/>
          <w:marTop w:val="0"/>
          <w:marBottom w:val="0"/>
          <w:divBdr>
            <w:top w:val="none" w:sz="0" w:space="0" w:color="auto"/>
            <w:left w:val="none" w:sz="0" w:space="0" w:color="auto"/>
            <w:bottom w:val="none" w:sz="0" w:space="0" w:color="auto"/>
            <w:right w:val="none" w:sz="0" w:space="0" w:color="auto"/>
          </w:divBdr>
        </w:div>
        <w:div w:id="370767519">
          <w:marLeft w:val="0"/>
          <w:marRight w:val="0"/>
          <w:marTop w:val="0"/>
          <w:marBottom w:val="0"/>
          <w:divBdr>
            <w:top w:val="none" w:sz="0" w:space="0" w:color="auto"/>
            <w:left w:val="none" w:sz="0" w:space="0" w:color="auto"/>
            <w:bottom w:val="none" w:sz="0" w:space="0" w:color="auto"/>
            <w:right w:val="none" w:sz="0" w:space="0" w:color="auto"/>
          </w:divBdr>
        </w:div>
        <w:div w:id="378213512">
          <w:marLeft w:val="0"/>
          <w:marRight w:val="0"/>
          <w:marTop w:val="0"/>
          <w:marBottom w:val="0"/>
          <w:divBdr>
            <w:top w:val="none" w:sz="0" w:space="0" w:color="auto"/>
            <w:left w:val="none" w:sz="0" w:space="0" w:color="auto"/>
            <w:bottom w:val="none" w:sz="0" w:space="0" w:color="auto"/>
            <w:right w:val="none" w:sz="0" w:space="0" w:color="auto"/>
          </w:divBdr>
        </w:div>
        <w:div w:id="385103071">
          <w:marLeft w:val="0"/>
          <w:marRight w:val="0"/>
          <w:marTop w:val="0"/>
          <w:marBottom w:val="0"/>
          <w:divBdr>
            <w:top w:val="none" w:sz="0" w:space="0" w:color="auto"/>
            <w:left w:val="none" w:sz="0" w:space="0" w:color="auto"/>
            <w:bottom w:val="none" w:sz="0" w:space="0" w:color="auto"/>
            <w:right w:val="none" w:sz="0" w:space="0" w:color="auto"/>
          </w:divBdr>
        </w:div>
        <w:div w:id="399908539">
          <w:marLeft w:val="0"/>
          <w:marRight w:val="0"/>
          <w:marTop w:val="0"/>
          <w:marBottom w:val="0"/>
          <w:divBdr>
            <w:top w:val="none" w:sz="0" w:space="0" w:color="auto"/>
            <w:left w:val="none" w:sz="0" w:space="0" w:color="auto"/>
            <w:bottom w:val="none" w:sz="0" w:space="0" w:color="auto"/>
            <w:right w:val="none" w:sz="0" w:space="0" w:color="auto"/>
          </w:divBdr>
        </w:div>
        <w:div w:id="413750187">
          <w:marLeft w:val="0"/>
          <w:marRight w:val="0"/>
          <w:marTop w:val="0"/>
          <w:marBottom w:val="0"/>
          <w:divBdr>
            <w:top w:val="none" w:sz="0" w:space="0" w:color="auto"/>
            <w:left w:val="none" w:sz="0" w:space="0" w:color="auto"/>
            <w:bottom w:val="none" w:sz="0" w:space="0" w:color="auto"/>
            <w:right w:val="none" w:sz="0" w:space="0" w:color="auto"/>
          </w:divBdr>
        </w:div>
        <w:div w:id="414934313">
          <w:marLeft w:val="0"/>
          <w:marRight w:val="0"/>
          <w:marTop w:val="0"/>
          <w:marBottom w:val="0"/>
          <w:divBdr>
            <w:top w:val="none" w:sz="0" w:space="0" w:color="auto"/>
            <w:left w:val="none" w:sz="0" w:space="0" w:color="auto"/>
            <w:bottom w:val="none" w:sz="0" w:space="0" w:color="auto"/>
            <w:right w:val="none" w:sz="0" w:space="0" w:color="auto"/>
          </w:divBdr>
        </w:div>
        <w:div w:id="425856120">
          <w:marLeft w:val="0"/>
          <w:marRight w:val="0"/>
          <w:marTop w:val="0"/>
          <w:marBottom w:val="0"/>
          <w:divBdr>
            <w:top w:val="none" w:sz="0" w:space="0" w:color="auto"/>
            <w:left w:val="none" w:sz="0" w:space="0" w:color="auto"/>
            <w:bottom w:val="none" w:sz="0" w:space="0" w:color="auto"/>
            <w:right w:val="none" w:sz="0" w:space="0" w:color="auto"/>
          </w:divBdr>
        </w:div>
        <w:div w:id="428551744">
          <w:marLeft w:val="0"/>
          <w:marRight w:val="0"/>
          <w:marTop w:val="0"/>
          <w:marBottom w:val="0"/>
          <w:divBdr>
            <w:top w:val="none" w:sz="0" w:space="0" w:color="auto"/>
            <w:left w:val="none" w:sz="0" w:space="0" w:color="auto"/>
            <w:bottom w:val="none" w:sz="0" w:space="0" w:color="auto"/>
            <w:right w:val="none" w:sz="0" w:space="0" w:color="auto"/>
          </w:divBdr>
        </w:div>
        <w:div w:id="429474876">
          <w:marLeft w:val="0"/>
          <w:marRight w:val="0"/>
          <w:marTop w:val="0"/>
          <w:marBottom w:val="0"/>
          <w:divBdr>
            <w:top w:val="none" w:sz="0" w:space="0" w:color="auto"/>
            <w:left w:val="none" w:sz="0" w:space="0" w:color="auto"/>
            <w:bottom w:val="none" w:sz="0" w:space="0" w:color="auto"/>
            <w:right w:val="none" w:sz="0" w:space="0" w:color="auto"/>
          </w:divBdr>
        </w:div>
        <w:div w:id="442195297">
          <w:marLeft w:val="0"/>
          <w:marRight w:val="0"/>
          <w:marTop w:val="0"/>
          <w:marBottom w:val="0"/>
          <w:divBdr>
            <w:top w:val="none" w:sz="0" w:space="0" w:color="auto"/>
            <w:left w:val="none" w:sz="0" w:space="0" w:color="auto"/>
            <w:bottom w:val="none" w:sz="0" w:space="0" w:color="auto"/>
            <w:right w:val="none" w:sz="0" w:space="0" w:color="auto"/>
          </w:divBdr>
        </w:div>
        <w:div w:id="451166991">
          <w:marLeft w:val="0"/>
          <w:marRight w:val="0"/>
          <w:marTop w:val="0"/>
          <w:marBottom w:val="0"/>
          <w:divBdr>
            <w:top w:val="none" w:sz="0" w:space="0" w:color="auto"/>
            <w:left w:val="none" w:sz="0" w:space="0" w:color="auto"/>
            <w:bottom w:val="none" w:sz="0" w:space="0" w:color="auto"/>
            <w:right w:val="none" w:sz="0" w:space="0" w:color="auto"/>
          </w:divBdr>
        </w:div>
        <w:div w:id="453712017">
          <w:marLeft w:val="0"/>
          <w:marRight w:val="0"/>
          <w:marTop w:val="0"/>
          <w:marBottom w:val="0"/>
          <w:divBdr>
            <w:top w:val="none" w:sz="0" w:space="0" w:color="auto"/>
            <w:left w:val="none" w:sz="0" w:space="0" w:color="auto"/>
            <w:bottom w:val="none" w:sz="0" w:space="0" w:color="auto"/>
            <w:right w:val="none" w:sz="0" w:space="0" w:color="auto"/>
          </w:divBdr>
        </w:div>
        <w:div w:id="469131505">
          <w:marLeft w:val="0"/>
          <w:marRight w:val="0"/>
          <w:marTop w:val="0"/>
          <w:marBottom w:val="0"/>
          <w:divBdr>
            <w:top w:val="none" w:sz="0" w:space="0" w:color="auto"/>
            <w:left w:val="none" w:sz="0" w:space="0" w:color="auto"/>
            <w:bottom w:val="none" w:sz="0" w:space="0" w:color="auto"/>
            <w:right w:val="none" w:sz="0" w:space="0" w:color="auto"/>
          </w:divBdr>
        </w:div>
        <w:div w:id="470908038">
          <w:marLeft w:val="0"/>
          <w:marRight w:val="0"/>
          <w:marTop w:val="0"/>
          <w:marBottom w:val="0"/>
          <w:divBdr>
            <w:top w:val="none" w:sz="0" w:space="0" w:color="auto"/>
            <w:left w:val="none" w:sz="0" w:space="0" w:color="auto"/>
            <w:bottom w:val="none" w:sz="0" w:space="0" w:color="auto"/>
            <w:right w:val="none" w:sz="0" w:space="0" w:color="auto"/>
          </w:divBdr>
        </w:div>
        <w:div w:id="471796318">
          <w:marLeft w:val="0"/>
          <w:marRight w:val="0"/>
          <w:marTop w:val="0"/>
          <w:marBottom w:val="0"/>
          <w:divBdr>
            <w:top w:val="none" w:sz="0" w:space="0" w:color="auto"/>
            <w:left w:val="none" w:sz="0" w:space="0" w:color="auto"/>
            <w:bottom w:val="none" w:sz="0" w:space="0" w:color="auto"/>
            <w:right w:val="none" w:sz="0" w:space="0" w:color="auto"/>
          </w:divBdr>
        </w:div>
        <w:div w:id="474300050">
          <w:marLeft w:val="0"/>
          <w:marRight w:val="0"/>
          <w:marTop w:val="0"/>
          <w:marBottom w:val="0"/>
          <w:divBdr>
            <w:top w:val="none" w:sz="0" w:space="0" w:color="auto"/>
            <w:left w:val="none" w:sz="0" w:space="0" w:color="auto"/>
            <w:bottom w:val="none" w:sz="0" w:space="0" w:color="auto"/>
            <w:right w:val="none" w:sz="0" w:space="0" w:color="auto"/>
          </w:divBdr>
        </w:div>
        <w:div w:id="490221706">
          <w:marLeft w:val="0"/>
          <w:marRight w:val="0"/>
          <w:marTop w:val="0"/>
          <w:marBottom w:val="0"/>
          <w:divBdr>
            <w:top w:val="none" w:sz="0" w:space="0" w:color="auto"/>
            <w:left w:val="none" w:sz="0" w:space="0" w:color="auto"/>
            <w:bottom w:val="none" w:sz="0" w:space="0" w:color="auto"/>
            <w:right w:val="none" w:sz="0" w:space="0" w:color="auto"/>
          </w:divBdr>
        </w:div>
        <w:div w:id="492837657">
          <w:marLeft w:val="0"/>
          <w:marRight w:val="0"/>
          <w:marTop w:val="0"/>
          <w:marBottom w:val="0"/>
          <w:divBdr>
            <w:top w:val="none" w:sz="0" w:space="0" w:color="auto"/>
            <w:left w:val="none" w:sz="0" w:space="0" w:color="auto"/>
            <w:bottom w:val="none" w:sz="0" w:space="0" w:color="auto"/>
            <w:right w:val="none" w:sz="0" w:space="0" w:color="auto"/>
          </w:divBdr>
        </w:div>
        <w:div w:id="516118264">
          <w:marLeft w:val="0"/>
          <w:marRight w:val="0"/>
          <w:marTop w:val="0"/>
          <w:marBottom w:val="0"/>
          <w:divBdr>
            <w:top w:val="none" w:sz="0" w:space="0" w:color="auto"/>
            <w:left w:val="none" w:sz="0" w:space="0" w:color="auto"/>
            <w:bottom w:val="none" w:sz="0" w:space="0" w:color="auto"/>
            <w:right w:val="none" w:sz="0" w:space="0" w:color="auto"/>
          </w:divBdr>
        </w:div>
        <w:div w:id="518199121">
          <w:marLeft w:val="0"/>
          <w:marRight w:val="0"/>
          <w:marTop w:val="0"/>
          <w:marBottom w:val="0"/>
          <w:divBdr>
            <w:top w:val="none" w:sz="0" w:space="0" w:color="auto"/>
            <w:left w:val="none" w:sz="0" w:space="0" w:color="auto"/>
            <w:bottom w:val="none" w:sz="0" w:space="0" w:color="auto"/>
            <w:right w:val="none" w:sz="0" w:space="0" w:color="auto"/>
          </w:divBdr>
        </w:div>
        <w:div w:id="533885092">
          <w:marLeft w:val="0"/>
          <w:marRight w:val="0"/>
          <w:marTop w:val="0"/>
          <w:marBottom w:val="0"/>
          <w:divBdr>
            <w:top w:val="none" w:sz="0" w:space="0" w:color="auto"/>
            <w:left w:val="none" w:sz="0" w:space="0" w:color="auto"/>
            <w:bottom w:val="none" w:sz="0" w:space="0" w:color="auto"/>
            <w:right w:val="none" w:sz="0" w:space="0" w:color="auto"/>
          </w:divBdr>
        </w:div>
        <w:div w:id="537399301">
          <w:marLeft w:val="0"/>
          <w:marRight w:val="0"/>
          <w:marTop w:val="0"/>
          <w:marBottom w:val="0"/>
          <w:divBdr>
            <w:top w:val="none" w:sz="0" w:space="0" w:color="auto"/>
            <w:left w:val="none" w:sz="0" w:space="0" w:color="auto"/>
            <w:bottom w:val="none" w:sz="0" w:space="0" w:color="auto"/>
            <w:right w:val="none" w:sz="0" w:space="0" w:color="auto"/>
          </w:divBdr>
        </w:div>
        <w:div w:id="539171974">
          <w:marLeft w:val="0"/>
          <w:marRight w:val="0"/>
          <w:marTop w:val="0"/>
          <w:marBottom w:val="0"/>
          <w:divBdr>
            <w:top w:val="none" w:sz="0" w:space="0" w:color="auto"/>
            <w:left w:val="none" w:sz="0" w:space="0" w:color="auto"/>
            <w:bottom w:val="none" w:sz="0" w:space="0" w:color="auto"/>
            <w:right w:val="none" w:sz="0" w:space="0" w:color="auto"/>
          </w:divBdr>
        </w:div>
        <w:div w:id="539366859">
          <w:marLeft w:val="0"/>
          <w:marRight w:val="0"/>
          <w:marTop w:val="0"/>
          <w:marBottom w:val="0"/>
          <w:divBdr>
            <w:top w:val="none" w:sz="0" w:space="0" w:color="auto"/>
            <w:left w:val="none" w:sz="0" w:space="0" w:color="auto"/>
            <w:bottom w:val="none" w:sz="0" w:space="0" w:color="auto"/>
            <w:right w:val="none" w:sz="0" w:space="0" w:color="auto"/>
          </w:divBdr>
        </w:div>
        <w:div w:id="540171788">
          <w:marLeft w:val="0"/>
          <w:marRight w:val="0"/>
          <w:marTop w:val="0"/>
          <w:marBottom w:val="0"/>
          <w:divBdr>
            <w:top w:val="none" w:sz="0" w:space="0" w:color="auto"/>
            <w:left w:val="none" w:sz="0" w:space="0" w:color="auto"/>
            <w:bottom w:val="none" w:sz="0" w:space="0" w:color="auto"/>
            <w:right w:val="none" w:sz="0" w:space="0" w:color="auto"/>
          </w:divBdr>
        </w:div>
        <w:div w:id="543105647">
          <w:marLeft w:val="0"/>
          <w:marRight w:val="0"/>
          <w:marTop w:val="0"/>
          <w:marBottom w:val="0"/>
          <w:divBdr>
            <w:top w:val="none" w:sz="0" w:space="0" w:color="auto"/>
            <w:left w:val="none" w:sz="0" w:space="0" w:color="auto"/>
            <w:bottom w:val="none" w:sz="0" w:space="0" w:color="auto"/>
            <w:right w:val="none" w:sz="0" w:space="0" w:color="auto"/>
          </w:divBdr>
        </w:div>
        <w:div w:id="560797440">
          <w:marLeft w:val="0"/>
          <w:marRight w:val="0"/>
          <w:marTop w:val="0"/>
          <w:marBottom w:val="0"/>
          <w:divBdr>
            <w:top w:val="none" w:sz="0" w:space="0" w:color="auto"/>
            <w:left w:val="none" w:sz="0" w:space="0" w:color="auto"/>
            <w:bottom w:val="none" w:sz="0" w:space="0" w:color="auto"/>
            <w:right w:val="none" w:sz="0" w:space="0" w:color="auto"/>
          </w:divBdr>
        </w:div>
        <w:div w:id="563954115">
          <w:marLeft w:val="0"/>
          <w:marRight w:val="0"/>
          <w:marTop w:val="0"/>
          <w:marBottom w:val="0"/>
          <w:divBdr>
            <w:top w:val="none" w:sz="0" w:space="0" w:color="auto"/>
            <w:left w:val="none" w:sz="0" w:space="0" w:color="auto"/>
            <w:bottom w:val="none" w:sz="0" w:space="0" w:color="auto"/>
            <w:right w:val="none" w:sz="0" w:space="0" w:color="auto"/>
          </w:divBdr>
        </w:div>
        <w:div w:id="567572735">
          <w:marLeft w:val="0"/>
          <w:marRight w:val="0"/>
          <w:marTop w:val="0"/>
          <w:marBottom w:val="0"/>
          <w:divBdr>
            <w:top w:val="none" w:sz="0" w:space="0" w:color="auto"/>
            <w:left w:val="none" w:sz="0" w:space="0" w:color="auto"/>
            <w:bottom w:val="none" w:sz="0" w:space="0" w:color="auto"/>
            <w:right w:val="none" w:sz="0" w:space="0" w:color="auto"/>
          </w:divBdr>
        </w:div>
        <w:div w:id="572469653">
          <w:marLeft w:val="0"/>
          <w:marRight w:val="0"/>
          <w:marTop w:val="0"/>
          <w:marBottom w:val="0"/>
          <w:divBdr>
            <w:top w:val="none" w:sz="0" w:space="0" w:color="auto"/>
            <w:left w:val="none" w:sz="0" w:space="0" w:color="auto"/>
            <w:bottom w:val="none" w:sz="0" w:space="0" w:color="auto"/>
            <w:right w:val="none" w:sz="0" w:space="0" w:color="auto"/>
          </w:divBdr>
        </w:div>
        <w:div w:id="589312911">
          <w:marLeft w:val="0"/>
          <w:marRight w:val="0"/>
          <w:marTop w:val="0"/>
          <w:marBottom w:val="0"/>
          <w:divBdr>
            <w:top w:val="none" w:sz="0" w:space="0" w:color="auto"/>
            <w:left w:val="none" w:sz="0" w:space="0" w:color="auto"/>
            <w:bottom w:val="none" w:sz="0" w:space="0" w:color="auto"/>
            <w:right w:val="none" w:sz="0" w:space="0" w:color="auto"/>
          </w:divBdr>
        </w:div>
        <w:div w:id="594745621">
          <w:marLeft w:val="0"/>
          <w:marRight w:val="0"/>
          <w:marTop w:val="0"/>
          <w:marBottom w:val="0"/>
          <w:divBdr>
            <w:top w:val="none" w:sz="0" w:space="0" w:color="auto"/>
            <w:left w:val="none" w:sz="0" w:space="0" w:color="auto"/>
            <w:bottom w:val="none" w:sz="0" w:space="0" w:color="auto"/>
            <w:right w:val="none" w:sz="0" w:space="0" w:color="auto"/>
          </w:divBdr>
        </w:div>
        <w:div w:id="600799005">
          <w:marLeft w:val="0"/>
          <w:marRight w:val="0"/>
          <w:marTop w:val="0"/>
          <w:marBottom w:val="0"/>
          <w:divBdr>
            <w:top w:val="none" w:sz="0" w:space="0" w:color="auto"/>
            <w:left w:val="none" w:sz="0" w:space="0" w:color="auto"/>
            <w:bottom w:val="none" w:sz="0" w:space="0" w:color="auto"/>
            <w:right w:val="none" w:sz="0" w:space="0" w:color="auto"/>
          </w:divBdr>
        </w:div>
        <w:div w:id="613251327">
          <w:marLeft w:val="0"/>
          <w:marRight w:val="0"/>
          <w:marTop w:val="0"/>
          <w:marBottom w:val="0"/>
          <w:divBdr>
            <w:top w:val="none" w:sz="0" w:space="0" w:color="auto"/>
            <w:left w:val="none" w:sz="0" w:space="0" w:color="auto"/>
            <w:bottom w:val="none" w:sz="0" w:space="0" w:color="auto"/>
            <w:right w:val="none" w:sz="0" w:space="0" w:color="auto"/>
          </w:divBdr>
        </w:div>
        <w:div w:id="615985210">
          <w:marLeft w:val="0"/>
          <w:marRight w:val="0"/>
          <w:marTop w:val="0"/>
          <w:marBottom w:val="0"/>
          <w:divBdr>
            <w:top w:val="none" w:sz="0" w:space="0" w:color="auto"/>
            <w:left w:val="none" w:sz="0" w:space="0" w:color="auto"/>
            <w:bottom w:val="none" w:sz="0" w:space="0" w:color="auto"/>
            <w:right w:val="none" w:sz="0" w:space="0" w:color="auto"/>
          </w:divBdr>
        </w:div>
        <w:div w:id="616638207">
          <w:marLeft w:val="0"/>
          <w:marRight w:val="0"/>
          <w:marTop w:val="0"/>
          <w:marBottom w:val="0"/>
          <w:divBdr>
            <w:top w:val="none" w:sz="0" w:space="0" w:color="auto"/>
            <w:left w:val="none" w:sz="0" w:space="0" w:color="auto"/>
            <w:bottom w:val="none" w:sz="0" w:space="0" w:color="auto"/>
            <w:right w:val="none" w:sz="0" w:space="0" w:color="auto"/>
          </w:divBdr>
        </w:div>
        <w:div w:id="619068811">
          <w:marLeft w:val="0"/>
          <w:marRight w:val="0"/>
          <w:marTop w:val="0"/>
          <w:marBottom w:val="0"/>
          <w:divBdr>
            <w:top w:val="none" w:sz="0" w:space="0" w:color="auto"/>
            <w:left w:val="none" w:sz="0" w:space="0" w:color="auto"/>
            <w:bottom w:val="none" w:sz="0" w:space="0" w:color="auto"/>
            <w:right w:val="none" w:sz="0" w:space="0" w:color="auto"/>
          </w:divBdr>
        </w:div>
        <w:div w:id="639647940">
          <w:marLeft w:val="0"/>
          <w:marRight w:val="0"/>
          <w:marTop w:val="0"/>
          <w:marBottom w:val="0"/>
          <w:divBdr>
            <w:top w:val="none" w:sz="0" w:space="0" w:color="auto"/>
            <w:left w:val="none" w:sz="0" w:space="0" w:color="auto"/>
            <w:bottom w:val="none" w:sz="0" w:space="0" w:color="auto"/>
            <w:right w:val="none" w:sz="0" w:space="0" w:color="auto"/>
          </w:divBdr>
        </w:div>
        <w:div w:id="641082771">
          <w:marLeft w:val="0"/>
          <w:marRight w:val="0"/>
          <w:marTop w:val="0"/>
          <w:marBottom w:val="0"/>
          <w:divBdr>
            <w:top w:val="none" w:sz="0" w:space="0" w:color="auto"/>
            <w:left w:val="none" w:sz="0" w:space="0" w:color="auto"/>
            <w:bottom w:val="none" w:sz="0" w:space="0" w:color="auto"/>
            <w:right w:val="none" w:sz="0" w:space="0" w:color="auto"/>
          </w:divBdr>
        </w:div>
        <w:div w:id="650522477">
          <w:marLeft w:val="0"/>
          <w:marRight w:val="0"/>
          <w:marTop w:val="0"/>
          <w:marBottom w:val="0"/>
          <w:divBdr>
            <w:top w:val="none" w:sz="0" w:space="0" w:color="auto"/>
            <w:left w:val="none" w:sz="0" w:space="0" w:color="auto"/>
            <w:bottom w:val="none" w:sz="0" w:space="0" w:color="auto"/>
            <w:right w:val="none" w:sz="0" w:space="0" w:color="auto"/>
          </w:divBdr>
        </w:div>
        <w:div w:id="654452001">
          <w:marLeft w:val="0"/>
          <w:marRight w:val="0"/>
          <w:marTop w:val="0"/>
          <w:marBottom w:val="0"/>
          <w:divBdr>
            <w:top w:val="none" w:sz="0" w:space="0" w:color="auto"/>
            <w:left w:val="none" w:sz="0" w:space="0" w:color="auto"/>
            <w:bottom w:val="none" w:sz="0" w:space="0" w:color="auto"/>
            <w:right w:val="none" w:sz="0" w:space="0" w:color="auto"/>
          </w:divBdr>
        </w:div>
        <w:div w:id="660230314">
          <w:marLeft w:val="0"/>
          <w:marRight w:val="0"/>
          <w:marTop w:val="0"/>
          <w:marBottom w:val="0"/>
          <w:divBdr>
            <w:top w:val="none" w:sz="0" w:space="0" w:color="auto"/>
            <w:left w:val="none" w:sz="0" w:space="0" w:color="auto"/>
            <w:bottom w:val="none" w:sz="0" w:space="0" w:color="auto"/>
            <w:right w:val="none" w:sz="0" w:space="0" w:color="auto"/>
          </w:divBdr>
        </w:div>
        <w:div w:id="666058600">
          <w:marLeft w:val="0"/>
          <w:marRight w:val="0"/>
          <w:marTop w:val="0"/>
          <w:marBottom w:val="0"/>
          <w:divBdr>
            <w:top w:val="none" w:sz="0" w:space="0" w:color="auto"/>
            <w:left w:val="none" w:sz="0" w:space="0" w:color="auto"/>
            <w:bottom w:val="none" w:sz="0" w:space="0" w:color="auto"/>
            <w:right w:val="none" w:sz="0" w:space="0" w:color="auto"/>
          </w:divBdr>
        </w:div>
        <w:div w:id="682054755">
          <w:marLeft w:val="0"/>
          <w:marRight w:val="0"/>
          <w:marTop w:val="0"/>
          <w:marBottom w:val="0"/>
          <w:divBdr>
            <w:top w:val="none" w:sz="0" w:space="0" w:color="auto"/>
            <w:left w:val="none" w:sz="0" w:space="0" w:color="auto"/>
            <w:bottom w:val="none" w:sz="0" w:space="0" w:color="auto"/>
            <w:right w:val="none" w:sz="0" w:space="0" w:color="auto"/>
          </w:divBdr>
        </w:div>
        <w:div w:id="702825017">
          <w:marLeft w:val="0"/>
          <w:marRight w:val="0"/>
          <w:marTop w:val="0"/>
          <w:marBottom w:val="0"/>
          <w:divBdr>
            <w:top w:val="none" w:sz="0" w:space="0" w:color="auto"/>
            <w:left w:val="none" w:sz="0" w:space="0" w:color="auto"/>
            <w:bottom w:val="none" w:sz="0" w:space="0" w:color="auto"/>
            <w:right w:val="none" w:sz="0" w:space="0" w:color="auto"/>
          </w:divBdr>
        </w:div>
        <w:div w:id="708186242">
          <w:marLeft w:val="0"/>
          <w:marRight w:val="0"/>
          <w:marTop w:val="0"/>
          <w:marBottom w:val="0"/>
          <w:divBdr>
            <w:top w:val="none" w:sz="0" w:space="0" w:color="auto"/>
            <w:left w:val="none" w:sz="0" w:space="0" w:color="auto"/>
            <w:bottom w:val="none" w:sz="0" w:space="0" w:color="auto"/>
            <w:right w:val="none" w:sz="0" w:space="0" w:color="auto"/>
          </w:divBdr>
        </w:div>
        <w:div w:id="708914274">
          <w:marLeft w:val="0"/>
          <w:marRight w:val="0"/>
          <w:marTop w:val="0"/>
          <w:marBottom w:val="0"/>
          <w:divBdr>
            <w:top w:val="none" w:sz="0" w:space="0" w:color="auto"/>
            <w:left w:val="none" w:sz="0" w:space="0" w:color="auto"/>
            <w:bottom w:val="none" w:sz="0" w:space="0" w:color="auto"/>
            <w:right w:val="none" w:sz="0" w:space="0" w:color="auto"/>
          </w:divBdr>
        </w:div>
        <w:div w:id="710307206">
          <w:marLeft w:val="0"/>
          <w:marRight w:val="0"/>
          <w:marTop w:val="0"/>
          <w:marBottom w:val="0"/>
          <w:divBdr>
            <w:top w:val="none" w:sz="0" w:space="0" w:color="auto"/>
            <w:left w:val="none" w:sz="0" w:space="0" w:color="auto"/>
            <w:bottom w:val="none" w:sz="0" w:space="0" w:color="auto"/>
            <w:right w:val="none" w:sz="0" w:space="0" w:color="auto"/>
          </w:divBdr>
        </w:div>
        <w:div w:id="712578297">
          <w:marLeft w:val="0"/>
          <w:marRight w:val="0"/>
          <w:marTop w:val="0"/>
          <w:marBottom w:val="0"/>
          <w:divBdr>
            <w:top w:val="none" w:sz="0" w:space="0" w:color="auto"/>
            <w:left w:val="none" w:sz="0" w:space="0" w:color="auto"/>
            <w:bottom w:val="none" w:sz="0" w:space="0" w:color="auto"/>
            <w:right w:val="none" w:sz="0" w:space="0" w:color="auto"/>
          </w:divBdr>
        </w:div>
        <w:div w:id="713427266">
          <w:marLeft w:val="0"/>
          <w:marRight w:val="0"/>
          <w:marTop w:val="0"/>
          <w:marBottom w:val="0"/>
          <w:divBdr>
            <w:top w:val="none" w:sz="0" w:space="0" w:color="auto"/>
            <w:left w:val="none" w:sz="0" w:space="0" w:color="auto"/>
            <w:bottom w:val="none" w:sz="0" w:space="0" w:color="auto"/>
            <w:right w:val="none" w:sz="0" w:space="0" w:color="auto"/>
          </w:divBdr>
        </w:div>
        <w:div w:id="721634573">
          <w:marLeft w:val="0"/>
          <w:marRight w:val="0"/>
          <w:marTop w:val="0"/>
          <w:marBottom w:val="0"/>
          <w:divBdr>
            <w:top w:val="none" w:sz="0" w:space="0" w:color="auto"/>
            <w:left w:val="none" w:sz="0" w:space="0" w:color="auto"/>
            <w:bottom w:val="none" w:sz="0" w:space="0" w:color="auto"/>
            <w:right w:val="none" w:sz="0" w:space="0" w:color="auto"/>
          </w:divBdr>
        </w:div>
        <w:div w:id="723793862">
          <w:marLeft w:val="0"/>
          <w:marRight w:val="0"/>
          <w:marTop w:val="0"/>
          <w:marBottom w:val="0"/>
          <w:divBdr>
            <w:top w:val="none" w:sz="0" w:space="0" w:color="auto"/>
            <w:left w:val="none" w:sz="0" w:space="0" w:color="auto"/>
            <w:bottom w:val="none" w:sz="0" w:space="0" w:color="auto"/>
            <w:right w:val="none" w:sz="0" w:space="0" w:color="auto"/>
          </w:divBdr>
        </w:div>
        <w:div w:id="727919834">
          <w:marLeft w:val="0"/>
          <w:marRight w:val="0"/>
          <w:marTop w:val="0"/>
          <w:marBottom w:val="0"/>
          <w:divBdr>
            <w:top w:val="none" w:sz="0" w:space="0" w:color="auto"/>
            <w:left w:val="none" w:sz="0" w:space="0" w:color="auto"/>
            <w:bottom w:val="none" w:sz="0" w:space="0" w:color="auto"/>
            <w:right w:val="none" w:sz="0" w:space="0" w:color="auto"/>
          </w:divBdr>
        </w:div>
        <w:div w:id="730347617">
          <w:marLeft w:val="0"/>
          <w:marRight w:val="0"/>
          <w:marTop w:val="0"/>
          <w:marBottom w:val="0"/>
          <w:divBdr>
            <w:top w:val="none" w:sz="0" w:space="0" w:color="auto"/>
            <w:left w:val="none" w:sz="0" w:space="0" w:color="auto"/>
            <w:bottom w:val="none" w:sz="0" w:space="0" w:color="auto"/>
            <w:right w:val="none" w:sz="0" w:space="0" w:color="auto"/>
          </w:divBdr>
        </w:div>
        <w:div w:id="754086549">
          <w:marLeft w:val="0"/>
          <w:marRight w:val="0"/>
          <w:marTop w:val="0"/>
          <w:marBottom w:val="0"/>
          <w:divBdr>
            <w:top w:val="none" w:sz="0" w:space="0" w:color="auto"/>
            <w:left w:val="none" w:sz="0" w:space="0" w:color="auto"/>
            <w:bottom w:val="none" w:sz="0" w:space="0" w:color="auto"/>
            <w:right w:val="none" w:sz="0" w:space="0" w:color="auto"/>
          </w:divBdr>
        </w:div>
        <w:div w:id="755328575">
          <w:marLeft w:val="0"/>
          <w:marRight w:val="0"/>
          <w:marTop w:val="0"/>
          <w:marBottom w:val="0"/>
          <w:divBdr>
            <w:top w:val="none" w:sz="0" w:space="0" w:color="auto"/>
            <w:left w:val="none" w:sz="0" w:space="0" w:color="auto"/>
            <w:bottom w:val="none" w:sz="0" w:space="0" w:color="auto"/>
            <w:right w:val="none" w:sz="0" w:space="0" w:color="auto"/>
          </w:divBdr>
        </w:div>
        <w:div w:id="756053903">
          <w:marLeft w:val="0"/>
          <w:marRight w:val="0"/>
          <w:marTop w:val="0"/>
          <w:marBottom w:val="0"/>
          <w:divBdr>
            <w:top w:val="none" w:sz="0" w:space="0" w:color="auto"/>
            <w:left w:val="none" w:sz="0" w:space="0" w:color="auto"/>
            <w:bottom w:val="none" w:sz="0" w:space="0" w:color="auto"/>
            <w:right w:val="none" w:sz="0" w:space="0" w:color="auto"/>
          </w:divBdr>
        </w:div>
        <w:div w:id="758939623">
          <w:marLeft w:val="0"/>
          <w:marRight w:val="0"/>
          <w:marTop w:val="0"/>
          <w:marBottom w:val="0"/>
          <w:divBdr>
            <w:top w:val="none" w:sz="0" w:space="0" w:color="auto"/>
            <w:left w:val="none" w:sz="0" w:space="0" w:color="auto"/>
            <w:bottom w:val="none" w:sz="0" w:space="0" w:color="auto"/>
            <w:right w:val="none" w:sz="0" w:space="0" w:color="auto"/>
          </w:divBdr>
        </w:div>
        <w:div w:id="764304151">
          <w:marLeft w:val="0"/>
          <w:marRight w:val="0"/>
          <w:marTop w:val="0"/>
          <w:marBottom w:val="0"/>
          <w:divBdr>
            <w:top w:val="none" w:sz="0" w:space="0" w:color="auto"/>
            <w:left w:val="none" w:sz="0" w:space="0" w:color="auto"/>
            <w:bottom w:val="none" w:sz="0" w:space="0" w:color="auto"/>
            <w:right w:val="none" w:sz="0" w:space="0" w:color="auto"/>
          </w:divBdr>
        </w:div>
        <w:div w:id="764499370">
          <w:marLeft w:val="0"/>
          <w:marRight w:val="0"/>
          <w:marTop w:val="0"/>
          <w:marBottom w:val="0"/>
          <w:divBdr>
            <w:top w:val="none" w:sz="0" w:space="0" w:color="auto"/>
            <w:left w:val="none" w:sz="0" w:space="0" w:color="auto"/>
            <w:bottom w:val="none" w:sz="0" w:space="0" w:color="auto"/>
            <w:right w:val="none" w:sz="0" w:space="0" w:color="auto"/>
          </w:divBdr>
        </w:div>
        <w:div w:id="764883335">
          <w:marLeft w:val="0"/>
          <w:marRight w:val="0"/>
          <w:marTop w:val="0"/>
          <w:marBottom w:val="0"/>
          <w:divBdr>
            <w:top w:val="none" w:sz="0" w:space="0" w:color="auto"/>
            <w:left w:val="none" w:sz="0" w:space="0" w:color="auto"/>
            <w:bottom w:val="none" w:sz="0" w:space="0" w:color="auto"/>
            <w:right w:val="none" w:sz="0" w:space="0" w:color="auto"/>
          </w:divBdr>
        </w:div>
        <w:div w:id="773939401">
          <w:marLeft w:val="0"/>
          <w:marRight w:val="0"/>
          <w:marTop w:val="0"/>
          <w:marBottom w:val="0"/>
          <w:divBdr>
            <w:top w:val="none" w:sz="0" w:space="0" w:color="auto"/>
            <w:left w:val="none" w:sz="0" w:space="0" w:color="auto"/>
            <w:bottom w:val="none" w:sz="0" w:space="0" w:color="auto"/>
            <w:right w:val="none" w:sz="0" w:space="0" w:color="auto"/>
          </w:divBdr>
        </w:div>
        <w:div w:id="775637785">
          <w:marLeft w:val="0"/>
          <w:marRight w:val="0"/>
          <w:marTop w:val="0"/>
          <w:marBottom w:val="0"/>
          <w:divBdr>
            <w:top w:val="none" w:sz="0" w:space="0" w:color="auto"/>
            <w:left w:val="none" w:sz="0" w:space="0" w:color="auto"/>
            <w:bottom w:val="none" w:sz="0" w:space="0" w:color="auto"/>
            <w:right w:val="none" w:sz="0" w:space="0" w:color="auto"/>
          </w:divBdr>
        </w:div>
        <w:div w:id="780536722">
          <w:marLeft w:val="0"/>
          <w:marRight w:val="0"/>
          <w:marTop w:val="0"/>
          <w:marBottom w:val="0"/>
          <w:divBdr>
            <w:top w:val="none" w:sz="0" w:space="0" w:color="auto"/>
            <w:left w:val="none" w:sz="0" w:space="0" w:color="auto"/>
            <w:bottom w:val="none" w:sz="0" w:space="0" w:color="auto"/>
            <w:right w:val="none" w:sz="0" w:space="0" w:color="auto"/>
          </w:divBdr>
        </w:div>
        <w:div w:id="783117905">
          <w:marLeft w:val="0"/>
          <w:marRight w:val="0"/>
          <w:marTop w:val="0"/>
          <w:marBottom w:val="0"/>
          <w:divBdr>
            <w:top w:val="none" w:sz="0" w:space="0" w:color="auto"/>
            <w:left w:val="none" w:sz="0" w:space="0" w:color="auto"/>
            <w:bottom w:val="none" w:sz="0" w:space="0" w:color="auto"/>
            <w:right w:val="none" w:sz="0" w:space="0" w:color="auto"/>
          </w:divBdr>
        </w:div>
        <w:div w:id="804351611">
          <w:marLeft w:val="0"/>
          <w:marRight w:val="0"/>
          <w:marTop w:val="0"/>
          <w:marBottom w:val="0"/>
          <w:divBdr>
            <w:top w:val="none" w:sz="0" w:space="0" w:color="auto"/>
            <w:left w:val="none" w:sz="0" w:space="0" w:color="auto"/>
            <w:bottom w:val="none" w:sz="0" w:space="0" w:color="auto"/>
            <w:right w:val="none" w:sz="0" w:space="0" w:color="auto"/>
          </w:divBdr>
        </w:div>
        <w:div w:id="822234808">
          <w:marLeft w:val="0"/>
          <w:marRight w:val="0"/>
          <w:marTop w:val="0"/>
          <w:marBottom w:val="0"/>
          <w:divBdr>
            <w:top w:val="none" w:sz="0" w:space="0" w:color="auto"/>
            <w:left w:val="none" w:sz="0" w:space="0" w:color="auto"/>
            <w:bottom w:val="none" w:sz="0" w:space="0" w:color="auto"/>
            <w:right w:val="none" w:sz="0" w:space="0" w:color="auto"/>
          </w:divBdr>
        </w:div>
        <w:div w:id="825703441">
          <w:marLeft w:val="0"/>
          <w:marRight w:val="0"/>
          <w:marTop w:val="0"/>
          <w:marBottom w:val="0"/>
          <w:divBdr>
            <w:top w:val="none" w:sz="0" w:space="0" w:color="auto"/>
            <w:left w:val="none" w:sz="0" w:space="0" w:color="auto"/>
            <w:bottom w:val="none" w:sz="0" w:space="0" w:color="auto"/>
            <w:right w:val="none" w:sz="0" w:space="0" w:color="auto"/>
          </w:divBdr>
        </w:div>
        <w:div w:id="830874216">
          <w:marLeft w:val="0"/>
          <w:marRight w:val="0"/>
          <w:marTop w:val="0"/>
          <w:marBottom w:val="0"/>
          <w:divBdr>
            <w:top w:val="none" w:sz="0" w:space="0" w:color="auto"/>
            <w:left w:val="none" w:sz="0" w:space="0" w:color="auto"/>
            <w:bottom w:val="none" w:sz="0" w:space="0" w:color="auto"/>
            <w:right w:val="none" w:sz="0" w:space="0" w:color="auto"/>
          </w:divBdr>
        </w:div>
        <w:div w:id="851459916">
          <w:marLeft w:val="0"/>
          <w:marRight w:val="0"/>
          <w:marTop w:val="0"/>
          <w:marBottom w:val="0"/>
          <w:divBdr>
            <w:top w:val="none" w:sz="0" w:space="0" w:color="auto"/>
            <w:left w:val="none" w:sz="0" w:space="0" w:color="auto"/>
            <w:bottom w:val="none" w:sz="0" w:space="0" w:color="auto"/>
            <w:right w:val="none" w:sz="0" w:space="0" w:color="auto"/>
          </w:divBdr>
        </w:div>
        <w:div w:id="874386694">
          <w:marLeft w:val="0"/>
          <w:marRight w:val="0"/>
          <w:marTop w:val="0"/>
          <w:marBottom w:val="0"/>
          <w:divBdr>
            <w:top w:val="none" w:sz="0" w:space="0" w:color="auto"/>
            <w:left w:val="none" w:sz="0" w:space="0" w:color="auto"/>
            <w:bottom w:val="none" w:sz="0" w:space="0" w:color="auto"/>
            <w:right w:val="none" w:sz="0" w:space="0" w:color="auto"/>
          </w:divBdr>
        </w:div>
        <w:div w:id="881330454">
          <w:marLeft w:val="0"/>
          <w:marRight w:val="0"/>
          <w:marTop w:val="0"/>
          <w:marBottom w:val="0"/>
          <w:divBdr>
            <w:top w:val="none" w:sz="0" w:space="0" w:color="auto"/>
            <w:left w:val="none" w:sz="0" w:space="0" w:color="auto"/>
            <w:bottom w:val="none" w:sz="0" w:space="0" w:color="auto"/>
            <w:right w:val="none" w:sz="0" w:space="0" w:color="auto"/>
          </w:divBdr>
        </w:div>
        <w:div w:id="894507324">
          <w:marLeft w:val="0"/>
          <w:marRight w:val="0"/>
          <w:marTop w:val="0"/>
          <w:marBottom w:val="0"/>
          <w:divBdr>
            <w:top w:val="none" w:sz="0" w:space="0" w:color="auto"/>
            <w:left w:val="none" w:sz="0" w:space="0" w:color="auto"/>
            <w:bottom w:val="none" w:sz="0" w:space="0" w:color="auto"/>
            <w:right w:val="none" w:sz="0" w:space="0" w:color="auto"/>
          </w:divBdr>
        </w:div>
        <w:div w:id="939414887">
          <w:marLeft w:val="0"/>
          <w:marRight w:val="0"/>
          <w:marTop w:val="0"/>
          <w:marBottom w:val="0"/>
          <w:divBdr>
            <w:top w:val="none" w:sz="0" w:space="0" w:color="auto"/>
            <w:left w:val="none" w:sz="0" w:space="0" w:color="auto"/>
            <w:bottom w:val="none" w:sz="0" w:space="0" w:color="auto"/>
            <w:right w:val="none" w:sz="0" w:space="0" w:color="auto"/>
          </w:divBdr>
        </w:div>
        <w:div w:id="942609455">
          <w:marLeft w:val="0"/>
          <w:marRight w:val="0"/>
          <w:marTop w:val="0"/>
          <w:marBottom w:val="0"/>
          <w:divBdr>
            <w:top w:val="none" w:sz="0" w:space="0" w:color="auto"/>
            <w:left w:val="none" w:sz="0" w:space="0" w:color="auto"/>
            <w:bottom w:val="none" w:sz="0" w:space="0" w:color="auto"/>
            <w:right w:val="none" w:sz="0" w:space="0" w:color="auto"/>
          </w:divBdr>
        </w:div>
        <w:div w:id="943343530">
          <w:marLeft w:val="0"/>
          <w:marRight w:val="0"/>
          <w:marTop w:val="0"/>
          <w:marBottom w:val="0"/>
          <w:divBdr>
            <w:top w:val="none" w:sz="0" w:space="0" w:color="auto"/>
            <w:left w:val="none" w:sz="0" w:space="0" w:color="auto"/>
            <w:bottom w:val="none" w:sz="0" w:space="0" w:color="auto"/>
            <w:right w:val="none" w:sz="0" w:space="0" w:color="auto"/>
          </w:divBdr>
        </w:div>
        <w:div w:id="946044463">
          <w:marLeft w:val="0"/>
          <w:marRight w:val="0"/>
          <w:marTop w:val="0"/>
          <w:marBottom w:val="0"/>
          <w:divBdr>
            <w:top w:val="none" w:sz="0" w:space="0" w:color="auto"/>
            <w:left w:val="none" w:sz="0" w:space="0" w:color="auto"/>
            <w:bottom w:val="none" w:sz="0" w:space="0" w:color="auto"/>
            <w:right w:val="none" w:sz="0" w:space="0" w:color="auto"/>
          </w:divBdr>
        </w:div>
        <w:div w:id="951857545">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0787817">
          <w:marLeft w:val="0"/>
          <w:marRight w:val="0"/>
          <w:marTop w:val="0"/>
          <w:marBottom w:val="0"/>
          <w:divBdr>
            <w:top w:val="none" w:sz="0" w:space="0" w:color="auto"/>
            <w:left w:val="none" w:sz="0" w:space="0" w:color="auto"/>
            <w:bottom w:val="none" w:sz="0" w:space="0" w:color="auto"/>
            <w:right w:val="none" w:sz="0" w:space="0" w:color="auto"/>
          </w:divBdr>
        </w:div>
        <w:div w:id="1010836304">
          <w:marLeft w:val="0"/>
          <w:marRight w:val="0"/>
          <w:marTop w:val="0"/>
          <w:marBottom w:val="0"/>
          <w:divBdr>
            <w:top w:val="none" w:sz="0" w:space="0" w:color="auto"/>
            <w:left w:val="none" w:sz="0" w:space="0" w:color="auto"/>
            <w:bottom w:val="none" w:sz="0" w:space="0" w:color="auto"/>
            <w:right w:val="none" w:sz="0" w:space="0" w:color="auto"/>
          </w:divBdr>
        </w:div>
        <w:div w:id="1013384726">
          <w:marLeft w:val="0"/>
          <w:marRight w:val="0"/>
          <w:marTop w:val="0"/>
          <w:marBottom w:val="0"/>
          <w:divBdr>
            <w:top w:val="none" w:sz="0" w:space="0" w:color="auto"/>
            <w:left w:val="none" w:sz="0" w:space="0" w:color="auto"/>
            <w:bottom w:val="none" w:sz="0" w:space="0" w:color="auto"/>
            <w:right w:val="none" w:sz="0" w:space="0" w:color="auto"/>
          </w:divBdr>
        </w:div>
        <w:div w:id="1015034643">
          <w:marLeft w:val="0"/>
          <w:marRight w:val="0"/>
          <w:marTop w:val="0"/>
          <w:marBottom w:val="0"/>
          <w:divBdr>
            <w:top w:val="none" w:sz="0" w:space="0" w:color="auto"/>
            <w:left w:val="none" w:sz="0" w:space="0" w:color="auto"/>
            <w:bottom w:val="none" w:sz="0" w:space="0" w:color="auto"/>
            <w:right w:val="none" w:sz="0" w:space="0" w:color="auto"/>
          </w:divBdr>
        </w:div>
        <w:div w:id="1032026889">
          <w:marLeft w:val="0"/>
          <w:marRight w:val="0"/>
          <w:marTop w:val="0"/>
          <w:marBottom w:val="0"/>
          <w:divBdr>
            <w:top w:val="none" w:sz="0" w:space="0" w:color="auto"/>
            <w:left w:val="none" w:sz="0" w:space="0" w:color="auto"/>
            <w:bottom w:val="none" w:sz="0" w:space="0" w:color="auto"/>
            <w:right w:val="none" w:sz="0" w:space="0" w:color="auto"/>
          </w:divBdr>
        </w:div>
        <w:div w:id="1042443173">
          <w:marLeft w:val="0"/>
          <w:marRight w:val="0"/>
          <w:marTop w:val="0"/>
          <w:marBottom w:val="0"/>
          <w:divBdr>
            <w:top w:val="none" w:sz="0" w:space="0" w:color="auto"/>
            <w:left w:val="none" w:sz="0" w:space="0" w:color="auto"/>
            <w:bottom w:val="none" w:sz="0" w:space="0" w:color="auto"/>
            <w:right w:val="none" w:sz="0" w:space="0" w:color="auto"/>
          </w:divBdr>
        </w:div>
        <w:div w:id="1044913650">
          <w:marLeft w:val="0"/>
          <w:marRight w:val="0"/>
          <w:marTop w:val="0"/>
          <w:marBottom w:val="0"/>
          <w:divBdr>
            <w:top w:val="none" w:sz="0" w:space="0" w:color="auto"/>
            <w:left w:val="none" w:sz="0" w:space="0" w:color="auto"/>
            <w:bottom w:val="none" w:sz="0" w:space="0" w:color="auto"/>
            <w:right w:val="none" w:sz="0" w:space="0" w:color="auto"/>
          </w:divBdr>
        </w:div>
        <w:div w:id="1058748810">
          <w:marLeft w:val="0"/>
          <w:marRight w:val="0"/>
          <w:marTop w:val="0"/>
          <w:marBottom w:val="0"/>
          <w:divBdr>
            <w:top w:val="none" w:sz="0" w:space="0" w:color="auto"/>
            <w:left w:val="none" w:sz="0" w:space="0" w:color="auto"/>
            <w:bottom w:val="none" w:sz="0" w:space="0" w:color="auto"/>
            <w:right w:val="none" w:sz="0" w:space="0" w:color="auto"/>
          </w:divBdr>
        </w:div>
        <w:div w:id="1058868473">
          <w:marLeft w:val="0"/>
          <w:marRight w:val="0"/>
          <w:marTop w:val="0"/>
          <w:marBottom w:val="0"/>
          <w:divBdr>
            <w:top w:val="none" w:sz="0" w:space="0" w:color="auto"/>
            <w:left w:val="none" w:sz="0" w:space="0" w:color="auto"/>
            <w:bottom w:val="none" w:sz="0" w:space="0" w:color="auto"/>
            <w:right w:val="none" w:sz="0" w:space="0" w:color="auto"/>
          </w:divBdr>
        </w:div>
        <w:div w:id="1068577243">
          <w:marLeft w:val="0"/>
          <w:marRight w:val="0"/>
          <w:marTop w:val="0"/>
          <w:marBottom w:val="0"/>
          <w:divBdr>
            <w:top w:val="none" w:sz="0" w:space="0" w:color="auto"/>
            <w:left w:val="none" w:sz="0" w:space="0" w:color="auto"/>
            <w:bottom w:val="none" w:sz="0" w:space="0" w:color="auto"/>
            <w:right w:val="none" w:sz="0" w:space="0" w:color="auto"/>
          </w:divBdr>
        </w:div>
        <w:div w:id="1071197795">
          <w:marLeft w:val="0"/>
          <w:marRight w:val="0"/>
          <w:marTop w:val="0"/>
          <w:marBottom w:val="0"/>
          <w:divBdr>
            <w:top w:val="none" w:sz="0" w:space="0" w:color="auto"/>
            <w:left w:val="none" w:sz="0" w:space="0" w:color="auto"/>
            <w:bottom w:val="none" w:sz="0" w:space="0" w:color="auto"/>
            <w:right w:val="none" w:sz="0" w:space="0" w:color="auto"/>
          </w:divBdr>
        </w:div>
        <w:div w:id="1075514296">
          <w:marLeft w:val="0"/>
          <w:marRight w:val="0"/>
          <w:marTop w:val="0"/>
          <w:marBottom w:val="0"/>
          <w:divBdr>
            <w:top w:val="none" w:sz="0" w:space="0" w:color="auto"/>
            <w:left w:val="none" w:sz="0" w:space="0" w:color="auto"/>
            <w:bottom w:val="none" w:sz="0" w:space="0" w:color="auto"/>
            <w:right w:val="none" w:sz="0" w:space="0" w:color="auto"/>
          </w:divBdr>
        </w:div>
        <w:div w:id="1089616680">
          <w:marLeft w:val="0"/>
          <w:marRight w:val="0"/>
          <w:marTop w:val="0"/>
          <w:marBottom w:val="0"/>
          <w:divBdr>
            <w:top w:val="none" w:sz="0" w:space="0" w:color="auto"/>
            <w:left w:val="none" w:sz="0" w:space="0" w:color="auto"/>
            <w:bottom w:val="none" w:sz="0" w:space="0" w:color="auto"/>
            <w:right w:val="none" w:sz="0" w:space="0" w:color="auto"/>
          </w:divBdr>
        </w:div>
        <w:div w:id="1094479161">
          <w:marLeft w:val="0"/>
          <w:marRight w:val="0"/>
          <w:marTop w:val="0"/>
          <w:marBottom w:val="0"/>
          <w:divBdr>
            <w:top w:val="none" w:sz="0" w:space="0" w:color="auto"/>
            <w:left w:val="none" w:sz="0" w:space="0" w:color="auto"/>
            <w:bottom w:val="none" w:sz="0" w:space="0" w:color="auto"/>
            <w:right w:val="none" w:sz="0" w:space="0" w:color="auto"/>
          </w:divBdr>
        </w:div>
        <w:div w:id="1097209949">
          <w:marLeft w:val="0"/>
          <w:marRight w:val="0"/>
          <w:marTop w:val="0"/>
          <w:marBottom w:val="0"/>
          <w:divBdr>
            <w:top w:val="none" w:sz="0" w:space="0" w:color="auto"/>
            <w:left w:val="none" w:sz="0" w:space="0" w:color="auto"/>
            <w:bottom w:val="none" w:sz="0" w:space="0" w:color="auto"/>
            <w:right w:val="none" w:sz="0" w:space="0" w:color="auto"/>
          </w:divBdr>
        </w:div>
        <w:div w:id="1099762011">
          <w:marLeft w:val="0"/>
          <w:marRight w:val="0"/>
          <w:marTop w:val="0"/>
          <w:marBottom w:val="0"/>
          <w:divBdr>
            <w:top w:val="none" w:sz="0" w:space="0" w:color="auto"/>
            <w:left w:val="none" w:sz="0" w:space="0" w:color="auto"/>
            <w:bottom w:val="none" w:sz="0" w:space="0" w:color="auto"/>
            <w:right w:val="none" w:sz="0" w:space="0" w:color="auto"/>
          </w:divBdr>
        </w:div>
        <w:div w:id="1106392083">
          <w:marLeft w:val="0"/>
          <w:marRight w:val="0"/>
          <w:marTop w:val="0"/>
          <w:marBottom w:val="0"/>
          <w:divBdr>
            <w:top w:val="none" w:sz="0" w:space="0" w:color="auto"/>
            <w:left w:val="none" w:sz="0" w:space="0" w:color="auto"/>
            <w:bottom w:val="none" w:sz="0" w:space="0" w:color="auto"/>
            <w:right w:val="none" w:sz="0" w:space="0" w:color="auto"/>
          </w:divBdr>
        </w:div>
        <w:div w:id="1108038430">
          <w:marLeft w:val="0"/>
          <w:marRight w:val="0"/>
          <w:marTop w:val="0"/>
          <w:marBottom w:val="0"/>
          <w:divBdr>
            <w:top w:val="none" w:sz="0" w:space="0" w:color="auto"/>
            <w:left w:val="none" w:sz="0" w:space="0" w:color="auto"/>
            <w:bottom w:val="none" w:sz="0" w:space="0" w:color="auto"/>
            <w:right w:val="none" w:sz="0" w:space="0" w:color="auto"/>
          </w:divBdr>
        </w:div>
        <w:div w:id="1108042116">
          <w:marLeft w:val="0"/>
          <w:marRight w:val="0"/>
          <w:marTop w:val="0"/>
          <w:marBottom w:val="0"/>
          <w:divBdr>
            <w:top w:val="none" w:sz="0" w:space="0" w:color="auto"/>
            <w:left w:val="none" w:sz="0" w:space="0" w:color="auto"/>
            <w:bottom w:val="none" w:sz="0" w:space="0" w:color="auto"/>
            <w:right w:val="none" w:sz="0" w:space="0" w:color="auto"/>
          </w:divBdr>
        </w:div>
        <w:div w:id="1119959883">
          <w:marLeft w:val="0"/>
          <w:marRight w:val="0"/>
          <w:marTop w:val="0"/>
          <w:marBottom w:val="0"/>
          <w:divBdr>
            <w:top w:val="none" w:sz="0" w:space="0" w:color="auto"/>
            <w:left w:val="none" w:sz="0" w:space="0" w:color="auto"/>
            <w:bottom w:val="none" w:sz="0" w:space="0" w:color="auto"/>
            <w:right w:val="none" w:sz="0" w:space="0" w:color="auto"/>
          </w:divBdr>
        </w:div>
        <w:div w:id="1122113347">
          <w:marLeft w:val="0"/>
          <w:marRight w:val="0"/>
          <w:marTop w:val="0"/>
          <w:marBottom w:val="0"/>
          <w:divBdr>
            <w:top w:val="none" w:sz="0" w:space="0" w:color="auto"/>
            <w:left w:val="none" w:sz="0" w:space="0" w:color="auto"/>
            <w:bottom w:val="none" w:sz="0" w:space="0" w:color="auto"/>
            <w:right w:val="none" w:sz="0" w:space="0" w:color="auto"/>
          </w:divBdr>
        </w:div>
        <w:div w:id="1123378841">
          <w:marLeft w:val="0"/>
          <w:marRight w:val="0"/>
          <w:marTop w:val="0"/>
          <w:marBottom w:val="0"/>
          <w:divBdr>
            <w:top w:val="none" w:sz="0" w:space="0" w:color="auto"/>
            <w:left w:val="none" w:sz="0" w:space="0" w:color="auto"/>
            <w:bottom w:val="none" w:sz="0" w:space="0" w:color="auto"/>
            <w:right w:val="none" w:sz="0" w:space="0" w:color="auto"/>
          </w:divBdr>
        </w:div>
        <w:div w:id="1127159273">
          <w:marLeft w:val="0"/>
          <w:marRight w:val="0"/>
          <w:marTop w:val="0"/>
          <w:marBottom w:val="0"/>
          <w:divBdr>
            <w:top w:val="none" w:sz="0" w:space="0" w:color="auto"/>
            <w:left w:val="none" w:sz="0" w:space="0" w:color="auto"/>
            <w:bottom w:val="none" w:sz="0" w:space="0" w:color="auto"/>
            <w:right w:val="none" w:sz="0" w:space="0" w:color="auto"/>
          </w:divBdr>
        </w:div>
        <w:div w:id="1151404729">
          <w:marLeft w:val="0"/>
          <w:marRight w:val="0"/>
          <w:marTop w:val="0"/>
          <w:marBottom w:val="0"/>
          <w:divBdr>
            <w:top w:val="none" w:sz="0" w:space="0" w:color="auto"/>
            <w:left w:val="none" w:sz="0" w:space="0" w:color="auto"/>
            <w:bottom w:val="none" w:sz="0" w:space="0" w:color="auto"/>
            <w:right w:val="none" w:sz="0" w:space="0" w:color="auto"/>
          </w:divBdr>
        </w:div>
        <w:div w:id="1174225050">
          <w:marLeft w:val="0"/>
          <w:marRight w:val="0"/>
          <w:marTop w:val="0"/>
          <w:marBottom w:val="0"/>
          <w:divBdr>
            <w:top w:val="none" w:sz="0" w:space="0" w:color="auto"/>
            <w:left w:val="none" w:sz="0" w:space="0" w:color="auto"/>
            <w:bottom w:val="none" w:sz="0" w:space="0" w:color="auto"/>
            <w:right w:val="none" w:sz="0" w:space="0" w:color="auto"/>
          </w:divBdr>
        </w:div>
        <w:div w:id="1174608200">
          <w:marLeft w:val="0"/>
          <w:marRight w:val="0"/>
          <w:marTop w:val="0"/>
          <w:marBottom w:val="0"/>
          <w:divBdr>
            <w:top w:val="none" w:sz="0" w:space="0" w:color="auto"/>
            <w:left w:val="none" w:sz="0" w:space="0" w:color="auto"/>
            <w:bottom w:val="none" w:sz="0" w:space="0" w:color="auto"/>
            <w:right w:val="none" w:sz="0" w:space="0" w:color="auto"/>
          </w:divBdr>
        </w:div>
        <w:div w:id="1182739616">
          <w:marLeft w:val="0"/>
          <w:marRight w:val="0"/>
          <w:marTop w:val="0"/>
          <w:marBottom w:val="0"/>
          <w:divBdr>
            <w:top w:val="none" w:sz="0" w:space="0" w:color="auto"/>
            <w:left w:val="none" w:sz="0" w:space="0" w:color="auto"/>
            <w:bottom w:val="none" w:sz="0" w:space="0" w:color="auto"/>
            <w:right w:val="none" w:sz="0" w:space="0" w:color="auto"/>
          </w:divBdr>
        </w:div>
        <w:div w:id="1191602578">
          <w:marLeft w:val="0"/>
          <w:marRight w:val="0"/>
          <w:marTop w:val="0"/>
          <w:marBottom w:val="0"/>
          <w:divBdr>
            <w:top w:val="none" w:sz="0" w:space="0" w:color="auto"/>
            <w:left w:val="none" w:sz="0" w:space="0" w:color="auto"/>
            <w:bottom w:val="none" w:sz="0" w:space="0" w:color="auto"/>
            <w:right w:val="none" w:sz="0" w:space="0" w:color="auto"/>
          </w:divBdr>
        </w:div>
        <w:div w:id="1214610803">
          <w:marLeft w:val="0"/>
          <w:marRight w:val="0"/>
          <w:marTop w:val="0"/>
          <w:marBottom w:val="0"/>
          <w:divBdr>
            <w:top w:val="none" w:sz="0" w:space="0" w:color="auto"/>
            <w:left w:val="none" w:sz="0" w:space="0" w:color="auto"/>
            <w:bottom w:val="none" w:sz="0" w:space="0" w:color="auto"/>
            <w:right w:val="none" w:sz="0" w:space="0" w:color="auto"/>
          </w:divBdr>
        </w:div>
        <w:div w:id="1242448154">
          <w:marLeft w:val="0"/>
          <w:marRight w:val="0"/>
          <w:marTop w:val="0"/>
          <w:marBottom w:val="0"/>
          <w:divBdr>
            <w:top w:val="none" w:sz="0" w:space="0" w:color="auto"/>
            <w:left w:val="none" w:sz="0" w:space="0" w:color="auto"/>
            <w:bottom w:val="none" w:sz="0" w:space="0" w:color="auto"/>
            <w:right w:val="none" w:sz="0" w:space="0" w:color="auto"/>
          </w:divBdr>
        </w:div>
        <w:div w:id="1248079027">
          <w:marLeft w:val="0"/>
          <w:marRight w:val="0"/>
          <w:marTop w:val="0"/>
          <w:marBottom w:val="0"/>
          <w:divBdr>
            <w:top w:val="none" w:sz="0" w:space="0" w:color="auto"/>
            <w:left w:val="none" w:sz="0" w:space="0" w:color="auto"/>
            <w:bottom w:val="none" w:sz="0" w:space="0" w:color="auto"/>
            <w:right w:val="none" w:sz="0" w:space="0" w:color="auto"/>
          </w:divBdr>
        </w:div>
        <w:div w:id="1251887511">
          <w:marLeft w:val="0"/>
          <w:marRight w:val="0"/>
          <w:marTop w:val="0"/>
          <w:marBottom w:val="0"/>
          <w:divBdr>
            <w:top w:val="none" w:sz="0" w:space="0" w:color="auto"/>
            <w:left w:val="none" w:sz="0" w:space="0" w:color="auto"/>
            <w:bottom w:val="none" w:sz="0" w:space="0" w:color="auto"/>
            <w:right w:val="none" w:sz="0" w:space="0" w:color="auto"/>
          </w:divBdr>
        </w:div>
        <w:div w:id="1262762712">
          <w:marLeft w:val="0"/>
          <w:marRight w:val="0"/>
          <w:marTop w:val="0"/>
          <w:marBottom w:val="0"/>
          <w:divBdr>
            <w:top w:val="none" w:sz="0" w:space="0" w:color="auto"/>
            <w:left w:val="none" w:sz="0" w:space="0" w:color="auto"/>
            <w:bottom w:val="none" w:sz="0" w:space="0" w:color="auto"/>
            <w:right w:val="none" w:sz="0" w:space="0" w:color="auto"/>
          </w:divBdr>
        </w:div>
        <w:div w:id="1266116012">
          <w:marLeft w:val="0"/>
          <w:marRight w:val="0"/>
          <w:marTop w:val="0"/>
          <w:marBottom w:val="0"/>
          <w:divBdr>
            <w:top w:val="none" w:sz="0" w:space="0" w:color="auto"/>
            <w:left w:val="none" w:sz="0" w:space="0" w:color="auto"/>
            <w:bottom w:val="none" w:sz="0" w:space="0" w:color="auto"/>
            <w:right w:val="none" w:sz="0" w:space="0" w:color="auto"/>
          </w:divBdr>
        </w:div>
        <w:div w:id="1270895881">
          <w:marLeft w:val="0"/>
          <w:marRight w:val="0"/>
          <w:marTop w:val="0"/>
          <w:marBottom w:val="0"/>
          <w:divBdr>
            <w:top w:val="none" w:sz="0" w:space="0" w:color="auto"/>
            <w:left w:val="none" w:sz="0" w:space="0" w:color="auto"/>
            <w:bottom w:val="none" w:sz="0" w:space="0" w:color="auto"/>
            <w:right w:val="none" w:sz="0" w:space="0" w:color="auto"/>
          </w:divBdr>
        </w:div>
        <w:div w:id="1276253709">
          <w:marLeft w:val="0"/>
          <w:marRight w:val="0"/>
          <w:marTop w:val="0"/>
          <w:marBottom w:val="0"/>
          <w:divBdr>
            <w:top w:val="none" w:sz="0" w:space="0" w:color="auto"/>
            <w:left w:val="none" w:sz="0" w:space="0" w:color="auto"/>
            <w:bottom w:val="none" w:sz="0" w:space="0" w:color="auto"/>
            <w:right w:val="none" w:sz="0" w:space="0" w:color="auto"/>
          </w:divBdr>
        </w:div>
        <w:div w:id="1296375116">
          <w:marLeft w:val="0"/>
          <w:marRight w:val="0"/>
          <w:marTop w:val="0"/>
          <w:marBottom w:val="0"/>
          <w:divBdr>
            <w:top w:val="none" w:sz="0" w:space="0" w:color="auto"/>
            <w:left w:val="none" w:sz="0" w:space="0" w:color="auto"/>
            <w:bottom w:val="none" w:sz="0" w:space="0" w:color="auto"/>
            <w:right w:val="none" w:sz="0" w:space="0" w:color="auto"/>
          </w:divBdr>
        </w:div>
        <w:div w:id="1301962279">
          <w:marLeft w:val="0"/>
          <w:marRight w:val="0"/>
          <w:marTop w:val="0"/>
          <w:marBottom w:val="0"/>
          <w:divBdr>
            <w:top w:val="none" w:sz="0" w:space="0" w:color="auto"/>
            <w:left w:val="none" w:sz="0" w:space="0" w:color="auto"/>
            <w:bottom w:val="none" w:sz="0" w:space="0" w:color="auto"/>
            <w:right w:val="none" w:sz="0" w:space="0" w:color="auto"/>
          </w:divBdr>
        </w:div>
        <w:div w:id="1310130977">
          <w:marLeft w:val="0"/>
          <w:marRight w:val="0"/>
          <w:marTop w:val="0"/>
          <w:marBottom w:val="0"/>
          <w:divBdr>
            <w:top w:val="none" w:sz="0" w:space="0" w:color="auto"/>
            <w:left w:val="none" w:sz="0" w:space="0" w:color="auto"/>
            <w:bottom w:val="none" w:sz="0" w:space="0" w:color="auto"/>
            <w:right w:val="none" w:sz="0" w:space="0" w:color="auto"/>
          </w:divBdr>
        </w:div>
        <w:div w:id="1327442307">
          <w:marLeft w:val="0"/>
          <w:marRight w:val="0"/>
          <w:marTop w:val="0"/>
          <w:marBottom w:val="0"/>
          <w:divBdr>
            <w:top w:val="none" w:sz="0" w:space="0" w:color="auto"/>
            <w:left w:val="none" w:sz="0" w:space="0" w:color="auto"/>
            <w:bottom w:val="none" w:sz="0" w:space="0" w:color="auto"/>
            <w:right w:val="none" w:sz="0" w:space="0" w:color="auto"/>
          </w:divBdr>
        </w:div>
        <w:div w:id="1330060744">
          <w:marLeft w:val="0"/>
          <w:marRight w:val="0"/>
          <w:marTop w:val="0"/>
          <w:marBottom w:val="0"/>
          <w:divBdr>
            <w:top w:val="none" w:sz="0" w:space="0" w:color="auto"/>
            <w:left w:val="none" w:sz="0" w:space="0" w:color="auto"/>
            <w:bottom w:val="none" w:sz="0" w:space="0" w:color="auto"/>
            <w:right w:val="none" w:sz="0" w:space="0" w:color="auto"/>
          </w:divBdr>
        </w:div>
        <w:div w:id="1338457953">
          <w:marLeft w:val="0"/>
          <w:marRight w:val="0"/>
          <w:marTop w:val="0"/>
          <w:marBottom w:val="0"/>
          <w:divBdr>
            <w:top w:val="none" w:sz="0" w:space="0" w:color="auto"/>
            <w:left w:val="none" w:sz="0" w:space="0" w:color="auto"/>
            <w:bottom w:val="none" w:sz="0" w:space="0" w:color="auto"/>
            <w:right w:val="none" w:sz="0" w:space="0" w:color="auto"/>
          </w:divBdr>
        </w:div>
        <w:div w:id="1339887508">
          <w:marLeft w:val="0"/>
          <w:marRight w:val="0"/>
          <w:marTop w:val="0"/>
          <w:marBottom w:val="0"/>
          <w:divBdr>
            <w:top w:val="none" w:sz="0" w:space="0" w:color="auto"/>
            <w:left w:val="none" w:sz="0" w:space="0" w:color="auto"/>
            <w:bottom w:val="none" w:sz="0" w:space="0" w:color="auto"/>
            <w:right w:val="none" w:sz="0" w:space="0" w:color="auto"/>
          </w:divBdr>
        </w:div>
        <w:div w:id="1340503652">
          <w:marLeft w:val="0"/>
          <w:marRight w:val="0"/>
          <w:marTop w:val="0"/>
          <w:marBottom w:val="0"/>
          <w:divBdr>
            <w:top w:val="none" w:sz="0" w:space="0" w:color="auto"/>
            <w:left w:val="none" w:sz="0" w:space="0" w:color="auto"/>
            <w:bottom w:val="none" w:sz="0" w:space="0" w:color="auto"/>
            <w:right w:val="none" w:sz="0" w:space="0" w:color="auto"/>
          </w:divBdr>
        </w:div>
        <w:div w:id="1387145869">
          <w:marLeft w:val="0"/>
          <w:marRight w:val="0"/>
          <w:marTop w:val="0"/>
          <w:marBottom w:val="0"/>
          <w:divBdr>
            <w:top w:val="none" w:sz="0" w:space="0" w:color="auto"/>
            <w:left w:val="none" w:sz="0" w:space="0" w:color="auto"/>
            <w:bottom w:val="none" w:sz="0" w:space="0" w:color="auto"/>
            <w:right w:val="none" w:sz="0" w:space="0" w:color="auto"/>
          </w:divBdr>
        </w:div>
        <w:div w:id="1387215733">
          <w:marLeft w:val="0"/>
          <w:marRight w:val="0"/>
          <w:marTop w:val="0"/>
          <w:marBottom w:val="0"/>
          <w:divBdr>
            <w:top w:val="none" w:sz="0" w:space="0" w:color="auto"/>
            <w:left w:val="none" w:sz="0" w:space="0" w:color="auto"/>
            <w:bottom w:val="none" w:sz="0" w:space="0" w:color="auto"/>
            <w:right w:val="none" w:sz="0" w:space="0" w:color="auto"/>
          </w:divBdr>
        </w:div>
        <w:div w:id="1391466585">
          <w:marLeft w:val="0"/>
          <w:marRight w:val="0"/>
          <w:marTop w:val="0"/>
          <w:marBottom w:val="0"/>
          <w:divBdr>
            <w:top w:val="none" w:sz="0" w:space="0" w:color="auto"/>
            <w:left w:val="none" w:sz="0" w:space="0" w:color="auto"/>
            <w:bottom w:val="none" w:sz="0" w:space="0" w:color="auto"/>
            <w:right w:val="none" w:sz="0" w:space="0" w:color="auto"/>
          </w:divBdr>
        </w:div>
        <w:div w:id="1396127314">
          <w:marLeft w:val="0"/>
          <w:marRight w:val="0"/>
          <w:marTop w:val="0"/>
          <w:marBottom w:val="0"/>
          <w:divBdr>
            <w:top w:val="none" w:sz="0" w:space="0" w:color="auto"/>
            <w:left w:val="none" w:sz="0" w:space="0" w:color="auto"/>
            <w:bottom w:val="none" w:sz="0" w:space="0" w:color="auto"/>
            <w:right w:val="none" w:sz="0" w:space="0" w:color="auto"/>
          </w:divBdr>
        </w:div>
        <w:div w:id="1397121305">
          <w:marLeft w:val="0"/>
          <w:marRight w:val="0"/>
          <w:marTop w:val="0"/>
          <w:marBottom w:val="0"/>
          <w:divBdr>
            <w:top w:val="none" w:sz="0" w:space="0" w:color="auto"/>
            <w:left w:val="none" w:sz="0" w:space="0" w:color="auto"/>
            <w:bottom w:val="none" w:sz="0" w:space="0" w:color="auto"/>
            <w:right w:val="none" w:sz="0" w:space="0" w:color="auto"/>
          </w:divBdr>
        </w:div>
        <w:div w:id="1428961945">
          <w:marLeft w:val="0"/>
          <w:marRight w:val="0"/>
          <w:marTop w:val="0"/>
          <w:marBottom w:val="0"/>
          <w:divBdr>
            <w:top w:val="none" w:sz="0" w:space="0" w:color="auto"/>
            <w:left w:val="none" w:sz="0" w:space="0" w:color="auto"/>
            <w:bottom w:val="none" w:sz="0" w:space="0" w:color="auto"/>
            <w:right w:val="none" w:sz="0" w:space="0" w:color="auto"/>
          </w:divBdr>
        </w:div>
        <w:div w:id="1435175135">
          <w:marLeft w:val="0"/>
          <w:marRight w:val="0"/>
          <w:marTop w:val="0"/>
          <w:marBottom w:val="0"/>
          <w:divBdr>
            <w:top w:val="none" w:sz="0" w:space="0" w:color="auto"/>
            <w:left w:val="none" w:sz="0" w:space="0" w:color="auto"/>
            <w:bottom w:val="none" w:sz="0" w:space="0" w:color="auto"/>
            <w:right w:val="none" w:sz="0" w:space="0" w:color="auto"/>
          </w:divBdr>
        </w:div>
        <w:div w:id="1440490459">
          <w:marLeft w:val="0"/>
          <w:marRight w:val="0"/>
          <w:marTop w:val="0"/>
          <w:marBottom w:val="0"/>
          <w:divBdr>
            <w:top w:val="none" w:sz="0" w:space="0" w:color="auto"/>
            <w:left w:val="none" w:sz="0" w:space="0" w:color="auto"/>
            <w:bottom w:val="none" w:sz="0" w:space="0" w:color="auto"/>
            <w:right w:val="none" w:sz="0" w:space="0" w:color="auto"/>
          </w:divBdr>
        </w:div>
        <w:div w:id="1452170391">
          <w:marLeft w:val="0"/>
          <w:marRight w:val="0"/>
          <w:marTop w:val="0"/>
          <w:marBottom w:val="0"/>
          <w:divBdr>
            <w:top w:val="none" w:sz="0" w:space="0" w:color="auto"/>
            <w:left w:val="none" w:sz="0" w:space="0" w:color="auto"/>
            <w:bottom w:val="none" w:sz="0" w:space="0" w:color="auto"/>
            <w:right w:val="none" w:sz="0" w:space="0" w:color="auto"/>
          </w:divBdr>
        </w:div>
        <w:div w:id="1458261905">
          <w:marLeft w:val="0"/>
          <w:marRight w:val="0"/>
          <w:marTop w:val="0"/>
          <w:marBottom w:val="0"/>
          <w:divBdr>
            <w:top w:val="none" w:sz="0" w:space="0" w:color="auto"/>
            <w:left w:val="none" w:sz="0" w:space="0" w:color="auto"/>
            <w:bottom w:val="none" w:sz="0" w:space="0" w:color="auto"/>
            <w:right w:val="none" w:sz="0" w:space="0" w:color="auto"/>
          </w:divBdr>
        </w:div>
        <w:div w:id="1471750643">
          <w:marLeft w:val="0"/>
          <w:marRight w:val="0"/>
          <w:marTop w:val="0"/>
          <w:marBottom w:val="0"/>
          <w:divBdr>
            <w:top w:val="none" w:sz="0" w:space="0" w:color="auto"/>
            <w:left w:val="none" w:sz="0" w:space="0" w:color="auto"/>
            <w:bottom w:val="none" w:sz="0" w:space="0" w:color="auto"/>
            <w:right w:val="none" w:sz="0" w:space="0" w:color="auto"/>
          </w:divBdr>
        </w:div>
        <w:div w:id="1508591194">
          <w:marLeft w:val="0"/>
          <w:marRight w:val="0"/>
          <w:marTop w:val="0"/>
          <w:marBottom w:val="0"/>
          <w:divBdr>
            <w:top w:val="none" w:sz="0" w:space="0" w:color="auto"/>
            <w:left w:val="none" w:sz="0" w:space="0" w:color="auto"/>
            <w:bottom w:val="none" w:sz="0" w:space="0" w:color="auto"/>
            <w:right w:val="none" w:sz="0" w:space="0" w:color="auto"/>
          </w:divBdr>
        </w:div>
        <w:div w:id="1521314825">
          <w:marLeft w:val="0"/>
          <w:marRight w:val="0"/>
          <w:marTop w:val="0"/>
          <w:marBottom w:val="0"/>
          <w:divBdr>
            <w:top w:val="none" w:sz="0" w:space="0" w:color="auto"/>
            <w:left w:val="none" w:sz="0" w:space="0" w:color="auto"/>
            <w:bottom w:val="none" w:sz="0" w:space="0" w:color="auto"/>
            <w:right w:val="none" w:sz="0" w:space="0" w:color="auto"/>
          </w:divBdr>
        </w:div>
        <w:div w:id="1526746283">
          <w:marLeft w:val="0"/>
          <w:marRight w:val="0"/>
          <w:marTop w:val="0"/>
          <w:marBottom w:val="0"/>
          <w:divBdr>
            <w:top w:val="none" w:sz="0" w:space="0" w:color="auto"/>
            <w:left w:val="none" w:sz="0" w:space="0" w:color="auto"/>
            <w:bottom w:val="none" w:sz="0" w:space="0" w:color="auto"/>
            <w:right w:val="none" w:sz="0" w:space="0" w:color="auto"/>
          </w:divBdr>
        </w:div>
        <w:div w:id="1542940514">
          <w:marLeft w:val="0"/>
          <w:marRight w:val="0"/>
          <w:marTop w:val="0"/>
          <w:marBottom w:val="0"/>
          <w:divBdr>
            <w:top w:val="none" w:sz="0" w:space="0" w:color="auto"/>
            <w:left w:val="none" w:sz="0" w:space="0" w:color="auto"/>
            <w:bottom w:val="none" w:sz="0" w:space="0" w:color="auto"/>
            <w:right w:val="none" w:sz="0" w:space="0" w:color="auto"/>
          </w:divBdr>
        </w:div>
        <w:div w:id="1547332529">
          <w:marLeft w:val="0"/>
          <w:marRight w:val="0"/>
          <w:marTop w:val="0"/>
          <w:marBottom w:val="0"/>
          <w:divBdr>
            <w:top w:val="none" w:sz="0" w:space="0" w:color="auto"/>
            <w:left w:val="none" w:sz="0" w:space="0" w:color="auto"/>
            <w:bottom w:val="none" w:sz="0" w:space="0" w:color="auto"/>
            <w:right w:val="none" w:sz="0" w:space="0" w:color="auto"/>
          </w:divBdr>
        </w:div>
        <w:div w:id="1554468611">
          <w:marLeft w:val="0"/>
          <w:marRight w:val="0"/>
          <w:marTop w:val="0"/>
          <w:marBottom w:val="0"/>
          <w:divBdr>
            <w:top w:val="none" w:sz="0" w:space="0" w:color="auto"/>
            <w:left w:val="none" w:sz="0" w:space="0" w:color="auto"/>
            <w:bottom w:val="none" w:sz="0" w:space="0" w:color="auto"/>
            <w:right w:val="none" w:sz="0" w:space="0" w:color="auto"/>
          </w:divBdr>
        </w:div>
        <w:div w:id="1565220535">
          <w:marLeft w:val="0"/>
          <w:marRight w:val="0"/>
          <w:marTop w:val="0"/>
          <w:marBottom w:val="0"/>
          <w:divBdr>
            <w:top w:val="none" w:sz="0" w:space="0" w:color="auto"/>
            <w:left w:val="none" w:sz="0" w:space="0" w:color="auto"/>
            <w:bottom w:val="none" w:sz="0" w:space="0" w:color="auto"/>
            <w:right w:val="none" w:sz="0" w:space="0" w:color="auto"/>
          </w:divBdr>
        </w:div>
        <w:div w:id="1587030104">
          <w:marLeft w:val="0"/>
          <w:marRight w:val="0"/>
          <w:marTop w:val="0"/>
          <w:marBottom w:val="0"/>
          <w:divBdr>
            <w:top w:val="none" w:sz="0" w:space="0" w:color="auto"/>
            <w:left w:val="none" w:sz="0" w:space="0" w:color="auto"/>
            <w:bottom w:val="none" w:sz="0" w:space="0" w:color="auto"/>
            <w:right w:val="none" w:sz="0" w:space="0" w:color="auto"/>
          </w:divBdr>
        </w:div>
        <w:div w:id="1627926246">
          <w:marLeft w:val="0"/>
          <w:marRight w:val="0"/>
          <w:marTop w:val="0"/>
          <w:marBottom w:val="0"/>
          <w:divBdr>
            <w:top w:val="none" w:sz="0" w:space="0" w:color="auto"/>
            <w:left w:val="none" w:sz="0" w:space="0" w:color="auto"/>
            <w:bottom w:val="none" w:sz="0" w:space="0" w:color="auto"/>
            <w:right w:val="none" w:sz="0" w:space="0" w:color="auto"/>
          </w:divBdr>
        </w:div>
        <w:div w:id="1631009174">
          <w:marLeft w:val="0"/>
          <w:marRight w:val="0"/>
          <w:marTop w:val="0"/>
          <w:marBottom w:val="0"/>
          <w:divBdr>
            <w:top w:val="none" w:sz="0" w:space="0" w:color="auto"/>
            <w:left w:val="none" w:sz="0" w:space="0" w:color="auto"/>
            <w:bottom w:val="none" w:sz="0" w:space="0" w:color="auto"/>
            <w:right w:val="none" w:sz="0" w:space="0" w:color="auto"/>
          </w:divBdr>
        </w:div>
        <w:div w:id="1635476741">
          <w:marLeft w:val="0"/>
          <w:marRight w:val="0"/>
          <w:marTop w:val="0"/>
          <w:marBottom w:val="0"/>
          <w:divBdr>
            <w:top w:val="none" w:sz="0" w:space="0" w:color="auto"/>
            <w:left w:val="none" w:sz="0" w:space="0" w:color="auto"/>
            <w:bottom w:val="none" w:sz="0" w:space="0" w:color="auto"/>
            <w:right w:val="none" w:sz="0" w:space="0" w:color="auto"/>
          </w:divBdr>
        </w:div>
        <w:div w:id="1645743353">
          <w:marLeft w:val="0"/>
          <w:marRight w:val="0"/>
          <w:marTop w:val="0"/>
          <w:marBottom w:val="0"/>
          <w:divBdr>
            <w:top w:val="none" w:sz="0" w:space="0" w:color="auto"/>
            <w:left w:val="none" w:sz="0" w:space="0" w:color="auto"/>
            <w:bottom w:val="none" w:sz="0" w:space="0" w:color="auto"/>
            <w:right w:val="none" w:sz="0" w:space="0" w:color="auto"/>
          </w:divBdr>
        </w:div>
        <w:div w:id="1649239059">
          <w:marLeft w:val="0"/>
          <w:marRight w:val="0"/>
          <w:marTop w:val="0"/>
          <w:marBottom w:val="0"/>
          <w:divBdr>
            <w:top w:val="none" w:sz="0" w:space="0" w:color="auto"/>
            <w:left w:val="none" w:sz="0" w:space="0" w:color="auto"/>
            <w:bottom w:val="none" w:sz="0" w:space="0" w:color="auto"/>
            <w:right w:val="none" w:sz="0" w:space="0" w:color="auto"/>
          </w:divBdr>
        </w:div>
        <w:div w:id="1649281459">
          <w:marLeft w:val="0"/>
          <w:marRight w:val="0"/>
          <w:marTop w:val="0"/>
          <w:marBottom w:val="0"/>
          <w:divBdr>
            <w:top w:val="none" w:sz="0" w:space="0" w:color="auto"/>
            <w:left w:val="none" w:sz="0" w:space="0" w:color="auto"/>
            <w:bottom w:val="none" w:sz="0" w:space="0" w:color="auto"/>
            <w:right w:val="none" w:sz="0" w:space="0" w:color="auto"/>
          </w:divBdr>
        </w:div>
        <w:div w:id="1661232488">
          <w:marLeft w:val="0"/>
          <w:marRight w:val="0"/>
          <w:marTop w:val="0"/>
          <w:marBottom w:val="0"/>
          <w:divBdr>
            <w:top w:val="none" w:sz="0" w:space="0" w:color="auto"/>
            <w:left w:val="none" w:sz="0" w:space="0" w:color="auto"/>
            <w:bottom w:val="none" w:sz="0" w:space="0" w:color="auto"/>
            <w:right w:val="none" w:sz="0" w:space="0" w:color="auto"/>
          </w:divBdr>
        </w:div>
        <w:div w:id="1661418832">
          <w:marLeft w:val="0"/>
          <w:marRight w:val="0"/>
          <w:marTop w:val="0"/>
          <w:marBottom w:val="0"/>
          <w:divBdr>
            <w:top w:val="none" w:sz="0" w:space="0" w:color="auto"/>
            <w:left w:val="none" w:sz="0" w:space="0" w:color="auto"/>
            <w:bottom w:val="none" w:sz="0" w:space="0" w:color="auto"/>
            <w:right w:val="none" w:sz="0" w:space="0" w:color="auto"/>
          </w:divBdr>
        </w:div>
        <w:div w:id="1666469855">
          <w:marLeft w:val="0"/>
          <w:marRight w:val="0"/>
          <w:marTop w:val="0"/>
          <w:marBottom w:val="0"/>
          <w:divBdr>
            <w:top w:val="none" w:sz="0" w:space="0" w:color="auto"/>
            <w:left w:val="none" w:sz="0" w:space="0" w:color="auto"/>
            <w:bottom w:val="none" w:sz="0" w:space="0" w:color="auto"/>
            <w:right w:val="none" w:sz="0" w:space="0" w:color="auto"/>
          </w:divBdr>
        </w:div>
        <w:div w:id="1683362747">
          <w:marLeft w:val="0"/>
          <w:marRight w:val="0"/>
          <w:marTop w:val="0"/>
          <w:marBottom w:val="0"/>
          <w:divBdr>
            <w:top w:val="none" w:sz="0" w:space="0" w:color="auto"/>
            <w:left w:val="none" w:sz="0" w:space="0" w:color="auto"/>
            <w:bottom w:val="none" w:sz="0" w:space="0" w:color="auto"/>
            <w:right w:val="none" w:sz="0" w:space="0" w:color="auto"/>
          </w:divBdr>
        </w:div>
        <w:div w:id="1694528379">
          <w:marLeft w:val="0"/>
          <w:marRight w:val="0"/>
          <w:marTop w:val="0"/>
          <w:marBottom w:val="0"/>
          <w:divBdr>
            <w:top w:val="none" w:sz="0" w:space="0" w:color="auto"/>
            <w:left w:val="none" w:sz="0" w:space="0" w:color="auto"/>
            <w:bottom w:val="none" w:sz="0" w:space="0" w:color="auto"/>
            <w:right w:val="none" w:sz="0" w:space="0" w:color="auto"/>
          </w:divBdr>
        </w:div>
        <w:div w:id="1699116090">
          <w:marLeft w:val="0"/>
          <w:marRight w:val="0"/>
          <w:marTop w:val="0"/>
          <w:marBottom w:val="0"/>
          <w:divBdr>
            <w:top w:val="none" w:sz="0" w:space="0" w:color="auto"/>
            <w:left w:val="none" w:sz="0" w:space="0" w:color="auto"/>
            <w:bottom w:val="none" w:sz="0" w:space="0" w:color="auto"/>
            <w:right w:val="none" w:sz="0" w:space="0" w:color="auto"/>
          </w:divBdr>
        </w:div>
        <w:div w:id="1700861441">
          <w:marLeft w:val="0"/>
          <w:marRight w:val="0"/>
          <w:marTop w:val="0"/>
          <w:marBottom w:val="0"/>
          <w:divBdr>
            <w:top w:val="none" w:sz="0" w:space="0" w:color="auto"/>
            <w:left w:val="none" w:sz="0" w:space="0" w:color="auto"/>
            <w:bottom w:val="none" w:sz="0" w:space="0" w:color="auto"/>
            <w:right w:val="none" w:sz="0" w:space="0" w:color="auto"/>
          </w:divBdr>
        </w:div>
        <w:div w:id="1718968218">
          <w:marLeft w:val="0"/>
          <w:marRight w:val="0"/>
          <w:marTop w:val="0"/>
          <w:marBottom w:val="0"/>
          <w:divBdr>
            <w:top w:val="none" w:sz="0" w:space="0" w:color="auto"/>
            <w:left w:val="none" w:sz="0" w:space="0" w:color="auto"/>
            <w:bottom w:val="none" w:sz="0" w:space="0" w:color="auto"/>
            <w:right w:val="none" w:sz="0" w:space="0" w:color="auto"/>
          </w:divBdr>
        </w:div>
        <w:div w:id="1721128688">
          <w:marLeft w:val="0"/>
          <w:marRight w:val="0"/>
          <w:marTop w:val="0"/>
          <w:marBottom w:val="0"/>
          <w:divBdr>
            <w:top w:val="none" w:sz="0" w:space="0" w:color="auto"/>
            <w:left w:val="none" w:sz="0" w:space="0" w:color="auto"/>
            <w:bottom w:val="none" w:sz="0" w:space="0" w:color="auto"/>
            <w:right w:val="none" w:sz="0" w:space="0" w:color="auto"/>
          </w:divBdr>
        </w:div>
        <w:div w:id="1757049483">
          <w:marLeft w:val="0"/>
          <w:marRight w:val="0"/>
          <w:marTop w:val="0"/>
          <w:marBottom w:val="0"/>
          <w:divBdr>
            <w:top w:val="none" w:sz="0" w:space="0" w:color="auto"/>
            <w:left w:val="none" w:sz="0" w:space="0" w:color="auto"/>
            <w:bottom w:val="none" w:sz="0" w:space="0" w:color="auto"/>
            <w:right w:val="none" w:sz="0" w:space="0" w:color="auto"/>
          </w:divBdr>
        </w:div>
        <w:div w:id="1772047697">
          <w:marLeft w:val="0"/>
          <w:marRight w:val="0"/>
          <w:marTop w:val="0"/>
          <w:marBottom w:val="0"/>
          <w:divBdr>
            <w:top w:val="none" w:sz="0" w:space="0" w:color="auto"/>
            <w:left w:val="none" w:sz="0" w:space="0" w:color="auto"/>
            <w:bottom w:val="none" w:sz="0" w:space="0" w:color="auto"/>
            <w:right w:val="none" w:sz="0" w:space="0" w:color="auto"/>
          </w:divBdr>
        </w:div>
        <w:div w:id="1786851935">
          <w:marLeft w:val="0"/>
          <w:marRight w:val="0"/>
          <w:marTop w:val="0"/>
          <w:marBottom w:val="0"/>
          <w:divBdr>
            <w:top w:val="none" w:sz="0" w:space="0" w:color="auto"/>
            <w:left w:val="none" w:sz="0" w:space="0" w:color="auto"/>
            <w:bottom w:val="none" w:sz="0" w:space="0" w:color="auto"/>
            <w:right w:val="none" w:sz="0" w:space="0" w:color="auto"/>
          </w:divBdr>
        </w:div>
        <w:div w:id="1794712092">
          <w:marLeft w:val="0"/>
          <w:marRight w:val="0"/>
          <w:marTop w:val="0"/>
          <w:marBottom w:val="0"/>
          <w:divBdr>
            <w:top w:val="none" w:sz="0" w:space="0" w:color="auto"/>
            <w:left w:val="none" w:sz="0" w:space="0" w:color="auto"/>
            <w:bottom w:val="none" w:sz="0" w:space="0" w:color="auto"/>
            <w:right w:val="none" w:sz="0" w:space="0" w:color="auto"/>
          </w:divBdr>
        </w:div>
        <w:div w:id="1799645558">
          <w:marLeft w:val="0"/>
          <w:marRight w:val="0"/>
          <w:marTop w:val="0"/>
          <w:marBottom w:val="0"/>
          <w:divBdr>
            <w:top w:val="none" w:sz="0" w:space="0" w:color="auto"/>
            <w:left w:val="none" w:sz="0" w:space="0" w:color="auto"/>
            <w:bottom w:val="none" w:sz="0" w:space="0" w:color="auto"/>
            <w:right w:val="none" w:sz="0" w:space="0" w:color="auto"/>
          </w:divBdr>
        </w:div>
        <w:div w:id="1800025553">
          <w:marLeft w:val="0"/>
          <w:marRight w:val="0"/>
          <w:marTop w:val="0"/>
          <w:marBottom w:val="0"/>
          <w:divBdr>
            <w:top w:val="none" w:sz="0" w:space="0" w:color="auto"/>
            <w:left w:val="none" w:sz="0" w:space="0" w:color="auto"/>
            <w:bottom w:val="none" w:sz="0" w:space="0" w:color="auto"/>
            <w:right w:val="none" w:sz="0" w:space="0" w:color="auto"/>
          </w:divBdr>
        </w:div>
        <w:div w:id="1800028944">
          <w:marLeft w:val="0"/>
          <w:marRight w:val="0"/>
          <w:marTop w:val="0"/>
          <w:marBottom w:val="0"/>
          <w:divBdr>
            <w:top w:val="none" w:sz="0" w:space="0" w:color="auto"/>
            <w:left w:val="none" w:sz="0" w:space="0" w:color="auto"/>
            <w:bottom w:val="none" w:sz="0" w:space="0" w:color="auto"/>
            <w:right w:val="none" w:sz="0" w:space="0" w:color="auto"/>
          </w:divBdr>
        </w:div>
        <w:div w:id="1820531964">
          <w:marLeft w:val="0"/>
          <w:marRight w:val="0"/>
          <w:marTop w:val="0"/>
          <w:marBottom w:val="0"/>
          <w:divBdr>
            <w:top w:val="none" w:sz="0" w:space="0" w:color="auto"/>
            <w:left w:val="none" w:sz="0" w:space="0" w:color="auto"/>
            <w:bottom w:val="none" w:sz="0" w:space="0" w:color="auto"/>
            <w:right w:val="none" w:sz="0" w:space="0" w:color="auto"/>
          </w:divBdr>
        </w:div>
        <w:div w:id="1829591027">
          <w:marLeft w:val="0"/>
          <w:marRight w:val="0"/>
          <w:marTop w:val="0"/>
          <w:marBottom w:val="0"/>
          <w:divBdr>
            <w:top w:val="none" w:sz="0" w:space="0" w:color="auto"/>
            <w:left w:val="none" w:sz="0" w:space="0" w:color="auto"/>
            <w:bottom w:val="none" w:sz="0" w:space="0" w:color="auto"/>
            <w:right w:val="none" w:sz="0" w:space="0" w:color="auto"/>
          </w:divBdr>
        </w:div>
        <w:div w:id="1835484750">
          <w:marLeft w:val="0"/>
          <w:marRight w:val="0"/>
          <w:marTop w:val="0"/>
          <w:marBottom w:val="0"/>
          <w:divBdr>
            <w:top w:val="none" w:sz="0" w:space="0" w:color="auto"/>
            <w:left w:val="none" w:sz="0" w:space="0" w:color="auto"/>
            <w:bottom w:val="none" w:sz="0" w:space="0" w:color="auto"/>
            <w:right w:val="none" w:sz="0" w:space="0" w:color="auto"/>
          </w:divBdr>
        </w:div>
        <w:div w:id="1861047581">
          <w:marLeft w:val="0"/>
          <w:marRight w:val="0"/>
          <w:marTop w:val="0"/>
          <w:marBottom w:val="0"/>
          <w:divBdr>
            <w:top w:val="none" w:sz="0" w:space="0" w:color="auto"/>
            <w:left w:val="none" w:sz="0" w:space="0" w:color="auto"/>
            <w:bottom w:val="none" w:sz="0" w:space="0" w:color="auto"/>
            <w:right w:val="none" w:sz="0" w:space="0" w:color="auto"/>
          </w:divBdr>
        </w:div>
        <w:div w:id="1866019782">
          <w:marLeft w:val="0"/>
          <w:marRight w:val="0"/>
          <w:marTop w:val="0"/>
          <w:marBottom w:val="0"/>
          <w:divBdr>
            <w:top w:val="none" w:sz="0" w:space="0" w:color="auto"/>
            <w:left w:val="none" w:sz="0" w:space="0" w:color="auto"/>
            <w:bottom w:val="none" w:sz="0" w:space="0" w:color="auto"/>
            <w:right w:val="none" w:sz="0" w:space="0" w:color="auto"/>
          </w:divBdr>
        </w:div>
        <w:div w:id="1867983558">
          <w:marLeft w:val="0"/>
          <w:marRight w:val="0"/>
          <w:marTop w:val="0"/>
          <w:marBottom w:val="0"/>
          <w:divBdr>
            <w:top w:val="none" w:sz="0" w:space="0" w:color="auto"/>
            <w:left w:val="none" w:sz="0" w:space="0" w:color="auto"/>
            <w:bottom w:val="none" w:sz="0" w:space="0" w:color="auto"/>
            <w:right w:val="none" w:sz="0" w:space="0" w:color="auto"/>
          </w:divBdr>
        </w:div>
        <w:div w:id="1872107579">
          <w:marLeft w:val="0"/>
          <w:marRight w:val="0"/>
          <w:marTop w:val="0"/>
          <w:marBottom w:val="0"/>
          <w:divBdr>
            <w:top w:val="none" w:sz="0" w:space="0" w:color="auto"/>
            <w:left w:val="none" w:sz="0" w:space="0" w:color="auto"/>
            <w:bottom w:val="none" w:sz="0" w:space="0" w:color="auto"/>
            <w:right w:val="none" w:sz="0" w:space="0" w:color="auto"/>
          </w:divBdr>
        </w:div>
        <w:div w:id="1872454415">
          <w:marLeft w:val="0"/>
          <w:marRight w:val="0"/>
          <w:marTop w:val="0"/>
          <w:marBottom w:val="0"/>
          <w:divBdr>
            <w:top w:val="none" w:sz="0" w:space="0" w:color="auto"/>
            <w:left w:val="none" w:sz="0" w:space="0" w:color="auto"/>
            <w:bottom w:val="none" w:sz="0" w:space="0" w:color="auto"/>
            <w:right w:val="none" w:sz="0" w:space="0" w:color="auto"/>
          </w:divBdr>
        </w:div>
        <w:div w:id="1872844260">
          <w:marLeft w:val="0"/>
          <w:marRight w:val="0"/>
          <w:marTop w:val="0"/>
          <w:marBottom w:val="0"/>
          <w:divBdr>
            <w:top w:val="none" w:sz="0" w:space="0" w:color="auto"/>
            <w:left w:val="none" w:sz="0" w:space="0" w:color="auto"/>
            <w:bottom w:val="none" w:sz="0" w:space="0" w:color="auto"/>
            <w:right w:val="none" w:sz="0" w:space="0" w:color="auto"/>
          </w:divBdr>
        </w:div>
        <w:div w:id="1875071816">
          <w:marLeft w:val="0"/>
          <w:marRight w:val="0"/>
          <w:marTop w:val="0"/>
          <w:marBottom w:val="0"/>
          <w:divBdr>
            <w:top w:val="none" w:sz="0" w:space="0" w:color="auto"/>
            <w:left w:val="none" w:sz="0" w:space="0" w:color="auto"/>
            <w:bottom w:val="none" w:sz="0" w:space="0" w:color="auto"/>
            <w:right w:val="none" w:sz="0" w:space="0" w:color="auto"/>
          </w:divBdr>
        </w:div>
        <w:div w:id="1875144819">
          <w:marLeft w:val="0"/>
          <w:marRight w:val="0"/>
          <w:marTop w:val="0"/>
          <w:marBottom w:val="0"/>
          <w:divBdr>
            <w:top w:val="none" w:sz="0" w:space="0" w:color="auto"/>
            <w:left w:val="none" w:sz="0" w:space="0" w:color="auto"/>
            <w:bottom w:val="none" w:sz="0" w:space="0" w:color="auto"/>
            <w:right w:val="none" w:sz="0" w:space="0" w:color="auto"/>
          </w:divBdr>
        </w:div>
        <w:div w:id="1878154732">
          <w:marLeft w:val="0"/>
          <w:marRight w:val="0"/>
          <w:marTop w:val="0"/>
          <w:marBottom w:val="0"/>
          <w:divBdr>
            <w:top w:val="none" w:sz="0" w:space="0" w:color="auto"/>
            <w:left w:val="none" w:sz="0" w:space="0" w:color="auto"/>
            <w:bottom w:val="none" w:sz="0" w:space="0" w:color="auto"/>
            <w:right w:val="none" w:sz="0" w:space="0" w:color="auto"/>
          </w:divBdr>
        </w:div>
        <w:div w:id="1882208771">
          <w:marLeft w:val="0"/>
          <w:marRight w:val="0"/>
          <w:marTop w:val="0"/>
          <w:marBottom w:val="0"/>
          <w:divBdr>
            <w:top w:val="none" w:sz="0" w:space="0" w:color="auto"/>
            <w:left w:val="none" w:sz="0" w:space="0" w:color="auto"/>
            <w:bottom w:val="none" w:sz="0" w:space="0" w:color="auto"/>
            <w:right w:val="none" w:sz="0" w:space="0" w:color="auto"/>
          </w:divBdr>
        </w:div>
        <w:div w:id="1882667469">
          <w:marLeft w:val="0"/>
          <w:marRight w:val="0"/>
          <w:marTop w:val="0"/>
          <w:marBottom w:val="0"/>
          <w:divBdr>
            <w:top w:val="none" w:sz="0" w:space="0" w:color="auto"/>
            <w:left w:val="none" w:sz="0" w:space="0" w:color="auto"/>
            <w:bottom w:val="none" w:sz="0" w:space="0" w:color="auto"/>
            <w:right w:val="none" w:sz="0" w:space="0" w:color="auto"/>
          </w:divBdr>
        </w:div>
        <w:div w:id="1885830330">
          <w:marLeft w:val="0"/>
          <w:marRight w:val="0"/>
          <w:marTop w:val="0"/>
          <w:marBottom w:val="0"/>
          <w:divBdr>
            <w:top w:val="none" w:sz="0" w:space="0" w:color="auto"/>
            <w:left w:val="none" w:sz="0" w:space="0" w:color="auto"/>
            <w:bottom w:val="none" w:sz="0" w:space="0" w:color="auto"/>
            <w:right w:val="none" w:sz="0" w:space="0" w:color="auto"/>
          </w:divBdr>
        </w:div>
        <w:div w:id="1893275434">
          <w:marLeft w:val="0"/>
          <w:marRight w:val="0"/>
          <w:marTop w:val="0"/>
          <w:marBottom w:val="0"/>
          <w:divBdr>
            <w:top w:val="none" w:sz="0" w:space="0" w:color="auto"/>
            <w:left w:val="none" w:sz="0" w:space="0" w:color="auto"/>
            <w:bottom w:val="none" w:sz="0" w:space="0" w:color="auto"/>
            <w:right w:val="none" w:sz="0" w:space="0" w:color="auto"/>
          </w:divBdr>
        </w:div>
        <w:div w:id="1894194722">
          <w:marLeft w:val="0"/>
          <w:marRight w:val="0"/>
          <w:marTop w:val="0"/>
          <w:marBottom w:val="0"/>
          <w:divBdr>
            <w:top w:val="none" w:sz="0" w:space="0" w:color="auto"/>
            <w:left w:val="none" w:sz="0" w:space="0" w:color="auto"/>
            <w:bottom w:val="none" w:sz="0" w:space="0" w:color="auto"/>
            <w:right w:val="none" w:sz="0" w:space="0" w:color="auto"/>
          </w:divBdr>
        </w:div>
        <w:div w:id="1895895012">
          <w:marLeft w:val="0"/>
          <w:marRight w:val="0"/>
          <w:marTop w:val="0"/>
          <w:marBottom w:val="0"/>
          <w:divBdr>
            <w:top w:val="none" w:sz="0" w:space="0" w:color="auto"/>
            <w:left w:val="none" w:sz="0" w:space="0" w:color="auto"/>
            <w:bottom w:val="none" w:sz="0" w:space="0" w:color="auto"/>
            <w:right w:val="none" w:sz="0" w:space="0" w:color="auto"/>
          </w:divBdr>
        </w:div>
        <w:div w:id="1900167464">
          <w:marLeft w:val="0"/>
          <w:marRight w:val="0"/>
          <w:marTop w:val="0"/>
          <w:marBottom w:val="0"/>
          <w:divBdr>
            <w:top w:val="none" w:sz="0" w:space="0" w:color="auto"/>
            <w:left w:val="none" w:sz="0" w:space="0" w:color="auto"/>
            <w:bottom w:val="none" w:sz="0" w:space="0" w:color="auto"/>
            <w:right w:val="none" w:sz="0" w:space="0" w:color="auto"/>
          </w:divBdr>
        </w:div>
        <w:div w:id="1905216966">
          <w:marLeft w:val="0"/>
          <w:marRight w:val="0"/>
          <w:marTop w:val="0"/>
          <w:marBottom w:val="0"/>
          <w:divBdr>
            <w:top w:val="none" w:sz="0" w:space="0" w:color="auto"/>
            <w:left w:val="none" w:sz="0" w:space="0" w:color="auto"/>
            <w:bottom w:val="none" w:sz="0" w:space="0" w:color="auto"/>
            <w:right w:val="none" w:sz="0" w:space="0" w:color="auto"/>
          </w:divBdr>
        </w:div>
        <w:div w:id="1909219061">
          <w:marLeft w:val="0"/>
          <w:marRight w:val="0"/>
          <w:marTop w:val="0"/>
          <w:marBottom w:val="0"/>
          <w:divBdr>
            <w:top w:val="none" w:sz="0" w:space="0" w:color="auto"/>
            <w:left w:val="none" w:sz="0" w:space="0" w:color="auto"/>
            <w:bottom w:val="none" w:sz="0" w:space="0" w:color="auto"/>
            <w:right w:val="none" w:sz="0" w:space="0" w:color="auto"/>
          </w:divBdr>
        </w:div>
        <w:div w:id="1919553444">
          <w:marLeft w:val="0"/>
          <w:marRight w:val="0"/>
          <w:marTop w:val="0"/>
          <w:marBottom w:val="0"/>
          <w:divBdr>
            <w:top w:val="none" w:sz="0" w:space="0" w:color="auto"/>
            <w:left w:val="none" w:sz="0" w:space="0" w:color="auto"/>
            <w:bottom w:val="none" w:sz="0" w:space="0" w:color="auto"/>
            <w:right w:val="none" w:sz="0" w:space="0" w:color="auto"/>
          </w:divBdr>
        </w:div>
        <w:div w:id="1930118420">
          <w:marLeft w:val="0"/>
          <w:marRight w:val="0"/>
          <w:marTop w:val="0"/>
          <w:marBottom w:val="0"/>
          <w:divBdr>
            <w:top w:val="none" w:sz="0" w:space="0" w:color="auto"/>
            <w:left w:val="none" w:sz="0" w:space="0" w:color="auto"/>
            <w:bottom w:val="none" w:sz="0" w:space="0" w:color="auto"/>
            <w:right w:val="none" w:sz="0" w:space="0" w:color="auto"/>
          </w:divBdr>
        </w:div>
        <w:div w:id="1931234650">
          <w:marLeft w:val="0"/>
          <w:marRight w:val="0"/>
          <w:marTop w:val="0"/>
          <w:marBottom w:val="0"/>
          <w:divBdr>
            <w:top w:val="none" w:sz="0" w:space="0" w:color="auto"/>
            <w:left w:val="none" w:sz="0" w:space="0" w:color="auto"/>
            <w:bottom w:val="none" w:sz="0" w:space="0" w:color="auto"/>
            <w:right w:val="none" w:sz="0" w:space="0" w:color="auto"/>
          </w:divBdr>
        </w:div>
        <w:div w:id="1939635721">
          <w:marLeft w:val="0"/>
          <w:marRight w:val="0"/>
          <w:marTop w:val="0"/>
          <w:marBottom w:val="0"/>
          <w:divBdr>
            <w:top w:val="none" w:sz="0" w:space="0" w:color="auto"/>
            <w:left w:val="none" w:sz="0" w:space="0" w:color="auto"/>
            <w:bottom w:val="none" w:sz="0" w:space="0" w:color="auto"/>
            <w:right w:val="none" w:sz="0" w:space="0" w:color="auto"/>
          </w:divBdr>
        </w:div>
        <w:div w:id="1941058641">
          <w:marLeft w:val="0"/>
          <w:marRight w:val="0"/>
          <w:marTop w:val="0"/>
          <w:marBottom w:val="0"/>
          <w:divBdr>
            <w:top w:val="none" w:sz="0" w:space="0" w:color="auto"/>
            <w:left w:val="none" w:sz="0" w:space="0" w:color="auto"/>
            <w:bottom w:val="none" w:sz="0" w:space="0" w:color="auto"/>
            <w:right w:val="none" w:sz="0" w:space="0" w:color="auto"/>
          </w:divBdr>
        </w:div>
        <w:div w:id="1975256659">
          <w:marLeft w:val="0"/>
          <w:marRight w:val="0"/>
          <w:marTop w:val="0"/>
          <w:marBottom w:val="0"/>
          <w:divBdr>
            <w:top w:val="none" w:sz="0" w:space="0" w:color="auto"/>
            <w:left w:val="none" w:sz="0" w:space="0" w:color="auto"/>
            <w:bottom w:val="none" w:sz="0" w:space="0" w:color="auto"/>
            <w:right w:val="none" w:sz="0" w:space="0" w:color="auto"/>
          </w:divBdr>
        </w:div>
        <w:div w:id="1975718067">
          <w:marLeft w:val="0"/>
          <w:marRight w:val="0"/>
          <w:marTop w:val="0"/>
          <w:marBottom w:val="0"/>
          <w:divBdr>
            <w:top w:val="none" w:sz="0" w:space="0" w:color="auto"/>
            <w:left w:val="none" w:sz="0" w:space="0" w:color="auto"/>
            <w:bottom w:val="none" w:sz="0" w:space="0" w:color="auto"/>
            <w:right w:val="none" w:sz="0" w:space="0" w:color="auto"/>
          </w:divBdr>
        </w:div>
        <w:div w:id="2001031708">
          <w:marLeft w:val="0"/>
          <w:marRight w:val="0"/>
          <w:marTop w:val="0"/>
          <w:marBottom w:val="0"/>
          <w:divBdr>
            <w:top w:val="none" w:sz="0" w:space="0" w:color="auto"/>
            <w:left w:val="none" w:sz="0" w:space="0" w:color="auto"/>
            <w:bottom w:val="none" w:sz="0" w:space="0" w:color="auto"/>
            <w:right w:val="none" w:sz="0" w:space="0" w:color="auto"/>
          </w:divBdr>
        </w:div>
        <w:div w:id="2003239417">
          <w:marLeft w:val="0"/>
          <w:marRight w:val="0"/>
          <w:marTop w:val="0"/>
          <w:marBottom w:val="0"/>
          <w:divBdr>
            <w:top w:val="none" w:sz="0" w:space="0" w:color="auto"/>
            <w:left w:val="none" w:sz="0" w:space="0" w:color="auto"/>
            <w:bottom w:val="none" w:sz="0" w:space="0" w:color="auto"/>
            <w:right w:val="none" w:sz="0" w:space="0" w:color="auto"/>
          </w:divBdr>
        </w:div>
        <w:div w:id="2006979646">
          <w:marLeft w:val="0"/>
          <w:marRight w:val="0"/>
          <w:marTop w:val="0"/>
          <w:marBottom w:val="0"/>
          <w:divBdr>
            <w:top w:val="none" w:sz="0" w:space="0" w:color="auto"/>
            <w:left w:val="none" w:sz="0" w:space="0" w:color="auto"/>
            <w:bottom w:val="none" w:sz="0" w:space="0" w:color="auto"/>
            <w:right w:val="none" w:sz="0" w:space="0" w:color="auto"/>
          </w:divBdr>
        </w:div>
        <w:div w:id="2019850212">
          <w:marLeft w:val="0"/>
          <w:marRight w:val="0"/>
          <w:marTop w:val="0"/>
          <w:marBottom w:val="0"/>
          <w:divBdr>
            <w:top w:val="none" w:sz="0" w:space="0" w:color="auto"/>
            <w:left w:val="none" w:sz="0" w:space="0" w:color="auto"/>
            <w:bottom w:val="none" w:sz="0" w:space="0" w:color="auto"/>
            <w:right w:val="none" w:sz="0" w:space="0" w:color="auto"/>
          </w:divBdr>
        </w:div>
        <w:div w:id="2050911624">
          <w:marLeft w:val="0"/>
          <w:marRight w:val="0"/>
          <w:marTop w:val="0"/>
          <w:marBottom w:val="0"/>
          <w:divBdr>
            <w:top w:val="none" w:sz="0" w:space="0" w:color="auto"/>
            <w:left w:val="none" w:sz="0" w:space="0" w:color="auto"/>
            <w:bottom w:val="none" w:sz="0" w:space="0" w:color="auto"/>
            <w:right w:val="none" w:sz="0" w:space="0" w:color="auto"/>
          </w:divBdr>
        </w:div>
        <w:div w:id="2051489410">
          <w:marLeft w:val="0"/>
          <w:marRight w:val="0"/>
          <w:marTop w:val="0"/>
          <w:marBottom w:val="0"/>
          <w:divBdr>
            <w:top w:val="none" w:sz="0" w:space="0" w:color="auto"/>
            <w:left w:val="none" w:sz="0" w:space="0" w:color="auto"/>
            <w:bottom w:val="none" w:sz="0" w:space="0" w:color="auto"/>
            <w:right w:val="none" w:sz="0" w:space="0" w:color="auto"/>
          </w:divBdr>
        </w:div>
        <w:div w:id="2063938044">
          <w:marLeft w:val="0"/>
          <w:marRight w:val="0"/>
          <w:marTop w:val="0"/>
          <w:marBottom w:val="0"/>
          <w:divBdr>
            <w:top w:val="none" w:sz="0" w:space="0" w:color="auto"/>
            <w:left w:val="none" w:sz="0" w:space="0" w:color="auto"/>
            <w:bottom w:val="none" w:sz="0" w:space="0" w:color="auto"/>
            <w:right w:val="none" w:sz="0" w:space="0" w:color="auto"/>
          </w:divBdr>
        </w:div>
        <w:div w:id="2065447010">
          <w:marLeft w:val="0"/>
          <w:marRight w:val="0"/>
          <w:marTop w:val="0"/>
          <w:marBottom w:val="0"/>
          <w:divBdr>
            <w:top w:val="none" w:sz="0" w:space="0" w:color="auto"/>
            <w:left w:val="none" w:sz="0" w:space="0" w:color="auto"/>
            <w:bottom w:val="none" w:sz="0" w:space="0" w:color="auto"/>
            <w:right w:val="none" w:sz="0" w:space="0" w:color="auto"/>
          </w:divBdr>
        </w:div>
        <w:div w:id="2073576381">
          <w:marLeft w:val="0"/>
          <w:marRight w:val="0"/>
          <w:marTop w:val="0"/>
          <w:marBottom w:val="0"/>
          <w:divBdr>
            <w:top w:val="none" w:sz="0" w:space="0" w:color="auto"/>
            <w:left w:val="none" w:sz="0" w:space="0" w:color="auto"/>
            <w:bottom w:val="none" w:sz="0" w:space="0" w:color="auto"/>
            <w:right w:val="none" w:sz="0" w:space="0" w:color="auto"/>
          </w:divBdr>
        </w:div>
        <w:div w:id="2078702133">
          <w:marLeft w:val="0"/>
          <w:marRight w:val="0"/>
          <w:marTop w:val="0"/>
          <w:marBottom w:val="0"/>
          <w:divBdr>
            <w:top w:val="none" w:sz="0" w:space="0" w:color="auto"/>
            <w:left w:val="none" w:sz="0" w:space="0" w:color="auto"/>
            <w:bottom w:val="none" w:sz="0" w:space="0" w:color="auto"/>
            <w:right w:val="none" w:sz="0" w:space="0" w:color="auto"/>
          </w:divBdr>
        </w:div>
        <w:div w:id="2083868521">
          <w:marLeft w:val="0"/>
          <w:marRight w:val="0"/>
          <w:marTop w:val="0"/>
          <w:marBottom w:val="0"/>
          <w:divBdr>
            <w:top w:val="none" w:sz="0" w:space="0" w:color="auto"/>
            <w:left w:val="none" w:sz="0" w:space="0" w:color="auto"/>
            <w:bottom w:val="none" w:sz="0" w:space="0" w:color="auto"/>
            <w:right w:val="none" w:sz="0" w:space="0" w:color="auto"/>
          </w:divBdr>
        </w:div>
        <w:div w:id="2096120969">
          <w:marLeft w:val="0"/>
          <w:marRight w:val="0"/>
          <w:marTop w:val="0"/>
          <w:marBottom w:val="0"/>
          <w:divBdr>
            <w:top w:val="none" w:sz="0" w:space="0" w:color="auto"/>
            <w:left w:val="none" w:sz="0" w:space="0" w:color="auto"/>
            <w:bottom w:val="none" w:sz="0" w:space="0" w:color="auto"/>
            <w:right w:val="none" w:sz="0" w:space="0" w:color="auto"/>
          </w:divBdr>
        </w:div>
        <w:div w:id="2116367352">
          <w:marLeft w:val="0"/>
          <w:marRight w:val="0"/>
          <w:marTop w:val="0"/>
          <w:marBottom w:val="0"/>
          <w:divBdr>
            <w:top w:val="none" w:sz="0" w:space="0" w:color="auto"/>
            <w:left w:val="none" w:sz="0" w:space="0" w:color="auto"/>
            <w:bottom w:val="none" w:sz="0" w:space="0" w:color="auto"/>
            <w:right w:val="none" w:sz="0" w:space="0" w:color="auto"/>
          </w:divBdr>
        </w:div>
        <w:div w:id="2123694410">
          <w:marLeft w:val="0"/>
          <w:marRight w:val="0"/>
          <w:marTop w:val="0"/>
          <w:marBottom w:val="0"/>
          <w:divBdr>
            <w:top w:val="none" w:sz="0" w:space="0" w:color="auto"/>
            <w:left w:val="none" w:sz="0" w:space="0" w:color="auto"/>
            <w:bottom w:val="none" w:sz="0" w:space="0" w:color="auto"/>
            <w:right w:val="none" w:sz="0" w:space="0" w:color="auto"/>
          </w:divBdr>
        </w:div>
        <w:div w:id="2135058822">
          <w:marLeft w:val="0"/>
          <w:marRight w:val="0"/>
          <w:marTop w:val="0"/>
          <w:marBottom w:val="0"/>
          <w:divBdr>
            <w:top w:val="none" w:sz="0" w:space="0" w:color="auto"/>
            <w:left w:val="none" w:sz="0" w:space="0" w:color="auto"/>
            <w:bottom w:val="none" w:sz="0" w:space="0" w:color="auto"/>
            <w:right w:val="none" w:sz="0" w:space="0" w:color="auto"/>
          </w:divBdr>
        </w:div>
        <w:div w:id="2135514336">
          <w:marLeft w:val="0"/>
          <w:marRight w:val="0"/>
          <w:marTop w:val="0"/>
          <w:marBottom w:val="0"/>
          <w:divBdr>
            <w:top w:val="none" w:sz="0" w:space="0" w:color="auto"/>
            <w:left w:val="none" w:sz="0" w:space="0" w:color="auto"/>
            <w:bottom w:val="none" w:sz="0" w:space="0" w:color="auto"/>
            <w:right w:val="none" w:sz="0" w:space="0" w:color="auto"/>
          </w:divBdr>
        </w:div>
        <w:div w:id="2142649845">
          <w:marLeft w:val="0"/>
          <w:marRight w:val="0"/>
          <w:marTop w:val="0"/>
          <w:marBottom w:val="0"/>
          <w:divBdr>
            <w:top w:val="none" w:sz="0" w:space="0" w:color="auto"/>
            <w:left w:val="none" w:sz="0" w:space="0" w:color="auto"/>
            <w:bottom w:val="none" w:sz="0" w:space="0" w:color="auto"/>
            <w:right w:val="none" w:sz="0" w:space="0" w:color="auto"/>
          </w:divBdr>
        </w:div>
      </w:divsChild>
    </w:div>
    <w:div w:id="2144614941">
      <w:bodyDiv w:val="1"/>
      <w:marLeft w:val="0"/>
      <w:marRight w:val="0"/>
      <w:marTop w:val="0"/>
      <w:marBottom w:val="0"/>
      <w:divBdr>
        <w:top w:val="none" w:sz="0" w:space="0" w:color="auto"/>
        <w:left w:val="none" w:sz="0" w:space="0" w:color="auto"/>
        <w:bottom w:val="none" w:sz="0" w:space="0" w:color="auto"/>
        <w:right w:val="none" w:sz="0" w:space="0" w:color="auto"/>
      </w:divBdr>
      <w:divsChild>
        <w:div w:id="43454941">
          <w:marLeft w:val="0"/>
          <w:marRight w:val="0"/>
          <w:marTop w:val="0"/>
          <w:marBottom w:val="0"/>
          <w:divBdr>
            <w:top w:val="none" w:sz="0" w:space="0" w:color="auto"/>
            <w:left w:val="none" w:sz="0" w:space="0" w:color="auto"/>
            <w:bottom w:val="none" w:sz="0" w:space="0" w:color="auto"/>
            <w:right w:val="none" w:sz="0" w:space="0" w:color="auto"/>
          </w:divBdr>
        </w:div>
        <w:div w:id="300771787">
          <w:marLeft w:val="0"/>
          <w:marRight w:val="0"/>
          <w:marTop w:val="0"/>
          <w:marBottom w:val="0"/>
          <w:divBdr>
            <w:top w:val="none" w:sz="0" w:space="0" w:color="auto"/>
            <w:left w:val="none" w:sz="0" w:space="0" w:color="auto"/>
            <w:bottom w:val="none" w:sz="0" w:space="0" w:color="auto"/>
            <w:right w:val="none" w:sz="0" w:space="0" w:color="auto"/>
          </w:divBdr>
        </w:div>
        <w:div w:id="600380551">
          <w:marLeft w:val="0"/>
          <w:marRight w:val="0"/>
          <w:marTop w:val="0"/>
          <w:marBottom w:val="0"/>
          <w:divBdr>
            <w:top w:val="none" w:sz="0" w:space="0" w:color="auto"/>
            <w:left w:val="none" w:sz="0" w:space="0" w:color="auto"/>
            <w:bottom w:val="none" w:sz="0" w:space="0" w:color="auto"/>
            <w:right w:val="none" w:sz="0" w:space="0" w:color="auto"/>
          </w:divBdr>
        </w:div>
        <w:div w:id="1222210091">
          <w:marLeft w:val="0"/>
          <w:marRight w:val="0"/>
          <w:marTop w:val="0"/>
          <w:marBottom w:val="0"/>
          <w:divBdr>
            <w:top w:val="none" w:sz="0" w:space="0" w:color="auto"/>
            <w:left w:val="none" w:sz="0" w:space="0" w:color="auto"/>
            <w:bottom w:val="none" w:sz="0" w:space="0" w:color="auto"/>
            <w:right w:val="none" w:sz="0" w:space="0" w:color="auto"/>
          </w:divBdr>
        </w:div>
        <w:div w:id="1287541802">
          <w:marLeft w:val="0"/>
          <w:marRight w:val="0"/>
          <w:marTop w:val="0"/>
          <w:marBottom w:val="0"/>
          <w:divBdr>
            <w:top w:val="none" w:sz="0" w:space="0" w:color="auto"/>
            <w:left w:val="none" w:sz="0" w:space="0" w:color="auto"/>
            <w:bottom w:val="none" w:sz="0" w:space="0" w:color="auto"/>
            <w:right w:val="none" w:sz="0" w:space="0" w:color="auto"/>
          </w:divBdr>
        </w:div>
        <w:div w:id="1449617698">
          <w:marLeft w:val="0"/>
          <w:marRight w:val="0"/>
          <w:marTop w:val="0"/>
          <w:marBottom w:val="0"/>
          <w:divBdr>
            <w:top w:val="none" w:sz="0" w:space="0" w:color="auto"/>
            <w:left w:val="none" w:sz="0" w:space="0" w:color="auto"/>
            <w:bottom w:val="none" w:sz="0" w:space="0" w:color="auto"/>
            <w:right w:val="none" w:sz="0" w:space="0" w:color="auto"/>
          </w:divBdr>
        </w:div>
        <w:div w:id="1510175639">
          <w:marLeft w:val="0"/>
          <w:marRight w:val="0"/>
          <w:marTop w:val="0"/>
          <w:marBottom w:val="0"/>
          <w:divBdr>
            <w:top w:val="none" w:sz="0" w:space="0" w:color="auto"/>
            <w:left w:val="none" w:sz="0" w:space="0" w:color="auto"/>
            <w:bottom w:val="none" w:sz="0" w:space="0" w:color="auto"/>
            <w:right w:val="none" w:sz="0" w:space="0" w:color="auto"/>
          </w:divBdr>
        </w:div>
        <w:div w:id="1752771343">
          <w:marLeft w:val="0"/>
          <w:marRight w:val="0"/>
          <w:marTop w:val="0"/>
          <w:marBottom w:val="0"/>
          <w:divBdr>
            <w:top w:val="none" w:sz="0" w:space="0" w:color="auto"/>
            <w:left w:val="none" w:sz="0" w:space="0" w:color="auto"/>
            <w:bottom w:val="none" w:sz="0" w:space="0" w:color="auto"/>
            <w:right w:val="none" w:sz="0" w:space="0" w:color="auto"/>
          </w:divBdr>
        </w:div>
        <w:div w:id="1815875716">
          <w:marLeft w:val="0"/>
          <w:marRight w:val="0"/>
          <w:marTop w:val="0"/>
          <w:marBottom w:val="0"/>
          <w:divBdr>
            <w:top w:val="none" w:sz="0" w:space="0" w:color="auto"/>
            <w:left w:val="none" w:sz="0" w:space="0" w:color="auto"/>
            <w:bottom w:val="none" w:sz="0" w:space="0" w:color="auto"/>
            <w:right w:val="none" w:sz="0" w:space="0" w:color="auto"/>
          </w:divBdr>
        </w:div>
        <w:div w:id="1980114655">
          <w:marLeft w:val="0"/>
          <w:marRight w:val="0"/>
          <w:marTop w:val="0"/>
          <w:marBottom w:val="0"/>
          <w:divBdr>
            <w:top w:val="none" w:sz="0" w:space="0" w:color="auto"/>
            <w:left w:val="none" w:sz="0" w:space="0" w:color="auto"/>
            <w:bottom w:val="none" w:sz="0" w:space="0" w:color="auto"/>
            <w:right w:val="none" w:sz="0" w:space="0" w:color="auto"/>
          </w:divBdr>
        </w:div>
        <w:div w:id="213890705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legifrance.gouv.fr/affichTexte.do?cidTexte=JORFTEXT000000441469" TargetMode="External"/><Relationship Id="rId21" Type="http://schemas.openxmlformats.org/officeDocument/2006/relationships/hyperlink" Target="http://legifrance.gouv.fr/affichTexte.do?cidTexte=JORFTEXT000000549619" TargetMode="External"/><Relationship Id="rId22" Type="http://schemas.openxmlformats.org/officeDocument/2006/relationships/hyperlink" Target="http://www.legifrance.gouv.fr/affichTexte.do?cidTexte=JORFTEXT000000549618" TargetMode="External"/><Relationship Id="rId23" Type="http://schemas.openxmlformats.org/officeDocument/2006/relationships/hyperlink" Target="http://legifrance.gouv.fr/affichTexte.do;jsessionid=112119A73C773B6E0E287C667783D434.tpdjo04v_1?cidTexte=JORFTEXT000000759334&amp;categorieLien=id" TargetMode="External"/><Relationship Id="rId24" Type="http://schemas.openxmlformats.org/officeDocument/2006/relationships/hyperlink" Target="http://www.juridique-biomedecine.fr/uploads/documents/arrt-du-11-avril-2008-relatif-aux-rgles-de-bonnes-pratiques-cliniques-et-biologiques-d-assistance-mdicale--la-procration-modifi-arrt-du-3-aot-2010.pdf" TargetMode="External"/><Relationship Id="rId25" Type="http://schemas.openxmlformats.org/officeDocument/2006/relationships/hyperlink" Target="http://www.juridique-biomedecine.fr/code-de-la-sante/chapitre-1-dispositions-gnrales.html" TargetMode="External"/><Relationship Id="rId26" Type="http://schemas.openxmlformats.org/officeDocument/2006/relationships/hyperlink" Target="http://www.juridique-biomedecine.fr/themes.html" TargetMode="External"/><Relationship Id="rId27" Type="http://schemas.openxmlformats.org/officeDocument/2006/relationships/hyperlink" Target="http://www.assemblee-nationale.fr/commissions/59031_tab.asp" TargetMode="External"/><Relationship Id="rId28" Type="http://schemas.openxmlformats.org/officeDocument/2006/relationships/hyperlink" Target="http://www.assemblee-nationale.fr/commissions/59031_tab.asp" TargetMode="External"/><Relationship Id="rId29" Type="http://schemas.openxmlformats.org/officeDocument/2006/relationships/hyperlink" Target="http://www.assemblee-nationale.fr/commissions/59031_tab.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ladocumentationfrancaise.fr/var/storage/rapports-publics/114000113/0000.pdf" TargetMode="External"/><Relationship Id="rId31" Type="http://schemas.openxmlformats.org/officeDocument/2006/relationships/hyperlink" Target="http://www.vie-publique.fr/actualite/faq-citoyens/bioethique/" TargetMode="External"/><Relationship Id="rId32" Type="http://schemas.openxmlformats.org/officeDocument/2006/relationships/hyperlink" Target="http://blefco.eu/" TargetMode="External"/><Relationship Id="rId9" Type="http://schemas.openxmlformats.org/officeDocument/2006/relationships/hyperlink" Target="http://www.lemonde.fr/clamart/"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etatsgenerauxdelabioethique.fr/uploads/rapport_final.pdf"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hyperlink" Target="http://www.genethique.org/fr/gpa-le-gouvernement-lheure-des-choix-62136.html" TargetMode="External"/><Relationship Id="rId15" Type="http://schemas.openxmlformats.org/officeDocument/2006/relationships/hyperlink" Target="http://genethique.org/fr/la-cour-de-cassation-autorise-ladoption-denfant-concu-par-pma-62108.html" TargetMode="External"/><Relationship Id="rId16" Type="http://schemas.openxmlformats.org/officeDocument/2006/relationships/hyperlink" Target="http://www.genethique.org/fr/quelles-suites-lavis-de-la-cour-de-cassation-62157.html" TargetMode="External"/><Relationship Id="rId17" Type="http://schemas.openxmlformats.org/officeDocument/2006/relationships/hyperlink" Target="http://genethique.org/fr/pma-letranger-letrange-reponse-de-la-cour-de-cassation-62109.html" TargetMode="External"/><Relationship Id="rId18" Type="http://schemas.openxmlformats.org/officeDocument/2006/relationships/hyperlink" Target="http://www.ladocumentationfrancaise.fr/var/storage/rapports-publics/114000113/0000.pdf" TargetMode="External"/><Relationship Id="rId19" Type="http://schemas.openxmlformats.org/officeDocument/2006/relationships/hyperlink" Target="http://www.legifrance.gouv.fr/affichTexte.do?cidTexte=JORFTEXT000024323102"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01" Type="http://schemas.openxmlformats.org/officeDocument/2006/relationships/hyperlink" Target="http://www.slate.fr/story/10679/affaire-justel-le-sperme-en-heritage" TargetMode="External"/><Relationship Id="rId102" Type="http://schemas.openxmlformats.org/officeDocument/2006/relationships/hyperlink" Target="http://basedaj.aphp.fr/daj/public/index/display/id_theme/414/id_fiche/8060" TargetMode="External"/><Relationship Id="rId103" Type="http://schemas.openxmlformats.org/officeDocument/2006/relationships/hyperlink" Target="http://www.legifrance.gouv.fr/affichJuriJudi.do?oldAction=rechJuriJudi&amp;idTexte=JURITEXT000018597127&amp;fastReqId=11396073&amp;fastPos=1" TargetMode="External"/><Relationship Id="rId104" Type="http://schemas.openxmlformats.org/officeDocument/2006/relationships/hyperlink" Target="http://www.legifrance.gouv.fr/affichJuriJudi.do?oldAction=rechJuriJudi&amp;idTexte=JURITEXT000007035539&amp;fastReqId=1315587180&amp;fastPos=46" TargetMode="External"/><Relationship Id="rId105" Type="http://schemas.openxmlformats.org/officeDocument/2006/relationships/hyperlink" Target="http://www.ladocumentationfrancaise.fr/var/storage/rapports-publics/994001756/0000.pdf" TargetMode="External"/><Relationship Id="rId106" Type="http://schemas.openxmlformats.org/officeDocument/2006/relationships/hyperlink" Target="http://www.assemblee-nationale.fr/13/rap-off/i1325-tI.asp" TargetMode="External"/><Relationship Id="rId107" Type="http://schemas.openxmlformats.org/officeDocument/2006/relationships/hyperlink" Target="http://www.ccne-ethique.fr/sites/default/files/publications/avis040.pdf" TargetMode="External"/><Relationship Id="rId1" Type="http://schemas.openxmlformats.org/officeDocument/2006/relationships/hyperlink" Target="http://www.lemonde.fr/sante/article/2013/06/16/amandine-premier-bebe-eprouvette-francais-donne-naissance-a-une-fille_3430992_1651302.html" TargetMode="External"/><Relationship Id="rId2" Type="http://schemas.openxmlformats.org/officeDocument/2006/relationships/hyperlink" Target="http://www.lejdd.fr/Societe/Depeches/Le-1er-bebe-eprouvette-est-maman-613787" TargetMode="External"/><Relationship Id="rId3" Type="http://schemas.openxmlformats.org/officeDocument/2006/relationships/hyperlink" Target="http://www.ladocumentationfrancaise.fr/var/storage/rapports-publics/114000113/0000.pdf" TargetMode="External"/><Relationship Id="rId4" Type="http://schemas.openxmlformats.org/officeDocument/2006/relationships/hyperlink" Target="http://www.agence-biomedecine.fr/Chiffres-de-l-Agence-de-la" TargetMode="External"/><Relationship Id="rId5" Type="http://schemas.openxmlformats.org/officeDocument/2006/relationships/hyperlink" Target="http://www.lemonde.fr/societe/article/2012/02/23/trente-ans-apres-la-naissance-d-amandine-l-assistance-a-la-procreation-s-est-banalisee_1647314_3224.html" TargetMode="External"/><Relationship Id="rId6" Type="http://schemas.openxmlformats.org/officeDocument/2006/relationships/hyperlink" Target="http://legifrance.gouv.fr/affichTexte.do?cidTexte=JORFTEXT000000549619" TargetMode="External"/><Relationship Id="rId7" Type="http://schemas.openxmlformats.org/officeDocument/2006/relationships/hyperlink" Target="http://www.legifrance.gouv.fr/affichTexte.do?cidTexte=JORFTEXT000000549618" TargetMode="External"/><Relationship Id="rId8" Type="http://schemas.openxmlformats.org/officeDocument/2006/relationships/hyperlink" Target="http://www.assemblee-nationale.fr/commissions/59031_tab.asp" TargetMode="External"/><Relationship Id="rId9" Type="http://schemas.openxmlformats.org/officeDocument/2006/relationships/hyperlink" Target="http://www.assemblee-nationale.fr/9/dossiers/922599.asp" TargetMode="External"/><Relationship Id="rId108" Type="http://schemas.openxmlformats.org/officeDocument/2006/relationships/hyperlink" Target="http://www.ccne-ethique.fr/sites/default/files/publications/avis060.pdf" TargetMode="External"/><Relationship Id="rId109" Type="http://schemas.openxmlformats.org/officeDocument/2006/relationships/hyperlink" Target="http://www.ccne-ethique.fr/sites/default/files/publications/avis067.pdf" TargetMode="External"/><Relationship Id="rId10" Type="http://schemas.openxmlformats.org/officeDocument/2006/relationships/hyperlink" Target="http://www.assemblee-nationale.fr/commissions/59031_tab.asp" TargetMode="External"/><Relationship Id="rId11" Type="http://schemas.openxmlformats.org/officeDocument/2006/relationships/hyperlink" Target="http://www.assemblee-nationale.fr/9/dossiers/922600.asp" TargetMode="External"/><Relationship Id="rId12" Type="http://schemas.openxmlformats.org/officeDocument/2006/relationships/hyperlink" Target="http://www.assemblee-nationale.fr/commissions/59031_tab.asp" TargetMode="External"/><Relationship Id="rId13" Type="http://schemas.openxmlformats.org/officeDocument/2006/relationships/hyperlink" Target="http://www.assemblee-nationale.fr/9/dossiers/922601.asp" TargetMode="External"/><Relationship Id="rId14" Type="http://schemas.openxmlformats.org/officeDocument/2006/relationships/hyperlink" Target="http://www.vie-publique.fr/actualite/faq-citoyens/bioethique/" TargetMode="External"/><Relationship Id="rId15" Type="http://schemas.openxmlformats.org/officeDocument/2006/relationships/hyperlink" Target="http://blefco.eu/" TargetMode="External"/><Relationship Id="rId16" Type="http://schemas.openxmlformats.org/officeDocument/2006/relationships/hyperlink" Target="http://www.legifrance.gouv.fr/affichTexte.do?cidTexte=JORFTEXT000000441469" TargetMode="External"/><Relationship Id="rId17" Type="http://schemas.openxmlformats.org/officeDocument/2006/relationships/hyperlink" Target="http://www.senat.fr/rap/r05-309/r05-309.html" TargetMode="External"/><Relationship Id="rId18" Type="http://schemas.openxmlformats.org/officeDocument/2006/relationships/hyperlink" Target="http://www.assemblee-nationale.fr/presse/communiques/20100120-02.asp" TargetMode="External"/><Relationship Id="rId19" Type="http://schemas.openxmlformats.org/officeDocument/2006/relationships/hyperlink" Target="http://www.etatsgenerauxdelabioethique.fr/" TargetMode="External"/><Relationship Id="rId30" Type="http://schemas.openxmlformats.org/officeDocument/2006/relationships/hyperlink" Target="http://www.agence-biomedecine.fr/IMG/pdf/rapport2008-co-bioethique-2.pdf" TargetMode="External"/><Relationship Id="rId31" Type="http://schemas.openxmlformats.org/officeDocument/2006/relationships/hyperlink" Target="http://www.agence-biomedecine.fr/IMG/pdf/deliberation_01062007.pdf" TargetMode="External"/><Relationship Id="rId32" Type="http://schemas.openxmlformats.org/officeDocument/2006/relationships/hyperlink" Target="http://www.agence-biomedecine.fr/IMG/pdf/deliberation_17112006_-_pratiques_cliniques.pdf" TargetMode="External"/><Relationship Id="rId33" Type="http://schemas.openxmlformats.org/officeDocument/2006/relationships/hyperlink" Target="http://www.agence-biomedecine.fr/IMG/pdf/deliberation_09062006.pdf" TargetMode="External"/><Relationship Id="rId34" Type="http://schemas.openxmlformats.org/officeDocument/2006/relationships/hyperlink" Target="http://www.agence-biomedecine.fr/IMG/pdf/clonage-060606.pdf" TargetMode="External"/><Relationship Id="rId35" Type="http://schemas.openxmlformats.org/officeDocument/2006/relationships/hyperlink" Target="http://www.juridique-biomedecine.fr/themes.html" TargetMode="External"/><Relationship Id="rId36" Type="http://schemas.openxmlformats.org/officeDocument/2006/relationships/hyperlink" Target="http://www.academie-medecine.fr/wp-content/uploads/2014/05/27.5.14-JOUANNET-info-site.pdf" TargetMode="External"/><Relationship Id="rId37" Type="http://schemas.openxmlformats.org/officeDocument/2006/relationships/hyperlink" Target="http://www.academie-medecine.fr/wp-content/uploads/2014/05/27.5.14-HENRION-info-site.pdf" TargetMode="External"/><Relationship Id="rId38" Type="http://schemas.openxmlformats.org/officeDocument/2006/relationships/hyperlink" Target="http://www.academie-medecine.fr/wp-content/uploads/2014/03/25.3.14-JOUANNET-info2.pdf" TargetMode="External"/><Relationship Id="rId39" Type="http://schemas.openxmlformats.org/officeDocument/2006/relationships/hyperlink" Target="http://www.academie-medecine.fr/wp-content/uploads/2013/07/tap-p.-1397-1421.pdf" TargetMode="External"/><Relationship Id="rId50" Type="http://schemas.openxmlformats.org/officeDocument/2006/relationships/hyperlink" Target="http://www.ccne-ethique.fr/sites/default/files/publications/avis090.pdf" TargetMode="External"/><Relationship Id="rId51" Type="http://schemas.openxmlformats.org/officeDocument/2006/relationships/hyperlink" Target="http://www.ccne-ethique.fr/sites/default/files/publications/avis072.pdf" TargetMode="External"/><Relationship Id="rId52" Type="http://schemas.openxmlformats.org/officeDocument/2006/relationships/hyperlink" Target="http://www.ccne-ethique.fr/sites/default/files/publications/avis067.pdf" TargetMode="External"/><Relationship Id="rId53" Type="http://schemas.openxmlformats.org/officeDocument/2006/relationships/hyperlink" Target="http://www.ccne-ethique.fr/sites/default/files/publications/avis060.pdf" TargetMode="External"/><Relationship Id="rId54" Type="http://schemas.openxmlformats.org/officeDocument/2006/relationships/hyperlink" Target="http://www.ccne-ethique.fr/sites/default/files/publications/avis040.pdf" TargetMode="External"/><Relationship Id="rId55" Type="http://schemas.openxmlformats.org/officeDocument/2006/relationships/hyperlink" Target="http://www.ccne-ethique.fr/sites/default/files/publications/avis018.pdf" TargetMode="External"/><Relationship Id="rId56" Type="http://schemas.openxmlformats.org/officeDocument/2006/relationships/hyperlink" Target="http://www.conseil-national.medecin.fr/article/la-pma-l-etranger-don-d-ovocytes-1300" TargetMode="External"/><Relationship Id="rId57" Type="http://schemas.openxmlformats.org/officeDocument/2006/relationships/hyperlink" Target="http://www.conseil-national.medecin.fr/article/article-17-assistance-medicale-la-procreation-241" TargetMode="External"/><Relationship Id="rId58" Type="http://schemas.openxmlformats.org/officeDocument/2006/relationships/hyperlink" Target="http://www.conseil-national.medecin.fr/sites/default/files/GPA.pdf" TargetMode="External"/><Relationship Id="rId59" Type="http://schemas.openxmlformats.org/officeDocument/2006/relationships/hyperlink" Target="http://www.cnsf.asso.fr/doc/F36B8B75-5056-9C00-4123E4A69BDD108A.pdf" TargetMode="External"/><Relationship Id="rId70" Type="http://schemas.openxmlformats.org/officeDocument/2006/relationships/hyperlink" Target="http://www.lemonde.fr/idees/article/2011/02/22/bebe-medicament-l-equilibre-perilleux-d-une-solution-extreme_1480863_3232.html" TargetMode="External"/><Relationship Id="rId71" Type="http://schemas.openxmlformats.org/officeDocument/2006/relationships/hyperlink" Target="http://www.ccne-ethique.fr/sites/default/files/publications/avis072.pdf" TargetMode="External"/><Relationship Id="rId72" Type="http://schemas.openxmlformats.org/officeDocument/2006/relationships/hyperlink" Target="http://www.ccne-ethique.fr/sites/default/files/publications/avis_107.pdf" TargetMode="External"/><Relationship Id="rId73" Type="http://schemas.openxmlformats.org/officeDocument/2006/relationships/hyperlink" Target="http://www.lemonde.fr/societe/article/2011/02/07/le-premier-bebe-medicament-francais-est-ne_1476586_3224.html" TargetMode="External"/><Relationship Id="rId74" Type="http://schemas.openxmlformats.org/officeDocument/2006/relationships/hyperlink" Target="http://www.valeursactuelles.com/societe/tugdual-derville-ce-quon-ne-dit-pas-sur-le-bebe-medicament" TargetMode="External"/><Relationship Id="rId75" Type="http://schemas.openxmlformats.org/officeDocument/2006/relationships/hyperlink" Target="http://www.lemonde.fr/idees/article/2011/03/28/vive-les-bebes-du-double-espoir_1499644_3232.html" TargetMode="External"/><Relationship Id="rId76" Type="http://schemas.openxmlformats.org/officeDocument/2006/relationships/hyperlink" Target="http://www.libertepolitique.com/Actualite/Decryptage/La-societe-de-pediatrie-fait-l-apologie-du-DPI" TargetMode="External"/><Relationship Id="rId77" Type="http://schemas.openxmlformats.org/officeDocument/2006/relationships/hyperlink" Target="http://www.agence-biomedecine.fr/IMG/pdf/18012012_decision_epb.pdf" TargetMode="External"/><Relationship Id="rId78" Type="http://schemas.openxmlformats.org/officeDocument/2006/relationships/hyperlink" Target="mailto:juridique@biomedecine.fr" TargetMode="External"/><Relationship Id="rId79" Type="http://schemas.openxmlformats.org/officeDocument/2006/relationships/hyperlink" Target="http://www.agence-biomedecine.fr/IMG/pdf/20120613_da_dpihla.pdf" TargetMode="External"/><Relationship Id="rId110" Type="http://schemas.openxmlformats.org/officeDocument/2006/relationships/hyperlink" Target="http://www.etatsgenerauxdelabioethique.fr/uploads/rapport_final.pdf" TargetMode="External"/><Relationship Id="rId90" Type="http://schemas.openxmlformats.org/officeDocument/2006/relationships/hyperlink" Target="http://www.juridique-biomedecine.fr/uploads/documents/arrt-du-11-avril-2008-relatif-aux-rgles-de-bonnes-pratiques-cliniques-et-biologiques-d-assistance-mdicale--la-procration-modifi-arrt-du-3-aot-2010.pdf" TargetMode="External"/><Relationship Id="rId91" Type="http://schemas.openxmlformats.org/officeDocument/2006/relationships/hyperlink" Target="http://www.agence-biomedecine.fr/annexes/bilan2013/donnees/vigilance/01-amp/synthese.htm" TargetMode="External"/><Relationship Id="rId92" Type="http://schemas.openxmlformats.org/officeDocument/2006/relationships/hyperlink" Target="http://www.legifrance.gouv.fr/affichJuriAdmin.do?oldAction=rechJuriAdmin&amp;idTexte=CETATEXT000007838032&amp;fastReqId=2128470518&amp;fastPos=12" TargetMode="External"/><Relationship Id="rId93" Type="http://schemas.openxmlformats.org/officeDocument/2006/relationships/hyperlink" Target="http://www.ccne-ethique.fr/sites/default/files/publications/avis018.pdf" TargetMode="External"/><Relationship Id="rId94" Type="http://schemas.openxmlformats.org/officeDocument/2006/relationships/hyperlink" Target="http://sante.lefigaro.fr/actualite/2010/03/26/10123-polemique-autour-congelation-dovocytes" TargetMode="External"/><Relationship Id="rId95" Type="http://schemas.openxmlformats.org/officeDocument/2006/relationships/hyperlink" Target="http://www.legifrance.gouv.fr/affichJuriAdmin.do?oldAction=rechJuriAdmin&amp;idTexte=CETATEXT000007604438&amp;fastReqId=1029346755&amp;fastPos=83" TargetMode="External"/><Relationship Id="rId96" Type="http://schemas.openxmlformats.org/officeDocument/2006/relationships/hyperlink" Target="http://www.agence-biomedecine.fr/IMG/pdf/ripg_vdef.pdf" TargetMode="External"/><Relationship Id="rId97" Type="http://schemas.openxmlformats.org/officeDocument/2006/relationships/hyperlink" Target="http://www.ccne-ethique.fr/sites/default/files/publications/avis_107.pdf" TargetMode="External"/><Relationship Id="rId98" Type="http://schemas.openxmlformats.org/officeDocument/2006/relationships/hyperlink" Target="http://www.assemblee-nationale.fr/13/pdf/rap-info/i2235-t1.pdf" TargetMode="External"/><Relationship Id="rId99" Type="http://schemas.openxmlformats.org/officeDocument/2006/relationships/hyperlink" Target="http://www.agence-biomedecine.fr/annexes/bilan2013/donnees/diag-prenat/03-preimpl/pdf/dpi.pdf" TargetMode="External"/><Relationship Id="rId111" Type="http://schemas.openxmlformats.org/officeDocument/2006/relationships/hyperlink" Target="http://www.ccne-ethique.fr/sites/default/files/publications/avis_113.pdf" TargetMode="External"/><Relationship Id="rId112" Type="http://schemas.openxmlformats.org/officeDocument/2006/relationships/hyperlink" Target="http://www.assemblee-nationale.fr/13/pdf/rap-info/i2235-t1.pdf" TargetMode="External"/><Relationship Id="rId113" Type="http://schemas.openxmlformats.org/officeDocument/2006/relationships/hyperlink" Target="http://www.assemblee-nationale.fr/13/ta/ta0606.asp" TargetMode="External"/><Relationship Id="rId114" Type="http://schemas.openxmlformats.org/officeDocument/2006/relationships/hyperlink" Target="http://www.senat.fr/rap/l10-388/l10-3881.pdf" TargetMode="External"/><Relationship Id="rId20" Type="http://schemas.openxmlformats.org/officeDocument/2006/relationships/hyperlink" Target="http://www.legifrance.gouv.fr/affichTexte.do?cidTexte=JORFTEXT000024323102" TargetMode="External"/><Relationship Id="rId21" Type="http://schemas.openxmlformats.org/officeDocument/2006/relationships/hyperlink" Target="http://legifrance.gouv.fr/affichTexte.do;jsessionid=112119A73C773B6E0E287C667783D434.tpdjo04v_1?cidTexte=JORFTEXT000000759334&amp;categorieLien=id" TargetMode="External"/><Relationship Id="rId22" Type="http://schemas.openxmlformats.org/officeDocument/2006/relationships/hyperlink" Target="http://www.juridique-biomedecine.fr/uploads/documents/arrt-du-11-avril-2008-relatif-aux-rgles-de-bonnes-pratiques-cliniques-et-biologiques-d-assistance-mdicale--la-procration-modifi-arrt-du-3-aot-2010.pdf" TargetMode="External"/><Relationship Id="rId23" Type="http://schemas.openxmlformats.org/officeDocument/2006/relationships/hyperlink" Target="http://www.agence-biomedecine.fr/IMG/pdf/avisco_autoconservationgametes_juin2014.pdf" TargetMode="External"/><Relationship Id="rId24" Type="http://schemas.openxmlformats.org/officeDocument/2006/relationships/hyperlink" Target="http://www.agence-biomedecine.fr/IMG/pdf/deliberation2013_co_13.pdf" TargetMode="External"/><Relationship Id="rId25" Type="http://schemas.openxmlformats.org/officeDocument/2006/relationships/hyperlink" Target="http://www.agence-biomedecine.fr/IMG/pdf/deliberation_co_12072012_autoconservation_gametes.pdf" TargetMode="External"/><Relationship Id="rId26" Type="http://schemas.openxmlformats.org/officeDocument/2006/relationships/hyperlink" Target="http://www.agence-biomedecine.fr/IMG/pdf/deliberation_04052012.pdf" TargetMode="External"/><Relationship Id="rId27" Type="http://schemas.openxmlformats.org/officeDocument/2006/relationships/hyperlink" Target="http://www.agence-biomedecine.fr/IMG/pdf/deliberation_17122010.pdf" TargetMode="External"/><Relationship Id="rId28" Type="http://schemas.openxmlformats.org/officeDocument/2006/relationships/hyperlink" Target="http://www.agence-biomedecine.fr/IMG/pdf/deliberation_2010_57.pdf" TargetMode="External"/><Relationship Id="rId29" Type="http://schemas.openxmlformats.org/officeDocument/2006/relationships/hyperlink" Target="http://www.agence-biomedecine.fr/IMG/pdf/avis_21092009.pdf" TargetMode="External"/><Relationship Id="rId40" Type="http://schemas.openxmlformats.org/officeDocument/2006/relationships/hyperlink" Target="http://www.academie-medecine.fr/?s=S%C3%A9ance+d%C3%A9di%C3%A9e+au+diagnostic+pr%C3%A9-implantatoire&amp;submit=OK" TargetMode="External"/><Relationship Id="rId41" Type="http://schemas.openxmlformats.org/officeDocument/2006/relationships/hyperlink" Target="http://www.academie-medecine.fr/publication100036231/" TargetMode="External"/><Relationship Id="rId42" Type="http://schemas.openxmlformats.org/officeDocument/2006/relationships/hyperlink" Target="http://www.academie-medecine.fr/publication100036184/" TargetMode="External"/><Relationship Id="rId43" Type="http://schemas.openxmlformats.org/officeDocument/2006/relationships/hyperlink" Target="http://www.academie-medecine.fr/publication100035980/" TargetMode="External"/><Relationship Id="rId44" Type="http://schemas.openxmlformats.org/officeDocument/2006/relationships/hyperlink" Target="http://www.academie-medecine.fr/publication100035797/" TargetMode="External"/><Relationship Id="rId45" Type="http://schemas.openxmlformats.org/officeDocument/2006/relationships/hyperlink" Target="http://www.ccne-ethique.fr/sites/default/files/publications/avis_113.pdf" TargetMode="External"/><Relationship Id="rId46" Type="http://schemas.openxmlformats.org/officeDocument/2006/relationships/hyperlink" Target="http://www.ccne-ethique.fr/sites/default/files/publications/avis_112.pdf" TargetMode="External"/><Relationship Id="rId47" Type="http://schemas.openxmlformats.org/officeDocument/2006/relationships/hyperlink" Target="http://www.ccne-ethique.fr/sites/default/files/publications/avis_110.pdf" TargetMode="External"/><Relationship Id="rId48" Type="http://schemas.openxmlformats.org/officeDocument/2006/relationships/hyperlink" Target="http://www.ccne-ethique.fr/sites/default/files/publications/avis_107.pdf" TargetMode="External"/><Relationship Id="rId49" Type="http://schemas.openxmlformats.org/officeDocument/2006/relationships/hyperlink" Target="http://www.ccne-ethique.fr/sites/default/files/publications/avis_105_ccne.pdf" TargetMode="External"/><Relationship Id="rId60" Type="http://schemas.openxmlformats.org/officeDocument/2006/relationships/hyperlink" Target="http://www.juridique-biomedecine.fr/code-de-la-sante/chapitre-1-dispositions-gnrales.html" TargetMode="External"/><Relationship Id="rId61" Type="http://schemas.openxmlformats.org/officeDocument/2006/relationships/hyperlink" Target="http://www.juridique-biomedecine.fr/code-de-la-sante/chapitre-1-dispositions-gnrales.html" TargetMode="External"/><Relationship Id="rId62" Type="http://schemas.openxmlformats.org/officeDocument/2006/relationships/hyperlink" Target="http://www.agence-biomedecine.fr/annexes/bilan2013/donnees/vigilance/01-amp/synthese.htm" TargetMode="External"/><Relationship Id="rId63" Type="http://schemas.openxmlformats.org/officeDocument/2006/relationships/hyperlink" Target="http://www.agence-biomedecine.fr/AMP-Vigilance?lang=fr" TargetMode="External"/><Relationship Id="rId64" Type="http://schemas.openxmlformats.org/officeDocument/2006/relationships/hyperlink" Target="http://www.agence-biomedecine.fr/IMG/pdf/cop_biomedecine_vdef.pdf" TargetMode="External"/><Relationship Id="rId65" Type="http://schemas.openxmlformats.org/officeDocument/2006/relationships/hyperlink" Target="http://www.agence-biomedecine.fr/L-Agence-de-la-biomedecine-en?lang=fr" TargetMode="External"/><Relationship Id="rId66" Type="http://schemas.openxmlformats.org/officeDocument/2006/relationships/hyperlink" Target="http://www.assemblee-nationale.fr/13/pdf/projets/pl2911.pdf" TargetMode="External"/><Relationship Id="rId67" Type="http://schemas.openxmlformats.org/officeDocument/2006/relationships/hyperlink" Target="http://www.etatsgenerauxdelabioethique.fr/uploads/rapport_final.pdf" TargetMode="External"/><Relationship Id="rId68" Type="http://schemas.openxmlformats.org/officeDocument/2006/relationships/hyperlink" Target="http://www.academie-medecine.fr/wp-content/uploads/2013/07/tap-p.-1397-1421.pdf" TargetMode="External"/><Relationship Id="rId69" Type="http://schemas.openxmlformats.org/officeDocument/2006/relationships/hyperlink" Target="http://www.juridique-biomedecine.fr/uploads/documents/arrt-du-11-avril-2008-relatif-aux-rgles-de-bonnes-pratiques-cliniques-et-biologiques-d-assistance-mdicale--la-procration-modifi-arrt-du-3-aot-2010.pdf" TargetMode="External"/><Relationship Id="rId100" Type="http://schemas.openxmlformats.org/officeDocument/2006/relationships/hyperlink" Target="http://www.conseil-constitutionnel.fr/conseil-constitutionnel/francais/les-decisions/acces-par-date/decisions-depuis-1959/1994/94-343/344-dc/decision-n-94-343-344-dc-du-27-juillet-1994.10566.html" TargetMode="External"/><Relationship Id="rId80" Type="http://schemas.openxmlformats.org/officeDocument/2006/relationships/hyperlink" Target="http://www.agence-biomedecine.fr/annexes/bilan2013/donnees/procreation/01-amp/synthese.htm" TargetMode="External"/><Relationship Id="rId81" Type="http://schemas.openxmlformats.org/officeDocument/2006/relationships/hyperlink" Target="http://www.legifrance.gouv.fr/affichJuriJudi.do?oldAction=rechJuriJudi&amp;idTexte=JURITEXT000007465003&amp;fastReqId=567616900&amp;fastPos=12" TargetMode="External"/><Relationship Id="rId82" Type="http://schemas.openxmlformats.org/officeDocument/2006/relationships/hyperlink" Target="http://www.ccne-ethique.fr/sites/default/files/publications/avis075.pdf" TargetMode="External"/><Relationship Id="rId83" Type="http://schemas.openxmlformats.org/officeDocument/2006/relationships/hyperlink" Target="http://www.agence-biomedecine.fr/IMG/pdf/deliberation_04052012.pdf" TargetMode="External"/><Relationship Id="rId84" Type="http://schemas.openxmlformats.org/officeDocument/2006/relationships/hyperlink" Target="http://www.legifrance.gouv.fr/affichTexte.do?cidTexte=JORFTEXT000000441469" TargetMode="External"/><Relationship Id="rId85" Type="http://schemas.openxmlformats.org/officeDocument/2006/relationships/hyperlink" Target="http://www.agence-biomedecine.fr/Chiffres-de-l-Agence-de-la" TargetMode="External"/><Relationship Id="rId86" Type="http://schemas.openxmlformats.org/officeDocument/2006/relationships/hyperlink" Target="https://asp.zone-secure.net/v2/index.jsp?id=324/9403/49317&amp;lng=fr" TargetMode="External"/><Relationship Id="rId87" Type="http://schemas.openxmlformats.org/officeDocument/2006/relationships/hyperlink" Target="http://www.legifrance.gouv.fr/affichJuriJudi.do?oldAction=rechJuriJudi&amp;idTexte=JURITEXT000025183407&amp;fastReqId=1014847580&amp;fastPos=7" TargetMode="External"/><Relationship Id="rId88" Type="http://schemas.openxmlformats.org/officeDocument/2006/relationships/hyperlink" Target="http://www.conseil-constitutionnel.fr/conseil-constitutionnel/francais/les-decisions/acces-par-date/decisions-depuis-1959/1994/94-343/344-dc/decision-n-94-343-344-dc-du-27-juillet-1994.10566.html" TargetMode="External"/><Relationship Id="rId89" Type="http://schemas.openxmlformats.org/officeDocument/2006/relationships/hyperlink" Target="http://www.legifrance.gouv.fr/affichTexte.do?cidTexte=JORFTEXT000019414863"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xPr>
        <a:bodyPr/>
        <a:lstStyle/>
        <a:p>
          <a:pPr>
            <a:defRPr sz="1400">
              <a:latin typeface="+mj-lt"/>
            </a:defRPr>
          </a:pPr>
          <a:endParaRPr lang="en-US"/>
        </a:p>
      </c:txPr>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Τέκνα που γεννήθηκαν το 2012 με ΙΥΑ ανάλογα με τις μεθόδους που χρησιμοποιήθηκαν και την προέλευση των γαμετών </c:v>
                </c:pt>
              </c:strCache>
            </c:strRef>
          </c:tx>
          <c:explosion val="25"/>
          <c:cat>
            <c:strRef>
              <c:f>Sheet1!$A$2:$A$8</c:f>
              <c:strCache>
                <c:ptCount val="7"/>
                <c:pt idx="0">
                  <c:v>Ομόλογη ICSI (8.867)</c:v>
                </c:pt>
                <c:pt idx="1">
                  <c:v>Ενδομήτρια γονιμοποίηση (5.939)</c:v>
                </c:pt>
                <c:pt idx="2">
                  <c:v>Εξωσωματική γονιμοποίηση, εκτός της ομόλογης ICSI (4.595)</c:v>
                </c:pt>
                <c:pt idx="3">
                  <c:v>Ομόλογη εμβρυομεταφορά (3.352)</c:v>
                </c:pt>
                <c:pt idx="4">
                  <c:v>ΙΥΑ με δωρεά σπέρματος (1.141)</c:v>
                </c:pt>
                <c:pt idx="5">
                  <c:v>ΙΥΑ με δωρεά ωαρίων (164)</c:v>
                </c:pt>
                <c:pt idx="6">
                  <c:v>ΙΥΑ με λήψη εμβρύων (29)</c:v>
                </c:pt>
              </c:strCache>
            </c:strRef>
          </c:cat>
          <c:val>
            <c:numRef>
              <c:f>Sheet1!$B$2:$B$8</c:f>
              <c:numCache>
                <c:formatCode>0.00%</c:formatCode>
                <c:ptCount val="7"/>
                <c:pt idx="0">
                  <c:v>0.363</c:v>
                </c:pt>
                <c:pt idx="1">
                  <c:v>0.249</c:v>
                </c:pt>
                <c:pt idx="2">
                  <c:v>0.192</c:v>
                </c:pt>
                <c:pt idx="3" formatCode="0%">
                  <c:v>0.14</c:v>
                </c:pt>
                <c:pt idx="4">
                  <c:v>0.048</c:v>
                </c:pt>
                <c:pt idx="5">
                  <c:v>0.007</c:v>
                </c:pt>
                <c:pt idx="6">
                  <c:v>0.001</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657739501312336"/>
          <c:y val="0.202403808566482"/>
          <c:w val="0.323741980169145"/>
          <c:h val="0.796458926676718"/>
        </c:manualLayout>
      </c:layout>
      <c:overlay val="0"/>
      <c:txPr>
        <a:bodyPr/>
        <a:lstStyle/>
        <a:p>
          <a:pPr>
            <a:defRPr sz="1000">
              <a:latin typeface="+mj-lt"/>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xPr>
        <a:bodyPr/>
        <a:lstStyle/>
        <a:p>
          <a:pPr>
            <a:defRPr sz="1600">
              <a:latin typeface="+mj-lt"/>
            </a:defRPr>
          </a:pPr>
          <a:endParaRPr lang="en-US"/>
        </a:p>
      </c:txPr>
    </c:title>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0284028839851431"/>
          <c:y val="0.152202937249666"/>
          <c:w val="0.577088454941603"/>
          <c:h val="0.794392523364486"/>
        </c:manualLayout>
      </c:layout>
      <c:pie3DChart>
        <c:varyColors val="1"/>
        <c:ser>
          <c:idx val="0"/>
          <c:order val="0"/>
          <c:tx>
            <c:strRef>
              <c:f>Sheet1!$B$1</c:f>
              <c:strCache>
                <c:ptCount val="1"/>
                <c:pt idx="0">
                  <c:v>AMP Vigilence 2013</c:v>
                </c:pt>
              </c:strCache>
            </c:strRef>
          </c:tx>
          <c:explosion val="25"/>
          <c:cat>
            <c:strRef>
              <c:f>Sheet1!$A$2:$A$8</c:f>
              <c:strCache>
                <c:ptCount val="7"/>
                <c:pt idx="0">
                  <c:v>Διέγερση ωοθηκών (60.6%) </c:v>
                </c:pt>
                <c:pt idx="1">
                  <c:v>Κλινικοί χειρισμοί (19.4%)</c:v>
                </c:pt>
                <c:pt idx="2">
                  <c:v>Απώλεια γαμετών/εμβρύων (11.7%)</c:v>
                </c:pt>
                <c:pt idx="3">
                  <c:v>Λάθος στην κατανομή/ταυτοποίηση γαμετών/εμβρύων (1.1%)</c:v>
                </c:pt>
                <c:pt idx="4">
                  <c:v>Κέντρο ΙΥΑ (2.1%)</c:v>
                </c:pt>
                <c:pt idx="5">
                  <c:v>Καλλιέργεια και χειρισμοί γαμετών/εμβρύων (1.9%)</c:v>
                </c:pt>
                <c:pt idx="6">
                  <c:v>Λοιπά (3.2%)</c:v>
                </c:pt>
              </c:strCache>
            </c:strRef>
          </c:cat>
          <c:val>
            <c:numRef>
              <c:f>Sheet1!$B$2:$B$8</c:f>
              <c:numCache>
                <c:formatCode>General</c:formatCode>
                <c:ptCount val="7"/>
                <c:pt idx="0">
                  <c:v>60.6</c:v>
                </c:pt>
                <c:pt idx="1">
                  <c:v>19.4</c:v>
                </c:pt>
                <c:pt idx="2">
                  <c:v>11.7</c:v>
                </c:pt>
                <c:pt idx="3">
                  <c:v>1.1</c:v>
                </c:pt>
                <c:pt idx="4">
                  <c:v>2.1</c:v>
                </c:pt>
                <c:pt idx="5">
                  <c:v>1.9</c:v>
                </c:pt>
                <c:pt idx="6">
                  <c:v>3.2</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630979099537399"/>
          <c:y val="0.102010991832543"/>
          <c:w val="0.341763086905803"/>
          <c:h val="0.897989008167457"/>
        </c:manualLayout>
      </c:layout>
      <c:overlay val="0"/>
      <c:txPr>
        <a:bodyPr/>
        <a:lstStyle/>
        <a:p>
          <a:pPr>
            <a:defRPr sz="1000" kern="1200">
              <a:latin typeface="+mj-lt"/>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xPr>
        <a:bodyPr/>
        <a:lstStyle/>
        <a:p>
          <a:pPr>
            <a:defRPr sz="1600">
              <a:latin typeface="+mj-lt"/>
            </a:defRPr>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Κρυοσυντηρημένα έμβρυα εν αναμονή μεταφοράς</c:v>
                </c:pt>
              </c:strCache>
            </c:strRef>
          </c:tx>
          <c:invertIfNegative val="0"/>
          <c:cat>
            <c:strRef>
              <c:f>Sheet1!$A$2:$A$3</c:f>
              <c:strCache>
                <c:ptCount val="2"/>
                <c:pt idx="0">
                  <c:v>2005 (141.460)</c:v>
                </c:pt>
                <c:pt idx="1">
                  <c:v>2012 (185.230)</c:v>
                </c:pt>
              </c:strCache>
            </c:strRef>
          </c:cat>
          <c:val>
            <c:numRef>
              <c:f>Sheet1!$B$2:$B$3</c:f>
              <c:numCache>
                <c:formatCode>General</c:formatCode>
                <c:ptCount val="2"/>
                <c:pt idx="0">
                  <c:v>141.46</c:v>
                </c:pt>
                <c:pt idx="1">
                  <c:v>185.23</c:v>
                </c:pt>
              </c:numCache>
            </c:numRef>
          </c:val>
        </c:ser>
        <c:dLbls>
          <c:showLegendKey val="0"/>
          <c:showVal val="0"/>
          <c:showCatName val="0"/>
          <c:showSerName val="0"/>
          <c:showPercent val="0"/>
          <c:showBubbleSize val="0"/>
        </c:dLbls>
        <c:gapWidth val="150"/>
        <c:shape val="box"/>
        <c:axId val="2072092776"/>
        <c:axId val="2072095800"/>
        <c:axId val="0"/>
      </c:bar3DChart>
      <c:catAx>
        <c:axId val="2072092776"/>
        <c:scaling>
          <c:orientation val="minMax"/>
        </c:scaling>
        <c:delete val="0"/>
        <c:axPos val="b"/>
        <c:numFmt formatCode="General" sourceLinked="1"/>
        <c:majorTickMark val="out"/>
        <c:minorTickMark val="none"/>
        <c:tickLblPos val="nextTo"/>
        <c:txPr>
          <a:bodyPr/>
          <a:lstStyle/>
          <a:p>
            <a:pPr>
              <a:defRPr>
                <a:latin typeface="+mj-lt"/>
              </a:defRPr>
            </a:pPr>
            <a:endParaRPr lang="en-US"/>
          </a:p>
        </c:txPr>
        <c:crossAx val="2072095800"/>
        <c:crosses val="autoZero"/>
        <c:auto val="1"/>
        <c:lblAlgn val="ctr"/>
        <c:lblOffset val="100"/>
        <c:noMultiLvlLbl val="0"/>
      </c:catAx>
      <c:valAx>
        <c:axId val="2072095800"/>
        <c:scaling>
          <c:orientation val="minMax"/>
        </c:scaling>
        <c:delete val="0"/>
        <c:axPos val="l"/>
        <c:majorGridlines/>
        <c:numFmt formatCode="General" sourceLinked="1"/>
        <c:majorTickMark val="out"/>
        <c:minorTickMark val="none"/>
        <c:tickLblPos val="nextTo"/>
        <c:txPr>
          <a:bodyPr/>
          <a:lstStyle/>
          <a:p>
            <a:pPr>
              <a:defRPr>
                <a:latin typeface="+mj-lt"/>
              </a:defRPr>
            </a:pPr>
            <a:endParaRPr lang="en-US"/>
          </a:p>
        </c:txPr>
        <c:crossAx val="2072092776"/>
        <c:crosses val="autoZero"/>
        <c:crossBetween val="between"/>
      </c:valAx>
    </c:plotArea>
    <c:legend>
      <c:legendPos val="r"/>
      <c:layout>
        <c:manualLayout>
          <c:xMode val="edge"/>
          <c:yMode val="edge"/>
          <c:x val="0.649421070064382"/>
          <c:y val="0.310055930508686"/>
          <c:w val="0.321692849415668"/>
          <c:h val="0.390204974378203"/>
        </c:manualLayout>
      </c:layout>
      <c:overlay val="0"/>
      <c:txPr>
        <a:bodyPr/>
        <a:lstStyle/>
        <a:p>
          <a:pPr>
            <a:defRPr sz="1100">
              <a:latin typeface="+mj-lt"/>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Ζευγάρια</c:v>
                </c:pt>
              </c:strCache>
            </c:strRef>
          </c:tx>
          <c:invertIfNegative val="0"/>
          <c:cat>
            <c:numRef>
              <c:f>Sheet1!$A$2:$A$5</c:f>
              <c:numCache>
                <c:formatCode>General</c:formatCode>
                <c:ptCount val="4"/>
                <c:pt idx="0">
                  <c:v>2008.0</c:v>
                </c:pt>
                <c:pt idx="1">
                  <c:v>2009.0</c:v>
                </c:pt>
                <c:pt idx="2">
                  <c:v>2010.0</c:v>
                </c:pt>
                <c:pt idx="3">
                  <c:v>2011.0</c:v>
                </c:pt>
              </c:numCache>
            </c:numRef>
          </c:cat>
          <c:val>
            <c:numRef>
              <c:f>Sheet1!$B$2:$B$5</c:f>
              <c:numCache>
                <c:formatCode>General</c:formatCode>
                <c:ptCount val="4"/>
                <c:pt idx="0">
                  <c:v>278.0</c:v>
                </c:pt>
                <c:pt idx="1">
                  <c:v>276.0</c:v>
                </c:pt>
                <c:pt idx="2">
                  <c:v>369.0</c:v>
                </c:pt>
                <c:pt idx="3">
                  <c:v>337.0</c:v>
                </c:pt>
              </c:numCache>
            </c:numRef>
          </c:val>
        </c:ser>
        <c:ser>
          <c:idx val="1"/>
          <c:order val="1"/>
          <c:tx>
            <c:strRef>
              <c:f>Sheet1!$C$1</c:f>
              <c:strCache>
                <c:ptCount val="1"/>
                <c:pt idx="0">
                  <c:v>Τοκετοί</c:v>
                </c:pt>
              </c:strCache>
            </c:strRef>
          </c:tx>
          <c:invertIfNegative val="0"/>
          <c:cat>
            <c:numRef>
              <c:f>Sheet1!$A$2:$A$5</c:f>
              <c:numCache>
                <c:formatCode>General</c:formatCode>
                <c:ptCount val="4"/>
                <c:pt idx="0">
                  <c:v>2008.0</c:v>
                </c:pt>
                <c:pt idx="1">
                  <c:v>2009.0</c:v>
                </c:pt>
                <c:pt idx="2">
                  <c:v>2010.0</c:v>
                </c:pt>
                <c:pt idx="3">
                  <c:v>2011.0</c:v>
                </c:pt>
              </c:numCache>
            </c:numRef>
          </c:cat>
          <c:val>
            <c:numRef>
              <c:f>Sheet1!$C$2:$C$5</c:f>
              <c:numCache>
                <c:formatCode>General</c:formatCode>
                <c:ptCount val="4"/>
                <c:pt idx="0">
                  <c:v>62.0</c:v>
                </c:pt>
                <c:pt idx="1">
                  <c:v>41.0</c:v>
                </c:pt>
                <c:pt idx="2">
                  <c:v>83.0</c:v>
                </c:pt>
                <c:pt idx="3">
                  <c:v>62.0</c:v>
                </c:pt>
              </c:numCache>
            </c:numRef>
          </c:val>
        </c:ser>
        <c:dLbls>
          <c:showLegendKey val="0"/>
          <c:showVal val="0"/>
          <c:showCatName val="0"/>
          <c:showSerName val="0"/>
          <c:showPercent val="0"/>
          <c:showBubbleSize val="0"/>
        </c:dLbls>
        <c:gapWidth val="150"/>
        <c:shape val="box"/>
        <c:axId val="2072122632"/>
        <c:axId val="2072125688"/>
        <c:axId val="0"/>
      </c:bar3DChart>
      <c:catAx>
        <c:axId val="2072122632"/>
        <c:scaling>
          <c:orientation val="minMax"/>
        </c:scaling>
        <c:delete val="0"/>
        <c:axPos val="b"/>
        <c:numFmt formatCode="General" sourceLinked="1"/>
        <c:majorTickMark val="out"/>
        <c:minorTickMark val="none"/>
        <c:tickLblPos val="nextTo"/>
        <c:txPr>
          <a:bodyPr/>
          <a:lstStyle/>
          <a:p>
            <a:pPr>
              <a:defRPr sz="1100">
                <a:latin typeface="+mj-lt"/>
              </a:defRPr>
            </a:pPr>
            <a:endParaRPr lang="en-US"/>
          </a:p>
        </c:txPr>
        <c:crossAx val="2072125688"/>
        <c:crosses val="autoZero"/>
        <c:auto val="1"/>
        <c:lblAlgn val="ctr"/>
        <c:lblOffset val="100"/>
        <c:noMultiLvlLbl val="0"/>
      </c:catAx>
      <c:valAx>
        <c:axId val="2072125688"/>
        <c:scaling>
          <c:orientation val="minMax"/>
        </c:scaling>
        <c:delete val="0"/>
        <c:axPos val="l"/>
        <c:majorGridlines/>
        <c:numFmt formatCode="General" sourceLinked="1"/>
        <c:majorTickMark val="out"/>
        <c:minorTickMark val="none"/>
        <c:tickLblPos val="nextTo"/>
        <c:txPr>
          <a:bodyPr/>
          <a:lstStyle/>
          <a:p>
            <a:pPr>
              <a:defRPr sz="1100">
                <a:latin typeface="+mj-lt"/>
              </a:defRPr>
            </a:pPr>
            <a:endParaRPr lang="en-US"/>
          </a:p>
        </c:txPr>
        <c:crossAx val="2072122632"/>
        <c:crosses val="autoZero"/>
        <c:crossBetween val="between"/>
      </c:valAx>
    </c:plotArea>
    <c:legend>
      <c:legendPos val="r"/>
      <c:overlay val="0"/>
      <c:txPr>
        <a:bodyPr/>
        <a:lstStyle/>
        <a:p>
          <a:pPr>
            <a:defRPr sz="1100">
              <a:latin typeface="+mj-lt"/>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AC7B9-D2A3-2542-8086-FE205B3C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199</Pages>
  <Words>66394</Words>
  <Characters>378448</Characters>
  <Application>Microsoft Macintosh Word</Application>
  <DocSecurity>0</DocSecurity>
  <Lines>3153</Lines>
  <Paragraphs>887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443955</CharactersWithSpaces>
  <SharedDoc>false</SharedDoc>
  <HLinks>
    <vt:vector size="630" baseType="variant">
      <vt:variant>
        <vt:i4>3604588</vt:i4>
      </vt:variant>
      <vt:variant>
        <vt:i4>15</vt:i4>
      </vt:variant>
      <vt:variant>
        <vt:i4>0</vt:i4>
      </vt:variant>
      <vt:variant>
        <vt:i4>5</vt:i4>
      </vt:variant>
      <vt:variant>
        <vt:lpwstr>http://genethique.org/fr/pma-letranger-letrange-reponse-de-la-cour-de-cassation-62109.html</vt:lpwstr>
      </vt:variant>
      <vt:variant>
        <vt:lpwstr>.VCWsJFZLa3V</vt:lpwstr>
      </vt:variant>
      <vt:variant>
        <vt:i4>917571</vt:i4>
      </vt:variant>
      <vt:variant>
        <vt:i4>12</vt:i4>
      </vt:variant>
      <vt:variant>
        <vt:i4>0</vt:i4>
      </vt:variant>
      <vt:variant>
        <vt:i4>5</vt:i4>
      </vt:variant>
      <vt:variant>
        <vt:lpwstr>http://www.genethique.org/fr/quelles-suites-lavis-de-la-cour-de-cassation-62157.html</vt:lpwstr>
      </vt:variant>
      <vt:variant>
        <vt:lpwstr>.VCWr01ZLa3V</vt:lpwstr>
      </vt:variant>
      <vt:variant>
        <vt:i4>5832820</vt:i4>
      </vt:variant>
      <vt:variant>
        <vt:i4>9</vt:i4>
      </vt:variant>
      <vt:variant>
        <vt:i4>0</vt:i4>
      </vt:variant>
      <vt:variant>
        <vt:i4>5</vt:i4>
      </vt:variant>
      <vt:variant>
        <vt:lpwstr>http://genethique.org/fr/la-cour-de-cassation-autorise-ladoption-denfant-concu-par-pma-62108.html</vt:lpwstr>
      </vt:variant>
      <vt:variant>
        <vt:lpwstr>.VCWrh1ZLa3V</vt:lpwstr>
      </vt:variant>
      <vt:variant>
        <vt:i4>1507417</vt:i4>
      </vt:variant>
      <vt:variant>
        <vt:i4>6</vt:i4>
      </vt:variant>
      <vt:variant>
        <vt:i4>0</vt:i4>
      </vt:variant>
      <vt:variant>
        <vt:i4>5</vt:i4>
      </vt:variant>
      <vt:variant>
        <vt:lpwstr>http://www.genethique.org/fr/gpa-le-gouvernement-lheure-des-choix-62136.html</vt:lpwstr>
      </vt:variant>
      <vt:variant>
        <vt:lpwstr>.VCP-elNtMlA</vt:lpwstr>
      </vt:variant>
      <vt:variant>
        <vt:i4>3407989</vt:i4>
      </vt:variant>
      <vt:variant>
        <vt:i4>3</vt:i4>
      </vt:variant>
      <vt:variant>
        <vt:i4>0</vt:i4>
      </vt:variant>
      <vt:variant>
        <vt:i4>5</vt:i4>
      </vt:variant>
      <vt:variant>
        <vt:lpwstr>http://www.lemonde.fr/clamart/</vt:lpwstr>
      </vt:variant>
      <vt:variant>
        <vt:lpwstr/>
      </vt:variant>
      <vt:variant>
        <vt:i4>2359309</vt:i4>
      </vt:variant>
      <vt:variant>
        <vt:i4>504</vt:i4>
      </vt:variant>
      <vt:variant>
        <vt:i4>0</vt:i4>
      </vt:variant>
      <vt:variant>
        <vt:i4>5</vt:i4>
      </vt:variant>
      <vt:variant>
        <vt:lpwstr>http://www.conseil-constitutionnel.fr/conseil-constitutionnel/francais/les-decisions/acces-par-date/decisions-depuis-1959/1994/94-343/344-dc/decision-n-94-343-344-dc-du-27-juillet-1994.10566.html</vt:lpwstr>
      </vt:variant>
      <vt:variant>
        <vt:lpwstr/>
      </vt:variant>
      <vt:variant>
        <vt:i4>4390949</vt:i4>
      </vt:variant>
      <vt:variant>
        <vt:i4>501</vt:i4>
      </vt:variant>
      <vt:variant>
        <vt:i4>0</vt:i4>
      </vt:variant>
      <vt:variant>
        <vt:i4>5</vt:i4>
      </vt:variant>
      <vt:variant>
        <vt:lpwstr>http://www.agence-biomedecine.fr/annexes/bilan2013/donnees/diag-prenat/03-preimpl/pdf/dpi.pdf</vt:lpwstr>
      </vt:variant>
      <vt:variant>
        <vt:lpwstr/>
      </vt:variant>
      <vt:variant>
        <vt:i4>6881394</vt:i4>
      </vt:variant>
      <vt:variant>
        <vt:i4>498</vt:i4>
      </vt:variant>
      <vt:variant>
        <vt:i4>0</vt:i4>
      </vt:variant>
      <vt:variant>
        <vt:i4>5</vt:i4>
      </vt:variant>
      <vt:variant>
        <vt:lpwstr>http://www.assemblee-nationale.fr/13/pdf/rap-info/i2235-t1.pdf</vt:lpwstr>
      </vt:variant>
      <vt:variant>
        <vt:lpwstr/>
      </vt:variant>
      <vt:variant>
        <vt:i4>1441918</vt:i4>
      </vt:variant>
      <vt:variant>
        <vt:i4>495</vt:i4>
      </vt:variant>
      <vt:variant>
        <vt:i4>0</vt:i4>
      </vt:variant>
      <vt:variant>
        <vt:i4>5</vt:i4>
      </vt:variant>
      <vt:variant>
        <vt:lpwstr>http://www.ccne-ethique.fr/sites/default/files/publications/avis_107.pdf</vt:lpwstr>
      </vt:variant>
      <vt:variant>
        <vt:lpwstr/>
      </vt:variant>
      <vt:variant>
        <vt:i4>65578</vt:i4>
      </vt:variant>
      <vt:variant>
        <vt:i4>489</vt:i4>
      </vt:variant>
      <vt:variant>
        <vt:i4>0</vt:i4>
      </vt:variant>
      <vt:variant>
        <vt:i4>5</vt:i4>
      </vt:variant>
      <vt:variant>
        <vt:lpwstr>http://www.agence-biomedecine.fr/IMG/pdf/ripg_vdef.pdf</vt:lpwstr>
      </vt:variant>
      <vt:variant>
        <vt:lpwstr/>
      </vt:variant>
      <vt:variant>
        <vt:i4>65578</vt:i4>
      </vt:variant>
      <vt:variant>
        <vt:i4>486</vt:i4>
      </vt:variant>
      <vt:variant>
        <vt:i4>0</vt:i4>
      </vt:variant>
      <vt:variant>
        <vt:i4>5</vt:i4>
      </vt:variant>
      <vt:variant>
        <vt:lpwstr>http://www.agence-biomedecine.fr/IMG/pdf/ripg_vdef.pdf</vt:lpwstr>
      </vt:variant>
      <vt:variant>
        <vt:lpwstr/>
      </vt:variant>
      <vt:variant>
        <vt:i4>122</vt:i4>
      </vt:variant>
      <vt:variant>
        <vt:i4>483</vt:i4>
      </vt:variant>
      <vt:variant>
        <vt:i4>0</vt:i4>
      </vt:variant>
      <vt:variant>
        <vt:i4>5</vt:i4>
      </vt:variant>
      <vt:variant>
        <vt:lpwstr>http://www.legifrance.gouv.fr/affichJuriAdmin.do?oldAction=rechJuriAdmin&amp;idTexte=CETATEXT000007604438&amp;fastReqId=1029346755&amp;fastPos=83</vt:lpwstr>
      </vt:variant>
      <vt:variant>
        <vt:lpwstr/>
      </vt:variant>
      <vt:variant>
        <vt:i4>7208996</vt:i4>
      </vt:variant>
      <vt:variant>
        <vt:i4>465</vt:i4>
      </vt:variant>
      <vt:variant>
        <vt:i4>0</vt:i4>
      </vt:variant>
      <vt:variant>
        <vt:i4>5</vt:i4>
      </vt:variant>
      <vt:variant>
        <vt:lpwstr>http://sante.lefigaro.fr/actualite/2010/03/26/10123-polemique-autour-congelation-dovocytes</vt:lpwstr>
      </vt:variant>
      <vt:variant>
        <vt:lpwstr/>
      </vt:variant>
      <vt:variant>
        <vt:i4>8192069</vt:i4>
      </vt:variant>
      <vt:variant>
        <vt:i4>462</vt:i4>
      </vt:variant>
      <vt:variant>
        <vt:i4>0</vt:i4>
      </vt:variant>
      <vt:variant>
        <vt:i4>5</vt:i4>
      </vt:variant>
      <vt:variant>
        <vt:lpwstr>http://www.ccne-ethique.fr/sites/default/files/publications/avis018.pdf</vt:lpwstr>
      </vt:variant>
      <vt:variant>
        <vt:lpwstr/>
      </vt:variant>
      <vt:variant>
        <vt:i4>458864</vt:i4>
      </vt:variant>
      <vt:variant>
        <vt:i4>453</vt:i4>
      </vt:variant>
      <vt:variant>
        <vt:i4>0</vt:i4>
      </vt:variant>
      <vt:variant>
        <vt:i4>5</vt:i4>
      </vt:variant>
      <vt:variant>
        <vt:lpwstr>http://www.legifrance.gouv.fr/affichJuriAdmin.do?oldAction=rechJuriAdmin&amp;idTexte=CETATEXT000007838032&amp;fastReqId=2128470518&amp;fastPos=12</vt:lpwstr>
      </vt:variant>
      <vt:variant>
        <vt:lpwstr/>
      </vt:variant>
      <vt:variant>
        <vt:i4>655371</vt:i4>
      </vt:variant>
      <vt:variant>
        <vt:i4>432</vt:i4>
      </vt:variant>
      <vt:variant>
        <vt:i4>0</vt:i4>
      </vt:variant>
      <vt:variant>
        <vt:i4>5</vt:i4>
      </vt:variant>
      <vt:variant>
        <vt:lpwstr>http://www.agence-biomedecine.fr/annexes/bilan2013/donnees/vigilance/01-amp/synthese.htm</vt:lpwstr>
      </vt:variant>
      <vt:variant>
        <vt:lpwstr/>
      </vt:variant>
      <vt:variant>
        <vt:i4>1048578</vt:i4>
      </vt:variant>
      <vt:variant>
        <vt:i4>426</vt:i4>
      </vt:variant>
      <vt:variant>
        <vt:i4>0</vt:i4>
      </vt:variant>
      <vt:variant>
        <vt:i4>5</vt:i4>
      </vt:variant>
      <vt:variant>
        <vt:lpwstr>http://www.juridique-biomedecine.fr/uploads/documents/arrt-du-11-avril-2008-relatif-aux-rgles-de-bonnes-pratiques-cliniques-et-biologiques-d-assistance-mdicale--la-procration-modifi-arrt-du-3-aot-2010.pdf</vt:lpwstr>
      </vt:variant>
      <vt:variant>
        <vt:lpwstr/>
      </vt:variant>
      <vt:variant>
        <vt:i4>917629</vt:i4>
      </vt:variant>
      <vt:variant>
        <vt:i4>420</vt:i4>
      </vt:variant>
      <vt:variant>
        <vt:i4>0</vt:i4>
      </vt:variant>
      <vt:variant>
        <vt:i4>5</vt:i4>
      </vt:variant>
      <vt:variant>
        <vt:lpwstr>https://asp.zone-secure.net/v2/index.jsp?id=324/9403/49317&amp;lng=fr</vt:lpwstr>
      </vt:variant>
      <vt:variant>
        <vt:lpwstr/>
      </vt:variant>
      <vt:variant>
        <vt:i4>4063323</vt:i4>
      </vt:variant>
      <vt:variant>
        <vt:i4>417</vt:i4>
      </vt:variant>
      <vt:variant>
        <vt:i4>0</vt:i4>
      </vt:variant>
      <vt:variant>
        <vt:i4>5</vt:i4>
      </vt:variant>
      <vt:variant>
        <vt:lpwstr>http://www.agence-biomedecine.fr/Chiffres-de-l-Agence-de-la</vt:lpwstr>
      </vt:variant>
      <vt:variant>
        <vt:lpwstr/>
      </vt:variant>
      <vt:variant>
        <vt:i4>3997742</vt:i4>
      </vt:variant>
      <vt:variant>
        <vt:i4>390</vt:i4>
      </vt:variant>
      <vt:variant>
        <vt:i4>0</vt:i4>
      </vt:variant>
      <vt:variant>
        <vt:i4>5</vt:i4>
      </vt:variant>
      <vt:variant>
        <vt:lpwstr>http://www.legifrance.gouv.fr/affichTexte.do?cidTexte=JORFTEXT000019414863</vt:lpwstr>
      </vt:variant>
      <vt:variant>
        <vt:lpwstr/>
      </vt:variant>
      <vt:variant>
        <vt:i4>2359309</vt:i4>
      </vt:variant>
      <vt:variant>
        <vt:i4>381</vt:i4>
      </vt:variant>
      <vt:variant>
        <vt:i4>0</vt:i4>
      </vt:variant>
      <vt:variant>
        <vt:i4>5</vt:i4>
      </vt:variant>
      <vt:variant>
        <vt:lpwstr>http://www.conseil-constitutionnel.fr/conseil-constitutionnel/francais/les-decisions/acces-par-date/decisions-depuis-1959/1994/94-343/344-dc/decision-n-94-343-344-dc-du-27-juillet-1994.10566.html</vt:lpwstr>
      </vt:variant>
      <vt:variant>
        <vt:lpwstr/>
      </vt:variant>
      <vt:variant>
        <vt:i4>2228345</vt:i4>
      </vt:variant>
      <vt:variant>
        <vt:i4>378</vt:i4>
      </vt:variant>
      <vt:variant>
        <vt:i4>0</vt:i4>
      </vt:variant>
      <vt:variant>
        <vt:i4>5</vt:i4>
      </vt:variant>
      <vt:variant>
        <vt:lpwstr>http://www.legifrance.gouv.fr/affichJuriJudi.do?oldAction=rechJuriJudi&amp;idTexte=JURITEXT000025183407&amp;fastReqId=1014847580&amp;fastPos=7</vt:lpwstr>
      </vt:variant>
      <vt:variant>
        <vt:lpwstr/>
      </vt:variant>
      <vt:variant>
        <vt:i4>3604522</vt:i4>
      </vt:variant>
      <vt:variant>
        <vt:i4>366</vt:i4>
      </vt:variant>
      <vt:variant>
        <vt:i4>0</vt:i4>
      </vt:variant>
      <vt:variant>
        <vt:i4>5</vt:i4>
      </vt:variant>
      <vt:variant>
        <vt:lpwstr>http://www.legifrance.gouv.fr/affichTexte.do?cidTexte=JORFTEXT000000441469</vt:lpwstr>
      </vt:variant>
      <vt:variant>
        <vt:lpwstr/>
      </vt:variant>
      <vt:variant>
        <vt:i4>65595</vt:i4>
      </vt:variant>
      <vt:variant>
        <vt:i4>339</vt:i4>
      </vt:variant>
      <vt:variant>
        <vt:i4>0</vt:i4>
      </vt:variant>
      <vt:variant>
        <vt:i4>5</vt:i4>
      </vt:variant>
      <vt:variant>
        <vt:lpwstr>http://www.agence-biomedecine.fr/IMG/pdf/deliberation_04052012.pdf</vt:lpwstr>
      </vt:variant>
      <vt:variant>
        <vt:lpwstr/>
      </vt:variant>
      <vt:variant>
        <vt:i4>8061000</vt:i4>
      </vt:variant>
      <vt:variant>
        <vt:i4>336</vt:i4>
      </vt:variant>
      <vt:variant>
        <vt:i4>0</vt:i4>
      </vt:variant>
      <vt:variant>
        <vt:i4>5</vt:i4>
      </vt:variant>
      <vt:variant>
        <vt:lpwstr>http://www.ccne-ethique.fr/sites/default/files/publications/avis075.pdf</vt:lpwstr>
      </vt:variant>
      <vt:variant>
        <vt:lpwstr/>
      </vt:variant>
      <vt:variant>
        <vt:i4>6422590</vt:i4>
      </vt:variant>
      <vt:variant>
        <vt:i4>294</vt:i4>
      </vt:variant>
      <vt:variant>
        <vt:i4>0</vt:i4>
      </vt:variant>
      <vt:variant>
        <vt:i4>5</vt:i4>
      </vt:variant>
      <vt:variant>
        <vt:lpwstr>http://www.legifrance.gouv.fr/affichJuriJudi.do?oldAction=rechJuriJudi&amp;idTexte=JURITEXT000007465003&amp;fastReqId=567616900&amp;fastPos=12</vt:lpwstr>
      </vt:variant>
      <vt:variant>
        <vt:lpwstr/>
      </vt:variant>
      <vt:variant>
        <vt:i4>7798886</vt:i4>
      </vt:variant>
      <vt:variant>
        <vt:i4>291</vt:i4>
      </vt:variant>
      <vt:variant>
        <vt:i4>0</vt:i4>
      </vt:variant>
      <vt:variant>
        <vt:i4>5</vt:i4>
      </vt:variant>
      <vt:variant>
        <vt:lpwstr>http://www.agence-biomedecine.fr/annexes/bilan2013/donnees/procreation/01-amp/synthese.htm</vt:lpwstr>
      </vt:variant>
      <vt:variant>
        <vt:lpwstr/>
      </vt:variant>
      <vt:variant>
        <vt:i4>6225966</vt:i4>
      </vt:variant>
      <vt:variant>
        <vt:i4>267</vt:i4>
      </vt:variant>
      <vt:variant>
        <vt:i4>0</vt:i4>
      </vt:variant>
      <vt:variant>
        <vt:i4>5</vt:i4>
      </vt:variant>
      <vt:variant>
        <vt:lpwstr>http://www.agence-biomedecine.fr/IMG/pdf/20120613_da_dpihla.pdf</vt:lpwstr>
      </vt:variant>
      <vt:variant>
        <vt:lpwstr/>
      </vt:variant>
      <vt:variant>
        <vt:i4>7143483</vt:i4>
      </vt:variant>
      <vt:variant>
        <vt:i4>264</vt:i4>
      </vt:variant>
      <vt:variant>
        <vt:i4>0</vt:i4>
      </vt:variant>
      <vt:variant>
        <vt:i4>5</vt:i4>
      </vt:variant>
      <vt:variant>
        <vt:lpwstr>mailto:juridique@biomedecine.fr</vt:lpwstr>
      </vt:variant>
      <vt:variant>
        <vt:lpwstr/>
      </vt:variant>
      <vt:variant>
        <vt:i4>983048</vt:i4>
      </vt:variant>
      <vt:variant>
        <vt:i4>261</vt:i4>
      </vt:variant>
      <vt:variant>
        <vt:i4>0</vt:i4>
      </vt:variant>
      <vt:variant>
        <vt:i4>5</vt:i4>
      </vt:variant>
      <vt:variant>
        <vt:lpwstr>http://www.agence-biomedecine.fr/IMG/pdf/18012012_decision_epb.pdf</vt:lpwstr>
      </vt:variant>
      <vt:variant>
        <vt:lpwstr/>
      </vt:variant>
      <vt:variant>
        <vt:i4>3473472</vt:i4>
      </vt:variant>
      <vt:variant>
        <vt:i4>258</vt:i4>
      </vt:variant>
      <vt:variant>
        <vt:i4>0</vt:i4>
      </vt:variant>
      <vt:variant>
        <vt:i4>5</vt:i4>
      </vt:variant>
      <vt:variant>
        <vt:lpwstr>http://www.libertepolitique.com/Actualite/Decryptage/La-societe-de-pediatrie-fait-l-apologie-du-DPI</vt:lpwstr>
      </vt:variant>
      <vt:variant>
        <vt:lpwstr/>
      </vt:variant>
      <vt:variant>
        <vt:i4>458765</vt:i4>
      </vt:variant>
      <vt:variant>
        <vt:i4>255</vt:i4>
      </vt:variant>
      <vt:variant>
        <vt:i4>0</vt:i4>
      </vt:variant>
      <vt:variant>
        <vt:i4>5</vt:i4>
      </vt:variant>
      <vt:variant>
        <vt:lpwstr>http://www.lemonde.fr/idees/article/2011/03/28/vive-les-bebes-du-double-espoir_1499644_3232.html</vt:lpwstr>
      </vt:variant>
      <vt:variant>
        <vt:lpwstr/>
      </vt:variant>
      <vt:variant>
        <vt:i4>3014762</vt:i4>
      </vt:variant>
      <vt:variant>
        <vt:i4>252</vt:i4>
      </vt:variant>
      <vt:variant>
        <vt:i4>0</vt:i4>
      </vt:variant>
      <vt:variant>
        <vt:i4>5</vt:i4>
      </vt:variant>
      <vt:variant>
        <vt:lpwstr>http://www.valeursactuelles.com/societe/tugdual-derville-ce-quon-ne-dit-pas-sur-le-bebe-medicament</vt:lpwstr>
      </vt:variant>
      <vt:variant>
        <vt:lpwstr/>
      </vt:variant>
      <vt:variant>
        <vt:i4>6160499</vt:i4>
      </vt:variant>
      <vt:variant>
        <vt:i4>249</vt:i4>
      </vt:variant>
      <vt:variant>
        <vt:i4>0</vt:i4>
      </vt:variant>
      <vt:variant>
        <vt:i4>5</vt:i4>
      </vt:variant>
      <vt:variant>
        <vt:lpwstr>http://www.lemonde.fr/societe/article/2011/02/07/le-premier-bebe-medicament-francais-est-ne_1476586_3224.html</vt:lpwstr>
      </vt:variant>
      <vt:variant>
        <vt:lpwstr/>
      </vt:variant>
      <vt:variant>
        <vt:i4>1441918</vt:i4>
      </vt:variant>
      <vt:variant>
        <vt:i4>246</vt:i4>
      </vt:variant>
      <vt:variant>
        <vt:i4>0</vt:i4>
      </vt:variant>
      <vt:variant>
        <vt:i4>5</vt:i4>
      </vt:variant>
      <vt:variant>
        <vt:lpwstr>http://www.ccne-ethique.fr/sites/default/files/publications/avis_107.pdf</vt:lpwstr>
      </vt:variant>
      <vt:variant>
        <vt:lpwstr/>
      </vt:variant>
      <vt:variant>
        <vt:i4>8061007</vt:i4>
      </vt:variant>
      <vt:variant>
        <vt:i4>243</vt:i4>
      </vt:variant>
      <vt:variant>
        <vt:i4>0</vt:i4>
      </vt:variant>
      <vt:variant>
        <vt:i4>5</vt:i4>
      </vt:variant>
      <vt:variant>
        <vt:lpwstr>http://www.ccne-ethique.fr/sites/default/files/publications/avis072.pdf</vt:lpwstr>
      </vt:variant>
      <vt:variant>
        <vt:lpwstr/>
      </vt:variant>
      <vt:variant>
        <vt:i4>655396</vt:i4>
      </vt:variant>
      <vt:variant>
        <vt:i4>240</vt:i4>
      </vt:variant>
      <vt:variant>
        <vt:i4>0</vt:i4>
      </vt:variant>
      <vt:variant>
        <vt:i4>5</vt:i4>
      </vt:variant>
      <vt:variant>
        <vt:lpwstr>http://www.lemonde.fr/idees/article/2011/02/22/bebe-medicament-l-equilibre-perilleux-d-une-solution-extreme_1480863_3232.html</vt:lpwstr>
      </vt:variant>
      <vt:variant>
        <vt:lpwstr/>
      </vt:variant>
      <vt:variant>
        <vt:i4>1048578</vt:i4>
      </vt:variant>
      <vt:variant>
        <vt:i4>225</vt:i4>
      </vt:variant>
      <vt:variant>
        <vt:i4>0</vt:i4>
      </vt:variant>
      <vt:variant>
        <vt:i4>5</vt:i4>
      </vt:variant>
      <vt:variant>
        <vt:lpwstr>http://www.juridique-biomedecine.fr/uploads/documents/arrt-du-11-avril-2008-relatif-aux-rgles-de-bonnes-pratiques-cliniques-et-biologiques-d-assistance-mdicale--la-procration-modifi-arrt-du-3-aot-2010.pdf</vt:lpwstr>
      </vt:variant>
      <vt:variant>
        <vt:lpwstr/>
      </vt:variant>
      <vt:variant>
        <vt:i4>2555931</vt:i4>
      </vt:variant>
      <vt:variant>
        <vt:i4>219</vt:i4>
      </vt:variant>
      <vt:variant>
        <vt:i4>0</vt:i4>
      </vt:variant>
      <vt:variant>
        <vt:i4>5</vt:i4>
      </vt:variant>
      <vt:variant>
        <vt:lpwstr>http://www.academie-medecine.fr/wp-content/uploads/2013/07/tap-p.-1397-1421.pdf</vt:lpwstr>
      </vt:variant>
      <vt:variant>
        <vt:lpwstr/>
      </vt:variant>
      <vt:variant>
        <vt:i4>5373967</vt:i4>
      </vt:variant>
      <vt:variant>
        <vt:i4>216</vt:i4>
      </vt:variant>
      <vt:variant>
        <vt:i4>0</vt:i4>
      </vt:variant>
      <vt:variant>
        <vt:i4>5</vt:i4>
      </vt:variant>
      <vt:variant>
        <vt:lpwstr>http://www.etatsgenerauxdelabioethique.fr/uploads/rapport_final.pdf</vt:lpwstr>
      </vt:variant>
      <vt:variant>
        <vt:lpwstr/>
      </vt:variant>
      <vt:variant>
        <vt:i4>7340126</vt:i4>
      </vt:variant>
      <vt:variant>
        <vt:i4>213</vt:i4>
      </vt:variant>
      <vt:variant>
        <vt:i4>0</vt:i4>
      </vt:variant>
      <vt:variant>
        <vt:i4>5</vt:i4>
      </vt:variant>
      <vt:variant>
        <vt:lpwstr>http://www.assemblee-nationale.fr/13/pdf/projets/pl2911.pdf</vt:lpwstr>
      </vt:variant>
      <vt:variant>
        <vt:lpwstr/>
      </vt:variant>
      <vt:variant>
        <vt:i4>3211302</vt:i4>
      </vt:variant>
      <vt:variant>
        <vt:i4>210</vt:i4>
      </vt:variant>
      <vt:variant>
        <vt:i4>0</vt:i4>
      </vt:variant>
      <vt:variant>
        <vt:i4>5</vt:i4>
      </vt:variant>
      <vt:variant>
        <vt:lpwstr>http://www.agence-biomedecine.fr/L-Agence-de-la-biomedecine-en?lang=fr</vt:lpwstr>
      </vt:variant>
      <vt:variant>
        <vt:lpwstr/>
      </vt:variant>
      <vt:variant>
        <vt:i4>196715</vt:i4>
      </vt:variant>
      <vt:variant>
        <vt:i4>207</vt:i4>
      </vt:variant>
      <vt:variant>
        <vt:i4>0</vt:i4>
      </vt:variant>
      <vt:variant>
        <vt:i4>5</vt:i4>
      </vt:variant>
      <vt:variant>
        <vt:lpwstr>http://www.agence-biomedecine.fr/IMG/pdf/cop_biomedecine_vdef.pdf</vt:lpwstr>
      </vt:variant>
      <vt:variant>
        <vt:lpwstr/>
      </vt:variant>
      <vt:variant>
        <vt:i4>7995487</vt:i4>
      </vt:variant>
      <vt:variant>
        <vt:i4>204</vt:i4>
      </vt:variant>
      <vt:variant>
        <vt:i4>0</vt:i4>
      </vt:variant>
      <vt:variant>
        <vt:i4>5</vt:i4>
      </vt:variant>
      <vt:variant>
        <vt:lpwstr>http://www.agence-biomedecine.fr/AMP-Vigilance?lang=fr</vt:lpwstr>
      </vt:variant>
      <vt:variant>
        <vt:lpwstr>6</vt:lpwstr>
      </vt:variant>
      <vt:variant>
        <vt:i4>655371</vt:i4>
      </vt:variant>
      <vt:variant>
        <vt:i4>201</vt:i4>
      </vt:variant>
      <vt:variant>
        <vt:i4>0</vt:i4>
      </vt:variant>
      <vt:variant>
        <vt:i4>5</vt:i4>
      </vt:variant>
      <vt:variant>
        <vt:lpwstr>http://www.agence-biomedecine.fr/annexes/bilan2013/donnees/vigilance/01-amp/synthese.htm</vt:lpwstr>
      </vt:variant>
      <vt:variant>
        <vt:lpwstr/>
      </vt:variant>
      <vt:variant>
        <vt:i4>196723</vt:i4>
      </vt:variant>
      <vt:variant>
        <vt:i4>195</vt:i4>
      </vt:variant>
      <vt:variant>
        <vt:i4>0</vt:i4>
      </vt:variant>
      <vt:variant>
        <vt:i4>5</vt:i4>
      </vt:variant>
      <vt:variant>
        <vt:lpwstr>http://www.juridique-biomedecine.fr/code-de-la-sante/chapitre-1-dispositions-gnrales.html</vt:lpwstr>
      </vt:variant>
      <vt:variant>
        <vt:lpwstr>article-l-2141-1</vt:lpwstr>
      </vt:variant>
      <vt:variant>
        <vt:i4>196723</vt:i4>
      </vt:variant>
      <vt:variant>
        <vt:i4>192</vt:i4>
      </vt:variant>
      <vt:variant>
        <vt:i4>0</vt:i4>
      </vt:variant>
      <vt:variant>
        <vt:i4>5</vt:i4>
      </vt:variant>
      <vt:variant>
        <vt:lpwstr>http://www.juridique-biomedecine.fr/code-de-la-sante/chapitre-1-dispositions-gnrales.html</vt:lpwstr>
      </vt:variant>
      <vt:variant>
        <vt:lpwstr>article-l-2141-1</vt:lpwstr>
      </vt:variant>
      <vt:variant>
        <vt:i4>6553600</vt:i4>
      </vt:variant>
      <vt:variant>
        <vt:i4>186</vt:i4>
      </vt:variant>
      <vt:variant>
        <vt:i4>0</vt:i4>
      </vt:variant>
      <vt:variant>
        <vt:i4>5</vt:i4>
      </vt:variant>
      <vt:variant>
        <vt:lpwstr>http://www.cnsf.asso.fr/doc/F36B8B75-5056-9C00-4123E4A69BDD108A.pdf</vt:lpwstr>
      </vt:variant>
      <vt:variant>
        <vt:lpwstr/>
      </vt:variant>
      <vt:variant>
        <vt:i4>4063282</vt:i4>
      </vt:variant>
      <vt:variant>
        <vt:i4>183</vt:i4>
      </vt:variant>
      <vt:variant>
        <vt:i4>0</vt:i4>
      </vt:variant>
      <vt:variant>
        <vt:i4>5</vt:i4>
      </vt:variant>
      <vt:variant>
        <vt:lpwstr>http://www.conseil-national.medecin.fr/sites/default/files/GPA.pdf</vt:lpwstr>
      </vt:variant>
      <vt:variant>
        <vt:lpwstr/>
      </vt:variant>
      <vt:variant>
        <vt:i4>1769483</vt:i4>
      </vt:variant>
      <vt:variant>
        <vt:i4>180</vt:i4>
      </vt:variant>
      <vt:variant>
        <vt:i4>0</vt:i4>
      </vt:variant>
      <vt:variant>
        <vt:i4>5</vt:i4>
      </vt:variant>
      <vt:variant>
        <vt:lpwstr>http://www.conseil-national.medecin.fr/article/article-17-assistance-medicale-la-procreation-241</vt:lpwstr>
      </vt:variant>
      <vt:variant>
        <vt:lpwstr/>
      </vt:variant>
      <vt:variant>
        <vt:i4>4390982</vt:i4>
      </vt:variant>
      <vt:variant>
        <vt:i4>177</vt:i4>
      </vt:variant>
      <vt:variant>
        <vt:i4>0</vt:i4>
      </vt:variant>
      <vt:variant>
        <vt:i4>5</vt:i4>
      </vt:variant>
      <vt:variant>
        <vt:lpwstr>http://www.conseil-national.medecin.fr/article/la-pma-l-etranger-don-d-ovocytes-1300</vt:lpwstr>
      </vt:variant>
      <vt:variant>
        <vt:lpwstr/>
      </vt:variant>
      <vt:variant>
        <vt:i4>8192069</vt:i4>
      </vt:variant>
      <vt:variant>
        <vt:i4>174</vt:i4>
      </vt:variant>
      <vt:variant>
        <vt:i4>0</vt:i4>
      </vt:variant>
      <vt:variant>
        <vt:i4>5</vt:i4>
      </vt:variant>
      <vt:variant>
        <vt:lpwstr>http://www.ccne-ethique.fr/sites/default/files/publications/avis018.pdf</vt:lpwstr>
      </vt:variant>
      <vt:variant>
        <vt:lpwstr/>
      </vt:variant>
      <vt:variant>
        <vt:i4>7864397</vt:i4>
      </vt:variant>
      <vt:variant>
        <vt:i4>171</vt:i4>
      </vt:variant>
      <vt:variant>
        <vt:i4>0</vt:i4>
      </vt:variant>
      <vt:variant>
        <vt:i4>5</vt:i4>
      </vt:variant>
      <vt:variant>
        <vt:lpwstr>http://www.ccne-ethique.fr/sites/default/files/publications/avis040.pdf</vt:lpwstr>
      </vt:variant>
      <vt:variant>
        <vt:lpwstr/>
      </vt:variant>
      <vt:variant>
        <vt:i4>7995469</vt:i4>
      </vt:variant>
      <vt:variant>
        <vt:i4>168</vt:i4>
      </vt:variant>
      <vt:variant>
        <vt:i4>0</vt:i4>
      </vt:variant>
      <vt:variant>
        <vt:i4>5</vt:i4>
      </vt:variant>
      <vt:variant>
        <vt:lpwstr>http://www.ccne-ethique.fr/sites/default/files/publications/avis060.pdf</vt:lpwstr>
      </vt:variant>
      <vt:variant>
        <vt:lpwstr/>
      </vt:variant>
      <vt:variant>
        <vt:i4>7995466</vt:i4>
      </vt:variant>
      <vt:variant>
        <vt:i4>165</vt:i4>
      </vt:variant>
      <vt:variant>
        <vt:i4>0</vt:i4>
      </vt:variant>
      <vt:variant>
        <vt:i4>5</vt:i4>
      </vt:variant>
      <vt:variant>
        <vt:lpwstr>http://www.ccne-ethique.fr/sites/default/files/publications/avis067.pdf</vt:lpwstr>
      </vt:variant>
      <vt:variant>
        <vt:lpwstr/>
      </vt:variant>
      <vt:variant>
        <vt:i4>8061007</vt:i4>
      </vt:variant>
      <vt:variant>
        <vt:i4>162</vt:i4>
      </vt:variant>
      <vt:variant>
        <vt:i4>0</vt:i4>
      </vt:variant>
      <vt:variant>
        <vt:i4>5</vt:i4>
      </vt:variant>
      <vt:variant>
        <vt:lpwstr>http://www.ccne-ethique.fr/sites/default/files/publications/avis072.pdf</vt:lpwstr>
      </vt:variant>
      <vt:variant>
        <vt:lpwstr/>
      </vt:variant>
      <vt:variant>
        <vt:i4>7667789</vt:i4>
      </vt:variant>
      <vt:variant>
        <vt:i4>159</vt:i4>
      </vt:variant>
      <vt:variant>
        <vt:i4>0</vt:i4>
      </vt:variant>
      <vt:variant>
        <vt:i4>5</vt:i4>
      </vt:variant>
      <vt:variant>
        <vt:lpwstr>http://www.ccne-ethique.fr/sites/default/files/publications/avis090.pdf</vt:lpwstr>
      </vt:variant>
      <vt:variant>
        <vt:lpwstr/>
      </vt:variant>
      <vt:variant>
        <vt:i4>4522107</vt:i4>
      </vt:variant>
      <vt:variant>
        <vt:i4>156</vt:i4>
      </vt:variant>
      <vt:variant>
        <vt:i4>0</vt:i4>
      </vt:variant>
      <vt:variant>
        <vt:i4>5</vt:i4>
      </vt:variant>
      <vt:variant>
        <vt:lpwstr>http://www.ccne-ethique.fr/sites/default/files/publications/avis_105_ccne.pdf</vt:lpwstr>
      </vt:variant>
      <vt:variant>
        <vt:lpwstr/>
      </vt:variant>
      <vt:variant>
        <vt:i4>1441918</vt:i4>
      </vt:variant>
      <vt:variant>
        <vt:i4>153</vt:i4>
      </vt:variant>
      <vt:variant>
        <vt:i4>0</vt:i4>
      </vt:variant>
      <vt:variant>
        <vt:i4>5</vt:i4>
      </vt:variant>
      <vt:variant>
        <vt:lpwstr>http://www.ccne-ethique.fr/sites/default/files/publications/avis_107.pdf</vt:lpwstr>
      </vt:variant>
      <vt:variant>
        <vt:lpwstr/>
      </vt:variant>
      <vt:variant>
        <vt:i4>1114239</vt:i4>
      </vt:variant>
      <vt:variant>
        <vt:i4>150</vt:i4>
      </vt:variant>
      <vt:variant>
        <vt:i4>0</vt:i4>
      </vt:variant>
      <vt:variant>
        <vt:i4>5</vt:i4>
      </vt:variant>
      <vt:variant>
        <vt:lpwstr>http://www.ccne-ethique.fr/sites/default/files/publications/avis_110.pdf</vt:lpwstr>
      </vt:variant>
      <vt:variant>
        <vt:lpwstr/>
      </vt:variant>
      <vt:variant>
        <vt:i4>1245311</vt:i4>
      </vt:variant>
      <vt:variant>
        <vt:i4>147</vt:i4>
      </vt:variant>
      <vt:variant>
        <vt:i4>0</vt:i4>
      </vt:variant>
      <vt:variant>
        <vt:i4>5</vt:i4>
      </vt:variant>
      <vt:variant>
        <vt:lpwstr>http://www.ccne-ethique.fr/sites/default/files/publications/avis_112.pdf</vt:lpwstr>
      </vt:variant>
      <vt:variant>
        <vt:lpwstr/>
      </vt:variant>
      <vt:variant>
        <vt:i4>1179775</vt:i4>
      </vt:variant>
      <vt:variant>
        <vt:i4>144</vt:i4>
      </vt:variant>
      <vt:variant>
        <vt:i4>0</vt:i4>
      </vt:variant>
      <vt:variant>
        <vt:i4>5</vt:i4>
      </vt:variant>
      <vt:variant>
        <vt:lpwstr>http://www.ccne-ethique.fr/sites/default/files/publications/avis_113.pdf</vt:lpwstr>
      </vt:variant>
      <vt:variant>
        <vt:lpwstr/>
      </vt:variant>
      <vt:variant>
        <vt:i4>1835065</vt:i4>
      </vt:variant>
      <vt:variant>
        <vt:i4>141</vt:i4>
      </vt:variant>
      <vt:variant>
        <vt:i4>0</vt:i4>
      </vt:variant>
      <vt:variant>
        <vt:i4>5</vt:i4>
      </vt:variant>
      <vt:variant>
        <vt:lpwstr>http://www.academie-medecine.fr/publication100035797/</vt:lpwstr>
      </vt:variant>
      <vt:variant>
        <vt:lpwstr/>
      </vt:variant>
      <vt:variant>
        <vt:i4>1376312</vt:i4>
      </vt:variant>
      <vt:variant>
        <vt:i4>138</vt:i4>
      </vt:variant>
      <vt:variant>
        <vt:i4>0</vt:i4>
      </vt:variant>
      <vt:variant>
        <vt:i4>5</vt:i4>
      </vt:variant>
      <vt:variant>
        <vt:lpwstr>http://www.academie-medecine.fr/publication100035980/</vt:lpwstr>
      </vt:variant>
      <vt:variant>
        <vt:lpwstr/>
      </vt:variant>
      <vt:variant>
        <vt:i4>1638459</vt:i4>
      </vt:variant>
      <vt:variant>
        <vt:i4>135</vt:i4>
      </vt:variant>
      <vt:variant>
        <vt:i4>0</vt:i4>
      </vt:variant>
      <vt:variant>
        <vt:i4>5</vt:i4>
      </vt:variant>
      <vt:variant>
        <vt:lpwstr>http://www.academie-medecine.fr/publication100036184/</vt:lpwstr>
      </vt:variant>
      <vt:variant>
        <vt:lpwstr/>
      </vt:variant>
      <vt:variant>
        <vt:i4>2031664</vt:i4>
      </vt:variant>
      <vt:variant>
        <vt:i4>132</vt:i4>
      </vt:variant>
      <vt:variant>
        <vt:i4>0</vt:i4>
      </vt:variant>
      <vt:variant>
        <vt:i4>5</vt:i4>
      </vt:variant>
      <vt:variant>
        <vt:lpwstr>http://www.academie-medecine.fr/publication100036231/</vt:lpwstr>
      </vt:variant>
      <vt:variant>
        <vt:lpwstr/>
      </vt:variant>
      <vt:variant>
        <vt:i4>6619258</vt:i4>
      </vt:variant>
      <vt:variant>
        <vt:i4>129</vt:i4>
      </vt:variant>
      <vt:variant>
        <vt:i4>0</vt:i4>
      </vt:variant>
      <vt:variant>
        <vt:i4>5</vt:i4>
      </vt:variant>
      <vt:variant>
        <vt:lpwstr>http://www.academie-medecine.fr/?s=S%C3%A9ance+d%C3%A9di%C3%A9e+au+diagnostic+pr%C3%A9-implantatoire&amp;submit=OK</vt:lpwstr>
      </vt:variant>
      <vt:variant>
        <vt:lpwstr/>
      </vt:variant>
      <vt:variant>
        <vt:i4>2555931</vt:i4>
      </vt:variant>
      <vt:variant>
        <vt:i4>126</vt:i4>
      </vt:variant>
      <vt:variant>
        <vt:i4>0</vt:i4>
      </vt:variant>
      <vt:variant>
        <vt:i4>5</vt:i4>
      </vt:variant>
      <vt:variant>
        <vt:lpwstr>http://www.academie-medecine.fr/wp-content/uploads/2013/07/tap-p.-1397-1421.pdf</vt:lpwstr>
      </vt:variant>
      <vt:variant>
        <vt:lpwstr/>
      </vt:variant>
      <vt:variant>
        <vt:i4>4391021</vt:i4>
      </vt:variant>
      <vt:variant>
        <vt:i4>123</vt:i4>
      </vt:variant>
      <vt:variant>
        <vt:i4>0</vt:i4>
      </vt:variant>
      <vt:variant>
        <vt:i4>5</vt:i4>
      </vt:variant>
      <vt:variant>
        <vt:lpwstr>http://www.academie-medecine.fr/wp-content/uploads/2014/03/25.3.14-JOUANNET-info2.pdf</vt:lpwstr>
      </vt:variant>
      <vt:variant>
        <vt:lpwstr/>
      </vt:variant>
      <vt:variant>
        <vt:i4>917583</vt:i4>
      </vt:variant>
      <vt:variant>
        <vt:i4>120</vt:i4>
      </vt:variant>
      <vt:variant>
        <vt:i4>0</vt:i4>
      </vt:variant>
      <vt:variant>
        <vt:i4>5</vt:i4>
      </vt:variant>
      <vt:variant>
        <vt:lpwstr>http://www.academie-medecine.fr/wp-content/uploads/2014/05/27.5.14-HENRION-info-site.pdf</vt:lpwstr>
      </vt:variant>
      <vt:variant>
        <vt:lpwstr/>
      </vt:variant>
      <vt:variant>
        <vt:i4>4325498</vt:i4>
      </vt:variant>
      <vt:variant>
        <vt:i4>117</vt:i4>
      </vt:variant>
      <vt:variant>
        <vt:i4>0</vt:i4>
      </vt:variant>
      <vt:variant>
        <vt:i4>5</vt:i4>
      </vt:variant>
      <vt:variant>
        <vt:lpwstr>http://www.academie-medecine.fr/wp-content/uploads/2014/05/27.5.14-JOUANNET-info-site.pdf</vt:lpwstr>
      </vt:variant>
      <vt:variant>
        <vt:lpwstr/>
      </vt:variant>
      <vt:variant>
        <vt:i4>7864334</vt:i4>
      </vt:variant>
      <vt:variant>
        <vt:i4>114</vt:i4>
      </vt:variant>
      <vt:variant>
        <vt:i4>0</vt:i4>
      </vt:variant>
      <vt:variant>
        <vt:i4>5</vt:i4>
      </vt:variant>
      <vt:variant>
        <vt:lpwstr>http://www.juridique-biomedecine.fr/themes.html</vt:lpwstr>
      </vt:variant>
      <vt:variant>
        <vt:lpwstr/>
      </vt:variant>
      <vt:variant>
        <vt:i4>3801109</vt:i4>
      </vt:variant>
      <vt:variant>
        <vt:i4>111</vt:i4>
      </vt:variant>
      <vt:variant>
        <vt:i4>0</vt:i4>
      </vt:variant>
      <vt:variant>
        <vt:i4>5</vt:i4>
      </vt:variant>
      <vt:variant>
        <vt:lpwstr>http://www.agence-biomedecine.fr/IMG/pdf/clonage-060606.pdf</vt:lpwstr>
      </vt:variant>
      <vt:variant>
        <vt:lpwstr/>
      </vt:variant>
      <vt:variant>
        <vt:i4>720954</vt:i4>
      </vt:variant>
      <vt:variant>
        <vt:i4>108</vt:i4>
      </vt:variant>
      <vt:variant>
        <vt:i4>0</vt:i4>
      </vt:variant>
      <vt:variant>
        <vt:i4>5</vt:i4>
      </vt:variant>
      <vt:variant>
        <vt:lpwstr>http://www.agence-biomedecine.fr/IMG/pdf/deliberation_09062006.pdf</vt:lpwstr>
      </vt:variant>
      <vt:variant>
        <vt:lpwstr/>
      </vt:variant>
      <vt:variant>
        <vt:i4>3407969</vt:i4>
      </vt:variant>
      <vt:variant>
        <vt:i4>105</vt:i4>
      </vt:variant>
      <vt:variant>
        <vt:i4>0</vt:i4>
      </vt:variant>
      <vt:variant>
        <vt:i4>5</vt:i4>
      </vt:variant>
      <vt:variant>
        <vt:lpwstr>http://www.agence-biomedecine.fr/IMG/pdf/deliberation_17112006_-_pratiques_cliniques.pdf</vt:lpwstr>
      </vt:variant>
      <vt:variant>
        <vt:lpwstr/>
      </vt:variant>
      <vt:variant>
        <vt:i4>131130</vt:i4>
      </vt:variant>
      <vt:variant>
        <vt:i4>102</vt:i4>
      </vt:variant>
      <vt:variant>
        <vt:i4>0</vt:i4>
      </vt:variant>
      <vt:variant>
        <vt:i4>5</vt:i4>
      </vt:variant>
      <vt:variant>
        <vt:lpwstr>http://www.agence-biomedecine.fr/IMG/pdf/deliberation_01062007.pdf</vt:lpwstr>
      </vt:variant>
      <vt:variant>
        <vt:lpwstr/>
      </vt:variant>
      <vt:variant>
        <vt:i4>4391004</vt:i4>
      </vt:variant>
      <vt:variant>
        <vt:i4>99</vt:i4>
      </vt:variant>
      <vt:variant>
        <vt:i4>0</vt:i4>
      </vt:variant>
      <vt:variant>
        <vt:i4>5</vt:i4>
      </vt:variant>
      <vt:variant>
        <vt:lpwstr>http://www.agence-biomedecine.fr/IMG/pdf/rapport2008-co-bioethique-2.pdf</vt:lpwstr>
      </vt:variant>
      <vt:variant>
        <vt:lpwstr/>
      </vt:variant>
      <vt:variant>
        <vt:i4>524338</vt:i4>
      </vt:variant>
      <vt:variant>
        <vt:i4>96</vt:i4>
      </vt:variant>
      <vt:variant>
        <vt:i4>0</vt:i4>
      </vt:variant>
      <vt:variant>
        <vt:i4>5</vt:i4>
      </vt:variant>
      <vt:variant>
        <vt:lpwstr>http://www.agence-biomedecine.fr/IMG/pdf/avis_21092009.pdf</vt:lpwstr>
      </vt:variant>
      <vt:variant>
        <vt:lpwstr/>
      </vt:variant>
      <vt:variant>
        <vt:i4>7012367</vt:i4>
      </vt:variant>
      <vt:variant>
        <vt:i4>93</vt:i4>
      </vt:variant>
      <vt:variant>
        <vt:i4>0</vt:i4>
      </vt:variant>
      <vt:variant>
        <vt:i4>5</vt:i4>
      </vt:variant>
      <vt:variant>
        <vt:lpwstr>http://www.agence-biomedecine.fr/IMG/pdf/deliberation_2010_57.pdf</vt:lpwstr>
      </vt:variant>
      <vt:variant>
        <vt:lpwstr/>
      </vt:variant>
      <vt:variant>
        <vt:i4>458811</vt:i4>
      </vt:variant>
      <vt:variant>
        <vt:i4>90</vt:i4>
      </vt:variant>
      <vt:variant>
        <vt:i4>0</vt:i4>
      </vt:variant>
      <vt:variant>
        <vt:i4>5</vt:i4>
      </vt:variant>
      <vt:variant>
        <vt:lpwstr>http://www.agence-biomedecine.fr/IMG/pdf/deliberation_17122010.pdf</vt:lpwstr>
      </vt:variant>
      <vt:variant>
        <vt:lpwstr/>
      </vt:variant>
      <vt:variant>
        <vt:i4>65595</vt:i4>
      </vt:variant>
      <vt:variant>
        <vt:i4>87</vt:i4>
      </vt:variant>
      <vt:variant>
        <vt:i4>0</vt:i4>
      </vt:variant>
      <vt:variant>
        <vt:i4>5</vt:i4>
      </vt:variant>
      <vt:variant>
        <vt:lpwstr>http://www.agence-biomedecine.fr/IMG/pdf/deliberation_04052012.pdf</vt:lpwstr>
      </vt:variant>
      <vt:variant>
        <vt:lpwstr/>
      </vt:variant>
      <vt:variant>
        <vt:i4>3080237</vt:i4>
      </vt:variant>
      <vt:variant>
        <vt:i4>84</vt:i4>
      </vt:variant>
      <vt:variant>
        <vt:i4>0</vt:i4>
      </vt:variant>
      <vt:variant>
        <vt:i4>5</vt:i4>
      </vt:variant>
      <vt:variant>
        <vt:lpwstr>http://www.agence-biomedecine.fr/IMG/pdf/deliberation_co_12072012_autoconservation_gametes.pdf</vt:lpwstr>
      </vt:variant>
      <vt:variant>
        <vt:lpwstr/>
      </vt:variant>
      <vt:variant>
        <vt:i4>196712</vt:i4>
      </vt:variant>
      <vt:variant>
        <vt:i4>81</vt:i4>
      </vt:variant>
      <vt:variant>
        <vt:i4>0</vt:i4>
      </vt:variant>
      <vt:variant>
        <vt:i4>5</vt:i4>
      </vt:variant>
      <vt:variant>
        <vt:lpwstr>http://www.agence-biomedecine.fr/IMG/pdf/deliberation2013_co_13.pdf</vt:lpwstr>
      </vt:variant>
      <vt:variant>
        <vt:lpwstr/>
      </vt:variant>
      <vt:variant>
        <vt:i4>5832768</vt:i4>
      </vt:variant>
      <vt:variant>
        <vt:i4>78</vt:i4>
      </vt:variant>
      <vt:variant>
        <vt:i4>0</vt:i4>
      </vt:variant>
      <vt:variant>
        <vt:i4>5</vt:i4>
      </vt:variant>
      <vt:variant>
        <vt:lpwstr>http://www.agence-biomedecine.fr/IMG/pdf/avisco_autoconservationgametes_juin2014.pdf</vt:lpwstr>
      </vt:variant>
      <vt:variant>
        <vt:lpwstr/>
      </vt:variant>
      <vt:variant>
        <vt:i4>1048578</vt:i4>
      </vt:variant>
      <vt:variant>
        <vt:i4>75</vt:i4>
      </vt:variant>
      <vt:variant>
        <vt:i4>0</vt:i4>
      </vt:variant>
      <vt:variant>
        <vt:i4>5</vt:i4>
      </vt:variant>
      <vt:variant>
        <vt:lpwstr>http://www.juridique-biomedecine.fr/uploads/documents/arrt-du-11-avril-2008-relatif-aux-rgles-de-bonnes-pratiques-cliniques-et-biologiques-d-assistance-mdicale--la-procration-modifi-arrt-du-3-aot-2010.pdf</vt:lpwstr>
      </vt:variant>
      <vt:variant>
        <vt:lpwstr/>
      </vt:variant>
      <vt:variant>
        <vt:i4>6094961</vt:i4>
      </vt:variant>
      <vt:variant>
        <vt:i4>72</vt:i4>
      </vt:variant>
      <vt:variant>
        <vt:i4>0</vt:i4>
      </vt:variant>
      <vt:variant>
        <vt:i4>5</vt:i4>
      </vt:variant>
      <vt:variant>
        <vt:lpwstr>http://legifrance.gouv.fr/affichTexte.do;jsessionid=112119A73C773B6E0E287C667783D434.tpdjo04v_1?cidTexte=JORFTEXT000000759334&amp;categorieLien=id</vt:lpwstr>
      </vt:variant>
      <vt:variant>
        <vt:lpwstr/>
      </vt:variant>
      <vt:variant>
        <vt:i4>3866667</vt:i4>
      </vt:variant>
      <vt:variant>
        <vt:i4>66</vt:i4>
      </vt:variant>
      <vt:variant>
        <vt:i4>0</vt:i4>
      </vt:variant>
      <vt:variant>
        <vt:i4>5</vt:i4>
      </vt:variant>
      <vt:variant>
        <vt:lpwstr>http://www.legifrance.gouv.fr/affichTexte.do?cidTexte=JORFTEXT000024323102</vt:lpwstr>
      </vt:variant>
      <vt:variant>
        <vt:lpwstr/>
      </vt:variant>
      <vt:variant>
        <vt:i4>7864431</vt:i4>
      </vt:variant>
      <vt:variant>
        <vt:i4>63</vt:i4>
      </vt:variant>
      <vt:variant>
        <vt:i4>0</vt:i4>
      </vt:variant>
      <vt:variant>
        <vt:i4>5</vt:i4>
      </vt:variant>
      <vt:variant>
        <vt:lpwstr>http://www.etatsgenerauxdelabioethique.fr/</vt:lpwstr>
      </vt:variant>
      <vt:variant>
        <vt:lpwstr/>
      </vt:variant>
      <vt:variant>
        <vt:i4>1704008</vt:i4>
      </vt:variant>
      <vt:variant>
        <vt:i4>60</vt:i4>
      </vt:variant>
      <vt:variant>
        <vt:i4>0</vt:i4>
      </vt:variant>
      <vt:variant>
        <vt:i4>5</vt:i4>
      </vt:variant>
      <vt:variant>
        <vt:lpwstr>http://www.assemblee-nationale.fr/presse/communiques/20100120-02.asp</vt:lpwstr>
      </vt:variant>
      <vt:variant>
        <vt:lpwstr/>
      </vt:variant>
      <vt:variant>
        <vt:i4>6029327</vt:i4>
      </vt:variant>
      <vt:variant>
        <vt:i4>57</vt:i4>
      </vt:variant>
      <vt:variant>
        <vt:i4>0</vt:i4>
      </vt:variant>
      <vt:variant>
        <vt:i4>5</vt:i4>
      </vt:variant>
      <vt:variant>
        <vt:lpwstr>http://www.senat.fr/rap/r05-309/r05-309.html</vt:lpwstr>
      </vt:variant>
      <vt:variant>
        <vt:lpwstr/>
      </vt:variant>
      <vt:variant>
        <vt:i4>3604522</vt:i4>
      </vt:variant>
      <vt:variant>
        <vt:i4>54</vt:i4>
      </vt:variant>
      <vt:variant>
        <vt:i4>0</vt:i4>
      </vt:variant>
      <vt:variant>
        <vt:i4>5</vt:i4>
      </vt:variant>
      <vt:variant>
        <vt:lpwstr>http://www.legifrance.gouv.fr/affichTexte.do?cidTexte=JORFTEXT000000441469</vt:lpwstr>
      </vt:variant>
      <vt:variant>
        <vt:lpwstr/>
      </vt:variant>
      <vt:variant>
        <vt:i4>1310758</vt:i4>
      </vt:variant>
      <vt:variant>
        <vt:i4>51</vt:i4>
      </vt:variant>
      <vt:variant>
        <vt:i4>0</vt:i4>
      </vt:variant>
      <vt:variant>
        <vt:i4>5</vt:i4>
      </vt:variant>
      <vt:variant>
        <vt:lpwstr>http://blefco.eu/</vt:lpwstr>
      </vt:variant>
      <vt:variant>
        <vt:lpwstr/>
      </vt:variant>
      <vt:variant>
        <vt:i4>5898343</vt:i4>
      </vt:variant>
      <vt:variant>
        <vt:i4>48</vt:i4>
      </vt:variant>
      <vt:variant>
        <vt:i4>0</vt:i4>
      </vt:variant>
      <vt:variant>
        <vt:i4>5</vt:i4>
      </vt:variant>
      <vt:variant>
        <vt:lpwstr>http://www.vie-publique.fr/actualite/faq-citoyens/bioethique/</vt:lpwstr>
      </vt:variant>
      <vt:variant>
        <vt:lpwstr/>
      </vt:variant>
      <vt:variant>
        <vt:i4>2490372</vt:i4>
      </vt:variant>
      <vt:variant>
        <vt:i4>33</vt:i4>
      </vt:variant>
      <vt:variant>
        <vt:i4>0</vt:i4>
      </vt:variant>
      <vt:variant>
        <vt:i4>5</vt:i4>
      </vt:variant>
      <vt:variant>
        <vt:lpwstr>http://www.assemblee-nationale.fr/9/dossiers/922601.asp</vt:lpwstr>
      </vt:variant>
      <vt:variant>
        <vt:lpwstr/>
      </vt:variant>
      <vt:variant>
        <vt:i4>5570561</vt:i4>
      </vt:variant>
      <vt:variant>
        <vt:i4>30</vt:i4>
      </vt:variant>
      <vt:variant>
        <vt:i4>0</vt:i4>
      </vt:variant>
      <vt:variant>
        <vt:i4>5</vt:i4>
      </vt:variant>
      <vt:variant>
        <vt:lpwstr>http://www.assemblee-nationale.fr/commissions/59031_tab.asp</vt:lpwstr>
      </vt:variant>
      <vt:variant>
        <vt:lpwstr/>
      </vt:variant>
      <vt:variant>
        <vt:i4>2490373</vt:i4>
      </vt:variant>
      <vt:variant>
        <vt:i4>27</vt:i4>
      </vt:variant>
      <vt:variant>
        <vt:i4>0</vt:i4>
      </vt:variant>
      <vt:variant>
        <vt:i4>5</vt:i4>
      </vt:variant>
      <vt:variant>
        <vt:lpwstr>http://www.assemblee-nationale.fr/9/dossiers/922600.asp</vt:lpwstr>
      </vt:variant>
      <vt:variant>
        <vt:lpwstr/>
      </vt:variant>
      <vt:variant>
        <vt:i4>5570561</vt:i4>
      </vt:variant>
      <vt:variant>
        <vt:i4>24</vt:i4>
      </vt:variant>
      <vt:variant>
        <vt:i4>0</vt:i4>
      </vt:variant>
      <vt:variant>
        <vt:i4>5</vt:i4>
      </vt:variant>
      <vt:variant>
        <vt:lpwstr>http://www.assemblee-nationale.fr/commissions/59031_tab.asp</vt:lpwstr>
      </vt:variant>
      <vt:variant>
        <vt:lpwstr/>
      </vt:variant>
      <vt:variant>
        <vt:i4>3080207</vt:i4>
      </vt:variant>
      <vt:variant>
        <vt:i4>21</vt:i4>
      </vt:variant>
      <vt:variant>
        <vt:i4>0</vt:i4>
      </vt:variant>
      <vt:variant>
        <vt:i4>5</vt:i4>
      </vt:variant>
      <vt:variant>
        <vt:lpwstr>http://www.assemblee-nationale.fr/9/dossiers/922599.asp</vt:lpwstr>
      </vt:variant>
      <vt:variant>
        <vt:lpwstr/>
      </vt:variant>
      <vt:variant>
        <vt:i4>5570561</vt:i4>
      </vt:variant>
      <vt:variant>
        <vt:i4>18</vt:i4>
      </vt:variant>
      <vt:variant>
        <vt:i4>0</vt:i4>
      </vt:variant>
      <vt:variant>
        <vt:i4>5</vt:i4>
      </vt:variant>
      <vt:variant>
        <vt:lpwstr>http://www.assemblee-nationale.fr/commissions/59031_tab.asp</vt:lpwstr>
      </vt:variant>
      <vt:variant>
        <vt:lpwstr/>
      </vt:variant>
      <vt:variant>
        <vt:i4>3407908</vt:i4>
      </vt:variant>
      <vt:variant>
        <vt:i4>15</vt:i4>
      </vt:variant>
      <vt:variant>
        <vt:i4>0</vt:i4>
      </vt:variant>
      <vt:variant>
        <vt:i4>5</vt:i4>
      </vt:variant>
      <vt:variant>
        <vt:lpwstr>http://www.legifrance.gouv.fr/affichTexte.do?cidTexte=JORFTEXT000000549618</vt:lpwstr>
      </vt:variant>
      <vt:variant>
        <vt:lpwstr/>
      </vt:variant>
      <vt:variant>
        <vt:i4>3473533</vt:i4>
      </vt:variant>
      <vt:variant>
        <vt:i4>12</vt:i4>
      </vt:variant>
      <vt:variant>
        <vt:i4>0</vt:i4>
      </vt:variant>
      <vt:variant>
        <vt:i4>5</vt:i4>
      </vt:variant>
      <vt:variant>
        <vt:lpwstr>http://legifrance.gouv.fr/affichTexte.do?cidTexte=JORFTEXT000000549619</vt:lpwstr>
      </vt:variant>
      <vt:variant>
        <vt:lpwstr/>
      </vt:variant>
      <vt:variant>
        <vt:i4>4915315</vt:i4>
      </vt:variant>
      <vt:variant>
        <vt:i4>9</vt:i4>
      </vt:variant>
      <vt:variant>
        <vt:i4>0</vt:i4>
      </vt:variant>
      <vt:variant>
        <vt:i4>5</vt:i4>
      </vt:variant>
      <vt:variant>
        <vt:lpwstr>http://www.lemonde.fr/societe/article/2012/02/23/trente-ans-apres-la-naissance-d-amandine-l-assistance-a-la-procreation-s-est-banalisee_1647314_3224.html</vt:lpwstr>
      </vt:variant>
      <vt:variant>
        <vt:lpwstr/>
      </vt:variant>
      <vt:variant>
        <vt:i4>4063323</vt:i4>
      </vt:variant>
      <vt:variant>
        <vt:i4>6</vt:i4>
      </vt:variant>
      <vt:variant>
        <vt:i4>0</vt:i4>
      </vt:variant>
      <vt:variant>
        <vt:i4>5</vt:i4>
      </vt:variant>
      <vt:variant>
        <vt:lpwstr>http://www.agence-biomedecine.fr/Chiffres-de-l-Agence-de-la</vt:lpwstr>
      </vt:variant>
      <vt:variant>
        <vt:lpwstr/>
      </vt:variant>
      <vt:variant>
        <vt:i4>5439505</vt:i4>
      </vt:variant>
      <vt:variant>
        <vt:i4>3</vt:i4>
      </vt:variant>
      <vt:variant>
        <vt:i4>0</vt:i4>
      </vt:variant>
      <vt:variant>
        <vt:i4>5</vt:i4>
      </vt:variant>
      <vt:variant>
        <vt:lpwstr>http://www.lejdd.fr/Societe/Depeches/Le-1er-bebe-eprouvette-est-maman-613787</vt:lpwstr>
      </vt:variant>
      <vt:variant>
        <vt:lpwstr/>
      </vt:variant>
      <vt:variant>
        <vt:i4>327743</vt:i4>
      </vt:variant>
      <vt:variant>
        <vt:i4>0</vt:i4>
      </vt:variant>
      <vt:variant>
        <vt:i4>0</vt:i4>
      </vt:variant>
      <vt:variant>
        <vt:i4>5</vt:i4>
      </vt:variant>
      <vt:variant>
        <vt:lpwstr>http://www.lemonde.fr/sante/article/2013/06/16/amandine-premier-bebe-eprouvette-francais-donne-naissance-a-une-fille_3430992_1651302.html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dc:creator>
  <cp:keywords/>
  <dc:description/>
  <cp:lastModifiedBy>ROXANI</cp:lastModifiedBy>
  <cp:revision>2</cp:revision>
  <dcterms:created xsi:type="dcterms:W3CDTF">2014-11-13T15:22:00Z</dcterms:created>
  <dcterms:modified xsi:type="dcterms:W3CDTF">2014-11-13T15:22:00Z</dcterms:modified>
</cp:coreProperties>
</file>