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Calibri" w:cs="Calibri" w:eastAsia="Calibri" w:hAnsi="Calibri"/>
          <w:b/>
          <w:bCs/>
          <w:color w:val="1F3864"/>
          <w:sz w:val="52"/>
          <w:szCs w:val="52"/>
        </w:rPr>
        <w:t xml:space="preserve">Administration</w:t>
      </w:r>
    </w:p>
    <w:p>
      <w:pPr>
        <w:spacing w:after="400"/>
        <w:jc w:val="center"/>
      </w:pPr>
      <w:r>
        <w:rPr>
          <w:rFonts w:ascii="Calibri" w:cs="Calibri" w:eastAsia="Calibri" w:hAnsi="Calibri"/>
          <w:b/>
          <w:bCs/>
          <w:color w:val="1F3864"/>
          <w:sz w:val="52"/>
          <w:szCs w:val="52"/>
        </w:rPr>
        <w:t xml:space="preserve">Procedures Guide</w:t>
      </w:r>
    </w:p>
    <w:p>
      <w:pPr>
        <w:spacing w:after="100"/>
        <w:jc w:val="center"/>
      </w:pPr>
      <w:r>
        <w:rPr>
          <w:rFonts w:ascii="Calibri" w:cs="Calibri" w:eastAsia="Calibri" w:hAnsi="Calibri"/>
          <w:color w:val="2E5090"/>
          <w:sz w:val="28"/>
          <w:szCs w:val="28"/>
        </w:rPr>
        <w:t xml:space="preserve">UniFi Access Door Control System</w:t>
      </w:r>
    </w:p>
    <w:p>
      <w:pPr>
        <w:pBdr>
          <w:top w:val="single" w:color="2E5090" w:sz="6" w:space="8"/>
        </w:pBdr>
        <w:spacing w:before="600" w:after="0"/>
        <w:jc w:val="center"/>
      </w:pPr>
    </w:p>
    <w:p>
      <w:pPr>
        <w:spacing w:before="400"/>
      </w:pPr>
    </w:p>
    <w:p>
      <w:pPr>
        <w:spacing w:after="80"/>
        <w:jc w:val="center"/>
      </w:pPr>
      <w:r>
        <w:rPr>
          <w:rFonts w:ascii="Calibri" w:cs="Calibri" w:eastAsia="Calibri" w:hAnsi="Calibri"/>
          <w:color w:val="404040"/>
          <w:sz w:val="24"/>
          <w:szCs w:val="24"/>
        </w:rPr>
        <w:t xml:space="preserve">Valley City State University</w:t>
      </w:r>
    </w:p>
    <w:p>
      <w:pPr>
        <w:spacing w:after="80"/>
        <w:jc w:val="center"/>
      </w:pPr>
      <w:r>
        <w:rPr>
          <w:rFonts w:ascii="Calibri" w:cs="Calibri" w:eastAsia="Calibri" w:hAnsi="Calibri"/>
          <w:color w:val="404040"/>
          <w:sz w:val="22"/>
          <w:szCs w:val="22"/>
        </w:rPr>
        <w:t xml:space="preserve">Master of Science in Business Information Systems — Capstone Project</w:t>
      </w:r>
    </w:p>
    <w:p>
      <w:pPr>
        <w:spacing w:before="400"/>
      </w:pPr>
    </w:p>
    <w:p>
      <w:pPr>
        <w:spacing w:after="80"/>
        <w:jc w:val="center"/>
      </w:pPr>
      <w:r>
        <w:rPr>
          <w:rFonts w:ascii="Calibri" w:cs="Calibri" w:eastAsia="Calibri" w:hAnsi="Calibri"/>
          <w:b/>
          <w:bCs/>
          <w:sz w:val="22"/>
          <w:szCs w:val="22"/>
        </w:rPr>
        <w:t xml:space="preserve">Author: Larry Herzog Jr.</w:t>
      </w:r>
    </w:p>
    <w:p>
      <w:pPr>
        <w:spacing w:after="80"/>
        <w:jc w:val="center"/>
      </w:pPr>
      <w:r>
        <w:rPr>
          <w:rFonts w:ascii="Calibri" w:cs="Calibri" w:eastAsia="Calibri" w:hAnsi="Calibri"/>
          <w:color w:val="666666"/>
          <w:sz w:val="22"/>
          <w:szCs w:val="22"/>
        </w:rPr>
        <w:t xml:space="preserve">Date: March 2026  |  Version: 1.0</w:t>
      </w:r>
    </w:p>
    <w:p>
      <w:pPr>
        <w:sectPr>
          <w:pgSz w:w="12240" w:h="15840" w:orient="portrait"/>
          <w:pgMar w:top="1440" w:right="1440" w:bottom="1440" w:left="1440" w:header="708" w:footer="708" w:gutter="0"/>
          <w:pgNumType/>
          <w:docGrid w:linePitch="360"/>
        </w:sectPr>
      </w:pPr>
    </w:p>
    <w:p>
      <w:pPr>
        <w:pStyle w:val="Heading1"/>
        <w:spacing w:before="300" w:after="160"/>
      </w:pPr>
      <w:r>
        <w:rPr>
          <w:rFonts w:ascii="Calibri" w:cs="Calibri" w:eastAsia="Calibri" w:hAnsi="Calibri"/>
          <w:b/>
          <w:bCs/>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00" w:after="160"/>
      </w:pPr>
      <w:r>
        <w:rPr>
          <w:rFonts w:ascii="Calibri" w:cs="Calibri" w:eastAsia="Calibri" w:hAnsi="Calibri"/>
          <w:b/>
          <w:bCs/>
        </w:rPr>
        <w:t xml:space="preserve">Introduction</w:t>
      </w:r>
    </w:p>
    <w:p>
      <w:pPr>
        <w:spacing w:after="160"/>
      </w:pPr>
      <w:r>
        <w:rPr>
          <w:rFonts w:ascii="Calibri" w:cs="Calibri" w:eastAsia="Calibri" w:hAnsi="Calibri"/>
          <w:sz w:val="22"/>
          <w:szCs w:val="22"/>
        </w:rPr>
        <w:t xml:space="preserve">This document provides step-by-step administrative procedures for managing the UniFi Access door control system. It covers creating local user accounts, organizing users into groups, configuring access policies and schedules, registering and assigning NFC credentials, and using the custom Door Lock Toggle and Admin Portal tools built for this deployment.</w:t>
      </w:r>
    </w:p>
    <w:p>
      <w:pPr>
        <w:spacing w:after="160"/>
      </w:pPr>
      <w:r>
        <w:rPr>
          <w:rFonts w:ascii="Calibri" w:cs="Calibri" w:eastAsia="Calibri" w:hAnsi="Calibri"/>
          <w:sz w:val="22"/>
          <w:szCs w:val="22"/>
        </w:rPr>
        <w:t xml:space="preserve">These procedures assume the UniFi Access application is running on the UNVR Pro and is accessible via the management network. All administrative tasks are performed through the Access web interface unless otherwise noted.</w:t>
      </w:r>
    </w:p>
    <w:p>
      <w:r>
        <w:br w:type="page"/>
      </w:r>
    </w:p>
    <w:p>
      <w:pPr>
        <w:pStyle w:val="Heading1"/>
        <w:spacing w:before="300" w:after="160"/>
      </w:pPr>
      <w:r>
        <w:rPr>
          <w:rFonts w:ascii="Calibri" w:cs="Calibri" w:eastAsia="Calibri" w:hAnsi="Calibri"/>
          <w:b/>
          <w:bCs/>
        </w:rPr>
        <w:t xml:space="preserve">Creating User Accounts</w:t>
      </w:r>
    </w:p>
    <w:p>
      <w:pPr>
        <w:pStyle w:val="Heading2"/>
        <w:spacing w:before="300" w:after="160"/>
      </w:pPr>
      <w:r>
        <w:rPr>
          <w:rFonts w:ascii="Calibri" w:cs="Calibri" w:eastAsia="Calibri" w:hAnsi="Calibri"/>
          <w:b/>
          <w:bCs/>
        </w:rPr>
        <w:t xml:space="preserve">Overview</w:t>
      </w:r>
    </w:p>
    <w:p>
      <w:pPr>
        <w:spacing w:after="160"/>
      </w:pPr>
      <w:r>
        <w:rPr>
          <w:rFonts w:ascii="Calibri" w:cs="Calibri" w:eastAsia="Calibri" w:hAnsi="Calibri"/>
          <w:sz w:val="22"/>
          <w:szCs w:val="22"/>
        </w:rPr>
        <w:t xml:space="preserve">Each person who needs door access must have a user account in UniFi Access. User accounts hold the person’s identity information and serve as the anchor for credentials (NFC cards, PINs) and access policies.</w:t>
      </w:r>
    </w:p>
    <w:p>
      <w:pPr>
        <w:pStyle w:val="Heading2"/>
        <w:spacing w:before="300" w:after="160"/>
      </w:pPr>
      <w:r>
        <w:rPr>
          <w:rFonts w:ascii="Calibri" w:cs="Calibri" w:eastAsia="Calibri" w:hAnsi="Calibri"/>
          <w:b/>
          <w:bCs/>
        </w:rPr>
        <w:t xml:space="preserve">Procedure</w:t>
      </w:r>
    </w:p>
    <w:p>
      <w:pPr>
        <w:pStyle w:val="ListParagraph"/>
        <w:numPr>
          <w:ilvl w:val="0"/>
          <w:numId w:val="2"/>
        </w:numPr>
        <w:spacing w:after="160"/>
      </w:pPr>
      <w:r>
        <w:rPr>
          <w:rFonts w:ascii="Calibri" w:cs="Calibri" w:eastAsia="Calibri" w:hAnsi="Calibri"/>
          <w:sz w:val="22"/>
          <w:szCs w:val="22"/>
        </w:rPr>
        <w:t xml:space="preserve">Open the UniFi Access application in a web browser.</w:t>
      </w:r>
    </w:p>
    <w:p>
      <w:pPr>
        <w:pStyle w:val="ListParagraph"/>
        <w:numPr>
          <w:ilvl w:val="0"/>
          <w:numId w:val="2"/>
        </w:numPr>
        <w:spacing w:after="160"/>
      </w:pPr>
      <w:r>
        <w:rPr>
          <w:rFonts w:ascii="Calibri" w:cs="Calibri" w:eastAsia="Calibri" w:hAnsi="Calibri"/>
          <w:sz w:val="22"/>
          <w:szCs w:val="22"/>
        </w:rPr>
        <w:t xml:space="preserve">Navigate to Users → Users.</w:t>
      </w:r>
    </w:p>
    <w:p>
      <w:pPr>
        <w:pStyle w:val="ListParagraph"/>
        <w:numPr>
          <w:ilvl w:val="0"/>
          <w:numId w:val="2"/>
        </w:numPr>
        <w:spacing w:after="160"/>
      </w:pPr>
      <w:r>
        <w:rPr>
          <w:rFonts w:ascii="Calibri" w:cs="Calibri" w:eastAsia="Calibri" w:hAnsi="Calibri"/>
          <w:sz w:val="22"/>
          <w:szCs w:val="22"/>
        </w:rPr>
        <w:t xml:space="preserve">Click Add User (or Create New → Create New User on newer firmware).</w:t>
      </w:r>
    </w:p>
    <w:p>
      <w:pPr>
        <w:pStyle w:val="ListParagraph"/>
        <w:numPr>
          <w:ilvl w:val="0"/>
          <w:numId w:val="2"/>
        </w:numPr>
        <w:spacing w:after="160"/>
      </w:pPr>
      <w:r>
        <w:rPr>
          <w:rFonts w:ascii="Calibri" w:cs="Calibri" w:eastAsia="Calibri" w:hAnsi="Calibri"/>
          <w:sz w:val="22"/>
          <w:szCs w:val="22"/>
        </w:rPr>
        <w:t xml:space="preserve">Enter the user’s First Name and Last Name. These are required fields.</w:t>
      </w:r>
    </w:p>
    <w:p>
      <w:pPr>
        <w:pStyle w:val="ListParagraph"/>
        <w:numPr>
          <w:ilvl w:val="0"/>
          <w:numId w:val="2"/>
        </w:numPr>
        <w:spacing w:after="160"/>
      </w:pPr>
      <w:r>
        <w:rPr>
          <w:rFonts w:ascii="Calibri" w:cs="Calibri" w:eastAsia="Calibri" w:hAnsi="Calibri"/>
          <w:sz w:val="22"/>
          <w:szCs w:val="22"/>
        </w:rPr>
        <w:t xml:space="preserve">Enter the user’s Email address. For local-only deployments without an identity provider, this field is optional.</w:t>
      </w:r>
    </w:p>
    <w:p>
      <w:pPr>
        <w:pStyle w:val="ListParagraph"/>
        <w:numPr>
          <w:ilvl w:val="0"/>
          <w:numId w:val="2"/>
        </w:numPr>
        <w:spacing w:after="160"/>
      </w:pPr>
      <w:r>
        <w:rPr>
          <w:rFonts w:ascii="Calibri" w:cs="Calibri" w:eastAsia="Calibri" w:hAnsi="Calibri"/>
          <w:sz w:val="22"/>
          <w:szCs w:val="22"/>
        </w:rPr>
        <w:t xml:space="preserve">Optionally enter an Employee Number and Start Date for record-keeping.</w:t>
      </w:r>
    </w:p>
    <w:p>
      <w:pPr>
        <w:pStyle w:val="ListParagraph"/>
        <w:numPr>
          <w:ilvl w:val="0"/>
          <w:numId w:val="2"/>
        </w:numPr>
        <w:spacing w:after="160"/>
      </w:pPr>
      <w:r>
        <w:rPr>
          <w:rFonts w:ascii="Calibri" w:cs="Calibri" w:eastAsia="Calibri" w:hAnsi="Calibri"/>
          <w:sz w:val="22"/>
          <w:szCs w:val="22"/>
        </w:rPr>
        <w:t xml:space="preserve">Click Save to create the account.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090" w:sz="1"/>
              <w:left w:val="single" w:color="2E5090" w:sz="12"/>
              <w:bottom w:val="single" w:color="2E5090" w:sz="1"/>
              <w:right w:val="single" w:color="2E5090" w:sz="1"/>
            </w:tcBorders>
            <w:shd w:fill="E8EDF8" w:val="clear"/>
            <w:tcMar>
              <w:top w:type="dxa" w:w="100"/>
              <w:left w:type="dxa" w:w="200"/>
              <w:bottom w:type="dxa" w:w="100"/>
              <w:right w:type="dxa" w:w="200"/>
            </w:tcMar>
          </w:tcPr>
          <w:p>
            <w:pPr>
              <w:spacing w:after="0"/>
            </w:pPr>
            <w:r>
              <w:rPr>
                <w:rFonts w:ascii="Calibri" w:cs="Calibri" w:eastAsia="Calibri" w:hAnsi="Calibri"/>
                <w:b/>
                <w:bCs/>
                <w:color w:val="2E5090"/>
                <w:sz w:val="20"/>
                <w:szCs w:val="20"/>
              </w:rPr>
              <w:t xml:space="preserve">Note: </w:t>
            </w:r>
            <w:r>
              <w:rPr>
                <w:rFonts w:ascii="Calibri" w:cs="Calibri" w:eastAsia="Calibri" w:hAnsi="Calibri"/>
                <w:color w:val="333333"/>
                <w:sz w:val="20"/>
                <w:szCs w:val="20"/>
              </w:rPr>
              <w:t xml:space="preserve">For bulk user creation, UniFi Access supports CSV import. Navigate to Users → Create New → Import Users from CSV File, download the template, fill it in, and upload. The CSV can include NFC card tokens and PINs alongside user details.</w:t>
            </w:r>
          </w:p>
        </w:tc>
      </w:tr>
    </w:tbl>
    <w:p>
      <w:pPr>
        <w:pStyle w:val="Heading2"/>
        <w:spacing w:before="300" w:after="160"/>
      </w:pPr>
      <w:r>
        <w:rPr>
          <w:rFonts w:ascii="Calibri" w:cs="Calibri" w:eastAsia="Calibri" w:hAnsi="Calibri"/>
          <w:b/>
          <w:bCs/>
        </w:rPr>
        <w:t xml:space="preserve">Verifying the Account</w:t>
      </w:r>
    </w:p>
    <w:p>
      <w:pPr>
        <w:spacing w:after="160"/>
      </w:pPr>
      <w:r>
        <w:rPr>
          <w:rFonts w:ascii="Calibri" w:cs="Calibri" w:eastAsia="Calibri" w:hAnsi="Calibri"/>
          <w:sz w:val="22"/>
          <w:szCs w:val="22"/>
        </w:rPr>
        <w:t xml:space="preserve">After creation, the user appears in the Users list with a status of ACTIVE. At this point the user has no credentials and no access policy—they cannot unlock any doors yet. Credentials and policies are assigned in subsequent steps.</w:t>
      </w:r>
    </w:p>
    <w:p>
      <w:r>
        <w:br w:type="page"/>
      </w:r>
    </w:p>
    <w:p>
      <w:pPr>
        <w:pStyle w:val="Heading1"/>
        <w:spacing w:before="300" w:after="160"/>
      </w:pPr>
      <w:r>
        <w:rPr>
          <w:rFonts w:ascii="Calibri" w:cs="Calibri" w:eastAsia="Calibri" w:hAnsi="Calibri"/>
          <w:b/>
          <w:bCs/>
        </w:rPr>
        <w:t xml:space="preserve">Creating User Groups</w:t>
      </w:r>
    </w:p>
    <w:p>
      <w:pPr>
        <w:pStyle w:val="Heading2"/>
        <w:spacing w:before="300" w:after="160"/>
      </w:pPr>
      <w:r>
        <w:rPr>
          <w:rFonts w:ascii="Calibri" w:cs="Calibri" w:eastAsia="Calibri" w:hAnsi="Calibri"/>
          <w:b/>
          <w:bCs/>
        </w:rPr>
        <w:t xml:space="preserve">Overview</w:t>
      </w:r>
    </w:p>
    <w:p>
      <w:pPr>
        <w:spacing w:after="160"/>
      </w:pPr>
      <w:r>
        <w:rPr>
          <w:rFonts w:ascii="Calibri" w:cs="Calibri" w:eastAsia="Calibri" w:hAnsi="Calibri"/>
          <w:sz w:val="22"/>
          <w:szCs w:val="22"/>
        </w:rPr>
        <w:t xml:space="preserve">User groups allow you to organize users into logical categories (e.g., “Employees,” “IT Staff,” “Maintenance”) and assign access policies to entire groups rather than individual users. When a new user is added to a group, they automatically inherit the group’s policies.</w:t>
      </w:r>
    </w:p>
    <w:p>
      <w:pPr>
        <w:pStyle w:val="Heading2"/>
        <w:spacing w:before="300" w:after="160"/>
      </w:pPr>
      <w:r>
        <w:rPr>
          <w:rFonts w:ascii="Calibri" w:cs="Calibri" w:eastAsia="Calibri" w:hAnsi="Calibri"/>
          <w:b/>
          <w:bCs/>
        </w:rPr>
        <w:t xml:space="preserve">Procedure</w:t>
      </w:r>
    </w:p>
    <w:p>
      <w:pPr>
        <w:pStyle w:val="ListParagraph"/>
        <w:numPr>
          <w:ilvl w:val="0"/>
          <w:numId w:val="2"/>
        </w:numPr>
        <w:spacing w:after="160"/>
      </w:pPr>
      <w:r>
        <w:rPr>
          <w:rFonts w:ascii="Calibri" w:cs="Calibri" w:eastAsia="Calibri" w:hAnsi="Calibri"/>
          <w:sz w:val="22"/>
          <w:szCs w:val="22"/>
        </w:rPr>
        <w:t xml:space="preserve">Navigate to Users → User Groups.</w:t>
      </w:r>
    </w:p>
    <w:p>
      <w:pPr>
        <w:pStyle w:val="ListParagraph"/>
        <w:numPr>
          <w:ilvl w:val="0"/>
          <w:numId w:val="2"/>
        </w:numPr>
        <w:spacing w:after="160"/>
      </w:pPr>
      <w:r>
        <w:rPr>
          <w:rFonts w:ascii="Calibri" w:cs="Calibri" w:eastAsia="Calibri" w:hAnsi="Calibri"/>
          <w:sz w:val="22"/>
          <w:szCs w:val="22"/>
        </w:rPr>
        <w:t xml:space="preserve">Click Create New Group.</w:t>
      </w:r>
    </w:p>
    <w:p>
      <w:pPr>
        <w:pStyle w:val="ListParagraph"/>
        <w:numPr>
          <w:ilvl w:val="0"/>
          <w:numId w:val="2"/>
        </w:numPr>
        <w:spacing w:after="160"/>
      </w:pPr>
      <w:r>
        <w:rPr>
          <w:rFonts w:ascii="Calibri" w:cs="Calibri" w:eastAsia="Calibri" w:hAnsi="Calibri"/>
          <w:sz w:val="22"/>
          <w:szCs w:val="22"/>
        </w:rPr>
        <w:t xml:space="preserve">Enter a descriptive group name (e.g., “Employees”).</w:t>
      </w:r>
    </w:p>
    <w:p>
      <w:pPr>
        <w:pStyle w:val="ListParagraph"/>
        <w:numPr>
          <w:ilvl w:val="0"/>
          <w:numId w:val="2"/>
        </w:numPr>
        <w:spacing w:after="160"/>
      </w:pPr>
      <w:r>
        <w:rPr>
          <w:rFonts w:ascii="Calibri" w:cs="Calibri" w:eastAsia="Calibri" w:hAnsi="Calibri"/>
          <w:sz w:val="22"/>
          <w:szCs w:val="22"/>
        </w:rPr>
        <w:t xml:space="preserve">Add users to the group by selecting them from the user list.</w:t>
      </w:r>
    </w:p>
    <w:p>
      <w:pPr>
        <w:pStyle w:val="ListParagraph"/>
        <w:numPr>
          <w:ilvl w:val="0"/>
          <w:numId w:val="2"/>
        </w:numPr>
        <w:spacing w:after="160"/>
      </w:pPr>
      <w:r>
        <w:rPr>
          <w:rFonts w:ascii="Calibri" w:cs="Calibri" w:eastAsia="Calibri" w:hAnsi="Calibri"/>
          <w:sz w:val="22"/>
          <w:szCs w:val="22"/>
        </w:rPr>
        <w:t xml:space="preserve">Click Save.</w:t>
      </w:r>
    </w:p>
    <w:p>
      <w:pPr>
        <w:pStyle w:val="Heading2"/>
        <w:spacing w:before="300" w:after="160"/>
      </w:pPr>
      <w:r>
        <w:rPr>
          <w:rFonts w:ascii="Calibri" w:cs="Calibri" w:eastAsia="Calibri" w:hAnsi="Calibri"/>
          <w:b/>
          <w:bCs/>
        </w:rPr>
        <w:t xml:space="preserve">Best Practices</w:t>
      </w:r>
    </w:p>
    <w:p>
      <w:pPr>
        <w:pStyle w:val="ListParagraph"/>
        <w:numPr>
          <w:ilvl w:val="0"/>
          <w:numId w:val="3"/>
        </w:numPr>
        <w:spacing w:after="160"/>
      </w:pPr>
      <w:r>
        <w:rPr>
          <w:rFonts w:ascii="Calibri" w:cs="Calibri" w:eastAsia="Calibri" w:hAnsi="Calibri"/>
          <w:sz w:val="22"/>
          <w:szCs w:val="22"/>
        </w:rPr>
        <w:t xml:space="preserve">Create groups based on access needs, not organizational hierarchy. A “Server Room Access” group is more useful than a “Department A” group if different departments share server room needs.</w:t>
      </w:r>
    </w:p>
    <w:p>
      <w:pPr>
        <w:pStyle w:val="ListParagraph"/>
        <w:numPr>
          <w:ilvl w:val="0"/>
          <w:numId w:val="3"/>
        </w:numPr>
        <w:spacing w:after="160"/>
      </w:pPr>
      <w:r>
        <w:rPr>
          <w:rFonts w:ascii="Calibri" w:cs="Calibri" w:eastAsia="Calibri" w:hAnsi="Calibri"/>
          <w:sz w:val="22"/>
          <w:szCs w:val="22"/>
        </w:rPr>
        <w:t xml:space="preserve">A user can belong to multiple groups. If a user has multiple policies from different groups, the system combines all allowed time periods.</w:t>
      </w:r>
    </w:p>
    <w:p>
      <w:pPr>
        <w:pStyle w:val="ListParagraph"/>
        <w:numPr>
          <w:ilvl w:val="0"/>
          <w:numId w:val="3"/>
        </w:numPr>
        <w:spacing w:after="160"/>
      </w:pPr>
      <w:r>
        <w:rPr>
          <w:rFonts w:ascii="Calibri" w:cs="Calibri" w:eastAsia="Calibri" w:hAnsi="Calibri"/>
          <w:sz w:val="22"/>
          <w:szCs w:val="22"/>
        </w:rPr>
        <w:t xml:space="preserve">Keep group names short and descriptive—they appear in policy assignment dropdowns.</w:t>
      </w:r>
    </w:p>
    <w:p>
      <w:r>
        <w:br w:type="page"/>
      </w:r>
    </w:p>
    <w:p>
      <w:pPr>
        <w:pStyle w:val="Heading1"/>
        <w:spacing w:before="300" w:after="160"/>
      </w:pPr>
      <w:r>
        <w:rPr>
          <w:rFonts w:ascii="Calibri" w:cs="Calibri" w:eastAsia="Calibri" w:hAnsi="Calibri"/>
          <w:b/>
          <w:bCs/>
        </w:rPr>
        <w:t xml:space="preserve">Configuring Access Policies and Schedules</w:t>
      </w:r>
    </w:p>
    <w:p>
      <w:pPr>
        <w:pStyle w:val="Heading2"/>
        <w:spacing w:before="300" w:after="160"/>
      </w:pPr>
      <w:r>
        <w:rPr>
          <w:rFonts w:ascii="Calibri" w:cs="Calibri" w:eastAsia="Calibri" w:hAnsi="Calibri"/>
          <w:b/>
          <w:bCs/>
        </w:rPr>
        <w:t xml:space="preserve">Understanding Policies</w:t>
      </w:r>
    </w:p>
    <w:p>
      <w:pPr>
        <w:spacing w:after="160"/>
      </w:pPr>
      <w:r>
        <w:rPr>
          <w:rFonts w:ascii="Calibri" w:cs="Calibri" w:eastAsia="Calibri" w:hAnsi="Calibri"/>
          <w:sz w:val="22"/>
          <w:szCs w:val="22"/>
        </w:rPr>
        <w:t xml:space="preserve">An access policy answers three questions: WHO can access WHICH doors, and WHEN? It combines three building blocks:</w:t>
      </w:r>
    </w:p>
    <w:p>
      <w:pPr>
        <w:pStyle w:val="ListParagraph"/>
        <w:numPr>
          <w:ilvl w:val="0"/>
          <w:numId w:val="3"/>
        </w:numPr>
        <w:spacing w:after="160"/>
      </w:pPr>
      <w:r>
        <w:rPr>
          <w:rFonts w:ascii="Calibri" w:cs="Calibri" w:eastAsia="Calibri" w:hAnsi="Calibri"/>
          <w:sz w:val="22"/>
          <w:szCs w:val="22"/>
        </w:rPr>
        <w:t xml:space="preserve">Locations — the doors, gates, or elevators the policy applies to (can be grouped into location groups like “First Floor Doors”)</w:t>
      </w:r>
    </w:p>
    <w:p>
      <w:pPr>
        <w:pStyle w:val="ListParagraph"/>
        <w:numPr>
          <w:ilvl w:val="0"/>
          <w:numId w:val="3"/>
        </w:numPr>
        <w:spacing w:after="160"/>
      </w:pPr>
      <w:r>
        <w:rPr>
          <w:rFonts w:ascii="Calibri" w:cs="Calibri" w:eastAsia="Calibri" w:hAnsi="Calibri"/>
          <w:sz w:val="22"/>
          <w:szCs w:val="22"/>
        </w:rPr>
        <w:t xml:space="preserve">Users / Groups — the individual users or user groups the policy applies to</w:t>
      </w:r>
    </w:p>
    <w:p>
      <w:pPr>
        <w:pStyle w:val="ListParagraph"/>
        <w:numPr>
          <w:ilvl w:val="0"/>
          <w:numId w:val="3"/>
        </w:numPr>
        <w:spacing w:after="160"/>
      </w:pPr>
      <w:r>
        <w:rPr>
          <w:rFonts w:ascii="Calibri" w:cs="Calibri" w:eastAsia="Calibri" w:hAnsi="Calibri"/>
          <w:sz w:val="22"/>
          <w:szCs w:val="22"/>
        </w:rPr>
        <w:t xml:space="preserve">Schedules — when the policy is active (“Always Allowed,” custom days/times, or predefined schedules)</w:t>
      </w:r>
    </w:p>
    <w:p>
      <w:pPr>
        <w:pStyle w:val="Heading2"/>
        <w:spacing w:before="300" w:after="160"/>
      </w:pPr>
      <w:r>
        <w:rPr>
          <w:rFonts w:ascii="Calibri" w:cs="Calibri" w:eastAsia="Calibri" w:hAnsi="Calibri"/>
          <w:b/>
          <w:bCs/>
        </w:rPr>
        <w:t xml:space="preserve">Creating a Schedule (Optional)</w:t>
      </w:r>
    </w:p>
    <w:p>
      <w:pPr>
        <w:spacing w:after="80"/>
      </w:pPr>
      <w:r>
        <w:rPr>
          <w:rFonts w:ascii="Calibri" w:cs="Calibri" w:eastAsia="Calibri" w:hAnsi="Calibri"/>
          <w:sz w:val="22"/>
          <w:szCs w:val="22"/>
        </w:rPr>
        <w:t xml:space="preserve">If you need a custom schedule (rather than “Always Allowed”), create it first:</w:t>
      </w:r>
    </w:p>
    <w:p>
      <w:pPr>
        <w:pStyle w:val="ListParagraph"/>
        <w:numPr>
          <w:ilvl w:val="0"/>
          <w:numId w:val="2"/>
        </w:numPr>
        <w:spacing w:after="160"/>
      </w:pPr>
      <w:r>
        <w:rPr>
          <w:rFonts w:ascii="Calibri" w:cs="Calibri" w:eastAsia="Calibri" w:hAnsi="Calibri"/>
          <w:sz w:val="22"/>
          <w:szCs w:val="22"/>
        </w:rPr>
        <w:t xml:space="preserve">Navigate to Access → Settings → Policies &amp; Schedules → Schedules.</w:t>
      </w:r>
    </w:p>
    <w:p>
      <w:pPr>
        <w:pStyle w:val="ListParagraph"/>
        <w:numPr>
          <w:ilvl w:val="0"/>
          <w:numId w:val="2"/>
        </w:numPr>
        <w:spacing w:after="160"/>
      </w:pPr>
      <w:r>
        <w:rPr>
          <w:rFonts w:ascii="Calibri" w:cs="Calibri" w:eastAsia="Calibri" w:hAnsi="Calibri"/>
          <w:sz w:val="22"/>
          <w:szCs w:val="22"/>
        </w:rPr>
        <w:t xml:space="preserve">Click Create New.</w:t>
      </w:r>
    </w:p>
    <w:p>
      <w:pPr>
        <w:pStyle w:val="ListParagraph"/>
        <w:numPr>
          <w:ilvl w:val="0"/>
          <w:numId w:val="2"/>
        </w:numPr>
        <w:spacing w:after="160"/>
      </w:pPr>
      <w:r>
        <w:rPr>
          <w:rFonts w:ascii="Calibri" w:cs="Calibri" w:eastAsia="Calibri" w:hAnsi="Calibri"/>
          <w:sz w:val="22"/>
          <w:szCs w:val="22"/>
        </w:rPr>
        <w:t xml:space="preserve">Name the schedule (e.g., “Business Hours”).</w:t>
      </w:r>
    </w:p>
    <w:p>
      <w:pPr>
        <w:pStyle w:val="ListParagraph"/>
        <w:numPr>
          <w:ilvl w:val="0"/>
          <w:numId w:val="2"/>
        </w:numPr>
        <w:spacing w:after="160"/>
      </w:pPr>
      <w:r>
        <w:rPr>
          <w:rFonts w:ascii="Calibri" w:cs="Calibri" w:eastAsia="Calibri" w:hAnsi="Calibri"/>
          <w:sz w:val="22"/>
          <w:szCs w:val="22"/>
        </w:rPr>
        <w:t xml:space="preserve">Set the days and timeframes. You can configure up to 20 timeframes per day.</w:t>
      </w:r>
    </w:p>
    <w:p>
      <w:pPr>
        <w:pStyle w:val="ListParagraph"/>
        <w:numPr>
          <w:ilvl w:val="0"/>
          <w:numId w:val="2"/>
        </w:numPr>
        <w:spacing w:after="160"/>
      </w:pPr>
      <w:r>
        <w:rPr>
          <w:rFonts w:ascii="Calibri" w:cs="Calibri" w:eastAsia="Calibri" w:hAnsi="Calibri"/>
          <w:sz w:val="22"/>
          <w:szCs w:val="22"/>
        </w:rPr>
        <w:t xml:space="preserve">Optionally enable Holidays and configure holiday-specific access times.</w:t>
      </w:r>
    </w:p>
    <w:p>
      <w:pPr>
        <w:pStyle w:val="ListParagraph"/>
        <w:numPr>
          <w:ilvl w:val="0"/>
          <w:numId w:val="2"/>
        </w:numPr>
        <w:spacing w:after="160"/>
      </w:pPr>
      <w:r>
        <w:rPr>
          <w:rFonts w:ascii="Calibri" w:cs="Calibri" w:eastAsia="Calibri" w:hAnsi="Calibri"/>
          <w:sz w:val="22"/>
          <w:szCs w:val="22"/>
        </w:rPr>
        <w:t xml:space="preserve">Click Save.</w:t>
      </w:r>
    </w:p>
    <w:p>
      <w:pPr>
        <w:pStyle w:val="Heading2"/>
        <w:spacing w:before="300" w:after="160"/>
      </w:pPr>
      <w:r>
        <w:rPr>
          <w:rFonts w:ascii="Calibri" w:cs="Calibri" w:eastAsia="Calibri" w:hAnsi="Calibri"/>
          <w:b/>
          <w:bCs/>
        </w:rPr>
        <w:t xml:space="preserve">Creating an Access Policy</w:t>
      </w:r>
    </w:p>
    <w:p>
      <w:pPr>
        <w:pStyle w:val="ListParagraph"/>
        <w:numPr>
          <w:ilvl w:val="0"/>
          <w:numId w:val="2"/>
        </w:numPr>
        <w:spacing w:after="160"/>
      </w:pPr>
      <w:r>
        <w:rPr>
          <w:rFonts w:ascii="Calibri" w:cs="Calibri" w:eastAsia="Calibri" w:hAnsi="Calibri"/>
          <w:sz w:val="22"/>
          <w:szCs w:val="22"/>
        </w:rPr>
        <w:t xml:space="preserve">Navigate to Access → Settings → Policies &amp; Schedules → Policies.</w:t>
      </w:r>
    </w:p>
    <w:p>
      <w:pPr>
        <w:pStyle w:val="ListParagraph"/>
        <w:numPr>
          <w:ilvl w:val="0"/>
          <w:numId w:val="2"/>
        </w:numPr>
        <w:spacing w:after="160"/>
      </w:pPr>
      <w:r>
        <w:rPr>
          <w:rFonts w:ascii="Calibri" w:cs="Calibri" w:eastAsia="Calibri" w:hAnsi="Calibri"/>
          <w:sz w:val="22"/>
          <w:szCs w:val="22"/>
        </w:rPr>
        <w:t xml:space="preserve">Click Create New.</w:t>
      </w:r>
    </w:p>
    <w:p>
      <w:pPr>
        <w:pStyle w:val="ListParagraph"/>
        <w:numPr>
          <w:ilvl w:val="0"/>
          <w:numId w:val="2"/>
        </w:numPr>
        <w:spacing w:after="160"/>
      </w:pPr>
      <w:r>
        <w:rPr>
          <w:rFonts w:ascii="Calibri" w:cs="Calibri" w:eastAsia="Calibri" w:hAnsi="Calibri"/>
          <w:sz w:val="22"/>
          <w:szCs w:val="22"/>
        </w:rPr>
        <w:t xml:space="preserve">Select the Locations (doors) the policy will apply to.</w:t>
      </w:r>
    </w:p>
    <w:p>
      <w:pPr>
        <w:pStyle w:val="ListParagraph"/>
        <w:numPr>
          <w:ilvl w:val="0"/>
          <w:numId w:val="2"/>
        </w:numPr>
        <w:spacing w:after="160"/>
      </w:pPr>
      <w:r>
        <w:rPr>
          <w:rFonts w:ascii="Calibri" w:cs="Calibri" w:eastAsia="Calibri" w:hAnsi="Calibri"/>
          <w:sz w:val="22"/>
          <w:szCs w:val="22"/>
        </w:rPr>
        <w:t xml:space="preserve">Assign the policy to All users or a Custom selection of user groups.</w:t>
      </w:r>
    </w:p>
    <w:p>
      <w:pPr>
        <w:pStyle w:val="ListParagraph"/>
        <w:numPr>
          <w:ilvl w:val="0"/>
          <w:numId w:val="2"/>
        </w:numPr>
        <w:spacing w:after="160"/>
      </w:pPr>
      <w:r>
        <w:rPr>
          <w:rFonts w:ascii="Calibri" w:cs="Calibri" w:eastAsia="Calibri" w:hAnsi="Calibri"/>
          <w:sz w:val="22"/>
          <w:szCs w:val="22"/>
        </w:rPr>
        <w:t xml:space="preserve">Set the Schedule: choose a predefined schedule (including “Always Allowed”) or create a custom one.</w:t>
      </w:r>
    </w:p>
    <w:p>
      <w:pPr>
        <w:pStyle w:val="ListParagraph"/>
        <w:numPr>
          <w:ilvl w:val="0"/>
          <w:numId w:val="2"/>
        </w:numPr>
        <w:spacing w:after="160"/>
      </w:pPr>
      <w:r>
        <w:rPr>
          <w:rFonts w:ascii="Calibri" w:cs="Calibri" w:eastAsia="Calibri" w:hAnsi="Calibri"/>
          <w:sz w:val="22"/>
          <w:szCs w:val="22"/>
        </w:rPr>
        <w:t xml:space="preserve">Click Create to save the policy.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090" w:sz="1"/>
              <w:left w:val="single" w:color="2E5090" w:sz="12"/>
              <w:bottom w:val="single" w:color="2E5090" w:sz="1"/>
              <w:right w:val="single" w:color="2E5090" w:sz="1"/>
            </w:tcBorders>
            <w:shd w:fill="E8EDF8" w:val="clear"/>
            <w:tcMar>
              <w:top w:type="dxa" w:w="100"/>
              <w:left w:type="dxa" w:w="200"/>
              <w:bottom w:type="dxa" w:w="100"/>
              <w:right w:type="dxa" w:w="200"/>
            </w:tcMar>
          </w:tcPr>
          <w:p>
            <w:pPr>
              <w:spacing w:after="0"/>
            </w:pPr>
            <w:r>
              <w:rPr>
                <w:rFonts w:ascii="Calibri" w:cs="Calibri" w:eastAsia="Calibri" w:hAnsi="Calibri"/>
                <w:b/>
                <w:bCs/>
                <w:color w:val="2E5090"/>
                <w:sz w:val="20"/>
                <w:szCs w:val="20"/>
              </w:rPr>
              <w:t xml:space="preserve">Note: </w:t>
            </w:r>
            <w:r>
              <w:rPr>
                <w:rFonts w:ascii="Calibri" w:cs="Calibri" w:eastAsia="Calibri" w:hAnsi="Calibri"/>
                <w:color w:val="333333"/>
                <w:sz w:val="20"/>
                <w:szCs w:val="20"/>
              </w:rPr>
              <w:t xml:space="preserve">You can set a default policy that is automatically applied to every new user. Navigate to Policies, hover over the desired policy, and click Set as Default.</w:t>
            </w:r>
          </w:p>
        </w:tc>
      </w:tr>
    </w:tbl>
    <w:p>
      <w:pPr>
        <w:pStyle w:val="Heading2"/>
        <w:spacing w:before="300" w:after="160"/>
      </w:pPr>
      <w:r>
        <w:rPr>
          <w:rFonts w:ascii="Calibri" w:cs="Calibri" w:eastAsia="Calibri" w:hAnsi="Calibri"/>
          <w:b/>
          <w:bCs/>
        </w:rPr>
        <w:t xml:space="preserve">Example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Scenario</w:t>
            </w:r>
          </w:p>
        </w:tc>
        <w:tc>
          <w:tcPr>
            <w:tcW w:type="dxa" w:w="61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Policy Configuration</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All employees, all doors, all times</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Locations: All • Users: All • Schedule: Always Allowed</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IT staff, server room, business hours</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Locations: Server Room • Users: IT Staff group • Schedule: Mon–Fri 9 AM–5 PM</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Maintenance, all doors, specific shifts</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Locations: All • Users: Maintenance group • Schedule: Mon/Wed/Fri 6 AM–10 AM</w:t>
            </w:r>
          </w:p>
        </w:tc>
      </w:tr>
    </w:tbl>
    <w:p>
      <w:r>
        <w:br w:type="page"/>
      </w:r>
    </w:p>
    <w:p>
      <w:pPr>
        <w:pStyle w:val="Heading1"/>
        <w:spacing w:before="300" w:after="160"/>
      </w:pPr>
      <w:r>
        <w:rPr>
          <w:rFonts w:ascii="Calibri" w:cs="Calibri" w:eastAsia="Calibri" w:hAnsi="Calibri"/>
          <w:b/>
          <w:bCs/>
        </w:rPr>
        <w:t xml:space="preserve">Registering and Assigning NFC Credentials</w:t>
      </w:r>
    </w:p>
    <w:p>
      <w:pPr>
        <w:pStyle w:val="Heading2"/>
        <w:spacing w:before="300" w:after="160"/>
      </w:pPr>
      <w:r>
        <w:rPr>
          <w:rFonts w:ascii="Calibri" w:cs="Calibri" w:eastAsia="Calibri" w:hAnsi="Calibri"/>
          <w:b/>
          <w:bCs/>
        </w:rPr>
        <w:t xml:space="preserve">Registering a New NFC Card</w:t>
      </w:r>
    </w:p>
    <w:p>
      <w:pPr>
        <w:spacing w:after="160"/>
      </w:pPr>
      <w:r>
        <w:rPr>
          <w:rFonts w:ascii="Calibri" w:cs="Calibri" w:eastAsia="Calibri" w:hAnsi="Calibri"/>
          <w:sz w:val="22"/>
          <w:szCs w:val="22"/>
        </w:rPr>
        <w:t xml:space="preserve">NFC cards must be registered in the system’s card inventory before they can be assigned to users. There are two methods:</w:t>
      </w:r>
    </w:p>
    <w:p>
      <w:pPr>
        <w:pStyle w:val="Heading3"/>
        <w:spacing w:before="300" w:after="160"/>
      </w:pPr>
      <w:r>
        <w:rPr>
          <w:rFonts w:ascii="Calibri" w:cs="Calibri" w:eastAsia="Calibri" w:hAnsi="Calibri"/>
          <w:b/>
          <w:bCs/>
        </w:rPr>
        <w:t xml:space="preserve">Method 1: Via an Access Reader</w:t>
      </w:r>
    </w:p>
    <w:p>
      <w:pPr>
        <w:pStyle w:val="ListParagraph"/>
        <w:numPr>
          <w:ilvl w:val="0"/>
          <w:numId w:val="2"/>
        </w:numPr>
        <w:spacing w:after="160"/>
      </w:pPr>
      <w:r>
        <w:rPr>
          <w:rFonts w:ascii="Calibri" w:cs="Calibri" w:eastAsia="Calibri" w:hAnsi="Calibri"/>
          <w:sz w:val="22"/>
          <w:szCs w:val="22"/>
        </w:rPr>
        <w:t xml:space="preserve">Navigate to Access → Settings → Card Inventory → Add New → Add NFC Card.</w:t>
      </w:r>
    </w:p>
    <w:p>
      <w:pPr>
        <w:pStyle w:val="ListParagraph"/>
        <w:numPr>
          <w:ilvl w:val="0"/>
          <w:numId w:val="2"/>
        </w:numPr>
        <w:spacing w:after="160"/>
      </w:pPr>
      <w:r>
        <w:rPr>
          <w:rFonts w:ascii="Calibri" w:cs="Calibri" w:eastAsia="Calibri" w:hAnsi="Calibri"/>
          <w:sz w:val="22"/>
          <w:szCs w:val="22"/>
        </w:rPr>
        <w:t xml:space="preserve">Select a reader to use for registration and click Continue.</w:t>
      </w:r>
    </w:p>
    <w:p>
      <w:pPr>
        <w:pStyle w:val="ListParagraph"/>
        <w:numPr>
          <w:ilvl w:val="0"/>
          <w:numId w:val="2"/>
        </w:numPr>
        <w:spacing w:after="160"/>
      </w:pPr>
      <w:r>
        <w:rPr>
          <w:rFonts w:ascii="Calibri" w:cs="Calibri" w:eastAsia="Calibri" w:hAnsi="Calibri"/>
          <w:sz w:val="22"/>
          <w:szCs w:val="22"/>
        </w:rPr>
        <w:t xml:space="preserve">Hold the NFC card against the reader for approximately 5 seconds.</w:t>
      </w:r>
    </w:p>
    <w:p>
      <w:pPr>
        <w:pStyle w:val="ListParagraph"/>
        <w:numPr>
          <w:ilvl w:val="0"/>
          <w:numId w:val="2"/>
        </w:numPr>
        <w:spacing w:after="160"/>
      </w:pPr>
      <w:r>
        <w:rPr>
          <w:rFonts w:ascii="Calibri" w:cs="Calibri" w:eastAsia="Calibri" w:hAnsi="Calibri"/>
          <w:sz w:val="22"/>
          <w:szCs w:val="22"/>
        </w:rPr>
        <w:t xml:space="preserve">Follow the on-screen instructions to complete registration.</w:t>
      </w:r>
    </w:p>
    <w:p>
      <w:pPr>
        <w:pStyle w:val="Heading3"/>
        <w:spacing w:before="300" w:after="160"/>
      </w:pPr>
      <w:r>
        <w:rPr>
          <w:rFonts w:ascii="Calibri" w:cs="Calibri" w:eastAsia="Calibri" w:hAnsi="Calibri"/>
          <w:b/>
          <w:bCs/>
        </w:rPr>
        <w:t xml:space="preserve">Method 2: Via the Access Mobile App</w:t>
      </w:r>
    </w:p>
    <w:p>
      <w:pPr>
        <w:pStyle w:val="ListParagraph"/>
        <w:numPr>
          <w:ilvl w:val="0"/>
          <w:numId w:val="2"/>
        </w:numPr>
        <w:spacing w:after="160"/>
      </w:pPr>
      <w:r>
        <w:rPr>
          <w:rFonts w:ascii="Calibri" w:cs="Calibri" w:eastAsia="Calibri" w:hAnsi="Calibri"/>
          <w:sz w:val="22"/>
          <w:szCs w:val="22"/>
        </w:rPr>
        <w:t xml:space="preserve">Open the UniFi Access mobile app on your phone.</w:t>
      </w:r>
    </w:p>
    <w:p>
      <w:pPr>
        <w:pStyle w:val="ListParagraph"/>
        <w:numPr>
          <w:ilvl w:val="0"/>
          <w:numId w:val="2"/>
        </w:numPr>
        <w:spacing w:after="160"/>
      </w:pPr>
      <w:r>
        <w:rPr>
          <w:rFonts w:ascii="Calibri" w:cs="Calibri" w:eastAsia="Calibri" w:hAnsi="Calibri"/>
          <w:sz w:val="22"/>
          <w:szCs w:val="22"/>
        </w:rPr>
        <w:t xml:space="preserve">Ensure NFC is enabled on your phone (Settings → Connections → NFC).</w:t>
      </w:r>
    </w:p>
    <w:p>
      <w:pPr>
        <w:pStyle w:val="ListParagraph"/>
        <w:numPr>
          <w:ilvl w:val="0"/>
          <w:numId w:val="2"/>
        </w:numPr>
        <w:spacing w:after="160"/>
      </w:pPr>
      <w:r>
        <w:rPr>
          <w:rFonts w:ascii="Calibri" w:cs="Calibri" w:eastAsia="Calibri" w:hAnsi="Calibri"/>
          <w:sz w:val="22"/>
          <w:szCs w:val="22"/>
        </w:rPr>
        <w:t xml:space="preserve">Navigate to Settings → Card Inventory → Add New → Scan Card to Register.</w:t>
      </w:r>
    </w:p>
    <w:p>
      <w:pPr>
        <w:pStyle w:val="ListParagraph"/>
        <w:numPr>
          <w:ilvl w:val="0"/>
          <w:numId w:val="2"/>
        </w:numPr>
        <w:spacing w:after="160"/>
      </w:pPr>
      <w:r>
        <w:rPr>
          <w:rFonts w:ascii="Calibri" w:cs="Calibri" w:eastAsia="Calibri" w:hAnsi="Calibri"/>
          <w:sz w:val="22"/>
          <w:szCs w:val="22"/>
        </w:rPr>
        <w:t xml:space="preserve">Hold the NFC card against the phone’s NFC sensor area for 5 seconds.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090" w:sz="1"/>
              <w:left w:val="single" w:color="2E5090" w:sz="12"/>
              <w:bottom w:val="single" w:color="2E5090" w:sz="1"/>
              <w:right w:val="single" w:color="2E5090" w:sz="1"/>
            </w:tcBorders>
            <w:shd w:fill="E8EDF8" w:val="clear"/>
            <w:tcMar>
              <w:top w:type="dxa" w:w="100"/>
              <w:left w:type="dxa" w:w="200"/>
              <w:bottom w:type="dxa" w:w="100"/>
              <w:right w:type="dxa" w:w="200"/>
            </w:tcMar>
          </w:tcPr>
          <w:p>
            <w:pPr>
              <w:spacing w:after="0"/>
            </w:pPr>
            <w:r>
              <w:rPr>
                <w:rFonts w:ascii="Calibri" w:cs="Calibri" w:eastAsia="Calibri" w:hAnsi="Calibri"/>
                <w:b/>
                <w:bCs/>
                <w:color w:val="2E5090"/>
                <w:sz w:val="20"/>
                <w:szCs w:val="20"/>
              </w:rPr>
              <w:t xml:space="preserve">Note: </w:t>
            </w:r>
            <w:r>
              <w:rPr>
                <w:rFonts w:ascii="Calibri" w:cs="Calibri" w:eastAsia="Calibri" w:hAnsi="Calibri"/>
                <w:color w:val="333333"/>
                <w:sz w:val="20"/>
                <w:szCs w:val="20"/>
              </w:rPr>
              <w:t xml:space="preserve">NFC cards must operate at 13.56 MHz. Keep cards away from wireless chargers, as the charging process can cause overheating and damage the card. The same card can be registered across multiple UniFi sites.</w:t>
            </w:r>
          </w:p>
        </w:tc>
      </w:tr>
    </w:tbl>
    <w:p>
      <w:pPr>
        <w:pStyle w:val="Heading2"/>
        <w:spacing w:before="300" w:after="160"/>
      </w:pPr>
      <w:r>
        <w:rPr>
          <w:rFonts w:ascii="Calibri" w:cs="Calibri" w:eastAsia="Calibri" w:hAnsi="Calibri"/>
          <w:b/>
          <w:bCs/>
        </w:rPr>
        <w:t xml:space="preserve">Assigning a Card to a User</w:t>
      </w:r>
    </w:p>
    <w:p>
      <w:pPr>
        <w:pStyle w:val="ListParagraph"/>
        <w:numPr>
          <w:ilvl w:val="0"/>
          <w:numId w:val="2"/>
        </w:numPr>
        <w:spacing w:after="160"/>
      </w:pPr>
      <w:r>
        <w:rPr>
          <w:rFonts w:ascii="Calibri" w:cs="Calibri" w:eastAsia="Calibri" w:hAnsi="Calibri"/>
          <w:sz w:val="22"/>
          <w:szCs w:val="22"/>
        </w:rPr>
        <w:t xml:space="preserve">Navigate to Users → select the user.</w:t>
      </w:r>
    </w:p>
    <w:p>
      <w:pPr>
        <w:pStyle w:val="ListParagraph"/>
        <w:numPr>
          <w:ilvl w:val="0"/>
          <w:numId w:val="2"/>
        </w:numPr>
        <w:spacing w:after="160"/>
      </w:pPr>
      <w:r>
        <w:rPr>
          <w:rFonts w:ascii="Calibri" w:cs="Calibri" w:eastAsia="Calibri" w:hAnsi="Calibri"/>
          <w:sz w:val="22"/>
          <w:szCs w:val="22"/>
        </w:rPr>
        <w:t xml:space="preserve">In the user’s profile, locate the Credentials section.</w:t>
      </w:r>
    </w:p>
    <w:p>
      <w:pPr>
        <w:pStyle w:val="ListParagraph"/>
        <w:numPr>
          <w:ilvl w:val="0"/>
          <w:numId w:val="2"/>
        </w:numPr>
        <w:spacing w:after="160"/>
      </w:pPr>
      <w:r>
        <w:rPr>
          <w:rFonts w:ascii="Calibri" w:cs="Calibri" w:eastAsia="Calibri" w:hAnsi="Calibri"/>
          <w:sz w:val="22"/>
          <w:szCs w:val="22"/>
        </w:rPr>
        <w:t xml:space="preserve">Click Add NFC Card.</w:t>
      </w:r>
    </w:p>
    <w:p>
      <w:pPr>
        <w:pStyle w:val="ListParagraph"/>
        <w:numPr>
          <w:ilvl w:val="0"/>
          <w:numId w:val="2"/>
        </w:numPr>
        <w:spacing w:after="160"/>
      </w:pPr>
      <w:r>
        <w:rPr>
          <w:rFonts w:ascii="Calibri" w:cs="Calibri" w:eastAsia="Calibri" w:hAnsi="Calibri"/>
          <w:sz w:val="22"/>
          <w:szCs w:val="22"/>
        </w:rPr>
        <w:t xml:space="preserve">Choose Scan Card to Register and hold the card to a reader or phone.</w:t>
      </w:r>
    </w:p>
    <w:p>
      <w:pPr>
        <w:pStyle w:val="ListParagraph"/>
        <w:numPr>
          <w:ilvl w:val="0"/>
          <w:numId w:val="2"/>
        </w:numPr>
        <w:spacing w:after="160"/>
      </w:pPr>
      <w:r>
        <w:rPr>
          <w:rFonts w:ascii="Calibri" w:cs="Calibri" w:eastAsia="Calibri" w:hAnsi="Calibri"/>
          <w:sz w:val="22"/>
          <w:szCs w:val="22"/>
        </w:rPr>
        <w:t xml:space="preserve">Alternatively, if the card is already in the Card Inventory, select it from the list.</w:t>
      </w:r>
    </w:p>
    <w:p>
      <w:pPr>
        <w:pStyle w:val="ListParagraph"/>
        <w:numPr>
          <w:ilvl w:val="0"/>
          <w:numId w:val="2"/>
        </w:numPr>
        <w:spacing w:after="160"/>
      </w:pPr>
      <w:r>
        <w:rPr>
          <w:rFonts w:ascii="Calibri" w:cs="Calibri" w:eastAsia="Calibri" w:hAnsi="Calibri"/>
          <w:sz w:val="22"/>
          <w:szCs w:val="22"/>
        </w:rPr>
        <w:t xml:space="preserve">The card is now linked to the user. They can tap it on any reader covered by their access policy.</w:t>
      </w:r>
    </w:p>
    <w:p>
      <w:pPr>
        <w:pStyle w:val="Heading2"/>
        <w:spacing w:before="300" w:after="160"/>
      </w:pPr>
      <w:r>
        <w:rPr>
          <w:rFonts w:ascii="Calibri" w:cs="Calibri" w:eastAsia="Calibri" w:hAnsi="Calibri"/>
          <w:b/>
          <w:bCs/>
        </w:rPr>
        <w:t xml:space="preserve">Deactivating or Reassigning a Card</w:t>
      </w:r>
    </w:p>
    <w:p>
      <w:pPr>
        <w:spacing w:after="160"/>
      </w:pPr>
      <w:r>
        <w:rPr>
          <w:rFonts w:ascii="Calibri" w:cs="Calibri" w:eastAsia="Calibri" w:hAnsi="Calibri"/>
          <w:sz w:val="22"/>
          <w:szCs w:val="22"/>
        </w:rPr>
        <w:t xml:space="preserve">To remove a card from a user, navigate to their profile, find the NFC credential, and remove it. The card remains in the Card Inventory and can be reassigned to another user. To permanently deactivate a card, remove it from both the user and the Card Inventory.</w:t>
      </w:r>
    </w:p>
    <w:p>
      <w:r>
        <w:br w:type="page"/>
      </w:r>
    </w:p>
    <w:p>
      <w:pPr>
        <w:pStyle w:val="Heading1"/>
        <w:spacing w:before="300" w:after="160"/>
      </w:pPr>
      <w:r>
        <w:rPr>
          <w:rFonts w:ascii="Calibri" w:cs="Calibri" w:eastAsia="Calibri" w:hAnsi="Calibri"/>
          <w:b/>
          <w:bCs/>
        </w:rPr>
        <w:t xml:space="preserve">Using the Door Lock Toggle</w:t>
      </w:r>
    </w:p>
    <w:p>
      <w:pPr>
        <w:pStyle w:val="Heading2"/>
        <w:spacing w:before="300" w:after="160"/>
      </w:pPr>
      <w:r>
        <w:rPr>
          <w:rFonts w:ascii="Calibri" w:cs="Calibri" w:eastAsia="Calibri" w:hAnsi="Calibri"/>
          <w:b/>
          <w:bCs/>
        </w:rPr>
        <w:t xml:space="preserve">Overview</w:t>
      </w:r>
    </w:p>
    <w:p>
      <w:pPr>
        <w:spacing w:after="160"/>
      </w:pPr>
      <w:r>
        <w:rPr>
          <w:rFonts w:ascii="Calibri" w:cs="Calibri" w:eastAsia="Calibri" w:hAnsi="Calibri"/>
          <w:sz w:val="22"/>
          <w:szCs w:val="22"/>
        </w:rPr>
        <w:t xml:space="preserve">The Door Lock Toggle is a custom web application built for this deployment that allows administrators to temporarily unlock or lock doors through a simple web interface. It communicates with the UniFi Access developer API and is separate from the main Access application.</w:t>
      </w:r>
    </w:p>
    <w:p>
      <w:pPr>
        <w:pStyle w:val="Heading2"/>
        <w:spacing w:before="300" w:after="160"/>
      </w:pPr>
      <w:r>
        <w:rPr>
          <w:rFonts w:ascii="Calibri" w:cs="Calibri" w:eastAsia="Calibri" w:hAnsi="Calibri"/>
          <w:b/>
          <w:bCs/>
        </w:rPr>
        <w:t xml:space="preserve">Accessing the Tool</w:t>
      </w:r>
    </w:p>
    <w:p>
      <w:pPr>
        <w:pStyle w:val="ListParagraph"/>
        <w:numPr>
          <w:ilvl w:val="0"/>
          <w:numId w:val="3"/>
        </w:numPr>
        <w:spacing w:after="160"/>
      </w:pPr>
      <w:r>
        <w:rPr>
          <w:rFonts w:ascii="Calibri" w:cs="Calibri" w:eastAsia="Calibri" w:hAnsi="Calibri"/>
          <w:sz w:val="22"/>
          <w:szCs w:val="22"/>
        </w:rPr>
        <w:t xml:space="preserve">Standalone: http://&lt;server-ip&gt;:5001</w:t>
      </w:r>
    </w:p>
    <w:p>
      <w:pPr>
        <w:pStyle w:val="ListParagraph"/>
        <w:numPr>
          <w:ilvl w:val="0"/>
          <w:numId w:val="3"/>
        </w:numPr>
        <w:spacing w:after="160"/>
      </w:pPr>
      <w:r>
        <w:rPr>
          <w:rFonts w:ascii="Calibri" w:cs="Calibri" w:eastAsia="Calibri" w:hAnsi="Calibri"/>
          <w:sz w:val="22"/>
          <w:szCs w:val="22"/>
        </w:rPr>
        <w:t xml:space="preserve">Via Admin Portal: http://&lt;server-ip&gt;:8080 → Doors tab</w:t>
      </w:r>
    </w:p>
    <w:p>
      <w:pPr>
        <w:pStyle w:val="Heading2"/>
        <w:spacing w:before="300" w:after="160"/>
      </w:pPr>
      <w:r>
        <w:rPr>
          <w:rFonts w:ascii="Calibri" w:cs="Calibri" w:eastAsia="Calibri" w:hAnsi="Calibri"/>
          <w:b/>
          <w:bCs/>
        </w:rPr>
        <w:t xml:space="preserve">Unlocking a Door</w:t>
      </w:r>
    </w:p>
    <w:p>
      <w:pPr>
        <w:pStyle w:val="ListParagraph"/>
        <w:numPr>
          <w:ilvl w:val="0"/>
          <w:numId w:val="2"/>
        </w:numPr>
        <w:spacing w:after="160"/>
      </w:pPr>
      <w:r>
        <w:rPr>
          <w:rFonts w:ascii="Calibri" w:cs="Calibri" w:eastAsia="Calibri" w:hAnsi="Calibri"/>
          <w:sz w:val="22"/>
          <w:szCs w:val="22"/>
        </w:rPr>
        <w:t xml:space="preserve">Locate the door in the dashboard.</w:t>
      </w:r>
    </w:p>
    <w:p>
      <w:pPr>
        <w:pStyle w:val="ListParagraph"/>
        <w:numPr>
          <w:ilvl w:val="0"/>
          <w:numId w:val="2"/>
        </w:numPr>
        <w:spacing w:after="160"/>
      </w:pPr>
      <w:r>
        <w:rPr>
          <w:rFonts w:ascii="Calibri" w:cs="Calibri" w:eastAsia="Calibri" w:hAnsi="Calibri"/>
          <w:sz w:val="22"/>
          <w:szCs w:val="22"/>
        </w:rPr>
        <w:t xml:space="preserve">Click the green toggle switch. The door unlocks immediately.</w:t>
      </w:r>
    </w:p>
    <w:p>
      <w:pPr>
        <w:pStyle w:val="ListParagraph"/>
        <w:numPr>
          <w:ilvl w:val="0"/>
          <w:numId w:val="2"/>
        </w:numPr>
        <w:spacing w:after="160"/>
      </w:pPr>
      <w:r>
        <w:rPr>
          <w:rFonts w:ascii="Calibri" w:cs="Calibri" w:eastAsia="Calibri" w:hAnsi="Calibri"/>
          <w:sz w:val="22"/>
          <w:szCs w:val="22"/>
        </w:rPr>
        <w:t xml:space="preserve">The badge updates to “UNLOCKED” (amber) without a page refresh.</w:t>
      </w:r>
    </w:p>
    <w:p>
      <w:pPr>
        <w:pStyle w:val="Heading2"/>
        <w:spacing w:before="300" w:after="160"/>
      </w:pPr>
      <w:r>
        <w:rPr>
          <w:rFonts w:ascii="Calibri" w:cs="Calibri" w:eastAsia="Calibri" w:hAnsi="Calibri"/>
          <w:b/>
          <w:bCs/>
        </w:rPr>
        <w:t xml:space="preserve">Locking a Door</w:t>
      </w:r>
    </w:p>
    <w:p>
      <w:pPr>
        <w:pStyle w:val="ListParagraph"/>
        <w:numPr>
          <w:ilvl w:val="0"/>
          <w:numId w:val="2"/>
        </w:numPr>
        <w:spacing w:after="160"/>
      </w:pPr>
      <w:r>
        <w:rPr>
          <w:rFonts w:ascii="Calibri" w:cs="Calibri" w:eastAsia="Calibri" w:hAnsi="Calibri"/>
          <w:sz w:val="22"/>
          <w:szCs w:val="22"/>
        </w:rPr>
        <w:t xml:space="preserve">Click the amber toggle switch on the unlocked door.</w:t>
      </w:r>
    </w:p>
    <w:p>
      <w:pPr>
        <w:pStyle w:val="ListParagraph"/>
        <w:numPr>
          <w:ilvl w:val="0"/>
          <w:numId w:val="2"/>
        </w:numPr>
        <w:spacing w:after="160"/>
      </w:pPr>
      <w:r>
        <w:rPr>
          <w:rFonts w:ascii="Calibri" w:cs="Calibri" w:eastAsia="Calibri" w:hAnsi="Calibri"/>
          <w:sz w:val="22"/>
          <w:szCs w:val="22"/>
        </w:rPr>
        <w:t xml:space="preserve">The door locks immediately and returns to normal policy-controlled operation.</w:t>
      </w:r>
    </w:p>
    <w:p>
      <w:pPr>
        <w:pStyle w:val="Heading2"/>
        <w:spacing w:before="300" w:after="160"/>
      </w:pPr>
      <w:r>
        <w:rPr>
          <w:rFonts w:ascii="Calibri" w:cs="Calibri" w:eastAsia="Calibri" w:hAnsi="Calibri"/>
          <w:b/>
          <w:bCs/>
        </w:rPr>
        <w:t xml:space="preserve">Safety Net</w:t>
      </w:r>
    </w:p>
    <w:p>
      <w:pPr>
        <w:spacing w:after="160"/>
      </w:pPr>
      <w:r>
        <w:rPr>
          <w:rFonts w:ascii="Calibri" w:cs="Calibri" w:eastAsia="Calibri" w:hAnsi="Calibri"/>
          <w:sz w:val="22"/>
          <w:szCs w:val="22"/>
        </w:rPr>
        <w:t xml:space="preserve">An automated script runs every evening at 7:00 PM that re-locks all managed doors. This ensures no door is accidentally left unlocked overnight. The safety net operates independently of the web interface.</w:t>
      </w:r>
    </w:p>
    <w:p>
      <w:r>
        <w:br w:type="page"/>
      </w:r>
    </w:p>
    <w:p>
      <w:pPr>
        <w:pStyle w:val="Heading1"/>
        <w:spacing w:before="300" w:after="160"/>
      </w:pPr>
      <w:r>
        <w:rPr>
          <w:rFonts w:ascii="Calibri" w:cs="Calibri" w:eastAsia="Calibri" w:hAnsi="Calibri"/>
          <w:b/>
          <w:bCs/>
        </w:rPr>
        <w:t xml:space="preserve">Using the Admin Portal</w:t>
      </w:r>
    </w:p>
    <w:p>
      <w:pPr>
        <w:pStyle w:val="Heading2"/>
        <w:spacing w:before="300" w:after="160"/>
      </w:pPr>
      <w:r>
        <w:rPr>
          <w:rFonts w:ascii="Calibri" w:cs="Calibri" w:eastAsia="Calibri" w:hAnsi="Calibri"/>
          <w:b/>
          <w:bCs/>
        </w:rPr>
        <w:t xml:space="preserve">Overview</w:t>
      </w:r>
    </w:p>
    <w:p>
      <w:pPr>
        <w:spacing w:after="160"/>
      </w:pPr>
      <w:r>
        <w:rPr>
          <w:rFonts w:ascii="Calibri" w:cs="Calibri" w:eastAsia="Calibri" w:hAnsi="Calibri"/>
          <w:sz w:val="22"/>
          <w:szCs w:val="22"/>
        </w:rPr>
        <w:t xml:space="preserve">The Admin Portal is a unified web dashboard at http://&lt;server-ip&gt;:8080 that combines three tools under a single tabbed interface:</w:t>
      </w:r>
    </w:p>
    <w:p>
      <w:pPr>
        <w:pStyle w:val="ListParagraph"/>
        <w:numPr>
          <w:ilvl w:val="0"/>
          <w:numId w:val="3"/>
        </w:numPr>
        <w:spacing w:after="160"/>
      </w:pPr>
      <w:r>
        <w:rPr>
          <w:rFonts w:ascii="Calibri" w:cs="Calibri" w:eastAsia="Calibri" w:hAnsi="Calibri"/>
          <w:sz w:val="22"/>
          <w:szCs w:val="22"/>
        </w:rPr>
        <w:t xml:space="preserve">Cameras tab — toggle camera privacy mode on/off (supports group-based URLs)</w:t>
      </w:r>
    </w:p>
    <w:p>
      <w:pPr>
        <w:pStyle w:val="ListParagraph"/>
        <w:numPr>
          <w:ilvl w:val="0"/>
          <w:numId w:val="3"/>
        </w:numPr>
        <w:spacing w:after="160"/>
      </w:pPr>
      <w:r>
        <w:rPr>
          <w:rFonts w:ascii="Calibri" w:cs="Calibri" w:eastAsia="Calibri" w:hAnsi="Calibri"/>
          <w:sz w:val="22"/>
          <w:szCs w:val="22"/>
        </w:rPr>
        <w:t xml:space="preserve">Doors tab — unlock/lock doors (same as the standalone Door Lock Toggle)</w:t>
      </w:r>
    </w:p>
    <w:p>
      <w:pPr>
        <w:pStyle w:val="ListParagraph"/>
        <w:numPr>
          <w:ilvl w:val="0"/>
          <w:numId w:val="3"/>
        </w:numPr>
        <w:spacing w:after="160"/>
      </w:pPr>
      <w:r>
        <w:rPr>
          <w:rFonts w:ascii="Calibri" w:cs="Calibri" w:eastAsia="Calibri" w:hAnsi="Calibri"/>
          <w:sz w:val="22"/>
          <w:szCs w:val="22"/>
        </w:rPr>
        <w:t xml:space="preserve">Monitor tab — real-time hardware health for all UniFi devices, with a link to the full monitoring dashboard on port 5002</w:t>
      </w:r>
    </w:p>
    <w:p>
      <w:pPr>
        <w:pStyle w:val="Heading2"/>
        <w:spacing w:before="300" w:after="160"/>
      </w:pPr>
      <w:r>
        <w:rPr>
          <w:rFonts w:ascii="Calibri" w:cs="Calibri" w:eastAsia="Calibri" w:hAnsi="Calibri"/>
          <w:b/>
          <w:bCs/>
        </w:rPr>
        <w:t xml:space="preserve">Navigation</w:t>
      </w:r>
    </w:p>
    <w:p>
      <w:pPr>
        <w:spacing w:after="160"/>
      </w:pPr>
      <w:r>
        <w:rPr>
          <w:rFonts w:ascii="Calibri" w:cs="Calibri" w:eastAsia="Calibri" w:hAnsi="Calibri"/>
          <w:sz w:val="22"/>
          <w:szCs w:val="22"/>
        </w:rPr>
        <w:t xml:space="preserve">Click the tab name to switch between Cameras, Doors, and Monitor. Each tab shows a count badge; if any cameras are off, doors are unlocked, or devices are down, the badge highlights in red. The active tab persists across page refreshes via the URL hash.</w:t>
      </w:r>
    </w:p>
    <w:p>
      <w:pPr>
        <w:pStyle w:val="Heading2"/>
        <w:spacing w:before="300" w:after="160"/>
      </w:pPr>
      <w:r>
        <w:rPr>
          <w:rFonts w:ascii="Calibri" w:cs="Calibri" w:eastAsia="Calibri" w:hAnsi="Calibri"/>
          <w:b/>
          <w:bCs/>
        </w:rPr>
        <w:t xml:space="preserve">When a Backend Is Down</w:t>
      </w:r>
    </w:p>
    <w:p>
      <w:pPr>
        <w:spacing w:after="160"/>
      </w:pPr>
      <w:r>
        <w:rPr>
          <w:rFonts w:ascii="Calibri" w:cs="Calibri" w:eastAsia="Calibri" w:hAnsi="Calibri"/>
          <w:sz w:val="22"/>
          <w:szCs w:val="22"/>
        </w:rPr>
        <w:t xml:space="preserve">If one of the three backend services is not running, its tab shows an error message while the other tabs continue to function normally. Restart the affected service from the command line to restore the tab.</w:t>
      </w:r>
    </w:p>
    <w:p>
      <w:r>
        <w:br w:type="page"/>
      </w:r>
    </w:p>
    <w:p>
      <w:pPr>
        <w:pStyle w:val="Heading1"/>
        <w:spacing w:before="300" w:after="160"/>
      </w:pPr>
      <w:r>
        <w:rPr>
          <w:rFonts w:ascii="Calibri" w:cs="Calibri" w:eastAsia="Calibri" w:hAnsi="Calibri"/>
          <w:b/>
          <w:bCs/>
        </w:rPr>
        <w:t xml:space="preserve">Quick Reference: New Employee Onboarding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4360"/>
      </w:tblGrid>
      <w:tr>
        <w:tc>
          <w:tcPr>
            <w:tcW w:type="dxa" w:w="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w:t>
            </w:r>
          </w:p>
        </w:tc>
        <w:tc>
          <w:tcPr>
            <w:tcW w:type="dxa" w:w="4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Task</w:t>
            </w:r>
          </w:p>
        </w:tc>
        <w:tc>
          <w:tcPr>
            <w:tcW w:type="dxa" w:w="43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Where</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1</w:t>
            </w:r>
          </w:p>
        </w:tc>
        <w:tc>
          <w:tcPr>
            <w:tcW w:type="dxa" w:w="4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Create user account</w:t>
            </w:r>
          </w:p>
        </w:tc>
        <w:tc>
          <w:tcPr>
            <w:tcW w:type="dxa" w:w="4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Access → Users → Add User</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2</w:t>
            </w:r>
          </w:p>
        </w:tc>
        <w:tc>
          <w:tcPr>
            <w:tcW w:type="dxa" w:w="4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Add user to appropriate group</w:t>
            </w:r>
          </w:p>
        </w:tc>
        <w:tc>
          <w:tcPr>
            <w:tcW w:type="dxa" w:w="4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Access → Users → User Groups → select group → Add User</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3</w:t>
            </w:r>
          </w:p>
        </w:tc>
        <w:tc>
          <w:tcPr>
            <w:tcW w:type="dxa" w:w="4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Verify group has an access policy</w:t>
            </w:r>
          </w:p>
        </w:tc>
        <w:tc>
          <w:tcPr>
            <w:tcW w:type="dxa" w:w="4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Access → Settings → Policies &amp; Schedules → Policies</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4</w:t>
            </w:r>
          </w:p>
        </w:tc>
        <w:tc>
          <w:tcPr>
            <w:tcW w:type="dxa" w:w="4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Register NFC card</w:t>
            </w:r>
          </w:p>
        </w:tc>
        <w:tc>
          <w:tcPr>
            <w:tcW w:type="dxa" w:w="4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Access → Settings → Card Inventory → Add New</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5</w:t>
            </w:r>
          </w:p>
        </w:tc>
        <w:tc>
          <w:tcPr>
            <w:tcW w:type="dxa" w:w="4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Assign NFC card to user</w:t>
            </w:r>
          </w:p>
        </w:tc>
        <w:tc>
          <w:tcPr>
            <w:tcW w:type="dxa" w:w="4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Access → Users → select user → Credentials → Add NFC Card</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6</w:t>
            </w:r>
          </w:p>
        </w:tc>
        <w:tc>
          <w:tcPr>
            <w:tcW w:type="dxa" w:w="4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Test card at a door</w:t>
            </w:r>
          </w:p>
        </w:tc>
        <w:tc>
          <w:tcPr>
            <w:tcW w:type="dxa" w:w="4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Physical test: tap card on reader, confirm door unlocks</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7</w:t>
            </w:r>
          </w:p>
        </w:tc>
        <w:tc>
          <w:tcPr>
            <w:tcW w:type="dxa" w:w="4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Document the card assignment</w:t>
            </w:r>
          </w:p>
        </w:tc>
        <w:tc>
          <w:tcPr>
            <w:tcW w:type="dxa" w:w="4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Record card ID and user in your tracking spreadsheet</w:t>
            </w:r>
          </w:p>
        </w:tc>
      </w:tr>
    </w:tbl>
    <w:p>
      <w:r>
        <w:br w:type="page"/>
      </w:r>
    </w:p>
    <w:p>
      <w:pPr>
        <w:pStyle w:val="Heading1"/>
        <w:spacing w:before="300" w:after="160"/>
      </w:pPr>
      <w:r>
        <w:rPr>
          <w:rFonts w:ascii="Calibri" w:cs="Calibri" w:eastAsia="Calibri" w:hAnsi="Calibri"/>
          <w:b/>
          <w:bCs/>
        </w:rPr>
        <w:t xml:space="preserve">Quick Reference: Offboarding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4360"/>
      </w:tblGrid>
      <w:tr>
        <w:tc>
          <w:tcPr>
            <w:tcW w:type="dxa" w:w="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w:t>
            </w:r>
          </w:p>
        </w:tc>
        <w:tc>
          <w:tcPr>
            <w:tcW w:type="dxa" w:w="4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Task</w:t>
            </w:r>
          </w:p>
        </w:tc>
        <w:tc>
          <w:tcPr>
            <w:tcW w:type="dxa" w:w="43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Where</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1</w:t>
            </w:r>
          </w:p>
        </w:tc>
        <w:tc>
          <w:tcPr>
            <w:tcW w:type="dxa" w:w="4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Remove NFC card from user profile</w:t>
            </w:r>
          </w:p>
        </w:tc>
        <w:tc>
          <w:tcPr>
            <w:tcW w:type="dxa" w:w="4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Access → Users → select user → Credentials → remove card</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2</w:t>
            </w:r>
          </w:p>
        </w:tc>
        <w:tc>
          <w:tcPr>
            <w:tcW w:type="dxa" w:w="4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Deactivate or reassign the NFC card</w:t>
            </w:r>
          </w:p>
        </w:tc>
        <w:tc>
          <w:tcPr>
            <w:tcW w:type="dxa" w:w="4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Access → Settings → Card Inventory</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3</w:t>
            </w:r>
          </w:p>
        </w:tc>
        <w:tc>
          <w:tcPr>
            <w:tcW w:type="dxa" w:w="4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Remove user from groups</w:t>
            </w:r>
          </w:p>
        </w:tc>
        <w:tc>
          <w:tcPr>
            <w:tcW w:type="dxa" w:w="4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Access → Users → User Groups → select group → remove user</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4</w:t>
            </w:r>
          </w:p>
        </w:tc>
        <w:tc>
          <w:tcPr>
            <w:tcW w:type="dxa" w:w="4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Deactivate user account</w:t>
            </w:r>
          </w:p>
        </w:tc>
        <w:tc>
          <w:tcPr>
            <w:tcW w:type="dxa" w:w="4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Access → Users → select user → Deactivate</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Calibri" w:cs="Calibri" w:eastAsia="Calibri" w:hAnsi="Calibri"/>
        <w:color w:val="888888"/>
        <w:sz w:val="18"/>
        <w:szCs w:val="18"/>
      </w:rPr>
      <w:t xml:space="preserve">Admin Procedures — UniFi Access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Calibri" w:cs="Calibri" w:eastAsia="Calibri" w:hAnsi="Calibri"/>
      <w:b/>
      <w:bCs/>
      <w:color w:val="1F3864"/>
      <w:sz w:val="32"/>
      <w:szCs w:val="32"/>
    </w:rPr>
  </w:style>
  <w:style w:type="paragraph" w:styleId="Heading2">
    <w:name w:val="Heading 2"/>
    <w:basedOn w:val="Normal"/>
    <w:next w:val="Normal"/>
    <w:qFormat/>
    <w:pPr>
      <w:spacing w:before="240" w:after="160"/>
      <w:outlineLvl w:val="1"/>
    </w:pPr>
    <w:rPr>
      <w:rFonts w:ascii="Calibri" w:cs="Calibri" w:eastAsia="Calibri" w:hAnsi="Calibri"/>
      <w:b/>
      <w:bCs/>
      <w:color w:val="2E5090"/>
      <w:sz w:val="26"/>
      <w:szCs w:val="26"/>
    </w:rPr>
  </w:style>
  <w:style w:type="paragraph" w:styleId="Heading3">
    <w:name w:val="Heading 3"/>
    <w:basedOn w:val="Normal"/>
    <w:next w:val="Normal"/>
    <w:qFormat/>
    <w:pPr>
      <w:spacing w:before="200" w:after="12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2026-03-27T02:11:43.339Z</dcterms:created>
  <dcterms:modified xsi:type="dcterms:W3CDTF">2026-03-27T02:11:43.340Z</dcterms:modified>
</cp:coreProperties>
</file>

<file path=docProps/custom.xml><?xml version="1.0" encoding="utf-8"?>
<Properties xmlns="http://schemas.openxmlformats.org/officeDocument/2006/custom-properties" xmlns:vt="http://schemas.openxmlformats.org/officeDocument/2006/docPropsVTypes"/>
</file>