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C464D">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C464D">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EC464D">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EC464D">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EC464D">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Default="007E5F7F" w:rsidP="002C4D7B">
      <w:pPr>
        <w:pStyle w:val="ListParagraph"/>
        <w:numPr>
          <w:ilvl w:val="0"/>
          <w:numId w:val="2"/>
        </w:numPr>
        <w:rPr>
          <w:lang w:val="en-US"/>
        </w:rPr>
      </w:pPr>
      <w:r>
        <w:rPr>
          <w:lang w:val="en-US"/>
        </w:rPr>
        <w:t>Longer running actions that can be done in parallel are not called in subthreads</w:t>
      </w:r>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046820"/>
      <w:r>
        <w:rPr>
          <w:lang w:val="en-US"/>
        </w:rPr>
        <w:lastRenderedPageBreak/>
        <w:t>Installation</w:t>
      </w:r>
      <w:bookmarkEnd w:id="3"/>
    </w:p>
    <w:p w:rsidR="00036343" w:rsidRDefault="00036343" w:rsidP="00036343">
      <w:pPr>
        <w:pStyle w:val="Heading2"/>
        <w:rPr>
          <w:lang w:val="en-US"/>
        </w:rPr>
      </w:pPr>
      <w:bookmarkStart w:id="4" w:name="_Toc446046821"/>
      <w:r>
        <w:rPr>
          <w:lang w:val="en-US"/>
        </w:rPr>
        <w:t>Prerequisites</w:t>
      </w:r>
      <w:bookmarkEnd w:id="4"/>
    </w:p>
    <w:p w:rsidR="00036343" w:rsidRPr="00036343" w:rsidRDefault="00036343" w:rsidP="00036343">
      <w:pPr>
        <w:pStyle w:val="Heading3"/>
        <w:rPr>
          <w:lang w:val="en-US"/>
        </w:rPr>
      </w:pPr>
      <w:bookmarkStart w:id="5" w:name="_Toc446046822"/>
      <w:r>
        <w:rPr>
          <w:lang w:val="en-US"/>
        </w:rPr>
        <w:t>SMO</w:t>
      </w:r>
      <w:bookmarkEnd w:id="5"/>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6" w:name="_Toc446046823"/>
      <w:r>
        <w:rPr>
          <w:lang w:val="en-US"/>
        </w:rPr>
        <w:t>Sql Server 2014</w:t>
      </w:r>
      <w:bookmarkEnd w:id="6"/>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7" w:name="_Toc446046824"/>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BB29AA" w:rsidRDefault="00BB29AA" w:rsidP="00BB29AA">
      <w:pPr>
        <w:pStyle w:val="Heading2"/>
        <w:rPr>
          <w:lang w:val="en-US"/>
        </w:rPr>
      </w:pPr>
      <w:r>
        <w:rPr>
          <w:lang w:val="en-US"/>
        </w:rPr>
        <w:t>First run</w:t>
      </w:r>
    </w:p>
    <w:p w:rsidR="00BB29AA" w:rsidRPr="00036343" w:rsidRDefault="00BB29AA" w:rsidP="00036343">
      <w:pPr>
        <w:rPr>
          <w:lang w:val="en-US"/>
        </w:rPr>
      </w:pPr>
      <w:r>
        <w:rPr>
          <w:lang w:val="en-US"/>
        </w:rPr>
        <w:t>First run should be done with elevated privileges as needed directories and shares are created. It is recommended to test database server access and remote server</w:t>
      </w:r>
      <w:bookmarkStart w:id="8" w:name="_GoBack"/>
      <w:bookmarkEnd w:id="8"/>
      <w:r>
        <w:rPr>
          <w:lang w:val="en-US"/>
        </w:rPr>
        <w:t>.</w:t>
      </w:r>
    </w:p>
    <w:p w:rsidR="00DE07F9" w:rsidRDefault="00DE07F9" w:rsidP="00F91567">
      <w:pPr>
        <w:pStyle w:val="Heading1"/>
        <w:rPr>
          <w:lang w:val="en-US"/>
        </w:rPr>
      </w:pPr>
      <w:bookmarkStart w:id="9" w:name="_Toc446046825"/>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Pr="00E22551">
        <w:rPr>
          <w:noProof/>
          <w:lang w:val="en-US"/>
        </w:rPr>
        <w:t>1</w:t>
      </w:r>
      <w:r w:rsidR="00E22551">
        <w:rPr>
          <w:noProof/>
        </w:rPr>
        <w:fldChar w:fldCharType="end"/>
      </w:r>
      <w:r w:rsidRPr="00E22551">
        <w:rPr>
          <w:lang w:val="en-US"/>
        </w:rPr>
        <w:t>: State diagram</w:t>
      </w:r>
      <w:bookmarkEnd w:id="10"/>
      <w:r w:rsidR="00F44AAF">
        <w:rPr>
          <w:lang w:val="en-US"/>
        </w:rPr>
        <w:t>. In code the states have prepended the Server Role and appended _STATE which fx makes FORCED_RUNNING into PRIMARY_FORCED_RUNNING_STATE.</w:t>
      </w:r>
    </w:p>
    <w:p w:rsidR="00C14D62" w:rsidRPr="00C14D62" w:rsidRDefault="00C14D62" w:rsidP="008E59B8">
      <w:pPr>
        <w:rPr>
          <w:lang w:val="en-US"/>
        </w:rPr>
      </w:pPr>
      <w:bookmarkStart w:id="11" w:name="_Toc446046826"/>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lastRenderedPageBreak/>
        <w:t>Action: Primary Role – Create Dir/Share</w:t>
      </w:r>
    </w:p>
    <w:p w:rsidR="0035470B" w:rsidRPr="00511698" w:rsidRDefault="0035470B" w:rsidP="0035470B">
      <w:pPr>
        <w:rPr>
          <w:lang w:val="en-US"/>
        </w:rPr>
      </w:pPr>
      <w:r>
        <w:rPr>
          <w:lang w:val="en-US"/>
        </w:rPr>
        <w:t>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64D" w:rsidRDefault="00EC464D" w:rsidP="00063AD4">
      <w:pPr>
        <w:spacing w:after="0" w:line="240" w:lineRule="auto"/>
      </w:pPr>
      <w:r>
        <w:separator/>
      </w:r>
    </w:p>
  </w:endnote>
  <w:endnote w:type="continuationSeparator" w:id="0">
    <w:p w:rsidR="00EC464D" w:rsidRDefault="00EC464D"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Default="00E225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B29AA">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B29AA">
      <w:rPr>
        <w:noProof/>
        <w:color w:val="323E4F" w:themeColor="text2" w:themeShade="BF"/>
        <w:sz w:val="24"/>
        <w:szCs w:val="24"/>
      </w:rPr>
      <w:t>14</w:t>
    </w:r>
    <w:r>
      <w:rPr>
        <w:color w:val="323E4F" w:themeColor="text2" w:themeShade="BF"/>
        <w:sz w:val="24"/>
        <w:szCs w:val="24"/>
      </w:rPr>
      <w:fldChar w:fldCharType="end"/>
    </w:r>
  </w:p>
  <w:p w:rsidR="00E22551" w:rsidRDefault="00E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64D" w:rsidRDefault="00EC464D" w:rsidP="00063AD4">
      <w:pPr>
        <w:spacing w:after="0" w:line="240" w:lineRule="auto"/>
      </w:pPr>
      <w:r>
        <w:separator/>
      </w:r>
    </w:p>
  </w:footnote>
  <w:footnote w:type="continuationSeparator" w:id="0">
    <w:p w:rsidR="00EC464D" w:rsidRDefault="00EC464D"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Pr="00063AD4" w:rsidRDefault="00EC464D">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r w:rsidR="00E22551" w:rsidRPr="00063AD4">
          <w:rPr>
            <w:color w:val="5B9BD5" w:themeColor="accent1"/>
            <w:lang w:val="en-US"/>
          </w:rPr>
          <w:t>Sql Server Mirroring Library</w:t>
        </w:r>
      </w:sdtContent>
    </w:sdt>
    <w:r w:rsidR="00E22551"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E22551" w:rsidRPr="00063AD4">
          <w:rPr>
            <w:color w:val="5B9BD5" w:themeColor="accent1"/>
            <w:lang w:val="en-US"/>
          </w:rPr>
          <w:t>Lars Shakya Buch-Jepsen</w:t>
        </w:r>
      </w:sdtContent>
    </w:sdt>
  </w:p>
  <w:p w:rsidR="00E22551" w:rsidRPr="00063AD4" w:rsidRDefault="00E225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13327"/>
    <w:rsid w:val="00036343"/>
    <w:rsid w:val="00063AD4"/>
    <w:rsid w:val="00073352"/>
    <w:rsid w:val="00077D21"/>
    <w:rsid w:val="000B0696"/>
    <w:rsid w:val="00100166"/>
    <w:rsid w:val="001756F4"/>
    <w:rsid w:val="00183752"/>
    <w:rsid w:val="001B0EE3"/>
    <w:rsid w:val="001C71E8"/>
    <w:rsid w:val="001D2421"/>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4C6E0F"/>
    <w:rsid w:val="005045E6"/>
    <w:rsid w:val="00511698"/>
    <w:rsid w:val="00546BDF"/>
    <w:rsid w:val="00562867"/>
    <w:rsid w:val="00562EAF"/>
    <w:rsid w:val="006171D4"/>
    <w:rsid w:val="00651151"/>
    <w:rsid w:val="00671FA8"/>
    <w:rsid w:val="00687D0F"/>
    <w:rsid w:val="0069110A"/>
    <w:rsid w:val="006A0B49"/>
    <w:rsid w:val="006A7B24"/>
    <w:rsid w:val="007043B2"/>
    <w:rsid w:val="00722A80"/>
    <w:rsid w:val="00790DAD"/>
    <w:rsid w:val="007B1313"/>
    <w:rsid w:val="007B286A"/>
    <w:rsid w:val="007B55A5"/>
    <w:rsid w:val="007C3135"/>
    <w:rsid w:val="007E5F7F"/>
    <w:rsid w:val="007E7DF1"/>
    <w:rsid w:val="00815850"/>
    <w:rsid w:val="00860DC4"/>
    <w:rsid w:val="00880FC7"/>
    <w:rsid w:val="008C0F12"/>
    <w:rsid w:val="008D34D8"/>
    <w:rsid w:val="008E59B8"/>
    <w:rsid w:val="00920323"/>
    <w:rsid w:val="0098424C"/>
    <w:rsid w:val="009D247B"/>
    <w:rsid w:val="009F5C43"/>
    <w:rsid w:val="009F6669"/>
    <w:rsid w:val="00A55340"/>
    <w:rsid w:val="00A76125"/>
    <w:rsid w:val="00A8164C"/>
    <w:rsid w:val="00A92425"/>
    <w:rsid w:val="00AD7FAB"/>
    <w:rsid w:val="00AE7B73"/>
    <w:rsid w:val="00B51971"/>
    <w:rsid w:val="00B562FE"/>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6808"/>
    <w:rsid w:val="00E22551"/>
    <w:rsid w:val="00E37ED0"/>
    <w:rsid w:val="00E507E7"/>
    <w:rsid w:val="00E64A55"/>
    <w:rsid w:val="00EB04B9"/>
    <w:rsid w:val="00EB33F1"/>
    <w:rsid w:val="00EB3644"/>
    <w:rsid w:val="00EC464D"/>
    <w:rsid w:val="00EC540F"/>
    <w:rsid w:val="00EF1E04"/>
    <w:rsid w:val="00F26F60"/>
    <w:rsid w:val="00F437D7"/>
    <w:rsid w:val="00F44AAF"/>
    <w:rsid w:val="00F4595B"/>
    <w:rsid w:val="00F8465B"/>
    <w:rsid w:val="00F91567"/>
    <w:rsid w:val="00F9789D"/>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37771B"/>
    <w:rsid w:val="005A6D76"/>
    <w:rsid w:val="006E5B03"/>
    <w:rsid w:val="00DB4525"/>
    <w:rsid w:val="00E32749"/>
    <w:rsid w:val="00E4439A"/>
    <w:rsid w:val="00E83514"/>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83E2-209E-4291-B85E-C33EAEE7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3943</Words>
  <Characters>24055</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54</cp:revision>
  <dcterms:created xsi:type="dcterms:W3CDTF">2016-03-13T11:05:00Z</dcterms:created>
  <dcterms:modified xsi:type="dcterms:W3CDTF">2016-03-20T17:25:00Z</dcterms:modified>
</cp:coreProperties>
</file>