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AF2F9" w14:textId="77777777" w:rsidR="00364D6C" w:rsidRDefault="00364D6C">
      <w:pPr>
        <w:spacing w:after="1800"/>
      </w:pPr>
    </w:p>
    <w:p w14:paraId="476EADE2" w14:textId="77777777" w:rsidR="00414134" w:rsidRDefault="00414134" w:rsidP="00414134">
      <w:pPr>
        <w:spacing w:after="160"/>
        <w:jc w:val="center"/>
        <w:rPr>
          <w:rFonts w:ascii="Montserrat SemiBold" w:hAnsi="Montserrat SemiBold"/>
          <w:sz w:val="72"/>
          <w:szCs w:val="72"/>
        </w:rPr>
      </w:pPr>
    </w:p>
    <w:p w14:paraId="46C1B871" w14:textId="77777777" w:rsidR="00414134" w:rsidRDefault="00414134" w:rsidP="00414134">
      <w:pPr>
        <w:spacing w:after="160"/>
        <w:jc w:val="center"/>
        <w:rPr>
          <w:rFonts w:ascii="Montserrat SemiBold" w:hAnsi="Montserrat SemiBold"/>
          <w:sz w:val="72"/>
          <w:szCs w:val="72"/>
        </w:rPr>
      </w:pPr>
    </w:p>
    <w:p w14:paraId="6BBAF2FA" w14:textId="7C118254" w:rsidR="00364D6C" w:rsidRPr="00414134" w:rsidRDefault="00AC0266" w:rsidP="00414134">
      <w:pPr>
        <w:spacing w:after="160"/>
        <w:jc w:val="center"/>
        <w:rPr>
          <w:rFonts w:ascii="Montserrat SemiBold" w:hAnsi="Montserrat SemiBold"/>
        </w:rPr>
      </w:pPr>
      <w:r w:rsidRPr="00414134">
        <w:rPr>
          <w:rFonts w:ascii="Montserrat SemiBold" w:hAnsi="Montserrat SemiBold"/>
          <w:sz w:val="72"/>
          <w:szCs w:val="72"/>
        </w:rPr>
        <w:t>Müll-Monitor</w:t>
      </w:r>
    </w:p>
    <w:p w14:paraId="6BBAF2FB" w14:textId="77777777" w:rsidR="00364D6C" w:rsidRPr="00414134" w:rsidRDefault="00AC0266" w:rsidP="00414134">
      <w:pPr>
        <w:spacing w:after="100"/>
        <w:jc w:val="center"/>
        <w:rPr>
          <w:rFonts w:ascii="Montserrat Light" w:hAnsi="Montserrat Light"/>
        </w:rPr>
      </w:pPr>
      <w:r w:rsidRPr="00414134">
        <w:rPr>
          <w:rFonts w:ascii="Montserrat Light" w:hAnsi="Montserrat Light"/>
          <w:color w:val="7A7872"/>
          <w:sz w:val="30"/>
          <w:szCs w:val="30"/>
        </w:rPr>
        <w:t>Datenbasiertes Hotspot-Monitoring</w:t>
      </w:r>
    </w:p>
    <w:p w14:paraId="6BBAF2FD" w14:textId="77777777" w:rsidR="00364D6C" w:rsidRDefault="00364D6C">
      <w:pPr>
        <w:pBdr>
          <w:bottom w:val="single" w:sz="8" w:space="1" w:color="DDDBD7"/>
        </w:pBdr>
        <w:spacing w:after="100"/>
      </w:pPr>
    </w:p>
    <w:p w14:paraId="6BBAF2FE" w14:textId="77777777" w:rsidR="00364D6C" w:rsidRDefault="00364D6C" w:rsidP="00414134">
      <w:pPr>
        <w:spacing w:after="240"/>
        <w:jc w:val="center"/>
      </w:pPr>
    </w:p>
    <w:p w14:paraId="6BBAF2FF" w14:textId="77777777" w:rsidR="00364D6C" w:rsidRPr="00EA09B0" w:rsidRDefault="00AC0266" w:rsidP="00414134">
      <w:pPr>
        <w:spacing w:after="100"/>
        <w:jc w:val="center"/>
        <w:rPr>
          <w:b/>
          <w:bCs/>
          <w:color w:val="7F7F7F" w:themeColor="text1" w:themeTint="80"/>
        </w:rPr>
      </w:pPr>
      <w:r w:rsidRPr="00EA09B0">
        <w:rPr>
          <w:b/>
          <w:bCs/>
          <w:color w:val="7F7F7F" w:themeColor="text1" w:themeTint="80"/>
          <w:sz w:val="26"/>
          <w:szCs w:val="26"/>
        </w:rPr>
        <w:t>www.muell-monitor.de</w:t>
      </w:r>
    </w:p>
    <w:p w14:paraId="6BBAF300" w14:textId="77777777" w:rsidR="00364D6C" w:rsidRDefault="00AC0266" w:rsidP="00414134">
      <w:pPr>
        <w:spacing w:after="80"/>
        <w:jc w:val="center"/>
        <w:rPr>
          <w:color w:val="7A7872"/>
        </w:rPr>
      </w:pPr>
      <w:r>
        <w:rPr>
          <w:color w:val="7A7872"/>
        </w:rPr>
        <w:t>Lars Wittkopf</w:t>
      </w:r>
    </w:p>
    <w:p w14:paraId="0B14512A" w14:textId="60ED5778" w:rsidR="00414134" w:rsidRDefault="00414134" w:rsidP="00414134">
      <w:pPr>
        <w:spacing w:after="80"/>
        <w:jc w:val="center"/>
      </w:pPr>
      <w:r>
        <w:rPr>
          <w:color w:val="7A7872"/>
        </w:rPr>
        <w:t>2026</w:t>
      </w:r>
    </w:p>
    <w:p w14:paraId="6BBAF302" w14:textId="77777777" w:rsidR="00364D6C" w:rsidRDefault="00AC0266" w:rsidP="00414134">
      <w:pPr>
        <w:jc w:val="center"/>
      </w:pPr>
      <w:r>
        <w:br w:type="page"/>
      </w:r>
    </w:p>
    <w:p w14:paraId="44DFA715" w14:textId="77777777" w:rsidR="005516EA" w:rsidRDefault="005516EA" w:rsidP="005516EA">
      <w:pPr>
        <w:pStyle w:val="berschrift1"/>
        <w:pBdr>
          <w:bottom w:val="single" w:sz="6" w:space="4" w:color="DDDBD7"/>
        </w:pBdr>
        <w:jc w:val="center"/>
        <w:rPr>
          <w:rFonts w:ascii="Montserrat SemiBold" w:hAnsi="Montserrat SemiBold"/>
        </w:rPr>
      </w:pPr>
    </w:p>
    <w:p w14:paraId="6BBAF303" w14:textId="68BA0F08" w:rsidR="00364D6C" w:rsidRPr="00EA09B0" w:rsidRDefault="00AC0266" w:rsidP="005516EA">
      <w:pPr>
        <w:pStyle w:val="berschrift1"/>
        <w:pBdr>
          <w:bottom w:val="single" w:sz="6" w:space="4" w:color="DDDBD7"/>
        </w:pBdr>
        <w:jc w:val="center"/>
        <w:rPr>
          <w:rFonts w:ascii="Montserrat SemiBold" w:hAnsi="Montserrat SemiBold"/>
          <w:b w:val="0"/>
          <w:bCs w:val="0"/>
          <w:sz w:val="48"/>
          <w:szCs w:val="48"/>
        </w:rPr>
      </w:pPr>
      <w:r w:rsidRPr="00EA09B0">
        <w:rPr>
          <w:rFonts w:ascii="Montserrat SemiBold" w:hAnsi="Montserrat SemiBold"/>
          <w:b w:val="0"/>
          <w:bCs w:val="0"/>
          <w:sz w:val="48"/>
          <w:szCs w:val="48"/>
        </w:rPr>
        <w:t>Übersicht</w:t>
      </w: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3"/>
        <w:gridCol w:w="2505"/>
        <w:gridCol w:w="1740"/>
        <w:gridCol w:w="2690"/>
      </w:tblGrid>
      <w:tr w:rsidR="00364D6C" w14:paraId="6BBAF30C" w14:textId="77777777" w:rsidTr="00DA44AA">
        <w:tblPrEx>
          <w:tblCellMar>
            <w:top w:w="0" w:type="dxa"/>
            <w:bottom w:w="0" w:type="dxa"/>
          </w:tblCellMar>
        </w:tblPrEx>
        <w:trPr>
          <w:trHeight w:val="3887"/>
        </w:trPr>
        <w:tc>
          <w:tcPr>
            <w:tcW w:w="31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E4D4A"/>
            <w:tcMar>
              <w:top w:w="300" w:type="dxa"/>
              <w:left w:w="160" w:type="dxa"/>
              <w:bottom w:w="300" w:type="dxa"/>
              <w:right w:w="160" w:type="dxa"/>
            </w:tcMar>
            <w:vAlign w:val="center"/>
          </w:tcPr>
          <w:p w14:paraId="6BBAF304" w14:textId="77777777" w:rsidR="00364D6C" w:rsidRDefault="00AC0266" w:rsidP="00DA44AA">
            <w:pPr>
              <w:spacing w:after="60"/>
              <w:jc w:val="center"/>
            </w:pPr>
            <w:r>
              <w:rPr>
                <w:b/>
                <w:bCs/>
                <w:color w:val="FC8181"/>
                <w:sz w:val="52"/>
                <w:szCs w:val="52"/>
              </w:rPr>
              <w:t>105.000+</w:t>
            </w:r>
          </w:p>
          <w:p w14:paraId="6BBAF305" w14:textId="77777777" w:rsidR="00364D6C" w:rsidRDefault="00AC0266" w:rsidP="00DA44AA">
            <w:pPr>
              <w:spacing w:after="100"/>
              <w:jc w:val="center"/>
            </w:pPr>
            <w:r>
              <w:rPr>
                <w:color w:val="DDDBD7"/>
                <w:sz w:val="18"/>
                <w:szCs w:val="18"/>
              </w:rPr>
              <w:t>Meldungen erfasst</w:t>
            </w:r>
          </w:p>
        </w:tc>
        <w:tc>
          <w:tcPr>
            <w:tcW w:w="25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E4D4A"/>
            <w:tcMar>
              <w:top w:w="300" w:type="dxa"/>
              <w:left w:w="160" w:type="dxa"/>
              <w:bottom w:w="300" w:type="dxa"/>
              <w:right w:w="160" w:type="dxa"/>
            </w:tcMar>
            <w:vAlign w:val="center"/>
          </w:tcPr>
          <w:p w14:paraId="6BBAF306" w14:textId="77777777" w:rsidR="00364D6C" w:rsidRDefault="00AC0266" w:rsidP="00DA44AA">
            <w:pPr>
              <w:spacing w:after="60"/>
              <w:jc w:val="center"/>
            </w:pPr>
            <w:r>
              <w:rPr>
                <w:b/>
                <w:bCs/>
                <w:color w:val="FBD38D"/>
                <w:sz w:val="52"/>
                <w:szCs w:val="52"/>
              </w:rPr>
              <w:t>8.700+</w:t>
            </w:r>
          </w:p>
          <w:p w14:paraId="6BBAF307" w14:textId="77777777" w:rsidR="00364D6C" w:rsidRDefault="00AC0266" w:rsidP="00DA44AA">
            <w:pPr>
              <w:spacing w:after="100"/>
              <w:jc w:val="center"/>
            </w:pPr>
            <w:r>
              <w:rPr>
                <w:color w:val="DDDBD7"/>
                <w:sz w:val="18"/>
                <w:szCs w:val="18"/>
              </w:rPr>
              <w:t>Hotspots identifiziert</w:t>
            </w:r>
          </w:p>
        </w:tc>
        <w:tc>
          <w:tcPr>
            <w:tcW w:w="1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E4D4A"/>
            <w:tcMar>
              <w:top w:w="300" w:type="dxa"/>
              <w:left w:w="160" w:type="dxa"/>
              <w:bottom w:w="300" w:type="dxa"/>
              <w:right w:w="160" w:type="dxa"/>
            </w:tcMar>
            <w:vAlign w:val="center"/>
          </w:tcPr>
          <w:p w14:paraId="6BBAF308" w14:textId="77777777" w:rsidR="00364D6C" w:rsidRDefault="00AC0266" w:rsidP="00DA44AA">
            <w:pPr>
              <w:spacing w:after="60"/>
              <w:jc w:val="center"/>
            </w:pPr>
            <w:r>
              <w:rPr>
                <w:b/>
                <w:bCs/>
                <w:color w:val="9AE6B4"/>
                <w:sz w:val="52"/>
                <w:szCs w:val="52"/>
              </w:rPr>
              <w:t>12</w:t>
            </w:r>
          </w:p>
          <w:p w14:paraId="6BBAF309" w14:textId="40CF0E28" w:rsidR="00364D6C" w:rsidRDefault="00AC0266" w:rsidP="00DA44AA">
            <w:pPr>
              <w:spacing w:after="100"/>
              <w:jc w:val="center"/>
            </w:pPr>
            <w:r>
              <w:rPr>
                <w:color w:val="DDDBD7"/>
                <w:sz w:val="18"/>
                <w:szCs w:val="18"/>
              </w:rPr>
              <w:t>Bezirke</w:t>
            </w:r>
          </w:p>
        </w:tc>
        <w:tc>
          <w:tcPr>
            <w:tcW w:w="2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E4D4A"/>
            <w:tcMar>
              <w:top w:w="300" w:type="dxa"/>
              <w:left w:w="160" w:type="dxa"/>
              <w:bottom w:w="300" w:type="dxa"/>
              <w:right w:w="160" w:type="dxa"/>
            </w:tcMar>
            <w:vAlign w:val="center"/>
          </w:tcPr>
          <w:p w14:paraId="6BBAF30A" w14:textId="1954EF71" w:rsidR="00364D6C" w:rsidRDefault="00AC0266" w:rsidP="00DA44AA">
            <w:pPr>
              <w:spacing w:after="60"/>
              <w:jc w:val="center"/>
            </w:pPr>
            <w:r>
              <w:rPr>
                <w:b/>
                <w:bCs/>
                <w:color w:val="DDDBD7"/>
                <w:sz w:val="52"/>
                <w:szCs w:val="52"/>
              </w:rPr>
              <w:t>Täglich</w:t>
            </w:r>
            <w:r w:rsidR="005516EA">
              <w:rPr>
                <w:b/>
                <w:bCs/>
                <w:color w:val="DDDBD7"/>
                <w:sz w:val="52"/>
                <w:szCs w:val="52"/>
              </w:rPr>
              <w:t>e</w:t>
            </w:r>
          </w:p>
          <w:p w14:paraId="6BBAF30B" w14:textId="77777777" w:rsidR="00364D6C" w:rsidRDefault="00AC0266" w:rsidP="00DA44AA">
            <w:pPr>
              <w:spacing w:after="100"/>
              <w:jc w:val="center"/>
            </w:pPr>
            <w:r>
              <w:rPr>
                <w:color w:val="DDDBD7"/>
                <w:sz w:val="18"/>
                <w:szCs w:val="18"/>
              </w:rPr>
              <w:t>Aktualisierung</w:t>
            </w:r>
          </w:p>
        </w:tc>
      </w:tr>
    </w:tbl>
    <w:p w14:paraId="6BBAF30D" w14:textId="77777777" w:rsidR="00364D6C" w:rsidRDefault="00364D6C">
      <w:pPr>
        <w:spacing w:after="200"/>
      </w:pPr>
    </w:p>
    <w:p w14:paraId="2D586836" w14:textId="77777777" w:rsidR="00EA09B0" w:rsidRDefault="00EA09B0">
      <w:pPr>
        <w:spacing w:after="200"/>
      </w:pPr>
    </w:p>
    <w:p w14:paraId="0BB26791" w14:textId="77777777" w:rsidR="005516EA" w:rsidRDefault="00AC0266">
      <w:pPr>
        <w:spacing w:after="140"/>
        <w:rPr>
          <w:color w:val="4A5568"/>
        </w:rPr>
      </w:pPr>
      <w:r>
        <w:rPr>
          <w:color w:val="4A5568"/>
        </w:rPr>
        <w:t>Berlin gibt jährlich rund 60 Millionen Euro für die Beseitigung illegaler Müllablagerungen aus. Reinigungsteams arbeiten weitgehend reaktiv</w:t>
      </w:r>
    </w:p>
    <w:p w14:paraId="6BBAF30E" w14:textId="45A5FB9C" w:rsidR="00364D6C" w:rsidRDefault="00AC0266">
      <w:pPr>
        <w:spacing w:after="140"/>
        <w:rPr>
          <w:color w:val="4A5568"/>
        </w:rPr>
      </w:pPr>
      <w:r>
        <w:rPr>
          <w:color w:val="4A5568"/>
        </w:rPr>
        <w:t>— Hotspots werden erst sichtbar, wenn Bürger sich beschweren.</w:t>
      </w:r>
    </w:p>
    <w:p w14:paraId="01087957" w14:textId="77777777" w:rsidR="00EA09B0" w:rsidRDefault="00EA09B0">
      <w:pPr>
        <w:spacing w:after="140"/>
      </w:pPr>
    </w:p>
    <w:p w14:paraId="6BBAF30F" w14:textId="02FA480F" w:rsidR="00364D6C" w:rsidRDefault="005516EA">
      <w:pPr>
        <w:spacing w:after="140"/>
        <w:rPr>
          <w:color w:val="4A5568"/>
        </w:rPr>
      </w:pPr>
      <w:r>
        <w:rPr>
          <w:color w:val="4A5568"/>
        </w:rPr>
        <w:t xml:space="preserve">Der </w:t>
      </w:r>
      <w:r w:rsidR="00AC0266">
        <w:rPr>
          <w:color w:val="4A5568"/>
        </w:rPr>
        <w:t>Müll-Monitor ändert das: tägliche Auswertung aller Meldungen, räumliche Mustererkennung und belastbare Prognosen — vollautomatisch.</w:t>
      </w:r>
    </w:p>
    <w:p w14:paraId="025FD0E2" w14:textId="77777777" w:rsidR="00EA09B0" w:rsidRDefault="00EA09B0">
      <w:pPr>
        <w:spacing w:after="140"/>
      </w:pPr>
    </w:p>
    <w:p w14:paraId="6BBAF310" w14:textId="77777777" w:rsidR="00364D6C" w:rsidRDefault="00364D6C">
      <w:pPr>
        <w:spacing w:after="1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364D6C" w14:paraId="6BBAF31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none" w:sz="0" w:space="0" w:color="FFFFFF"/>
              <w:left w:val="single" w:sz="12" w:space="0" w:color="7A7872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AF311" w14:textId="77777777" w:rsidR="00364D6C" w:rsidRDefault="00AC0266">
            <w:pPr>
              <w:spacing w:after="60"/>
            </w:pPr>
            <w:r>
              <w:rPr>
                <w:b/>
                <w:bCs/>
              </w:rPr>
              <w:t>Automatische Erfassung</w:t>
            </w:r>
          </w:p>
          <w:p w14:paraId="6BBAF312" w14:textId="77777777" w:rsidR="00364D6C" w:rsidRDefault="00AC0266">
            <w:pPr>
              <w:spacing w:after="100"/>
            </w:pPr>
            <w:r>
              <w:rPr>
                <w:color w:val="4A5568"/>
                <w:sz w:val="20"/>
                <w:szCs w:val="20"/>
              </w:rPr>
              <w:t>Täglicher Import aller Meldungen ohne manuellen Aufwand.</w:t>
            </w:r>
          </w:p>
        </w:tc>
        <w:tc>
          <w:tcPr>
            <w:tcW w:w="4320" w:type="dxa"/>
            <w:tcBorders>
              <w:top w:val="none" w:sz="0" w:space="0" w:color="FFFFFF"/>
              <w:left w:val="single" w:sz="12" w:space="0" w:color="7A7872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AF313" w14:textId="77777777" w:rsidR="00364D6C" w:rsidRDefault="00AC0266">
            <w:pPr>
              <w:spacing w:after="60"/>
            </w:pPr>
            <w:r>
              <w:rPr>
                <w:b/>
                <w:bCs/>
              </w:rPr>
              <w:t>Hotspot-Erkennung</w:t>
            </w:r>
          </w:p>
          <w:p w14:paraId="6BBAF314" w14:textId="77777777" w:rsidR="00364D6C" w:rsidRDefault="00AC0266">
            <w:pPr>
              <w:spacing w:after="100"/>
            </w:pPr>
            <w:r>
              <w:rPr>
                <w:color w:val="4A5568"/>
                <w:sz w:val="20"/>
                <w:szCs w:val="20"/>
              </w:rPr>
              <w:t>Geo-Clustering identifiziert wiederkehrende Problemstandorte.</w:t>
            </w:r>
          </w:p>
        </w:tc>
      </w:tr>
      <w:tr w:rsidR="00364D6C" w14:paraId="6BBAF31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none" w:sz="0" w:space="0" w:color="FFFFFF"/>
              <w:left w:val="single" w:sz="12" w:space="0" w:color="7A7872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AF316" w14:textId="77777777" w:rsidR="00364D6C" w:rsidRDefault="00AC0266">
            <w:pPr>
              <w:spacing w:after="60"/>
            </w:pPr>
            <w:r>
              <w:rPr>
                <w:b/>
                <w:bCs/>
              </w:rPr>
              <w:t>Prognose-System</w:t>
            </w:r>
          </w:p>
          <w:p w14:paraId="6BBAF317" w14:textId="77777777" w:rsidR="00364D6C" w:rsidRDefault="00AC0266">
            <w:pPr>
              <w:spacing w:after="100"/>
            </w:pPr>
            <w:r>
              <w:rPr>
                <w:color w:val="4A5568"/>
                <w:sz w:val="20"/>
                <w:szCs w:val="20"/>
              </w:rPr>
              <w:t>Saisonale und wochentägliche Muster ermöglichen Vorausplanung.</w:t>
            </w:r>
          </w:p>
        </w:tc>
        <w:tc>
          <w:tcPr>
            <w:tcW w:w="4320" w:type="dxa"/>
            <w:tcBorders>
              <w:top w:val="none" w:sz="0" w:space="0" w:color="FFFFFF"/>
              <w:left w:val="single" w:sz="12" w:space="0" w:color="7A7872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AF318" w14:textId="77777777" w:rsidR="00364D6C" w:rsidRDefault="00AC0266">
            <w:pPr>
              <w:spacing w:after="60"/>
            </w:pPr>
            <w:r>
              <w:rPr>
                <w:b/>
                <w:bCs/>
              </w:rPr>
              <w:t>Einsparpotenzial</w:t>
            </w:r>
          </w:p>
          <w:p w14:paraId="6BBAF319" w14:textId="77777777" w:rsidR="00364D6C" w:rsidRDefault="00AC0266">
            <w:pPr>
              <w:spacing w:after="100"/>
            </w:pPr>
            <w:r>
              <w:rPr>
                <w:color w:val="4A5568"/>
                <w:sz w:val="20"/>
                <w:szCs w:val="20"/>
              </w:rPr>
              <w:t>Fokussierte Einsatzplanung statt flächendeckender Kontrollen.</w:t>
            </w:r>
          </w:p>
        </w:tc>
      </w:tr>
    </w:tbl>
    <w:p w14:paraId="6BBAF31B" w14:textId="77777777" w:rsidR="00364D6C" w:rsidRDefault="00AC0266">
      <w:r>
        <w:br w:type="page"/>
      </w:r>
    </w:p>
    <w:p w14:paraId="7067066E" w14:textId="77777777" w:rsidR="00EA09B0" w:rsidRDefault="00EA09B0" w:rsidP="00EA09B0">
      <w:pPr>
        <w:pStyle w:val="berschrift1"/>
        <w:pBdr>
          <w:bottom w:val="single" w:sz="6" w:space="4" w:color="DDDBD7"/>
        </w:pBdr>
        <w:jc w:val="center"/>
        <w:rPr>
          <w:rFonts w:ascii="Montserrat SemiBold" w:hAnsi="Montserrat SemiBold"/>
          <w:b w:val="0"/>
          <w:bCs w:val="0"/>
          <w:sz w:val="48"/>
          <w:szCs w:val="48"/>
        </w:rPr>
      </w:pPr>
    </w:p>
    <w:p w14:paraId="6BBAF31C" w14:textId="7349C713" w:rsidR="00364D6C" w:rsidRDefault="00AC0266" w:rsidP="00EA09B0">
      <w:pPr>
        <w:pStyle w:val="berschrift1"/>
        <w:pBdr>
          <w:bottom w:val="single" w:sz="6" w:space="4" w:color="DDDBD7"/>
        </w:pBdr>
        <w:jc w:val="center"/>
        <w:rPr>
          <w:rFonts w:ascii="Montserrat SemiBold" w:hAnsi="Montserrat SemiBold"/>
          <w:b w:val="0"/>
          <w:bCs w:val="0"/>
          <w:sz w:val="48"/>
          <w:szCs w:val="48"/>
        </w:rPr>
      </w:pPr>
      <w:r w:rsidRPr="00EA09B0">
        <w:rPr>
          <w:rFonts w:ascii="Montserrat SemiBold" w:hAnsi="Montserrat SemiBold"/>
          <w:b w:val="0"/>
          <w:bCs w:val="0"/>
          <w:sz w:val="48"/>
          <w:szCs w:val="48"/>
        </w:rPr>
        <w:t>Funktionen</w:t>
      </w:r>
    </w:p>
    <w:p w14:paraId="1D7F20C9" w14:textId="77777777" w:rsidR="00EA09B0" w:rsidRDefault="00EA09B0" w:rsidP="00EA09B0">
      <w:pPr>
        <w:pStyle w:val="berschrift1"/>
        <w:pBdr>
          <w:bottom w:val="single" w:sz="6" w:space="4" w:color="DDDBD7"/>
        </w:pBdr>
        <w:jc w:val="center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0"/>
        <w:gridCol w:w="4400"/>
      </w:tblGrid>
      <w:tr w:rsidR="00364D6C" w14:paraId="6BBAF32F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12" w:space="0" w:color="7A787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BAF31D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color w:val="4E4D4A"/>
              </w:rPr>
              <w:t>Interaktive Hotspot-Karte</w:t>
            </w:r>
          </w:p>
          <w:p w14:paraId="6BBAF31E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Farbcodierte Darstellung</w:t>
            </w:r>
          </w:p>
          <w:p w14:paraId="6BBAF31F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Alle Hotspots auf interaktiver Karte, clusterfähig.</w:t>
            </w:r>
          </w:p>
          <w:p w14:paraId="6BBAF320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Intelligentes Clustering</w:t>
            </w:r>
          </w:p>
          <w:p w14:paraId="6BBAF321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Übersichtliche Ansicht auch bei tausenden Punkten.</w:t>
            </w:r>
          </w:p>
          <w:p w14:paraId="6BBAF322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Filterung</w:t>
            </w:r>
          </w:p>
          <w:p w14:paraId="6BBAF323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Nach Bezirk, PLZ, Abfallkategorie und Zeitraum.</w:t>
            </w:r>
          </w:p>
          <w:p w14:paraId="6BBAF324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Detailansicht</w:t>
            </w:r>
          </w:p>
          <w:p w14:paraId="6BBAF325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Meldungsverlauf, Wiederkehrrate und Trend je Standort.</w:t>
            </w:r>
          </w:p>
        </w:tc>
        <w:tc>
          <w:tcPr>
            <w:tcW w:w="4240" w:type="dxa"/>
            <w:tcBorders>
              <w:top w:val="single" w:sz="12" w:space="0" w:color="7A787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BAF326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color w:val="4E4D4A"/>
              </w:rPr>
              <w:t>Scoring-System</w:t>
            </w:r>
          </w:p>
          <w:p w14:paraId="6BBAF327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Hotspot-Score</w:t>
            </w:r>
          </w:p>
          <w:p w14:paraId="6BBAF328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Auf Basis von Häufigkeit, Aktualität und Wiederkehr.</w:t>
            </w:r>
          </w:p>
          <w:p w14:paraId="6BBAF329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Bewertungsmodus</w:t>
            </w:r>
          </w:p>
          <w:p w14:paraId="6BBAF32A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Bezirksrelativ oder stadtweit, je nach Bedarf.</w:t>
            </w:r>
          </w:p>
          <w:p w14:paraId="6BBAF32B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Vier Schweregrade</w:t>
            </w:r>
          </w:p>
          <w:p w14:paraId="6BBAF32C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Kritisch · Hoch · Mittel · Niedrig.</w:t>
            </w:r>
          </w:p>
          <w:p w14:paraId="6BBAF32D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Kategorisierung</w:t>
            </w:r>
          </w:p>
          <w:p w14:paraId="6BBAF32E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Automatisch: Sperrmüll, Bauschutt, E-Schrott u.a.</w:t>
            </w:r>
          </w:p>
        </w:tc>
      </w:tr>
      <w:tr w:rsidR="00364D6C" w14:paraId="6BBAF33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382B09" w14:textId="77777777" w:rsidR="00364D6C" w:rsidRDefault="00364D6C">
            <w:pPr>
              <w:spacing w:after="160"/>
            </w:pPr>
          </w:p>
          <w:p w14:paraId="27AA3919" w14:textId="77777777" w:rsidR="00EA09B0" w:rsidRDefault="00EA09B0">
            <w:pPr>
              <w:spacing w:after="160"/>
            </w:pPr>
          </w:p>
          <w:p w14:paraId="6BBAF330" w14:textId="77777777" w:rsidR="00EA09B0" w:rsidRDefault="00EA09B0">
            <w:pPr>
              <w:spacing w:after="160"/>
            </w:pPr>
          </w:p>
        </w:tc>
      </w:tr>
      <w:tr w:rsidR="00364D6C" w14:paraId="6BBAF344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12" w:space="0" w:color="7A787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BAF332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color w:val="4E4D4A"/>
              </w:rPr>
              <w:t>Prognose &amp; Frühwarnung</w:t>
            </w:r>
          </w:p>
          <w:p w14:paraId="6BBAF333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Saisonale Muster</w:t>
            </w:r>
          </w:p>
          <w:p w14:paraId="6BBAF334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Erkennung nach Jahreszeit und Wochentag.</w:t>
            </w:r>
          </w:p>
          <w:p w14:paraId="6BBAF335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Wiederkehr-Prognose</w:t>
            </w:r>
          </w:p>
          <w:p w14:paraId="6BBAF336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Welche Standorte werden erneut betroffen?</w:t>
            </w:r>
          </w:p>
          <w:p w14:paraId="6BBAF337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Kombinierter Score</w:t>
            </w:r>
          </w:p>
          <w:p w14:paraId="6BBAF338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Gewichtet aus Wochentag, Monat und Saison.</w:t>
            </w:r>
          </w:p>
          <w:p w14:paraId="6BBAF339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Frühzeitige Hinweise</w:t>
            </w:r>
          </w:p>
          <w:p w14:paraId="6BBAF33A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Saisonale Spitzen bei Sperrmüll und Gartenabfall.</w:t>
            </w:r>
          </w:p>
        </w:tc>
        <w:tc>
          <w:tcPr>
            <w:tcW w:w="4240" w:type="dxa"/>
            <w:tcBorders>
              <w:top w:val="single" w:sz="12" w:space="0" w:color="7A787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BAF33B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color w:val="4E4D4A"/>
              </w:rPr>
              <w:t>Bezirksvergleich &amp; Analyse</w:t>
            </w:r>
          </w:p>
          <w:p w14:paraId="6BBAF33C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Ranking</w:t>
            </w:r>
          </w:p>
          <w:p w14:paraId="6BBAF33D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Alle 12 Berliner Bezirke nach Aufkommen und Dichte.</w:t>
            </w:r>
          </w:p>
          <w:p w14:paraId="6BBAF33E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Statistiken</w:t>
            </w:r>
          </w:p>
          <w:p w14:paraId="6BBAF33F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Kategorien, Monats-Trends und Entwicklungen.</w:t>
            </w:r>
          </w:p>
          <w:p w14:paraId="6BBAF340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Faire Bewertung</w:t>
            </w:r>
          </w:p>
          <w:p w14:paraId="6BBAF341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Bezirksrelative Schwellen für Vergleichbarkeit.</w:t>
            </w:r>
          </w:p>
          <w:p w14:paraId="6BBAF342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Datenbasis</w:t>
            </w:r>
          </w:p>
          <w:p w14:paraId="6BBAF343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Für politische Anfragen und Haushaltsplanung.</w:t>
            </w:r>
          </w:p>
        </w:tc>
      </w:tr>
    </w:tbl>
    <w:p w14:paraId="6BBAF345" w14:textId="77777777" w:rsidR="00364D6C" w:rsidRDefault="00AC0266">
      <w:r>
        <w:br w:type="page"/>
      </w:r>
    </w:p>
    <w:p w14:paraId="4A21B7FA" w14:textId="77777777" w:rsidR="00EA09B0" w:rsidRDefault="00EA09B0" w:rsidP="00EA09B0">
      <w:pPr>
        <w:pStyle w:val="berschrift1"/>
        <w:pBdr>
          <w:bottom w:val="single" w:sz="6" w:space="4" w:color="DDDBD7"/>
        </w:pBdr>
        <w:tabs>
          <w:tab w:val="left" w:pos="1590"/>
          <w:tab w:val="center" w:pos="4819"/>
        </w:tabs>
        <w:rPr>
          <w:rFonts w:ascii="Montserrat SemiBold" w:hAnsi="Montserrat SemiBold"/>
          <w:b w:val="0"/>
          <w:bCs w:val="0"/>
          <w:sz w:val="48"/>
          <w:szCs w:val="48"/>
        </w:rPr>
      </w:pPr>
    </w:p>
    <w:p w14:paraId="6BBAF346" w14:textId="0F304708" w:rsidR="00364D6C" w:rsidRPr="00EA09B0" w:rsidRDefault="00AC0266" w:rsidP="00EA09B0">
      <w:pPr>
        <w:pStyle w:val="berschrift1"/>
        <w:pBdr>
          <w:bottom w:val="single" w:sz="6" w:space="4" w:color="DDDBD7"/>
        </w:pBdr>
        <w:tabs>
          <w:tab w:val="left" w:pos="1590"/>
          <w:tab w:val="center" w:pos="4819"/>
        </w:tabs>
        <w:jc w:val="center"/>
        <w:rPr>
          <w:rFonts w:ascii="Montserrat SemiBold" w:hAnsi="Montserrat SemiBold"/>
          <w:b w:val="0"/>
          <w:bCs w:val="0"/>
          <w:sz w:val="48"/>
          <w:szCs w:val="48"/>
        </w:rPr>
      </w:pPr>
      <w:r w:rsidRPr="00EA09B0">
        <w:rPr>
          <w:rFonts w:ascii="Montserrat SemiBold" w:hAnsi="Montserrat SemiBold"/>
          <w:b w:val="0"/>
          <w:bCs w:val="0"/>
          <w:sz w:val="48"/>
          <w:szCs w:val="48"/>
        </w:rPr>
        <w:t>Technologie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0"/>
        <w:gridCol w:w="4400"/>
      </w:tblGrid>
      <w:tr w:rsidR="00364D6C" w14:paraId="6BBAF359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12" w:space="0" w:color="7A787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BAF347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color w:val="4E4D4A"/>
              </w:rPr>
              <w:t>Datenquelle &amp; Analyse</w:t>
            </w:r>
          </w:p>
          <w:p w14:paraId="6BBAF348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OpenData-API Berlin</w:t>
            </w:r>
          </w:p>
          <w:p w14:paraId="6BBAF349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Täglicher automatischer Abruf aller neuen Meldungen des Ordnungsamtes.</w:t>
            </w:r>
          </w:p>
          <w:p w14:paraId="6BBAF34A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Python + SQLite</w:t>
            </w:r>
          </w:p>
          <w:p w14:paraId="6BBAF34B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Verarbeitet Rohdaten, berechnet Scores, erkennt Zeitraum-Muster.</w:t>
            </w:r>
          </w:p>
          <w:p w14:paraId="6BBAF34C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Geo-Clustering</w:t>
            </w:r>
          </w:p>
          <w:p w14:paraId="6BBAF34D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150-Meter-Radius fasst nahegelegene Meldungen zu Hotspots zusammen.</w:t>
            </w:r>
          </w:p>
          <w:p w14:paraId="6BBAF34E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105.000+ Einträge</w:t>
            </w:r>
          </w:p>
          <w:p w14:paraId="6BBAF34F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Vollständige Meldungshistorie seit 2017, täglich wachsend.</w:t>
            </w:r>
          </w:p>
        </w:tc>
        <w:tc>
          <w:tcPr>
            <w:tcW w:w="4240" w:type="dxa"/>
            <w:tcBorders>
              <w:top w:val="single" w:sz="12" w:space="0" w:color="7A787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BAF350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color w:val="4E4D4A"/>
              </w:rPr>
              <w:t>Automatisierung &amp; Betrieb</w:t>
            </w:r>
          </w:p>
          <w:p w14:paraId="6BBAF351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GitHub Actions</w:t>
            </w:r>
          </w:p>
          <w:p w14:paraId="6BBAF352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Vollständiger Update-Zyklus täglich um 06:00 Uhr — kein Server nötig.</w:t>
            </w:r>
          </w:p>
          <w:p w14:paraId="6BBAF353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Zero Maintenance</w:t>
            </w:r>
          </w:p>
          <w:p w14:paraId="6BBAF354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Datenabruf, Analyse und Veröffentlichung vollautomatisch.</w:t>
            </w:r>
          </w:p>
          <w:p w14:paraId="6BBAF355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GitHub Pages</w:t>
            </w:r>
          </w:p>
          <w:p w14:paraId="6BBAF356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Weltweit erreichbar, keinerlei Infrastrukturkosten.</w:t>
            </w:r>
          </w:p>
          <w:p w14:paraId="6BBAF357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Geräteunabhängig</w:t>
            </w:r>
          </w:p>
          <w:p w14:paraId="6BBAF358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HTML/CSS/JavaScript mit Leaflet.js — Smartphone bis Desktop.</w:t>
            </w:r>
          </w:p>
        </w:tc>
      </w:tr>
      <w:tr w:rsidR="00364D6C" w14:paraId="6BBAF35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AEF482" w14:textId="77777777" w:rsidR="00364D6C" w:rsidRDefault="00364D6C">
            <w:pPr>
              <w:spacing w:after="200"/>
            </w:pPr>
          </w:p>
          <w:p w14:paraId="6BBAF35A" w14:textId="77777777" w:rsidR="00EA09B0" w:rsidRDefault="00EA09B0">
            <w:pPr>
              <w:spacing w:after="200"/>
            </w:pPr>
          </w:p>
        </w:tc>
      </w:tr>
      <w:tr w:rsidR="00364D6C" w14:paraId="6BBAF36E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single" w:sz="12" w:space="0" w:color="7A787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BAF35C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color w:val="4E4D4A"/>
              </w:rPr>
              <w:t>Scoring-Berechnung</w:t>
            </w:r>
          </w:p>
          <w:p w14:paraId="6BBAF35D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+1 Punkt</w:t>
            </w:r>
          </w:p>
          <w:p w14:paraId="6BBAF35E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Pro Meldung an diesem Standort.</w:t>
            </w:r>
          </w:p>
          <w:p w14:paraId="6BBAF35F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+3 Punkte</w:t>
            </w:r>
          </w:p>
          <w:p w14:paraId="6BBAF360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Folgemeldung innerhalb von 21 Tagen (Wiederkehr).</w:t>
            </w:r>
          </w:p>
          <w:p w14:paraId="6BBAF361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Zeitfaktor</w:t>
            </w:r>
          </w:p>
          <w:p w14:paraId="6BBAF362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Aktuellere Meldungen werden stärker gewichtet.</w:t>
            </w:r>
          </w:p>
          <w:p w14:paraId="6BBAF363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Bezirksrelativ</w:t>
            </w:r>
          </w:p>
          <w:p w14:paraId="6BBAF364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Schwellen werden je Bezirk individuell berechnet (p50/p75/p95).</w:t>
            </w:r>
          </w:p>
        </w:tc>
        <w:tc>
          <w:tcPr>
            <w:tcW w:w="4240" w:type="dxa"/>
            <w:tcBorders>
              <w:top w:val="single" w:sz="12" w:space="0" w:color="7A787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BAF365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color w:val="4E4D4A"/>
              </w:rPr>
              <w:t>Datenschutz &amp; Lizenz</w:t>
            </w:r>
          </w:p>
          <w:p w14:paraId="6BBAF366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Open Data</w:t>
            </w:r>
          </w:p>
          <w:p w14:paraId="6BBAF367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Daten unter Datenlizenz Deutschland – Namensnennung 2.0.</w:t>
            </w:r>
          </w:p>
          <w:p w14:paraId="6BBAF368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Kein Login</w:t>
            </w:r>
          </w:p>
          <w:p w14:paraId="6BBAF369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Keine Nutzerkonten, keine Tracking-Cookies, keine Werbung.</w:t>
            </w:r>
          </w:p>
          <w:p w14:paraId="6BBAF36A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AGPL-3.0</w:t>
            </w:r>
          </w:p>
          <w:p w14:paraId="6BBAF36B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Quellcode öffentlich auf GitHub unter freier Lizenz.</w:t>
            </w:r>
          </w:p>
          <w:p w14:paraId="6BBAF36C" w14:textId="77777777" w:rsidR="00364D6C" w:rsidRDefault="00AC0266">
            <w:pPr>
              <w:spacing w:after="20"/>
            </w:pPr>
            <w:r>
              <w:rPr>
                <w:b/>
                <w:bCs/>
                <w:color w:val="7A7872"/>
              </w:rPr>
              <w:t xml:space="preserve">• </w:t>
            </w:r>
            <w:r>
              <w:rPr>
                <w:b/>
                <w:bCs/>
                <w:color w:val="4E4D4A"/>
              </w:rPr>
              <w:t>Transparenz</w:t>
            </w:r>
          </w:p>
          <w:p w14:paraId="6BBAF36D" w14:textId="77777777" w:rsidR="00364D6C" w:rsidRDefault="00AC0266">
            <w:pPr>
              <w:spacing w:after="100"/>
              <w:ind w:left="220"/>
            </w:pPr>
            <w:r>
              <w:rPr>
                <w:color w:val="4A5568"/>
                <w:sz w:val="20"/>
                <w:szCs w:val="20"/>
              </w:rPr>
              <w:t>Alle Berechnungen und Algorithmen sind offen einsehbar.</w:t>
            </w:r>
          </w:p>
        </w:tc>
      </w:tr>
    </w:tbl>
    <w:p w14:paraId="6BBAF36F" w14:textId="77777777" w:rsidR="00364D6C" w:rsidRDefault="00AC0266">
      <w:r>
        <w:br w:type="page"/>
      </w:r>
    </w:p>
    <w:p w14:paraId="6BBAF370" w14:textId="3EF3977E" w:rsidR="00364D6C" w:rsidRDefault="00EA09B0" w:rsidP="00EA09B0">
      <w:pPr>
        <w:pStyle w:val="berschrift1"/>
        <w:pBdr>
          <w:bottom w:val="single" w:sz="6" w:space="4" w:color="DDDBD7"/>
        </w:pBdr>
        <w:tabs>
          <w:tab w:val="left" w:pos="1590"/>
          <w:tab w:val="center" w:pos="4819"/>
        </w:tabs>
      </w:pPr>
      <w:r>
        <w:rPr>
          <w:rFonts w:ascii="Montserrat SemiBold" w:hAnsi="Montserrat SemiBold"/>
          <w:b w:val="0"/>
          <w:bCs w:val="0"/>
          <w:sz w:val="48"/>
          <w:szCs w:val="48"/>
        </w:rPr>
        <w:lastRenderedPageBreak/>
        <w:tab/>
      </w:r>
      <w:r>
        <w:rPr>
          <w:rFonts w:ascii="Montserrat SemiBold" w:hAnsi="Montserrat SemiBold"/>
          <w:b w:val="0"/>
          <w:bCs w:val="0"/>
          <w:sz w:val="48"/>
          <w:szCs w:val="48"/>
        </w:rPr>
        <w:tab/>
      </w:r>
      <w:r w:rsidR="00AC0266" w:rsidRPr="00EA09B0">
        <w:rPr>
          <w:rFonts w:ascii="Montserrat SemiBold" w:hAnsi="Montserrat SemiBold"/>
          <w:b w:val="0"/>
          <w:bCs w:val="0"/>
          <w:sz w:val="48"/>
          <w:szCs w:val="48"/>
        </w:rPr>
        <w:t>Ausgangslage und Mehrwert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0"/>
        <w:gridCol w:w="4330"/>
      </w:tblGrid>
      <w:tr w:rsidR="00364D6C" w14:paraId="6BBAF385" w14:textId="77777777">
        <w:tblPrEx>
          <w:tblCellMar>
            <w:top w:w="0" w:type="dxa"/>
            <w:bottom w:w="0" w:type="dxa"/>
          </w:tblCellMar>
        </w:tblPrEx>
        <w:tc>
          <w:tcPr>
            <w:tcW w:w="4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BBAF371" w14:textId="77777777" w:rsidR="00364D6C" w:rsidRDefault="00AC0266">
            <w:pPr>
              <w:keepNext/>
              <w:spacing w:after="1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Ausgangslage</w:t>
            </w:r>
          </w:p>
          <w:p w14:paraId="53274964" w14:textId="77777777" w:rsidR="00EA09B0" w:rsidRDefault="00EA09B0">
            <w:pPr>
              <w:keepNext/>
              <w:spacing w:after="100"/>
            </w:pPr>
          </w:p>
          <w:p w14:paraId="6BBAF372" w14:textId="61C5CCC9" w:rsidR="00364D6C" w:rsidRDefault="00AC0266">
            <w:pPr>
              <w:spacing w:after="140"/>
            </w:pPr>
            <w:r>
              <w:rPr>
                <w:color w:val="4A5568"/>
              </w:rPr>
              <w:t xml:space="preserve">Die Beseitigung illegaler Müllablagerungen kostet Berlin jährlich geschätzte </w:t>
            </w:r>
            <w:r>
              <w:rPr>
                <w:b/>
                <w:bCs/>
              </w:rPr>
              <w:t>60 Mio. Euro</w:t>
            </w:r>
            <w:r>
              <w:rPr>
                <w:color w:val="4A5568"/>
              </w:rPr>
              <w:t>.</w:t>
            </w:r>
            <w:r>
              <w:rPr>
                <w:color w:val="4A5568"/>
              </w:rPr>
              <w:t xml:space="preserve"> Hinzu kommen Aufwendungen für Kontrollfahrten und Beschwerdemanagement.</w:t>
            </w:r>
          </w:p>
          <w:p w14:paraId="6BBAF373" w14:textId="5C99B58A" w:rsidR="00364D6C" w:rsidRDefault="00AC0266">
            <w:pPr>
              <w:spacing w:after="180"/>
            </w:pPr>
            <w:r>
              <w:rPr>
                <w:color w:val="4A5568"/>
              </w:rPr>
              <w:t xml:space="preserve">Die meisten Bezirke arbeiten reaktiv. Welche Orte chronisch betroffen sind und wo präventive </w:t>
            </w:r>
            <w:r w:rsidR="00EA09B0">
              <w:rPr>
                <w:color w:val="4A5568"/>
              </w:rPr>
              <w:t>Maßnahmen</w:t>
            </w:r>
            <w:r>
              <w:rPr>
                <w:color w:val="4A5568"/>
              </w:rPr>
              <w:t xml:space="preserve"> wirken würden, bleibt oft unklar.</w:t>
            </w:r>
          </w:p>
          <w:p w14:paraId="6BBAF374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sz w:val="24"/>
                <w:szCs w:val="24"/>
              </w:rPr>
              <w:t>Kostentreiber</w:t>
            </w:r>
          </w:p>
          <w:p w14:paraId="6BBAF375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rPr>
                <w:color w:val="4A5568"/>
              </w:rPr>
              <w:t>Ungeplante Kontrollfahrten — hoher Personal- und Zeitaufwand</w:t>
            </w:r>
          </w:p>
          <w:p w14:paraId="6BBAF376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rPr>
                <w:color w:val="4A5568"/>
              </w:rPr>
              <w:t>Eskalierte Entsorgung — Kontamination durch länger liegende Ablagerungen</w:t>
            </w:r>
          </w:p>
          <w:p w14:paraId="6BBAF377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rPr>
                <w:color w:val="4A5568"/>
              </w:rPr>
              <w:t>Fehlende Datenbasis — keine Argumente für Haushaltsverhandlungen</w:t>
            </w:r>
          </w:p>
          <w:p w14:paraId="6BBAF378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80"/>
            </w:pPr>
            <w:r>
              <w:rPr>
                <w:color w:val="4A5568"/>
              </w:rPr>
              <w:t>Reaktives Arbeiten — keine Frühwarnung bei saisonalen Spitzen</w:t>
            </w:r>
          </w:p>
        </w:tc>
        <w:tc>
          <w:tcPr>
            <w:tcW w:w="4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6BBAF379" w14:textId="77777777" w:rsidR="00364D6C" w:rsidRDefault="00AC0266">
            <w:pPr>
              <w:keepNext/>
              <w:spacing w:after="1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Mehrwert</w:t>
            </w:r>
          </w:p>
          <w:p w14:paraId="5AC20EFC" w14:textId="77777777" w:rsidR="00EA09B0" w:rsidRDefault="00EA09B0">
            <w:pPr>
              <w:keepNext/>
              <w:spacing w:after="100"/>
            </w:pPr>
          </w:p>
          <w:p w14:paraId="6BBAF37A" w14:textId="77777777" w:rsidR="00364D6C" w:rsidRDefault="00AC0266">
            <w:pPr>
              <w:pStyle w:val="Listenabsatz"/>
              <w:numPr>
                <w:ilvl w:val="0"/>
                <w:numId w:val="3"/>
              </w:numPr>
              <w:spacing w:after="80"/>
            </w:pPr>
            <w:r>
              <w:rPr>
                <w:color w:val="4A5568"/>
              </w:rPr>
              <w:t>Gezielte Einsatzplanung — Teams dorthin steuern, wo Ablagerungen entstehen</w:t>
            </w:r>
          </w:p>
          <w:p w14:paraId="6BBAF37B" w14:textId="77777777" w:rsidR="00364D6C" w:rsidRDefault="00AC0266">
            <w:pPr>
              <w:pStyle w:val="Listenabsatz"/>
              <w:numPr>
                <w:ilvl w:val="0"/>
                <w:numId w:val="3"/>
              </w:numPr>
              <w:spacing w:after="80"/>
            </w:pPr>
            <w:r>
              <w:rPr>
                <w:color w:val="4A5568"/>
              </w:rPr>
              <w:t>Ressourcen fokussieren — Kontrollrouten auf echte Hotspots konzentrieren</w:t>
            </w:r>
          </w:p>
          <w:p w14:paraId="6BBAF37C" w14:textId="77777777" w:rsidR="00364D6C" w:rsidRDefault="00AC0266">
            <w:pPr>
              <w:pStyle w:val="Listenabsatz"/>
              <w:numPr>
                <w:ilvl w:val="0"/>
                <w:numId w:val="3"/>
              </w:numPr>
              <w:spacing w:after="80"/>
            </w:pPr>
            <w:r>
              <w:rPr>
                <w:color w:val="4A5568"/>
              </w:rPr>
              <w:t>Datenbasierte Entscheidungen — Grundlage für Anfragen und Budget</w:t>
            </w:r>
          </w:p>
          <w:p w14:paraId="6BBAF37D" w14:textId="77777777" w:rsidR="00364D6C" w:rsidRDefault="00AC0266">
            <w:pPr>
              <w:pStyle w:val="Listenabsatz"/>
              <w:numPr>
                <w:ilvl w:val="0"/>
                <w:numId w:val="3"/>
              </w:numPr>
              <w:spacing w:after="80"/>
            </w:pPr>
            <w:r>
              <w:rPr>
                <w:color w:val="4A5568"/>
              </w:rPr>
              <w:t>Benchmarking — Meldungsaufkommen zwischen Bezirken vergleichen</w:t>
            </w:r>
          </w:p>
          <w:p w14:paraId="6BBAF37E" w14:textId="77777777" w:rsidR="00364D6C" w:rsidRDefault="00AC0266">
            <w:pPr>
              <w:pStyle w:val="Listenabsatz"/>
              <w:numPr>
                <w:ilvl w:val="0"/>
                <w:numId w:val="3"/>
              </w:numPr>
              <w:spacing w:after="80"/>
            </w:pPr>
            <w:r>
              <w:rPr>
                <w:color w:val="4A5568"/>
              </w:rPr>
              <w:t>Frühwarnung — saisonale Spitzen rechtzeitig erkennen</w:t>
            </w:r>
          </w:p>
          <w:p w14:paraId="6BBAF37F" w14:textId="77777777" w:rsidR="00364D6C" w:rsidRDefault="00AC0266">
            <w:pPr>
              <w:pStyle w:val="Listenabsatz"/>
              <w:numPr>
                <w:ilvl w:val="0"/>
                <w:numId w:val="3"/>
              </w:numPr>
              <w:spacing w:after="80"/>
            </w:pPr>
            <w:r>
              <w:rPr>
                <w:color w:val="4A5568"/>
              </w:rPr>
              <w:t>Bürgertransparenz — nachvollziehbare Fortschritte stärken Vertrauen</w:t>
            </w:r>
          </w:p>
          <w:p w14:paraId="6BBAF380" w14:textId="77777777" w:rsidR="00364D6C" w:rsidRDefault="00364D6C">
            <w:pPr>
              <w:spacing w:after="120"/>
            </w:pPr>
          </w:p>
          <w:tbl>
            <w:tblPr>
              <w:tblW w:w="40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0"/>
              <w:gridCol w:w="3880"/>
            </w:tblGrid>
            <w:tr w:rsidR="00364D6C" w14:paraId="6BBAF3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" w:type="dxa"/>
                  <w:tcBorders>
                    <w:top w:val="none" w:sz="0" w:space="0" w:color="FFFFFF"/>
                    <w:left w:val="single" w:sz="16" w:space="0" w:color="276749"/>
                    <w:bottom w:val="none" w:sz="0" w:space="0" w:color="FFFFFF"/>
                    <w:right w:val="none" w:sz="0" w:space="0" w:color="FFFFFF"/>
                  </w:tcBorders>
                  <w:shd w:val="clear" w:color="auto" w:fill="F0FFF4"/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</w:tcPr>
                <w:p w14:paraId="6BBAF381" w14:textId="77777777" w:rsidR="00364D6C" w:rsidRDefault="00364D6C">
                  <w:pPr>
                    <w:spacing w:after="100"/>
                  </w:pPr>
                </w:p>
              </w:tc>
              <w:tc>
                <w:tcPr>
                  <w:tcW w:w="3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FF4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BBAF382" w14:textId="77777777" w:rsidR="00364D6C" w:rsidRDefault="00AC0266">
                  <w:pPr>
                    <w:spacing w:after="100"/>
                  </w:pPr>
                  <w:r>
                    <w:rPr>
                      <w:color w:val="276749"/>
                    </w:rPr>
                    <w:t>Jeder Bezirk, der Hotspots frühzeitig erkennt und Einsätze gezielt plant, reduziert Aufwand, verkürzt Reaktionszeiten und senkt Folgekosten.</w:t>
                  </w:r>
                </w:p>
              </w:tc>
            </w:tr>
          </w:tbl>
          <w:p w14:paraId="6BBAF384" w14:textId="77777777" w:rsidR="00364D6C" w:rsidRDefault="00364D6C"/>
        </w:tc>
      </w:tr>
    </w:tbl>
    <w:p w14:paraId="6BBAF386" w14:textId="77777777" w:rsidR="00364D6C" w:rsidRDefault="00364D6C">
      <w:pPr>
        <w:spacing w:after="220"/>
      </w:pPr>
    </w:p>
    <w:p w14:paraId="09BD4C12" w14:textId="77777777" w:rsidR="00EA09B0" w:rsidRDefault="00EA09B0">
      <w:pPr>
        <w:spacing w:after="220"/>
      </w:pPr>
    </w:p>
    <w:p w14:paraId="6BBAF387" w14:textId="77777777" w:rsidR="00364D6C" w:rsidRDefault="00AC0266" w:rsidP="00EA09B0">
      <w:pPr>
        <w:pStyle w:val="berschrift1"/>
        <w:pBdr>
          <w:bottom w:val="single" w:sz="6" w:space="4" w:color="DDDBD7"/>
        </w:pBdr>
        <w:jc w:val="center"/>
      </w:pPr>
      <w:r w:rsidRPr="00EA09B0">
        <w:rPr>
          <w:rFonts w:ascii="Montserrat SemiBold" w:hAnsi="Montserrat SemiBold"/>
          <w:b w:val="0"/>
          <w:bCs w:val="0"/>
          <w:sz w:val="48"/>
          <w:szCs w:val="48"/>
        </w:rPr>
        <w:t>Einstufungssystem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240"/>
      </w:tblGrid>
      <w:tr w:rsidR="00364D6C" w14:paraId="6BBAF3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AF388" w14:textId="77777777" w:rsidR="00364D6C" w:rsidRDefault="00AC0266">
            <w:pPr>
              <w:spacing w:after="100"/>
            </w:pPr>
            <w:r>
              <w:rPr>
                <w:b/>
                <w:bCs/>
                <w:color w:val="C53030"/>
              </w:rPr>
              <w:t>KRITISCH</w:t>
            </w:r>
          </w:p>
        </w:tc>
        <w:tc>
          <w:tcPr>
            <w:tcW w:w="724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AF389" w14:textId="2AC5C99D" w:rsidR="00364D6C" w:rsidRDefault="00AC0266">
            <w:pPr>
              <w:spacing w:after="100"/>
            </w:pPr>
            <w:r>
              <w:rPr>
                <w:color w:val="4A5568"/>
                <w:sz w:val="20"/>
                <w:szCs w:val="20"/>
              </w:rPr>
              <w:t xml:space="preserve">Dauerhafter Problemstandort · </w:t>
            </w:r>
            <w:r w:rsidR="00EA09B0">
              <w:rPr>
                <w:color w:val="4A5568"/>
                <w:sz w:val="20"/>
                <w:szCs w:val="20"/>
              </w:rPr>
              <w:t>Sofortmaßnahmen</w:t>
            </w:r>
            <w:r>
              <w:rPr>
                <w:color w:val="4A5568"/>
                <w:sz w:val="20"/>
                <w:szCs w:val="20"/>
              </w:rPr>
              <w:t xml:space="preserve"> empfohlen</w:t>
            </w:r>
          </w:p>
        </w:tc>
      </w:tr>
      <w:tr w:rsidR="00364D6C" w14:paraId="6BBAF3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A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AF38B" w14:textId="77777777" w:rsidR="00364D6C" w:rsidRDefault="00AC0266">
            <w:pPr>
              <w:spacing w:after="100"/>
            </w:pPr>
            <w:r>
              <w:rPr>
                <w:b/>
                <w:bCs/>
                <w:color w:val="C05621"/>
              </w:rPr>
              <w:t>HOCH</w:t>
            </w:r>
          </w:p>
        </w:tc>
        <w:tc>
          <w:tcPr>
            <w:tcW w:w="724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AF38C" w14:textId="6CCB7146" w:rsidR="00364D6C" w:rsidRDefault="00AC0266">
            <w:pPr>
              <w:spacing w:after="100"/>
            </w:pPr>
            <w:r>
              <w:rPr>
                <w:color w:val="4A5568"/>
                <w:sz w:val="20"/>
                <w:szCs w:val="20"/>
              </w:rPr>
              <w:t xml:space="preserve">Wiederholendes Muster · </w:t>
            </w:r>
            <w:r w:rsidR="00EA09B0">
              <w:rPr>
                <w:color w:val="4A5568"/>
                <w:sz w:val="20"/>
                <w:szCs w:val="20"/>
              </w:rPr>
              <w:t>Regelmäßige</w:t>
            </w:r>
            <w:r>
              <w:rPr>
                <w:color w:val="4A5568"/>
                <w:sz w:val="20"/>
                <w:szCs w:val="20"/>
              </w:rPr>
              <w:t xml:space="preserve"> Kontrolle erforderlich</w:t>
            </w:r>
          </w:p>
        </w:tc>
      </w:tr>
      <w:tr w:rsidR="00364D6C" w14:paraId="6BBAF3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AF38E" w14:textId="77777777" w:rsidR="00364D6C" w:rsidRDefault="00AC0266">
            <w:pPr>
              <w:spacing w:after="100"/>
            </w:pPr>
            <w:r>
              <w:rPr>
                <w:b/>
                <w:bCs/>
                <w:color w:val="B7791F"/>
              </w:rPr>
              <w:t>MITTEL</w:t>
            </w:r>
          </w:p>
        </w:tc>
        <w:tc>
          <w:tcPr>
            <w:tcW w:w="724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AF38F" w14:textId="77777777" w:rsidR="00364D6C" w:rsidRDefault="00AC0266">
            <w:pPr>
              <w:spacing w:after="100"/>
            </w:pPr>
            <w:r>
              <w:rPr>
                <w:color w:val="4A5568"/>
                <w:sz w:val="20"/>
                <w:szCs w:val="20"/>
              </w:rPr>
              <w:t>Gelegentliche Häufung · Beobachtung empfohlen</w:t>
            </w:r>
          </w:p>
        </w:tc>
      </w:tr>
      <w:tr w:rsidR="00364D6C" w14:paraId="6BBAF3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AF391" w14:textId="77777777" w:rsidR="00364D6C" w:rsidRDefault="00AC0266">
            <w:pPr>
              <w:spacing w:after="100"/>
            </w:pPr>
            <w:r>
              <w:rPr>
                <w:b/>
                <w:bCs/>
                <w:color w:val="276749"/>
              </w:rPr>
              <w:t>NIEDRIG</w:t>
            </w:r>
          </w:p>
        </w:tc>
        <w:tc>
          <w:tcPr>
            <w:tcW w:w="724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AF392" w14:textId="77777777" w:rsidR="00364D6C" w:rsidRDefault="00AC0266">
            <w:pPr>
              <w:spacing w:after="100"/>
            </w:pPr>
            <w:r>
              <w:rPr>
                <w:color w:val="4A5568"/>
                <w:sz w:val="20"/>
                <w:szCs w:val="20"/>
              </w:rPr>
              <w:t>Einzelmeldung oder seltene Aktivität · Reaktive Bearbeitung</w:t>
            </w:r>
          </w:p>
        </w:tc>
      </w:tr>
    </w:tbl>
    <w:p w14:paraId="6BBAF394" w14:textId="77777777" w:rsidR="00364D6C" w:rsidRDefault="00AC0266">
      <w:r>
        <w:br w:type="page"/>
      </w:r>
    </w:p>
    <w:p w14:paraId="4C6A40EA" w14:textId="77777777" w:rsidR="00EA09B0" w:rsidRDefault="00EA09B0" w:rsidP="00EA09B0">
      <w:pPr>
        <w:pStyle w:val="berschrift1"/>
        <w:pBdr>
          <w:bottom w:val="single" w:sz="6" w:space="4" w:color="DDDBD7"/>
        </w:pBdr>
        <w:jc w:val="center"/>
        <w:rPr>
          <w:rFonts w:ascii="Montserrat SemiBold" w:hAnsi="Montserrat SemiBold"/>
          <w:b w:val="0"/>
          <w:bCs w:val="0"/>
          <w:sz w:val="48"/>
          <w:szCs w:val="48"/>
        </w:rPr>
      </w:pPr>
    </w:p>
    <w:p w14:paraId="6BBAF395" w14:textId="73C7A0A1" w:rsidR="00364D6C" w:rsidRDefault="00AC0266" w:rsidP="00EA09B0">
      <w:pPr>
        <w:pStyle w:val="berschrift1"/>
        <w:pBdr>
          <w:bottom w:val="single" w:sz="6" w:space="4" w:color="DDDBD7"/>
        </w:pBdr>
        <w:jc w:val="center"/>
      </w:pPr>
      <w:r w:rsidRPr="00EA09B0">
        <w:rPr>
          <w:rFonts w:ascii="Montserrat SemiBold" w:hAnsi="Montserrat SemiBold"/>
          <w:b w:val="0"/>
          <w:bCs w:val="0"/>
          <w:sz w:val="48"/>
          <w:szCs w:val="48"/>
        </w:rPr>
        <w:t>Datenlage</w:t>
      </w:r>
    </w:p>
    <w:p w14:paraId="6BBAF396" w14:textId="77777777" w:rsidR="00364D6C" w:rsidRDefault="00AC0266">
      <w:pPr>
        <w:pStyle w:val="berschrift2"/>
      </w:pPr>
      <w:r>
        <w:t>Hinweis zur Datenqualität</w:t>
      </w:r>
    </w:p>
    <w:p w14:paraId="6BBAF397" w14:textId="77777777" w:rsidR="00364D6C" w:rsidRDefault="00AC0266">
      <w:pPr>
        <w:spacing w:after="140"/>
      </w:pPr>
      <w:r>
        <w:rPr>
          <w:color w:val="4A5568"/>
        </w:rPr>
        <w:t>Die OpenData-API des Berliner Ordnungsamtes liefert für mehrere Bezirke nur einen Bruchteil der tatsächlichen Meldungen. Das AMS des LABO enthält alle Vorgänge — die API gibt nur wenige weiter.</w:t>
      </w:r>
    </w:p>
    <w:p w14:paraId="6BBAF398" w14:textId="77777777" w:rsidR="00364D6C" w:rsidRDefault="00AC0266">
      <w:pPr>
        <w:spacing w:after="200"/>
      </w:pPr>
      <w:r>
        <w:rPr>
          <w:i/>
          <w:iCs/>
          <w:color w:val="7A7872"/>
          <w:sz w:val="20"/>
          <w:szCs w:val="20"/>
        </w:rPr>
        <w:t>Quelle: Drucksache 19/17628, Senatsverwaltung für Mobilität, Januar 2024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4"/>
        <w:gridCol w:w="799"/>
        <w:gridCol w:w="1500"/>
        <w:gridCol w:w="927"/>
      </w:tblGrid>
      <w:tr w:rsidR="00364D6C" w14:paraId="6BBAF3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4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4E4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99" w14:textId="77777777" w:rsidR="00364D6C" w:rsidRDefault="00AC0266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Bezirk</w:t>
            </w:r>
          </w:p>
        </w:tc>
        <w:tc>
          <w:tcPr>
            <w:tcW w:w="8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4E4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9A" w14:textId="77777777" w:rsidR="00364D6C" w:rsidRDefault="00AC0266">
            <w:pPr>
              <w:spacing w:after="10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In API</w:t>
            </w:r>
          </w:p>
        </w:tc>
        <w:tc>
          <w:tcPr>
            <w:tcW w:w="15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4E4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9B" w14:textId="77777777" w:rsidR="00364D6C" w:rsidRDefault="00AC0266">
            <w:pPr>
              <w:spacing w:after="10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Tatsächlich (2022)</w:t>
            </w:r>
          </w:p>
        </w:tc>
        <w:tc>
          <w:tcPr>
            <w:tcW w:w="9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4E4D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9C" w14:textId="77777777" w:rsidR="00364D6C" w:rsidRDefault="00AC0266">
            <w:pPr>
              <w:spacing w:after="10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Faktor</w:t>
            </w:r>
          </w:p>
        </w:tc>
      </w:tr>
      <w:tr w:rsidR="00364D6C" w14:paraId="6BBAF3A2" w14:textId="77777777">
        <w:tblPrEx>
          <w:tblCellMar>
            <w:top w:w="0" w:type="dxa"/>
            <w:bottom w:w="0" w:type="dxa"/>
          </w:tblCellMar>
        </w:tblPrEx>
        <w:tc>
          <w:tcPr>
            <w:tcW w:w="544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9E" w14:textId="77777777" w:rsidR="00364D6C" w:rsidRDefault="00AC0266">
            <w:pPr>
              <w:spacing w:after="100"/>
            </w:pPr>
            <w:r>
              <w:rPr>
                <w:color w:val="2D3748"/>
                <w:sz w:val="20"/>
                <w:szCs w:val="20"/>
              </w:rPr>
              <w:t>Charlottenburg-Wilmersdorf</w:t>
            </w:r>
          </w:p>
        </w:tc>
        <w:tc>
          <w:tcPr>
            <w:tcW w:w="8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9F" w14:textId="77777777" w:rsidR="00364D6C" w:rsidRDefault="00AC0266">
            <w:pPr>
              <w:spacing w:after="100"/>
              <w:jc w:val="right"/>
            </w:pPr>
            <w:r>
              <w:rPr>
                <w:color w:val="2D3748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0" w14:textId="77777777" w:rsidR="00364D6C" w:rsidRDefault="00AC0266">
            <w:pPr>
              <w:spacing w:after="100"/>
              <w:jc w:val="right"/>
            </w:pPr>
            <w:r>
              <w:rPr>
                <w:color w:val="2D3748"/>
                <w:sz w:val="20"/>
                <w:szCs w:val="20"/>
              </w:rPr>
              <w:t>11.575</w:t>
            </w:r>
          </w:p>
        </w:tc>
        <w:tc>
          <w:tcPr>
            <w:tcW w:w="9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1" w14:textId="77777777" w:rsidR="00364D6C" w:rsidRDefault="00AC0266">
            <w:pPr>
              <w:spacing w:after="100"/>
              <w:jc w:val="right"/>
            </w:pPr>
            <w:r>
              <w:rPr>
                <w:b/>
                <w:bCs/>
                <w:color w:val="C53030"/>
                <w:sz w:val="20"/>
                <w:szCs w:val="20"/>
              </w:rPr>
              <w:t>3.858×</w:t>
            </w:r>
          </w:p>
        </w:tc>
      </w:tr>
      <w:tr w:rsidR="00364D6C" w14:paraId="6BBAF3A7" w14:textId="77777777">
        <w:tblPrEx>
          <w:tblCellMar>
            <w:top w:w="0" w:type="dxa"/>
            <w:bottom w:w="0" w:type="dxa"/>
          </w:tblCellMar>
        </w:tblPrEx>
        <w:tc>
          <w:tcPr>
            <w:tcW w:w="544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0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3" w14:textId="77777777" w:rsidR="00364D6C" w:rsidRDefault="00AC0266">
            <w:pPr>
              <w:spacing w:after="100"/>
            </w:pPr>
            <w:r>
              <w:rPr>
                <w:color w:val="2D3748"/>
                <w:sz w:val="20"/>
                <w:szCs w:val="20"/>
              </w:rPr>
              <w:t>Steglitz-Zehlendorf</w:t>
            </w:r>
          </w:p>
        </w:tc>
        <w:tc>
          <w:tcPr>
            <w:tcW w:w="8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0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4" w14:textId="77777777" w:rsidR="00364D6C" w:rsidRDefault="00AC0266">
            <w:pPr>
              <w:spacing w:after="100"/>
              <w:jc w:val="right"/>
            </w:pPr>
            <w:r>
              <w:rPr>
                <w:color w:val="2D3748"/>
                <w:sz w:val="20"/>
                <w:szCs w:val="20"/>
              </w:rPr>
              <w:t>18</w:t>
            </w:r>
          </w:p>
        </w:tc>
        <w:tc>
          <w:tcPr>
            <w:tcW w:w="15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0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5" w14:textId="77777777" w:rsidR="00364D6C" w:rsidRDefault="00AC0266">
            <w:pPr>
              <w:spacing w:after="100"/>
              <w:jc w:val="right"/>
            </w:pPr>
            <w:r>
              <w:rPr>
                <w:color w:val="2D3748"/>
                <w:sz w:val="20"/>
                <w:szCs w:val="20"/>
              </w:rPr>
              <w:t>3.857</w:t>
            </w:r>
          </w:p>
        </w:tc>
        <w:tc>
          <w:tcPr>
            <w:tcW w:w="9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0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6" w14:textId="77777777" w:rsidR="00364D6C" w:rsidRDefault="00AC0266">
            <w:pPr>
              <w:spacing w:after="100"/>
              <w:jc w:val="right"/>
            </w:pPr>
            <w:r>
              <w:rPr>
                <w:b/>
                <w:bCs/>
                <w:color w:val="C53030"/>
                <w:sz w:val="20"/>
                <w:szCs w:val="20"/>
              </w:rPr>
              <w:t>214×</w:t>
            </w:r>
          </w:p>
        </w:tc>
      </w:tr>
      <w:tr w:rsidR="00364D6C" w14:paraId="6BBAF3AC" w14:textId="77777777">
        <w:tblPrEx>
          <w:tblCellMar>
            <w:top w:w="0" w:type="dxa"/>
            <w:bottom w:w="0" w:type="dxa"/>
          </w:tblCellMar>
        </w:tblPrEx>
        <w:tc>
          <w:tcPr>
            <w:tcW w:w="544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8" w14:textId="77777777" w:rsidR="00364D6C" w:rsidRDefault="00AC0266">
            <w:pPr>
              <w:spacing w:after="100"/>
            </w:pPr>
            <w:r>
              <w:rPr>
                <w:color w:val="2D3748"/>
                <w:sz w:val="20"/>
                <w:szCs w:val="20"/>
              </w:rPr>
              <w:t>Mitte</w:t>
            </w:r>
          </w:p>
        </w:tc>
        <w:tc>
          <w:tcPr>
            <w:tcW w:w="8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9" w14:textId="77777777" w:rsidR="00364D6C" w:rsidRDefault="00AC0266">
            <w:pPr>
              <w:spacing w:after="100"/>
              <w:jc w:val="right"/>
            </w:pPr>
            <w:r>
              <w:rPr>
                <w:color w:val="2D3748"/>
                <w:sz w:val="20"/>
                <w:szCs w:val="20"/>
              </w:rPr>
              <w:t>143</w:t>
            </w:r>
          </w:p>
        </w:tc>
        <w:tc>
          <w:tcPr>
            <w:tcW w:w="15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A" w14:textId="77777777" w:rsidR="00364D6C" w:rsidRDefault="00AC0266">
            <w:pPr>
              <w:spacing w:after="100"/>
              <w:jc w:val="right"/>
            </w:pPr>
            <w:r>
              <w:rPr>
                <w:color w:val="2D3748"/>
                <w:sz w:val="20"/>
                <w:szCs w:val="20"/>
              </w:rPr>
              <w:t>16.183</w:t>
            </w:r>
          </w:p>
        </w:tc>
        <w:tc>
          <w:tcPr>
            <w:tcW w:w="9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B" w14:textId="77777777" w:rsidR="00364D6C" w:rsidRDefault="00AC0266">
            <w:pPr>
              <w:spacing w:after="100"/>
              <w:jc w:val="right"/>
            </w:pPr>
            <w:r>
              <w:rPr>
                <w:b/>
                <w:bCs/>
                <w:color w:val="C53030"/>
                <w:sz w:val="20"/>
                <w:szCs w:val="20"/>
              </w:rPr>
              <w:t>113×</w:t>
            </w:r>
          </w:p>
        </w:tc>
      </w:tr>
      <w:tr w:rsidR="00364D6C" w14:paraId="6BBAF3B1" w14:textId="77777777">
        <w:tblPrEx>
          <w:tblCellMar>
            <w:top w:w="0" w:type="dxa"/>
            <w:bottom w:w="0" w:type="dxa"/>
          </w:tblCellMar>
        </w:tblPrEx>
        <w:tc>
          <w:tcPr>
            <w:tcW w:w="544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0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D" w14:textId="77777777" w:rsidR="00364D6C" w:rsidRDefault="00AC0266">
            <w:pPr>
              <w:spacing w:after="100"/>
            </w:pPr>
            <w:r>
              <w:rPr>
                <w:color w:val="2D3748"/>
                <w:sz w:val="20"/>
                <w:szCs w:val="20"/>
              </w:rPr>
              <w:t>Lichtenberg</w:t>
            </w:r>
          </w:p>
        </w:tc>
        <w:tc>
          <w:tcPr>
            <w:tcW w:w="8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0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E" w14:textId="77777777" w:rsidR="00364D6C" w:rsidRDefault="00AC0266">
            <w:pPr>
              <w:spacing w:after="100"/>
              <w:jc w:val="right"/>
            </w:pPr>
            <w:r>
              <w:rPr>
                <w:color w:val="2D3748"/>
                <w:sz w:val="20"/>
                <w:szCs w:val="20"/>
              </w:rPr>
              <w:t>151</w:t>
            </w:r>
          </w:p>
        </w:tc>
        <w:tc>
          <w:tcPr>
            <w:tcW w:w="15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0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AF" w14:textId="77777777" w:rsidR="00364D6C" w:rsidRDefault="00AC0266">
            <w:pPr>
              <w:spacing w:after="100"/>
              <w:jc w:val="right"/>
            </w:pPr>
            <w:r>
              <w:rPr>
                <w:color w:val="2D3748"/>
                <w:sz w:val="20"/>
                <w:szCs w:val="20"/>
              </w:rPr>
              <w:t>5.020</w:t>
            </w:r>
          </w:p>
        </w:tc>
        <w:tc>
          <w:tcPr>
            <w:tcW w:w="9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0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B0" w14:textId="77777777" w:rsidR="00364D6C" w:rsidRDefault="00AC0266">
            <w:pPr>
              <w:spacing w:after="100"/>
              <w:jc w:val="right"/>
            </w:pPr>
            <w:r>
              <w:rPr>
                <w:b/>
                <w:bCs/>
                <w:color w:val="C53030"/>
                <w:sz w:val="20"/>
                <w:szCs w:val="20"/>
              </w:rPr>
              <w:t>33×</w:t>
            </w:r>
          </w:p>
        </w:tc>
      </w:tr>
      <w:tr w:rsidR="00364D6C" w14:paraId="6BBAF3B6" w14:textId="77777777">
        <w:tblPrEx>
          <w:tblCellMar>
            <w:top w:w="0" w:type="dxa"/>
            <w:bottom w:w="0" w:type="dxa"/>
          </w:tblCellMar>
        </w:tblPrEx>
        <w:tc>
          <w:tcPr>
            <w:tcW w:w="544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B2" w14:textId="77777777" w:rsidR="00364D6C" w:rsidRDefault="00AC0266">
            <w:pPr>
              <w:spacing w:after="100"/>
            </w:pPr>
            <w:r>
              <w:rPr>
                <w:color w:val="2D3748"/>
                <w:sz w:val="20"/>
                <w:szCs w:val="20"/>
              </w:rPr>
              <w:t>Spandau</w:t>
            </w:r>
          </w:p>
        </w:tc>
        <w:tc>
          <w:tcPr>
            <w:tcW w:w="8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B3" w14:textId="77777777" w:rsidR="00364D6C" w:rsidRDefault="00AC0266">
            <w:pPr>
              <w:spacing w:after="100"/>
              <w:jc w:val="right"/>
            </w:pPr>
            <w:r>
              <w:rPr>
                <w:color w:val="2D3748"/>
                <w:sz w:val="20"/>
                <w:szCs w:val="20"/>
              </w:rPr>
              <w:t>415</w:t>
            </w:r>
          </w:p>
        </w:tc>
        <w:tc>
          <w:tcPr>
            <w:tcW w:w="15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B4" w14:textId="77777777" w:rsidR="00364D6C" w:rsidRDefault="00AC0266">
            <w:pPr>
              <w:spacing w:after="100"/>
              <w:jc w:val="right"/>
            </w:pPr>
            <w:r>
              <w:rPr>
                <w:color w:val="2D3748"/>
                <w:sz w:val="20"/>
                <w:szCs w:val="20"/>
              </w:rPr>
              <w:t>5.273</w:t>
            </w:r>
          </w:p>
        </w:tc>
        <w:tc>
          <w:tcPr>
            <w:tcW w:w="900" w:type="dxa"/>
            <w:tcBorders>
              <w:top w:val="single" w:sz="1" w:space="0" w:color="DDDBD7"/>
              <w:left w:val="single" w:sz="1" w:space="0" w:color="DDDBD7"/>
              <w:bottom w:val="single" w:sz="1" w:space="0" w:color="DDDBD7"/>
              <w:right w:val="single" w:sz="1" w:space="0" w:color="DDDBD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3B5" w14:textId="77777777" w:rsidR="00364D6C" w:rsidRDefault="00AC0266">
            <w:pPr>
              <w:spacing w:after="100"/>
              <w:jc w:val="right"/>
            </w:pPr>
            <w:r>
              <w:rPr>
                <w:b/>
                <w:bCs/>
                <w:color w:val="C53030"/>
                <w:sz w:val="20"/>
                <w:szCs w:val="20"/>
              </w:rPr>
              <w:t>13×</w:t>
            </w:r>
          </w:p>
        </w:tc>
      </w:tr>
    </w:tbl>
    <w:p w14:paraId="6BBAF3B7" w14:textId="77777777" w:rsidR="00364D6C" w:rsidRDefault="00364D6C">
      <w:pPr>
        <w:spacing w:after="24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8480"/>
      </w:tblGrid>
      <w:tr w:rsidR="00364D6C" w14:paraId="6BBAF3BB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single" w:sz="20" w:space="0" w:color="B7791F"/>
              <w:bottom w:val="none" w:sz="0" w:space="0" w:color="FFFFFF"/>
              <w:right w:val="none" w:sz="0" w:space="0" w:color="FFFFFF"/>
            </w:tcBorders>
            <w:shd w:val="clear" w:color="auto" w:fill="FFFFF0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BBAF3B8" w14:textId="77777777" w:rsidR="00364D6C" w:rsidRDefault="00364D6C">
            <w:pPr>
              <w:spacing w:after="100"/>
            </w:pPr>
          </w:p>
        </w:tc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AF3B9" w14:textId="77777777" w:rsidR="00364D6C" w:rsidRDefault="00AC0266">
            <w:pPr>
              <w:spacing w:after="80"/>
            </w:pPr>
            <w:r>
              <w:rPr>
                <w:b/>
                <w:bCs/>
                <w:color w:val="7B341E"/>
              </w:rPr>
              <w:t>Unser Ansatz</w:t>
            </w:r>
          </w:p>
          <w:p w14:paraId="085B7A7E" w14:textId="77777777" w:rsidR="00EA09B0" w:rsidRDefault="00AC0266">
            <w:pPr>
              <w:spacing w:after="100"/>
              <w:rPr>
                <w:color w:val="744210"/>
                <w:sz w:val="20"/>
                <w:szCs w:val="20"/>
              </w:rPr>
            </w:pPr>
            <w:r>
              <w:rPr>
                <w:color w:val="744210"/>
                <w:sz w:val="20"/>
                <w:szCs w:val="20"/>
              </w:rPr>
              <w:t xml:space="preserve">Müll-Monitor macht die Datenlage sichtbar — </w:t>
            </w:r>
            <w:r w:rsidR="00EA09B0">
              <w:rPr>
                <w:color w:val="744210"/>
                <w:sz w:val="20"/>
                <w:szCs w:val="20"/>
              </w:rPr>
              <w:t>einschließlich</w:t>
            </w:r>
            <w:r>
              <w:rPr>
                <w:color w:val="744210"/>
                <w:sz w:val="20"/>
                <w:szCs w:val="20"/>
              </w:rPr>
              <w:t xml:space="preserve"> ihrer Lücken.</w:t>
            </w:r>
          </w:p>
          <w:p w14:paraId="6BBAF3BA" w14:textId="0658665C" w:rsidR="00364D6C" w:rsidRDefault="00AC0266">
            <w:pPr>
              <w:spacing w:after="100"/>
            </w:pPr>
            <w:r>
              <w:rPr>
                <w:color w:val="744210"/>
                <w:sz w:val="20"/>
                <w:szCs w:val="20"/>
              </w:rPr>
              <w:t xml:space="preserve">Je mehr Bezirke das Werkzeug nutzen, desto </w:t>
            </w:r>
            <w:r w:rsidR="00EA09B0">
              <w:rPr>
                <w:color w:val="744210"/>
                <w:sz w:val="20"/>
                <w:szCs w:val="20"/>
              </w:rPr>
              <w:t>größer</w:t>
            </w:r>
            <w:r>
              <w:rPr>
                <w:color w:val="744210"/>
                <w:sz w:val="20"/>
                <w:szCs w:val="20"/>
              </w:rPr>
              <w:t xml:space="preserve"> der Anreiz, die API-Anbindung zu vervollständigen.</w:t>
            </w:r>
          </w:p>
        </w:tc>
      </w:tr>
    </w:tbl>
    <w:p w14:paraId="6BBAF3BC" w14:textId="77777777" w:rsidR="00364D6C" w:rsidRDefault="00364D6C">
      <w:pPr>
        <w:spacing w:after="240"/>
      </w:pPr>
    </w:p>
    <w:p w14:paraId="6BBAF3BD" w14:textId="77777777" w:rsidR="00364D6C" w:rsidRDefault="00AC0266" w:rsidP="00EA09B0">
      <w:pPr>
        <w:pStyle w:val="berschrift1"/>
        <w:pBdr>
          <w:bottom w:val="single" w:sz="6" w:space="4" w:color="DDDBD7"/>
        </w:pBdr>
        <w:jc w:val="center"/>
      </w:pPr>
      <w:r w:rsidRPr="00EA09B0">
        <w:rPr>
          <w:rFonts w:ascii="Montserrat SemiBold" w:hAnsi="Montserrat SemiBold"/>
          <w:b w:val="0"/>
          <w:bCs w:val="0"/>
          <w:sz w:val="48"/>
          <w:szCs w:val="48"/>
        </w:rPr>
        <w:t>Ausblick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7"/>
        <w:gridCol w:w="3000"/>
        <w:gridCol w:w="3566"/>
      </w:tblGrid>
      <w:tr w:rsidR="00364D6C" w14:paraId="6BBAF3C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2" w:space="0" w:color="7A787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AF3BE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color w:val="4E4D4A"/>
              </w:rPr>
              <w:t>Kurzfristig</w:t>
            </w:r>
          </w:p>
          <w:p w14:paraId="6BBAF3BF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60"/>
            </w:pPr>
            <w:r>
              <w:rPr>
                <w:color w:val="4A5568"/>
                <w:sz w:val="20"/>
                <w:szCs w:val="20"/>
              </w:rPr>
              <w:t>Koordinaten-Problem für unterrepräsentierte Bezirke lösen</w:t>
            </w:r>
          </w:p>
          <w:p w14:paraId="6BBAF3C0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60"/>
            </w:pPr>
            <w:r>
              <w:rPr>
                <w:color w:val="4A5568"/>
                <w:sz w:val="20"/>
                <w:szCs w:val="20"/>
              </w:rPr>
              <w:t>Mobile Ansicht und Bedienbarkeit verbessern</w:t>
            </w:r>
          </w:p>
          <w:p w14:paraId="6BBAF3C1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60"/>
            </w:pPr>
            <w:r>
              <w:rPr>
                <w:color w:val="4A5568"/>
                <w:sz w:val="20"/>
                <w:szCs w:val="20"/>
              </w:rPr>
              <w:t>Lizenz- und Datenschutzhinweise einbauen</w:t>
            </w:r>
          </w:p>
        </w:tc>
        <w:tc>
          <w:tcPr>
            <w:tcW w:w="2880" w:type="dxa"/>
            <w:tcBorders>
              <w:top w:val="single" w:sz="12" w:space="0" w:color="7A787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AF3C2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color w:val="4E4D4A"/>
              </w:rPr>
              <w:t>Mittelfristig</w:t>
            </w:r>
          </w:p>
          <w:p w14:paraId="6BBAF3C3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60"/>
            </w:pPr>
            <w:r>
              <w:rPr>
                <w:color w:val="4A5568"/>
                <w:sz w:val="20"/>
                <w:szCs w:val="20"/>
              </w:rPr>
              <w:t>Export-Funktion für Berichte (CSV, PDF)</w:t>
            </w:r>
          </w:p>
          <w:p w14:paraId="6BBAF3C4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60"/>
            </w:pPr>
            <w:r>
              <w:rPr>
                <w:color w:val="4A5568"/>
                <w:sz w:val="20"/>
                <w:szCs w:val="20"/>
              </w:rPr>
              <w:t>Bezirks-Vergleichsdiagramme und Trend-Ansichten</w:t>
            </w:r>
          </w:p>
          <w:p w14:paraId="6BBAF3C5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60"/>
            </w:pPr>
            <w:r>
              <w:rPr>
                <w:color w:val="4A5568"/>
                <w:sz w:val="20"/>
                <w:szCs w:val="20"/>
              </w:rPr>
              <w:t>Benachrichtigungen bei neuen Hotspots</w:t>
            </w:r>
          </w:p>
        </w:tc>
        <w:tc>
          <w:tcPr>
            <w:tcW w:w="2880" w:type="dxa"/>
            <w:tcBorders>
              <w:top w:val="single" w:sz="12" w:space="0" w:color="7A787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AF3C6" w14:textId="77777777" w:rsidR="00364D6C" w:rsidRDefault="00AC0266">
            <w:pPr>
              <w:keepNext/>
              <w:spacing w:after="100"/>
            </w:pPr>
            <w:r>
              <w:rPr>
                <w:b/>
                <w:bCs/>
                <w:color w:val="4E4D4A"/>
              </w:rPr>
              <w:t>Langfristig</w:t>
            </w:r>
          </w:p>
          <w:p w14:paraId="6BBAF3C7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60"/>
            </w:pPr>
            <w:r>
              <w:rPr>
                <w:color w:val="4A5568"/>
                <w:sz w:val="20"/>
                <w:szCs w:val="20"/>
              </w:rPr>
              <w:t>Anbindung weiterer Berliner Open-Data-Quellen</w:t>
            </w:r>
          </w:p>
          <w:p w14:paraId="6BBAF3C8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60"/>
            </w:pPr>
            <w:r>
              <w:rPr>
                <w:color w:val="4A5568"/>
                <w:sz w:val="20"/>
                <w:szCs w:val="20"/>
              </w:rPr>
              <w:t>Kooperationsmodul für Ordnungsamt-Mitarbeiter</w:t>
            </w:r>
          </w:p>
          <w:p w14:paraId="6BBAF3C9" w14:textId="77777777" w:rsidR="00364D6C" w:rsidRDefault="00AC0266">
            <w:pPr>
              <w:pStyle w:val="Listenabsatz"/>
              <w:numPr>
                <w:ilvl w:val="0"/>
                <w:numId w:val="2"/>
              </w:numPr>
              <w:spacing w:after="60"/>
            </w:pPr>
            <w:r>
              <w:rPr>
                <w:color w:val="4A5568"/>
                <w:sz w:val="20"/>
                <w:szCs w:val="20"/>
              </w:rPr>
              <w:t>API-Integration für Bezirksverwaltungssysteme</w:t>
            </w:r>
          </w:p>
        </w:tc>
      </w:tr>
    </w:tbl>
    <w:p w14:paraId="6BBAF3CB" w14:textId="77777777" w:rsidR="00364D6C" w:rsidRDefault="00AC0266">
      <w:r>
        <w:br w:type="page"/>
      </w:r>
    </w:p>
    <w:p w14:paraId="6BBAF3CC" w14:textId="77777777" w:rsidR="00364D6C" w:rsidRDefault="00364D6C">
      <w:pPr>
        <w:spacing w:after="1200"/>
      </w:pPr>
    </w:p>
    <w:p w14:paraId="6BBAF3CD" w14:textId="77777777" w:rsidR="00364D6C" w:rsidRDefault="00AC0266">
      <w:pPr>
        <w:spacing w:after="200"/>
        <w:jc w:val="center"/>
        <w:rPr>
          <w:b/>
          <w:bCs/>
          <w:color w:val="4E4D4A"/>
          <w:sz w:val="40"/>
          <w:szCs w:val="40"/>
        </w:rPr>
      </w:pPr>
      <w:r>
        <w:rPr>
          <w:b/>
          <w:bCs/>
          <w:color w:val="4E4D4A"/>
          <w:sz w:val="40"/>
          <w:szCs w:val="40"/>
        </w:rPr>
        <w:t>Kontakt</w:t>
      </w:r>
    </w:p>
    <w:p w14:paraId="6F4092B0" w14:textId="77777777" w:rsidR="00EA09B0" w:rsidRDefault="00EA09B0">
      <w:pPr>
        <w:spacing w:after="200"/>
        <w:jc w:val="center"/>
      </w:pPr>
    </w:p>
    <w:p w14:paraId="6BBAF3CE" w14:textId="77777777" w:rsidR="00364D6C" w:rsidRDefault="00AC0266">
      <w:pPr>
        <w:spacing w:after="200"/>
        <w:jc w:val="center"/>
        <w:rPr>
          <w:color w:val="7A7872"/>
          <w:sz w:val="24"/>
          <w:szCs w:val="24"/>
        </w:rPr>
      </w:pPr>
      <w:r>
        <w:rPr>
          <w:color w:val="7A7872"/>
          <w:sz w:val="24"/>
          <w:szCs w:val="24"/>
        </w:rPr>
        <w:t>Wir zeigen Ihnen, wie Müll-Monitor Ihren Bezirk unterstützen kann.</w:t>
      </w:r>
    </w:p>
    <w:p w14:paraId="415C7896" w14:textId="77777777" w:rsidR="00EA09B0" w:rsidRDefault="00EA09B0">
      <w:pPr>
        <w:spacing w:after="200"/>
        <w:jc w:val="center"/>
      </w:pPr>
    </w:p>
    <w:p w14:paraId="6BBAF3CF" w14:textId="77777777" w:rsidR="00364D6C" w:rsidRDefault="00AC0266">
      <w:pPr>
        <w:spacing w:after="120"/>
        <w:jc w:val="center"/>
      </w:pPr>
      <w:r>
        <w:rPr>
          <w:b/>
          <w:bCs/>
          <w:color w:val="4E4D4A"/>
          <w:sz w:val="28"/>
          <w:szCs w:val="28"/>
        </w:rPr>
        <w:t>www.muell-monitor.de</w:t>
      </w:r>
    </w:p>
    <w:p w14:paraId="6BBAF3D0" w14:textId="77777777" w:rsidR="00364D6C" w:rsidRDefault="00AC0266">
      <w:pPr>
        <w:spacing w:after="100"/>
        <w:jc w:val="center"/>
      </w:pPr>
      <w:r>
        <w:rPr>
          <w:b/>
          <w:bCs/>
          <w:color w:val="4E4D4A"/>
          <w:sz w:val="28"/>
          <w:szCs w:val="28"/>
        </w:rPr>
        <w:t>info@muell-monitor.de</w:t>
      </w:r>
    </w:p>
    <w:p w14:paraId="6BBAF3D1" w14:textId="77777777" w:rsidR="00364D6C" w:rsidRDefault="00364D6C">
      <w:pPr>
        <w:spacing w:after="600"/>
      </w:pPr>
    </w:p>
    <w:p w14:paraId="6BBAF3D2" w14:textId="77777777" w:rsidR="00364D6C" w:rsidRDefault="00364D6C">
      <w:pPr>
        <w:pBdr>
          <w:bottom w:val="single" w:sz="4" w:space="1" w:color="DDDBD7"/>
        </w:pBdr>
        <w:spacing w:after="100"/>
      </w:pPr>
    </w:p>
    <w:p w14:paraId="6BBAF3D3" w14:textId="77777777" w:rsidR="00364D6C" w:rsidRDefault="00364D6C">
      <w:pPr>
        <w:spacing w:after="400"/>
      </w:pPr>
    </w:p>
    <w:p w14:paraId="6BBAF3D4" w14:textId="77777777" w:rsidR="00364D6C" w:rsidRDefault="00AC0266">
      <w:pPr>
        <w:spacing w:after="200"/>
        <w:jc w:val="center"/>
      </w:pPr>
      <w:r>
        <w:rPr>
          <w:b/>
          <w:bCs/>
          <w:color w:val="4E4D4A"/>
          <w:sz w:val="28"/>
          <w:szCs w:val="28"/>
        </w:rPr>
        <w:t>Impressum</w:t>
      </w:r>
    </w:p>
    <w:p w14:paraId="6BBAF3D5" w14:textId="77777777" w:rsidR="00364D6C" w:rsidRDefault="00AC0266">
      <w:pPr>
        <w:spacing w:after="100"/>
        <w:jc w:val="center"/>
        <w:rPr>
          <w:color w:val="7A7872"/>
          <w:sz w:val="20"/>
          <w:szCs w:val="20"/>
        </w:rPr>
      </w:pPr>
      <w:r>
        <w:rPr>
          <w:color w:val="7A7872"/>
          <w:sz w:val="20"/>
          <w:szCs w:val="20"/>
        </w:rPr>
        <w:t>Angaben gemäss § 5 DDG / § 18 Abs. 2 MStV</w:t>
      </w:r>
    </w:p>
    <w:p w14:paraId="51B38068" w14:textId="77777777" w:rsidR="00EA09B0" w:rsidRDefault="00EA09B0">
      <w:pPr>
        <w:spacing w:after="100"/>
        <w:jc w:val="center"/>
      </w:pPr>
    </w:p>
    <w:p w14:paraId="38816E08" w14:textId="77777777" w:rsidR="00EA09B0" w:rsidRDefault="00EA09B0">
      <w:pPr>
        <w:spacing w:after="100"/>
        <w:jc w:val="center"/>
      </w:pPr>
    </w:p>
    <w:p w14:paraId="24CA558D" w14:textId="77777777" w:rsidR="00EA09B0" w:rsidRDefault="00EA09B0">
      <w:pPr>
        <w:spacing w:after="100"/>
        <w:jc w:val="center"/>
      </w:pPr>
    </w:p>
    <w:p w14:paraId="6BBAF3D6" w14:textId="77777777" w:rsidR="00364D6C" w:rsidRDefault="00AC0266">
      <w:pPr>
        <w:spacing w:after="80"/>
        <w:jc w:val="center"/>
      </w:pPr>
      <w:r>
        <w:rPr>
          <w:b/>
          <w:bCs/>
          <w:color w:val="4E4D4A"/>
        </w:rPr>
        <w:t>Lars Wittkopf</w:t>
      </w:r>
    </w:p>
    <w:p w14:paraId="6BBAF3D7" w14:textId="77777777" w:rsidR="00364D6C" w:rsidRDefault="00AC0266">
      <w:pPr>
        <w:spacing w:after="80"/>
        <w:jc w:val="center"/>
      </w:pPr>
      <w:r>
        <w:rPr>
          <w:color w:val="7A7872"/>
          <w:sz w:val="20"/>
          <w:szCs w:val="20"/>
        </w:rPr>
        <w:t>c/o MDC#279, Welserstrasse 3, 87463 Dietmannsried</w:t>
      </w:r>
    </w:p>
    <w:p w14:paraId="6BBAF3D8" w14:textId="3221DF6F" w:rsidR="00364D6C" w:rsidRDefault="00EA09B0">
      <w:pPr>
        <w:spacing w:after="200"/>
        <w:jc w:val="center"/>
        <w:rPr>
          <w:color w:val="7A7872"/>
          <w:sz w:val="20"/>
          <w:szCs w:val="20"/>
        </w:rPr>
      </w:pPr>
      <w:hyperlink r:id="rId7" w:history="1">
        <w:r w:rsidRPr="00C665CD">
          <w:rPr>
            <w:rStyle w:val="Hyperlink"/>
            <w:sz w:val="20"/>
            <w:szCs w:val="20"/>
          </w:rPr>
          <w:t>info@muell-monitor.de</w:t>
        </w:r>
      </w:hyperlink>
    </w:p>
    <w:p w14:paraId="59344EFE" w14:textId="77777777" w:rsidR="00EA09B0" w:rsidRDefault="00EA09B0">
      <w:pPr>
        <w:spacing w:after="200"/>
        <w:jc w:val="center"/>
      </w:pPr>
    </w:p>
    <w:p w14:paraId="2AA9E426" w14:textId="77777777" w:rsidR="00EA09B0" w:rsidRDefault="00EA09B0">
      <w:pPr>
        <w:spacing w:after="200"/>
        <w:jc w:val="center"/>
      </w:pPr>
    </w:p>
    <w:p w14:paraId="6BBAF3D9" w14:textId="77777777" w:rsidR="00364D6C" w:rsidRDefault="00AC0266">
      <w:pPr>
        <w:spacing w:after="80"/>
        <w:jc w:val="center"/>
      </w:pPr>
      <w:r>
        <w:rPr>
          <w:b/>
          <w:bCs/>
          <w:color w:val="4E4D4A"/>
          <w:sz w:val="20"/>
          <w:szCs w:val="20"/>
        </w:rPr>
        <w:t>Copyright &amp; Lizenz</w:t>
      </w:r>
    </w:p>
    <w:p w14:paraId="6BBAF3DA" w14:textId="77777777" w:rsidR="00364D6C" w:rsidRDefault="00AC0266">
      <w:pPr>
        <w:spacing w:after="80"/>
        <w:jc w:val="center"/>
      </w:pPr>
      <w:r>
        <w:rPr>
          <w:color w:val="7A7872"/>
          <w:sz w:val="20"/>
          <w:szCs w:val="20"/>
        </w:rPr>
        <w:t>© 2026 Lars Wittkopf  ·  Code: AGPL-3.0  ·  Daten: DL-DE-BY-2.0</w:t>
      </w:r>
    </w:p>
    <w:p w14:paraId="6BBAF3DB" w14:textId="77777777" w:rsidR="00364D6C" w:rsidRDefault="00AC0266">
      <w:pPr>
        <w:spacing w:after="100"/>
        <w:jc w:val="center"/>
      </w:pPr>
      <w:r>
        <w:rPr>
          <w:color w:val="7A7872"/>
          <w:sz w:val="20"/>
          <w:szCs w:val="20"/>
        </w:rPr>
        <w:t>Konzept, Visualisierung und Analyse-Logik sind urheberrechtlich geschützt.</w:t>
      </w:r>
    </w:p>
    <w:sectPr w:rsidR="00364D6C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B0DC4" w14:textId="77777777" w:rsidR="00AC0266" w:rsidRDefault="00AC0266">
      <w:r>
        <w:separator/>
      </w:r>
    </w:p>
  </w:endnote>
  <w:endnote w:type="continuationSeparator" w:id="0">
    <w:p w14:paraId="5C34206E" w14:textId="77777777" w:rsidR="00AC0266" w:rsidRDefault="00AC0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C37F" w14:textId="646D179D" w:rsidR="00665408" w:rsidRPr="00665408" w:rsidRDefault="00AC0266" w:rsidP="00665408">
    <w:pPr>
      <w:pBdr>
        <w:top w:val="single" w:sz="4" w:space="4" w:color="DDDBD7"/>
      </w:pBdr>
      <w:spacing w:after="100"/>
      <w:jc w:val="center"/>
      <w:rPr>
        <w:color w:val="7A7872"/>
        <w:sz w:val="16"/>
        <w:szCs w:val="16"/>
        <w:lang w:val="en-GB"/>
      </w:rPr>
    </w:pPr>
    <w:r w:rsidRPr="00665408">
      <w:rPr>
        <w:color w:val="7A7872"/>
        <w:sz w:val="16"/>
        <w:szCs w:val="16"/>
        <w:lang w:val="en-GB"/>
      </w:rPr>
      <w:t xml:space="preserve">www.muell-monitor.de  ·  </w:t>
    </w:r>
    <w:r w:rsidRPr="00665408">
      <w:rPr>
        <w:color w:val="7A7872"/>
        <w:sz w:val="16"/>
        <w:szCs w:val="16"/>
        <w:lang w:val="en-GB"/>
      </w:rPr>
      <w:t>Lars Wittkopf</w:t>
    </w:r>
    <w:r w:rsidR="00665408">
      <w:rPr>
        <w:color w:val="7A7872"/>
        <w:sz w:val="16"/>
        <w:szCs w:val="16"/>
        <w:lang w:val="en-GB"/>
      </w:rPr>
      <w:t xml:space="preserve"> </w:t>
    </w:r>
    <w:r w:rsidR="00665408" w:rsidRPr="00665408">
      <w:rPr>
        <w:color w:val="7A7872"/>
        <w:sz w:val="16"/>
        <w:szCs w:val="16"/>
        <w:lang w:val="en-GB"/>
      </w:rPr>
      <w:t xml:space="preserve"> ·  </w:t>
    </w:r>
    <w:r w:rsidR="00665408">
      <w:rPr>
        <w:color w:val="7A7872"/>
        <w:sz w:val="16"/>
        <w:szCs w:val="16"/>
        <w:lang w:val="en-GB"/>
      </w:rPr>
      <w:t>2026</w:t>
    </w:r>
  </w:p>
  <w:p w14:paraId="6BBAF3DD" w14:textId="0CBFC239" w:rsidR="00364D6C" w:rsidRDefault="00AC0266" w:rsidP="00665408">
    <w:pPr>
      <w:pBdr>
        <w:top w:val="single" w:sz="4" w:space="4" w:color="DDDBD7"/>
      </w:pBdr>
      <w:spacing w:after="100"/>
      <w:jc w:val="center"/>
    </w:pPr>
    <w:r>
      <w:rPr>
        <w:color w:val="7A7872"/>
        <w:sz w:val="16"/>
        <w:szCs w:val="16"/>
      </w:rPr>
      <w:t xml:space="preserve">Seite </w:t>
    </w:r>
    <w:r>
      <w:rPr>
        <w:color w:val="7A7872"/>
        <w:sz w:val="16"/>
        <w:szCs w:val="16"/>
      </w:rPr>
      <w:fldChar w:fldCharType="begin"/>
    </w:r>
    <w:r>
      <w:rPr>
        <w:color w:val="7A7872"/>
        <w:sz w:val="16"/>
        <w:szCs w:val="16"/>
      </w:rPr>
      <w:instrText>PAGE</w:instrText>
    </w:r>
    <w:r>
      <w:rPr>
        <w:color w:val="7A7872"/>
        <w:sz w:val="16"/>
        <w:szCs w:val="16"/>
      </w:rPr>
      <w:fldChar w:fldCharType="separate"/>
    </w:r>
    <w:r w:rsidR="00DA44AA">
      <w:rPr>
        <w:noProof/>
        <w:color w:val="7A7872"/>
        <w:sz w:val="16"/>
        <w:szCs w:val="16"/>
      </w:rPr>
      <w:t>1</w:t>
    </w:r>
    <w:r>
      <w:rPr>
        <w:color w:val="7A78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5E1C2" w14:textId="77777777" w:rsidR="00AC0266" w:rsidRDefault="00AC0266">
      <w:r>
        <w:separator/>
      </w:r>
    </w:p>
  </w:footnote>
  <w:footnote w:type="continuationSeparator" w:id="0">
    <w:p w14:paraId="0624C60E" w14:textId="77777777" w:rsidR="00AC0266" w:rsidRDefault="00AC0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AF3DC" w14:textId="14A68960" w:rsidR="00364D6C" w:rsidRDefault="00AC0266" w:rsidP="00665408">
    <w:pPr>
      <w:pBdr>
        <w:bottom w:val="single" w:sz="4" w:space="4" w:color="DDDBD7"/>
      </w:pBdr>
      <w:spacing w:after="100"/>
      <w:jc w:val="center"/>
    </w:pPr>
    <w:r>
      <w:rPr>
        <w:b/>
        <w:bCs/>
        <w:color w:val="4E4D4A"/>
        <w:sz w:val="18"/>
        <w:szCs w:val="18"/>
      </w:rPr>
      <w:t>Müll-Monitor</w:t>
    </w:r>
    <w:r>
      <w:rPr>
        <w:color w:val="7A7872"/>
        <w:sz w:val="18"/>
        <w:szCs w:val="18"/>
      </w:rPr>
      <w:t xml:space="preserve">  ·  Datenbasiertes Hotspot-Monitoring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42DE6"/>
    <w:multiLevelType w:val="hybridMultilevel"/>
    <w:tmpl w:val="2230DBCE"/>
    <w:lvl w:ilvl="0" w:tplc="188AAB14">
      <w:start w:val="1"/>
      <w:numFmt w:val="bullet"/>
      <w:lvlText w:val="✓"/>
      <w:lvlJc w:val="left"/>
      <w:pPr>
        <w:ind w:left="480" w:hanging="240"/>
      </w:pPr>
    </w:lvl>
    <w:lvl w:ilvl="1" w:tplc="C1A2FAE4">
      <w:numFmt w:val="decimal"/>
      <w:lvlText w:val=""/>
      <w:lvlJc w:val="left"/>
    </w:lvl>
    <w:lvl w:ilvl="2" w:tplc="BBFC65AE">
      <w:numFmt w:val="decimal"/>
      <w:lvlText w:val=""/>
      <w:lvlJc w:val="left"/>
    </w:lvl>
    <w:lvl w:ilvl="3" w:tplc="23B08E7A">
      <w:numFmt w:val="decimal"/>
      <w:lvlText w:val=""/>
      <w:lvlJc w:val="left"/>
    </w:lvl>
    <w:lvl w:ilvl="4" w:tplc="590C9B24">
      <w:numFmt w:val="decimal"/>
      <w:lvlText w:val=""/>
      <w:lvlJc w:val="left"/>
    </w:lvl>
    <w:lvl w:ilvl="5" w:tplc="4FA258DA">
      <w:numFmt w:val="decimal"/>
      <w:lvlText w:val=""/>
      <w:lvlJc w:val="left"/>
    </w:lvl>
    <w:lvl w:ilvl="6" w:tplc="294809EE">
      <w:numFmt w:val="decimal"/>
      <w:lvlText w:val=""/>
      <w:lvlJc w:val="left"/>
    </w:lvl>
    <w:lvl w:ilvl="7" w:tplc="6C5A4ABA">
      <w:numFmt w:val="decimal"/>
      <w:lvlText w:val=""/>
      <w:lvlJc w:val="left"/>
    </w:lvl>
    <w:lvl w:ilvl="8" w:tplc="3EBAE6A8">
      <w:numFmt w:val="decimal"/>
      <w:lvlText w:val=""/>
      <w:lvlJc w:val="left"/>
    </w:lvl>
  </w:abstractNum>
  <w:abstractNum w:abstractNumId="1" w15:restartNumberingAfterBreak="0">
    <w:nsid w:val="612A4CC8"/>
    <w:multiLevelType w:val="hybridMultilevel"/>
    <w:tmpl w:val="966C252A"/>
    <w:lvl w:ilvl="0" w:tplc="3752C3C4">
      <w:start w:val="1"/>
      <w:numFmt w:val="bullet"/>
      <w:lvlText w:val="•"/>
      <w:lvlJc w:val="left"/>
      <w:pPr>
        <w:ind w:left="480" w:hanging="240"/>
      </w:pPr>
    </w:lvl>
    <w:lvl w:ilvl="1" w:tplc="AE7E9408">
      <w:numFmt w:val="decimal"/>
      <w:lvlText w:val=""/>
      <w:lvlJc w:val="left"/>
    </w:lvl>
    <w:lvl w:ilvl="2" w:tplc="989405BC">
      <w:numFmt w:val="decimal"/>
      <w:lvlText w:val=""/>
      <w:lvlJc w:val="left"/>
    </w:lvl>
    <w:lvl w:ilvl="3" w:tplc="6D12B97A">
      <w:numFmt w:val="decimal"/>
      <w:lvlText w:val=""/>
      <w:lvlJc w:val="left"/>
    </w:lvl>
    <w:lvl w:ilvl="4" w:tplc="2B0CC3D6">
      <w:numFmt w:val="decimal"/>
      <w:lvlText w:val=""/>
      <w:lvlJc w:val="left"/>
    </w:lvl>
    <w:lvl w:ilvl="5" w:tplc="8098CCAC">
      <w:numFmt w:val="decimal"/>
      <w:lvlText w:val=""/>
      <w:lvlJc w:val="left"/>
    </w:lvl>
    <w:lvl w:ilvl="6" w:tplc="A29E2304">
      <w:numFmt w:val="decimal"/>
      <w:lvlText w:val=""/>
      <w:lvlJc w:val="left"/>
    </w:lvl>
    <w:lvl w:ilvl="7" w:tplc="C5607FA0">
      <w:numFmt w:val="decimal"/>
      <w:lvlText w:val=""/>
      <w:lvlJc w:val="left"/>
    </w:lvl>
    <w:lvl w:ilvl="8" w:tplc="A64AE09C">
      <w:numFmt w:val="decimal"/>
      <w:lvlText w:val=""/>
      <w:lvlJc w:val="left"/>
    </w:lvl>
  </w:abstractNum>
  <w:abstractNum w:abstractNumId="2" w15:restartNumberingAfterBreak="0">
    <w:nsid w:val="7E071832"/>
    <w:multiLevelType w:val="hybridMultilevel"/>
    <w:tmpl w:val="9D5EC96E"/>
    <w:lvl w:ilvl="0" w:tplc="187A4B24">
      <w:start w:val="1"/>
      <w:numFmt w:val="bullet"/>
      <w:lvlText w:val="●"/>
      <w:lvlJc w:val="left"/>
      <w:pPr>
        <w:ind w:left="720" w:hanging="360"/>
      </w:pPr>
    </w:lvl>
    <w:lvl w:ilvl="1" w:tplc="23EA23AA">
      <w:start w:val="1"/>
      <w:numFmt w:val="bullet"/>
      <w:lvlText w:val="○"/>
      <w:lvlJc w:val="left"/>
      <w:pPr>
        <w:ind w:left="1440" w:hanging="360"/>
      </w:pPr>
    </w:lvl>
    <w:lvl w:ilvl="2" w:tplc="A6161970">
      <w:start w:val="1"/>
      <w:numFmt w:val="bullet"/>
      <w:lvlText w:val="■"/>
      <w:lvlJc w:val="left"/>
      <w:pPr>
        <w:ind w:left="2160" w:hanging="360"/>
      </w:pPr>
    </w:lvl>
    <w:lvl w:ilvl="3" w:tplc="25A6CFAC">
      <w:start w:val="1"/>
      <w:numFmt w:val="bullet"/>
      <w:lvlText w:val="●"/>
      <w:lvlJc w:val="left"/>
      <w:pPr>
        <w:ind w:left="2880" w:hanging="360"/>
      </w:pPr>
    </w:lvl>
    <w:lvl w:ilvl="4" w:tplc="71B47962">
      <w:start w:val="1"/>
      <w:numFmt w:val="bullet"/>
      <w:lvlText w:val="○"/>
      <w:lvlJc w:val="left"/>
      <w:pPr>
        <w:ind w:left="3600" w:hanging="360"/>
      </w:pPr>
    </w:lvl>
    <w:lvl w:ilvl="5" w:tplc="45B2276E">
      <w:start w:val="1"/>
      <w:numFmt w:val="bullet"/>
      <w:lvlText w:val="■"/>
      <w:lvlJc w:val="left"/>
      <w:pPr>
        <w:ind w:left="4320" w:hanging="360"/>
      </w:pPr>
    </w:lvl>
    <w:lvl w:ilvl="6" w:tplc="258A834A">
      <w:start w:val="1"/>
      <w:numFmt w:val="bullet"/>
      <w:lvlText w:val="●"/>
      <w:lvlJc w:val="left"/>
      <w:pPr>
        <w:ind w:left="5040" w:hanging="360"/>
      </w:pPr>
    </w:lvl>
    <w:lvl w:ilvl="7" w:tplc="4546159C">
      <w:start w:val="1"/>
      <w:numFmt w:val="bullet"/>
      <w:lvlText w:val="●"/>
      <w:lvlJc w:val="left"/>
      <w:pPr>
        <w:ind w:left="5760" w:hanging="360"/>
      </w:pPr>
    </w:lvl>
    <w:lvl w:ilvl="8" w:tplc="5BC61B1E">
      <w:start w:val="1"/>
      <w:numFmt w:val="bullet"/>
      <w:lvlText w:val="●"/>
      <w:lvlJc w:val="left"/>
      <w:pPr>
        <w:ind w:left="6480" w:hanging="360"/>
      </w:pPr>
    </w:lvl>
  </w:abstractNum>
  <w:num w:numId="1" w16cid:durableId="1043945009">
    <w:abstractNumId w:val="2"/>
    <w:lvlOverride w:ilvl="0">
      <w:startOverride w:val="1"/>
    </w:lvlOverride>
  </w:num>
  <w:num w:numId="2" w16cid:durableId="203252824">
    <w:abstractNumId w:val="1"/>
    <w:lvlOverride w:ilvl="0">
      <w:startOverride w:val="1"/>
    </w:lvlOverride>
  </w:num>
  <w:num w:numId="3" w16cid:durableId="1909026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D6C"/>
    <w:rsid w:val="00364D6C"/>
    <w:rsid w:val="004066B0"/>
    <w:rsid w:val="00414134"/>
    <w:rsid w:val="005516EA"/>
    <w:rsid w:val="00665408"/>
    <w:rsid w:val="00AC0266"/>
    <w:rsid w:val="00DA44AA"/>
    <w:rsid w:val="00EA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AF2F9"/>
  <w15:docId w15:val="{482231C0-333A-4EB3-9947-93F87EBE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1A202C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keepNext/>
      <w:spacing w:before="320" w:after="160"/>
      <w:outlineLvl w:val="0"/>
    </w:pPr>
    <w:rPr>
      <w:b/>
      <w:bCs/>
      <w:color w:val="4E4D4A"/>
      <w:sz w:val="32"/>
      <w:szCs w:val="32"/>
    </w:rPr>
  </w:style>
  <w:style w:type="paragraph" w:styleId="berschrift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4E4D4A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41413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14134"/>
  </w:style>
  <w:style w:type="paragraph" w:styleId="Fuzeile">
    <w:name w:val="footer"/>
    <w:basedOn w:val="Standard"/>
    <w:link w:val="FuzeileZchn"/>
    <w:uiPriority w:val="99"/>
    <w:unhideWhenUsed/>
    <w:rsid w:val="0041413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14134"/>
  </w:style>
  <w:style w:type="character" w:styleId="NichtaufgelsteErwhnung">
    <w:name w:val="Unresolved Mention"/>
    <w:basedOn w:val="Absatz-Standardschriftart"/>
    <w:uiPriority w:val="99"/>
    <w:semiHidden/>
    <w:unhideWhenUsed/>
    <w:rsid w:val="00EA0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muell-monitor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708</Words>
  <Characters>5659</Characters>
  <Application>Microsoft Office Word</Application>
  <DocSecurity>0</DocSecurity>
  <Lines>314</Lines>
  <Paragraphs>198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Lars Wittkopf</cp:lastModifiedBy>
  <cp:revision>6</cp:revision>
  <dcterms:created xsi:type="dcterms:W3CDTF">2026-04-10T09:47:00Z</dcterms:created>
  <dcterms:modified xsi:type="dcterms:W3CDTF">2026-04-10T10:00:00Z</dcterms:modified>
</cp:coreProperties>
</file>