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655BA2" w:rsidP="00655BA2">
      <w:pPr>
        <w:jc w:val="center"/>
        <w:rPr>
          <w:sz w:val="28"/>
          <w:szCs w:val="28"/>
        </w:rPr>
      </w:pPr>
      <w:r>
        <w:rPr>
          <w:sz w:val="28"/>
          <w:szCs w:val="28"/>
        </w:rPr>
        <w:t xml:space="preserve">Rapport ekskursjon </w:t>
      </w:r>
    </w:p>
    <w:p w:rsidR="00655BA2" w:rsidRDefault="00655BA2" w:rsidP="00655BA2">
      <w:pPr>
        <w:rPr>
          <w:rFonts w:ascii="Times New Roman" w:hAnsi="Times New Roman" w:cs="Times New Roman"/>
          <w:sz w:val="24"/>
          <w:szCs w:val="24"/>
        </w:rPr>
      </w:pPr>
      <w:r w:rsidRPr="00655BA2">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2821305</wp:posOffset>
                </wp:positionH>
                <wp:positionV relativeFrom="paragraph">
                  <wp:posOffset>8890</wp:posOffset>
                </wp:positionV>
                <wp:extent cx="3733800" cy="6946900"/>
                <wp:effectExtent l="0" t="0" r="19050" b="2540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6946900"/>
                        </a:xfrm>
                        <a:prstGeom prst="rect">
                          <a:avLst/>
                        </a:prstGeom>
                        <a:solidFill>
                          <a:srgbClr val="FFFFFF"/>
                        </a:solidFill>
                        <a:ln w="9525">
                          <a:solidFill>
                            <a:srgbClr val="000000"/>
                          </a:solidFill>
                          <a:miter lim="800000"/>
                          <a:headEnd/>
                          <a:tailEnd/>
                        </a:ln>
                      </wps:spPr>
                      <wps:txbx>
                        <w:txbxContent>
                          <w:p w:rsidR="00655BA2" w:rsidRDefault="00655BA2" w:rsidP="00655BA2">
                            <w:pPr>
                              <w:spacing w:line="360" w:lineRule="auto"/>
                              <w:rPr>
                                <w:rFonts w:ascii="Times New Roman" w:hAnsi="Times New Roman" w:cs="Times New Roman"/>
                                <w:sz w:val="24"/>
                                <w:szCs w:val="24"/>
                              </w:rPr>
                            </w:pPr>
                            <w:r>
                              <w:rPr>
                                <w:rFonts w:ascii="Times New Roman" w:hAnsi="Times New Roman" w:cs="Times New Roman"/>
                                <w:sz w:val="24"/>
                                <w:szCs w:val="24"/>
                              </w:rPr>
                              <w:t>På dette bildet kan vi se en tydelig fase 2 i suksesjonen</w:t>
                            </w:r>
                            <w:r w:rsidR="005C2ED3">
                              <w:rPr>
                                <w:rFonts w:ascii="Times New Roman" w:hAnsi="Times New Roman" w:cs="Times New Roman"/>
                                <w:sz w:val="24"/>
                                <w:szCs w:val="24"/>
                              </w:rPr>
                              <w:t xml:space="preserve"> også kalt konsolideringsfasen</w:t>
                            </w:r>
                            <w:r>
                              <w:rPr>
                                <w:rFonts w:ascii="Times New Roman" w:hAnsi="Times New Roman" w:cs="Times New Roman"/>
                                <w:sz w:val="24"/>
                                <w:szCs w:val="24"/>
                              </w:rPr>
                              <w:t xml:space="preserve">. Ved fase 2 finnes det allerede et næringsrikt jordsmonn som ble til i fase 1. Det finnes ofte røtter og frø i jordsmonnet som også er tilfelle på bildet. Jordsmonnet har oppstått </w:t>
                            </w:r>
                            <w:r w:rsidR="005C2ED3">
                              <w:rPr>
                                <w:rFonts w:ascii="Times New Roman" w:hAnsi="Times New Roman" w:cs="Times New Roman"/>
                                <w:sz w:val="24"/>
                                <w:szCs w:val="24"/>
                              </w:rPr>
                              <w:t>i fase 1 etter hvert som stein har forvitret, samtidig som organisk innhold har blitt blandet inn. Konsolideringsfasen er den fasen med størst artsmangfold. Pionerartene er fremdeles til stedet som man kan se, men de er i en tilbakegang, og mindre næringskrevende arter vokser opp som følge av konkurransen om næringen. Det varierte plantelivet som vokser opp gir et godt grunnlag for et stort artsmangfold blant dyr.</w:t>
                            </w:r>
                          </w:p>
                          <w:p w:rsidR="005C2ED3" w:rsidRPr="00655BA2" w:rsidRDefault="005C2ED3" w:rsidP="00655BA2">
                            <w:pPr>
                              <w:spacing w:line="360" w:lineRule="auto"/>
                              <w:rPr>
                                <w:rFonts w:ascii="Times New Roman" w:hAnsi="Times New Roman" w:cs="Times New Roman"/>
                                <w:sz w:val="24"/>
                                <w:szCs w:val="24"/>
                              </w:rPr>
                            </w:pPr>
                            <w:r>
                              <w:rPr>
                                <w:rFonts w:ascii="Times New Roman" w:hAnsi="Times New Roman" w:cs="Times New Roman"/>
                                <w:sz w:val="24"/>
                                <w:szCs w:val="24"/>
                              </w:rPr>
                              <w:t>Abiotiske faktorer er de ikke levende delene i økosystemet som påvirker de biotiske faktorene. De abiotiske faktorene som påvirker dyre- og plantelivet (biotiske faktorene) i dette økosystemet er</w:t>
                            </w:r>
                            <w:r w:rsidR="000464FC">
                              <w:rPr>
                                <w:rFonts w:ascii="Times New Roman" w:hAnsi="Times New Roman" w:cs="Times New Roman"/>
                                <w:sz w:val="24"/>
                                <w:szCs w:val="24"/>
                              </w:rPr>
                              <w:t>:</w:t>
                            </w:r>
                            <w:r>
                              <w:rPr>
                                <w:rFonts w:ascii="Times New Roman" w:hAnsi="Times New Roman" w:cs="Times New Roman"/>
                                <w:sz w:val="24"/>
                                <w:szCs w:val="24"/>
                              </w:rPr>
                              <w:t xml:space="preserve"> jordas pH-verdi</w:t>
                            </w:r>
                            <w:r w:rsidR="000464FC">
                              <w:rPr>
                                <w:rFonts w:ascii="Times New Roman" w:hAnsi="Times New Roman" w:cs="Times New Roman"/>
                                <w:sz w:val="24"/>
                                <w:szCs w:val="24"/>
                              </w:rPr>
                              <w:t xml:space="preserve"> og klimaet. Jordsmonnets pH-verdi vil bestemme hvilke planet som kan vokse opp, fordi noen planter kan ikke vokse i et surt jordsmonn. Surt jordsmonn er typisk for klimaksfasen fordi barnålene fra grantrærne som ofte dominerer tilfører sur pH-verdi til jordsmonnet. Klimaet er også en viktig faktor, dette vil være f.eks. vind, fuktighet og temperatur. Disse faktorene er med på å påvirke hvilke plante- og dyrearter som overlever. </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222.15pt;margin-top:.7pt;width:294pt;height:5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">
                <v:textbox>
                  <w:txbxContent>
                    <w:p w:rsidR="00655BA2" w:rsidRDefault="00655BA2" w:rsidP="00655BA2">
                      <w:pPr>
                        <w:spacing w:line="360" w:lineRule="auto"/>
                        <w:rPr>
                          <w:rFonts w:ascii="Times New Roman" w:hAnsi="Times New Roman" w:cs="Times New Roman"/>
                          <w:sz w:val="24"/>
                          <w:szCs w:val="24"/>
                        </w:rPr>
                      </w:pPr>
                      <w:r>
                        <w:rPr>
                          <w:rFonts w:ascii="Times New Roman" w:hAnsi="Times New Roman" w:cs="Times New Roman"/>
                          <w:sz w:val="24"/>
                          <w:szCs w:val="24"/>
                        </w:rPr>
                        <w:t>På dette bildet kan vi se en tydelig fase 2 i suksesjonen</w:t>
                      </w:r>
                      <w:r w:rsidR="005C2ED3">
                        <w:rPr>
                          <w:rFonts w:ascii="Times New Roman" w:hAnsi="Times New Roman" w:cs="Times New Roman"/>
                          <w:sz w:val="24"/>
                          <w:szCs w:val="24"/>
                        </w:rPr>
                        <w:t xml:space="preserve"> også kalt konsolideringsfasen</w:t>
                      </w:r>
                      <w:r>
                        <w:rPr>
                          <w:rFonts w:ascii="Times New Roman" w:hAnsi="Times New Roman" w:cs="Times New Roman"/>
                          <w:sz w:val="24"/>
                          <w:szCs w:val="24"/>
                        </w:rPr>
                        <w:t xml:space="preserve">. Ved fase 2 finnes det allerede et næringsrikt jordsmonn som ble til i fase 1. Det finnes ofte røtter og frø i jordsmonnet som også er tilfelle på bildet. Jordsmonnet har oppstått </w:t>
                      </w:r>
                      <w:r w:rsidR="005C2ED3">
                        <w:rPr>
                          <w:rFonts w:ascii="Times New Roman" w:hAnsi="Times New Roman" w:cs="Times New Roman"/>
                          <w:sz w:val="24"/>
                          <w:szCs w:val="24"/>
                        </w:rPr>
                        <w:t>i fase 1 etter hvert som stein har forvitret, samtidig som organisk innhold har blitt blandet inn. Konsolideringsfasen er den fasen med størst artsmangfold. Pionerartene er fremdeles til stedet som man kan se, men de er i en tilbakegang, og mindre næringskrevende arter vokser opp som følge av konkurransen om næringen. Det varierte plantelivet som vokser opp gir et godt grunnlag for et stort artsmangfold blant dyr.</w:t>
                      </w:r>
                    </w:p>
                    <w:p w:rsidR="005C2ED3" w:rsidRPr="00655BA2" w:rsidRDefault="005C2ED3" w:rsidP="00655BA2">
                      <w:pPr>
                        <w:spacing w:line="360" w:lineRule="auto"/>
                        <w:rPr>
                          <w:rFonts w:ascii="Times New Roman" w:hAnsi="Times New Roman" w:cs="Times New Roman"/>
                          <w:sz w:val="24"/>
                          <w:szCs w:val="24"/>
                        </w:rPr>
                      </w:pPr>
                      <w:r>
                        <w:rPr>
                          <w:rFonts w:ascii="Times New Roman" w:hAnsi="Times New Roman" w:cs="Times New Roman"/>
                          <w:sz w:val="24"/>
                          <w:szCs w:val="24"/>
                        </w:rPr>
                        <w:t>Abiotiske faktorer er de ikke levende delene i økosystemet som påvirker de biotiske faktorene. De abiotiske faktorene som påvirker dyre- og plantelivet (biotiske faktorene) i dette økosystemet er</w:t>
                      </w:r>
                      <w:r w:rsidR="000464FC">
                        <w:rPr>
                          <w:rFonts w:ascii="Times New Roman" w:hAnsi="Times New Roman" w:cs="Times New Roman"/>
                          <w:sz w:val="24"/>
                          <w:szCs w:val="24"/>
                        </w:rPr>
                        <w:t>:</w:t>
                      </w:r>
                      <w:r>
                        <w:rPr>
                          <w:rFonts w:ascii="Times New Roman" w:hAnsi="Times New Roman" w:cs="Times New Roman"/>
                          <w:sz w:val="24"/>
                          <w:szCs w:val="24"/>
                        </w:rPr>
                        <w:t xml:space="preserve"> jordas pH-verdi</w:t>
                      </w:r>
                      <w:r w:rsidR="000464FC">
                        <w:rPr>
                          <w:rFonts w:ascii="Times New Roman" w:hAnsi="Times New Roman" w:cs="Times New Roman"/>
                          <w:sz w:val="24"/>
                          <w:szCs w:val="24"/>
                        </w:rPr>
                        <w:t xml:space="preserve"> og klimaet. Jordsmonnets pH-verdi vil bestemme hvilke planet som kan vokse opp, fordi noen planter kan ikke vokse i et surt jordsmonn. Surt jordsmonn er typisk for klimaksfasen fordi barnålene fra grantrærne som ofte dominerer tilfører sur pH-verdi til jordsmonnet. Klimaet er også en viktig faktor, dette vil være f.eks. vind, fuktighet og temperatur. Disse faktorene er med på å påvirke hvilke plante- og dyrearter som overlever. </w:t>
                      </w:r>
                      <w:bookmarkStart w:id="1" w:name="_GoBack"/>
                      <w:bookmarkEnd w:id="1"/>
                    </w:p>
                  </w:txbxContent>
                </v:textbox>
                <w10:wrap type="square"/>
              </v:shape>
            </w:pict>
          </mc:Fallback>
        </mc:AlternateContent>
      </w:r>
      <w:r>
        <w:rPr>
          <w:noProof/>
        </w:rPr>
        <w:drawing>
          <wp:inline distT="0" distB="0" distL="0" distR="0" wp14:anchorId="4DF32D8C" wp14:editId="05273652">
            <wp:extent cx="4689160" cy="2637653"/>
            <wp:effectExtent l="0" t="2858"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4694085" cy="2640424"/>
                    </a:xfrm>
                    <a:prstGeom prst="rect">
                      <a:avLst/>
                    </a:prstGeom>
                    <a:noFill/>
                    <a:ln>
                      <a:noFill/>
                    </a:ln>
                  </pic:spPr>
                </pic:pic>
              </a:graphicData>
            </a:graphic>
          </wp:inline>
        </w:drawing>
      </w:r>
    </w:p>
    <w:p w:rsidR="00655BA2" w:rsidRDefault="00655BA2" w:rsidP="00655BA2">
      <w:pPr>
        <w:rPr>
          <w:rFonts w:ascii="Times New Roman" w:hAnsi="Times New Roman" w:cs="Times New Roman"/>
          <w:sz w:val="24"/>
          <w:szCs w:val="24"/>
        </w:rPr>
      </w:pPr>
    </w:p>
    <w:p w:rsidR="00655BA2" w:rsidRDefault="00655BA2" w:rsidP="00655BA2">
      <w:pPr>
        <w:rPr>
          <w:rFonts w:ascii="Times New Roman" w:hAnsi="Times New Roman" w:cs="Times New Roman"/>
          <w:sz w:val="24"/>
          <w:szCs w:val="24"/>
        </w:rPr>
      </w:pPr>
    </w:p>
    <w:p w:rsidR="00655BA2" w:rsidRDefault="00655BA2" w:rsidP="00655BA2">
      <w:pPr>
        <w:rPr>
          <w:rFonts w:ascii="Times New Roman" w:hAnsi="Times New Roman" w:cs="Times New Roman"/>
          <w:sz w:val="24"/>
          <w:szCs w:val="24"/>
        </w:rPr>
      </w:pPr>
    </w:p>
    <w:p w:rsidR="00655BA2" w:rsidRDefault="00655BA2" w:rsidP="00655BA2">
      <w:pPr>
        <w:rPr>
          <w:rFonts w:ascii="Times New Roman" w:hAnsi="Times New Roman" w:cs="Times New Roman"/>
          <w:sz w:val="24"/>
          <w:szCs w:val="24"/>
        </w:rPr>
      </w:pPr>
    </w:p>
    <w:p w:rsidR="00655BA2" w:rsidRDefault="00655BA2" w:rsidP="00655BA2">
      <w:pPr>
        <w:rPr>
          <w:rFonts w:ascii="Times New Roman" w:hAnsi="Times New Roman" w:cs="Times New Roman"/>
          <w:sz w:val="24"/>
          <w:szCs w:val="24"/>
        </w:rPr>
      </w:pPr>
    </w:p>
    <w:p w:rsidR="00655BA2" w:rsidRPr="00655BA2" w:rsidRDefault="00655BA2" w:rsidP="00655BA2">
      <w:pPr>
        <w:rPr>
          <w:rFonts w:ascii="Times New Roman" w:hAnsi="Times New Roman" w:cs="Times New Roman"/>
          <w:sz w:val="24"/>
          <w:szCs w:val="24"/>
        </w:rPr>
      </w:pPr>
    </w:p>
    <w:sectPr w:rsidR="00655BA2" w:rsidRPr="00655B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A2"/>
    <w:rsid w:val="000464FC"/>
    <w:rsid w:val="00496818"/>
    <w:rsid w:val="005C2ED3"/>
    <w:rsid w:val="00655BA2"/>
    <w:rsid w:val="007703B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BA8D"/>
  <w15:chartTrackingRefBased/>
  <w15:docId w15:val="{FA82C5DB-6C5A-40D2-978A-DE277F19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Words>
  <Characters>25</Characters>
  <Application>Microsoft Office Word</Application>
  <DocSecurity>0</DocSecurity>
  <Lines>1</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2018-06-13T08:40:00Z</dcterms:created>
  <dcterms:modified xsi:type="dcterms:W3CDTF">2018-06-13T09:05:00Z</dcterms:modified>
</cp:coreProperties>
</file>