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31m8pwyidmzo" w:id="0"/>
      <w:bookmarkEnd w:id="0"/>
      <w:r w:rsidDel="00000000" w:rsidR="00000000" w:rsidRPr="00000000">
        <w:rPr>
          <w:rtl w:val="0"/>
        </w:rPr>
        <w:t xml:space="preserve">Literature Review on SEIs</w:t>
      </w:r>
    </w:p>
    <w:p w:rsidR="00000000" w:rsidDel="00000000" w:rsidP="00000000" w:rsidRDefault="00000000" w:rsidRPr="00000000" w14:paraId="00000002">
      <w:pPr>
        <w:jc w:val="center"/>
        <w:rPr/>
      </w:pPr>
      <w:r w:rsidDel="00000000" w:rsidR="00000000" w:rsidRPr="00000000">
        <w:rPr>
          <w:rtl w:val="0"/>
        </w:rPr>
        <w:t xml:space="preserve">December 10, 2025</w:t>
      </w:r>
    </w:p>
    <w:p w:rsidR="00000000" w:rsidDel="00000000" w:rsidP="00000000" w:rsidRDefault="00000000" w:rsidRPr="00000000" w14:paraId="00000003">
      <w:pPr>
        <w:jc w:val="center"/>
        <w:rPr/>
      </w:pPr>
      <w:r w:rsidDel="00000000" w:rsidR="00000000" w:rsidRPr="00000000">
        <w:rPr>
          <w:rtl w:val="0"/>
        </w:rPr>
        <w:t xml:space="preserve">Kim Larson</w:t>
      </w:r>
    </w:p>
    <w:p w:rsidR="00000000" w:rsidDel="00000000" w:rsidP="00000000" w:rsidRDefault="00000000" w:rsidRPr="00000000" w14:paraId="00000004">
      <w:pPr>
        <w:pStyle w:val="Heading2"/>
        <w:rPr/>
      </w:pPr>
      <w:bookmarkStart w:colFirst="0" w:colLast="0" w:name="_yf77h367eisw" w:id="1"/>
      <w:bookmarkEnd w:id="1"/>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t xml:space="preserve">Student evaluations of instruction (SEIs) are a method of quality assurance and faculty evaluation in higher education, yet their design and use remain contested. This review examines empirical and theoretical work on SEIs to assess the extent to which standard instruments capture teaching effectiveness, student learning, and longer‑term educational goals. The aim is to situate a proposed survey redesign that emphasizes education, professional trajectories, and student agency.</w:t>
      </w:r>
    </w:p>
    <w:p w:rsidR="00000000" w:rsidDel="00000000" w:rsidP="00000000" w:rsidRDefault="00000000" w:rsidRPr="00000000" w14:paraId="00000006">
      <w:pPr>
        <w:pStyle w:val="Heading2"/>
        <w:rPr/>
      </w:pPr>
      <w:bookmarkStart w:colFirst="0" w:colLast="0" w:name="_to29snoy4l58" w:id="2"/>
      <w:bookmarkEnd w:id="2"/>
      <w:r w:rsidDel="00000000" w:rsidR="00000000" w:rsidRPr="00000000">
        <w:rPr>
          <w:rtl w:val="0"/>
        </w:rPr>
        <w:t xml:space="preserve">Historical background and dominant purposes</w:t>
      </w:r>
    </w:p>
    <w:p w:rsidR="00000000" w:rsidDel="00000000" w:rsidP="00000000" w:rsidRDefault="00000000" w:rsidRPr="00000000" w14:paraId="00000007">
      <w:pPr>
        <w:rPr/>
      </w:pPr>
      <w:r w:rsidDel="00000000" w:rsidR="00000000" w:rsidRPr="00000000">
        <w:rPr>
          <w:rtl w:val="0"/>
        </w:rPr>
        <w:t xml:space="preserve">Early SEI instruments were developed primarily to provide standardized, end‑of‑term feedback on instructor performance and course quality, often with an emphasis on administrative comparability and efficiency. Historical accounts trace this development from early scales used at institutions such as Purdue to the widespread adoption of student ratings as a routine mechanism for documenting teaching in mass higher education systems worldwide</w:t>
      </w:r>
      <w:r w:rsidDel="00000000" w:rsidR="00000000" w:rsidRPr="00000000">
        <w:rPr>
          <w:vertAlign w:val="superscript"/>
        </w:rPr>
        <w:footnoteReference w:customMarkFollows="0" w:id="0"/>
      </w: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Over time, SEIs have become tightly integrated into institutional governance: they now commonly inform promotion and tenure decisions, annual reviews, and course improvement processes, and, in some contexts, are also marshalled as evidence in program reviews and accreditation. This trajectory has entrenched SEIs as high‑stakes evaluative tools, despite ongoing debate about what exactly they measure.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 substantial body of critical literature argues that this historical pattern has encouraged a narrow, “one‑way rating” conception of evaluation that emphasizes satisfaction, workload, and grade satisfaction over reciprocal inquiry into learning processes and outcomes. Empirical studies show that ratings are strongly influenced by grade expectations, perceived leniency, and workload, which raises questions about the validity of SEIs as indicators of teaching effectiveness. To address this, it is recommended that faculty, students, stakeholders, and community members collaborate to identify biases and propose improvements</w:t>
      </w:r>
      <w:r w:rsidDel="00000000" w:rsidR="00000000" w:rsidRPr="00000000">
        <w:rPr>
          <w:vertAlign w:val="superscript"/>
        </w:rPr>
        <w:footnoteReference w:customMarkFollows="0" w:id="1"/>
      </w: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Professional bodies such as the AAUP and disciplinary associations have responded by warning against high‑stakes reliance on SEIs and calling for more multidimensional, learning‑centered approaches to evaluating teaching</w:t>
      </w:r>
      <w:r w:rsidDel="00000000" w:rsidR="00000000" w:rsidRPr="00000000">
        <w:rPr>
          <w:vertAlign w:val="superscript"/>
        </w:rPr>
        <w:footnoteReference w:customMarkFollows="0" w:id="2"/>
      </w:r>
      <w:r w:rsidDel="00000000" w:rsidR="00000000" w:rsidRPr="00000000">
        <w:rPr>
          <w:rtl w:val="0"/>
        </w:rPr>
        <w:t xml:space="preserve">. Taken together, the historical and policy literature supports a view of SEIs as tools that evolved for comparability and efficiency but now sit uneasily with contemporary concerns about rigor, equity, and meaningful evidence of student learning.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 substantial body of research has documented concerns about the validity, reliability, and fairness of conventional SEI forms. Studies highlight construct ambiguity, in which items conflate entertainment value, likeability, and rigor, making it challenging to interpret scores as indicators of teaching effectiveness. Scholars have also identified systematic biases related to instructor gender, race, language background, discipline, and course level, raising serious equity concerns when SEIs are used for personnel decisions</w:t>
      </w:r>
      <w:r w:rsidDel="00000000" w:rsidR="00000000" w:rsidRPr="00000000">
        <w:rPr>
          <w:vertAlign w:val="superscript"/>
        </w:rPr>
        <w:footnoteReference w:customMarkFollows="0" w:id="3"/>
      </w:r>
      <w:r w:rsidDel="00000000" w:rsidR="00000000" w:rsidRPr="00000000">
        <w:rPr>
          <w:rtl w:val="0"/>
        </w:rPr>
        <w:t xml:space="preserve">. Moreover, heavy reliance on global ratings and generic satisfaction questions tends to obscure how specific instructional practices, course structures, and contextual factors actually shape students’ learning experiences.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Evidence linking SEI scores to direct measures of student learning is mixed and often modest, particularly after controlling for prior achievement and course difficulty. Some studies report weak or inconsistent associations between high ratings and deeper understanding, suggesting that students may reward perceived ease, leniency, or alignment with expectations rather than long‑term skill development. Other work points out that when items explicitly target learning processes, such as clarity of learning objectives, alignment between assessments and goals, or opportunities for practice and feedback, SEIs can provide more actionable information. This literature underscores the need to pivot from generic impressions to questions that meaningfully track how courses support students’ progress toward durable knowledge and competencies.</w:t>
      </w:r>
    </w:p>
    <w:p w:rsidR="00000000" w:rsidDel="00000000" w:rsidP="00000000" w:rsidRDefault="00000000" w:rsidRPr="00000000" w14:paraId="00000012">
      <w:pPr>
        <w:pStyle w:val="Heading2"/>
        <w:rPr/>
      </w:pPr>
      <w:bookmarkStart w:colFirst="0" w:colLast="0" w:name="_c96qfp1bzo3f" w:id="3"/>
      <w:bookmarkEnd w:id="3"/>
      <w:r w:rsidDel="00000000" w:rsidR="00000000" w:rsidRPr="00000000">
        <w:rPr>
          <w:rtl w:val="0"/>
        </w:rPr>
        <w:t xml:space="preserve">Student Instructor Feedback Dynamics</w:t>
      </w:r>
    </w:p>
    <w:p w:rsidR="00000000" w:rsidDel="00000000" w:rsidP="00000000" w:rsidRDefault="00000000" w:rsidRPr="00000000" w14:paraId="00000013">
      <w:pPr>
        <w:rPr/>
      </w:pPr>
      <w:r w:rsidDel="00000000" w:rsidR="00000000" w:rsidRPr="00000000">
        <w:rPr>
          <w:rtl w:val="0"/>
        </w:rPr>
        <w:t xml:space="preserve">Recent scholarship on learning mindsets, self‑regulated learning, and student engagement emphasizes the interaction between instructional design and student behaviors. Rather than treating students as passive recipients who “receive” a course, this work highlights how preparation habits, help‑seeking, and responses to difficulty mediate the impact of instruction. Within SEI research, some instruments have begun to include items that distinguish between instructor practices (e.g., providing clear expectations, offering multiple ways to engage) and student contributions (e.g., attending, completing readings, persisting through challenge). These approaches suggest that evaluations can be more informative and fair when they acknowledge both sides of the learning relationship and invite students to reflect explicitly on their own role.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literature on career readiness, high‑impact practices, and work‑integrated learning argues that students’ judgments of course value increasingly hinge on perceived relevance to their professional and civic futures</w:t>
      </w:r>
      <w:r w:rsidDel="00000000" w:rsidR="00000000" w:rsidRPr="00000000">
        <w:rPr>
          <w:vertAlign w:val="superscript"/>
        </w:rPr>
        <w:footnoteReference w:customMarkFollows="0" w:id="4"/>
      </w:r>
      <w:r w:rsidDel="00000000" w:rsidR="00000000" w:rsidRPr="00000000">
        <w:rPr>
          <w:vertAlign w:val="superscript"/>
        </w:rPr>
        <w:footnoteReference w:customMarkFollows="0" w:id="5"/>
      </w:r>
      <w:r w:rsidDel="00000000" w:rsidR="00000000" w:rsidRPr="00000000">
        <w:rPr>
          <w:rtl w:val="0"/>
        </w:rPr>
        <w:t xml:space="preserve">. Studies of internships, capstones, and applied projects show that when students see clear links between course activities and real‑world applications, they report higher engagement and more sustained learning. Yet traditional SEIs rarely ask students to articulate how a course contributed to their professional identity, transferable skills, or long‑term goals</w:t>
      </w:r>
      <w:r w:rsidDel="00000000" w:rsidR="00000000" w:rsidRPr="00000000">
        <w:rPr>
          <w:vertAlign w:val="superscript"/>
        </w:rPr>
        <w:footnoteReference w:customMarkFollows="0" w:id="6"/>
      </w:r>
      <w:r w:rsidDel="00000000" w:rsidR="00000000" w:rsidRPr="00000000">
        <w:rPr>
          <w:rtl w:val="0"/>
        </w:rPr>
        <w:t xml:space="preserve">. Emerging evaluation models that foreground relevance and applicability suggest an opportunity to redesign items so that they connect course experiences to career development, rather than treating all courses as interchangeable units rated solely by difficulty and enjoyment.</w:t>
      </w:r>
    </w:p>
    <w:p w:rsidR="00000000" w:rsidDel="00000000" w:rsidP="00000000" w:rsidRDefault="00000000" w:rsidRPr="00000000" w14:paraId="00000016">
      <w:pPr>
        <w:pStyle w:val="Heading3"/>
        <w:rPr/>
      </w:pPr>
      <w:bookmarkStart w:colFirst="0" w:colLast="0" w:name="_rm6pu2l5w8rl" w:id="4"/>
      <w:bookmarkEnd w:id="4"/>
      <w:r w:rsidDel="00000000" w:rsidR="00000000" w:rsidRPr="00000000">
        <w:rPr>
          <w:rtl w:val="0"/>
        </w:rPr>
        <w:t xml:space="preserve">Suggestion: Ongoing Student Peer Review of Feedback</w:t>
      </w:r>
    </w:p>
    <w:p w:rsidR="00000000" w:rsidDel="00000000" w:rsidP="00000000" w:rsidRDefault="00000000" w:rsidRPr="00000000" w14:paraId="00000017">
      <w:pPr>
        <w:rPr/>
      </w:pPr>
      <w:r w:rsidDel="00000000" w:rsidR="00000000" w:rsidRPr="00000000">
        <w:rPr>
          <w:rtl w:val="0"/>
        </w:rPr>
        <w:t xml:space="preserve">A parallel line of work examines formative, mid‑course feedback and more dialogic evaluation practices. Studies indicate that mid‑semester surveys, structured peer feedback, and guided reflection activities can improve teaching and learning by allowing instructors to adjust in real time</w:t>
      </w:r>
      <w:r w:rsidDel="00000000" w:rsidR="00000000" w:rsidRPr="00000000">
        <w:rPr>
          <w:vertAlign w:val="superscript"/>
        </w:rPr>
        <w:footnoteReference w:customMarkFollows="0" w:id="7"/>
      </w:r>
      <w:r w:rsidDel="00000000" w:rsidR="00000000" w:rsidRPr="00000000">
        <w:rPr>
          <w:rtl w:val="0"/>
        </w:rPr>
        <w:t xml:space="preserve">. In some models, students are invited to interpret one another’s comments, consider fairness and representativeness, and propose constructive changes, thereby cultivating metacognitive awareness and collective responsibility. These approaches align with 360‑style feedback in organizational settings, where multi‑perspective input is used for development rather than punitive evaluation. Integrating such practices into SEIs reframes the evaluation as a collaborative process that produces richer, more actionable insights than one‑directional end‑of‑term ratings.</w:t>
      </w:r>
    </w:p>
    <w:p w:rsidR="00000000" w:rsidDel="00000000" w:rsidP="00000000" w:rsidRDefault="00000000" w:rsidRPr="00000000" w14:paraId="00000018">
      <w:pPr>
        <w:pStyle w:val="Heading3"/>
        <w:rPr/>
      </w:pPr>
      <w:bookmarkStart w:colFirst="0" w:colLast="0" w:name="_i5act9vp6lno" w:id="5"/>
      <w:bookmarkEnd w:id="5"/>
      <w:r w:rsidDel="00000000" w:rsidR="00000000" w:rsidRPr="00000000">
        <w:rPr>
          <w:rtl w:val="0"/>
        </w:rPr>
        <w:t xml:space="preserve">Suggestion: LLM Integration for Open Feedback &amp; Synthesis</w:t>
      </w:r>
    </w:p>
    <w:p w:rsidR="00000000" w:rsidDel="00000000" w:rsidP="00000000" w:rsidRDefault="00000000" w:rsidRPr="00000000" w14:paraId="00000019">
      <w:pPr>
        <w:rPr/>
      </w:pPr>
      <w:r w:rsidDel="00000000" w:rsidR="00000000" w:rsidRPr="00000000">
        <w:rPr>
          <w:rtl w:val="0"/>
        </w:rPr>
        <w:t xml:space="preserve">Qualitative responses in SEIs can provide nuanced information about alignment, misalignment, and opportunity gaps that numeric scales cannot capture alone. Research on text‑based student feedback shows that open‑ended prompts, when well-targeted, reveal specific strengths and weaknesses in course design, instructor practices, and institutional supports</w:t>
      </w:r>
      <w:r w:rsidDel="00000000" w:rsidR="00000000" w:rsidRPr="00000000">
        <w:rPr>
          <w:vertAlign w:val="superscript"/>
        </w:rPr>
        <w:footnoteReference w:customMarkFollows="0" w:id="8"/>
      </w:r>
      <w:r w:rsidDel="00000000" w:rsidR="00000000" w:rsidRPr="00000000">
        <w:rPr>
          <w:rtl w:val="0"/>
        </w:rPr>
        <w:t xml:space="preserve">. At the same time, there is growing interest in leveraging computational tools, including large language models, to help classify, summarize, or respond to qualitative feedback at scale</w:t>
      </w:r>
      <w:r w:rsidDel="00000000" w:rsidR="00000000" w:rsidRPr="00000000">
        <w:rPr>
          <w:vertAlign w:val="superscript"/>
        </w:rPr>
        <w:footnoteReference w:customMarkFollows="0" w:id="9"/>
      </w:r>
      <w:r w:rsidDel="00000000" w:rsidR="00000000" w:rsidRPr="00000000">
        <w:rPr>
          <w:rtl w:val="0"/>
        </w:rPr>
        <w:t xml:space="preserve">. The emerging literature emphasizes both the potential of these tools to surface themes and the ethical imperatives around privacy, bias, and transparency</w:t>
      </w:r>
      <w:r w:rsidDel="00000000" w:rsidR="00000000" w:rsidRPr="00000000">
        <w:rPr>
          <w:vertAlign w:val="superscript"/>
        </w:rPr>
        <w:footnoteReference w:customMarkFollows="0" w:id="10"/>
      </w:r>
      <w:r w:rsidDel="00000000" w:rsidR="00000000" w:rsidRPr="00000000">
        <w:rPr>
          <w:rtl w:val="0"/>
        </w:rPr>
        <w:t xml:space="preserve">. When carefully designed, technology‑mediated follow‑ups can help students elaborate on their experiences and help instructors navigate complex, sometimes conflicting narratives.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Synthesizing these strands, several design principles emerge for SEIs that aim to support rigor, equity, and relevance rather than just satisfaction tracking. First, items should be grounded in clear constructs, such as clarity of objectives, alignment of assessments, support for challenge, and perceived relevance to future goals, so that scores are interpretable and actionable. Second, instruments should explicitly separate and link instructor and student behaviors, enabling a more balanced understanding of how learning is co‑produced. Third, evaluation systems should embed formative, mid‑course, and dialogic components, including opportunities for students to respond to peers’ feedback and to articulate what changes would better support their learning. Finally, ethical use of technology, including LLM‑assisted analysis of open‑ended comments, should be guided by transparency, consent, and commitments to reducing bias rather than amplifying it.</w:t>
      </w:r>
    </w:p>
    <w:p w:rsidR="00000000" w:rsidDel="00000000" w:rsidP="00000000" w:rsidRDefault="00000000" w:rsidRPr="00000000" w14:paraId="0000001C">
      <w:pPr>
        <w:pStyle w:val="Heading2"/>
        <w:rPr/>
      </w:pPr>
      <w:bookmarkStart w:colFirst="0" w:colLast="0" w:name="_y1b19j7g15jt" w:id="6"/>
      <w:bookmarkEnd w:id="6"/>
      <w:r w:rsidDel="00000000" w:rsidR="00000000" w:rsidRPr="00000000">
        <w:rPr>
          <w:rtl w:val="0"/>
        </w:rPr>
        <w:t xml:space="preserve">Conclusion</w:t>
      </w:r>
    </w:p>
    <w:p w:rsidR="00000000" w:rsidDel="00000000" w:rsidP="00000000" w:rsidRDefault="00000000" w:rsidRPr="00000000" w14:paraId="0000001D">
      <w:pPr>
        <w:rPr/>
      </w:pPr>
      <w:r w:rsidDel="00000000" w:rsidR="00000000" w:rsidRPr="00000000">
        <w:rPr>
          <w:rtl w:val="0"/>
        </w:rPr>
        <w:t xml:space="preserve">In light of these findings, the proposed survey redesign shifts SEIs from a narrow rating tool toward a structured, student‑centered dialogue about learning, professional development, and equity. By reframing closed‑ended items around constructs such as career contribution, preparation behaviors, and responses to challenge, the instrument aligns more closely with research on learning outcomes and student agency. Incorporating targeted open‑ended prompts, mid‑course 360‑style feedback, and ethically deployed LLM‑mediated follow‑ups responds to calls in the literature for more formative, interpretable, and context‑sensitive evaluation practices. Collectively, these design choices position SEIs as a mechanism not only for judging past performance, but for informing advising, course design, and program‑level decisions in ways that legacy instruments, dominated by satisfaction and workload ratings, have struggled to achieve.</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1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https://www.frontiersin.org/journals/psychology/articles/10.3389/fpsyg.2022.1004487/full</w:t>
      </w:r>
    </w:p>
  </w:footnote>
  <w:footnote w:id="1">
    <w:p w:rsidR="00000000" w:rsidDel="00000000" w:rsidP="00000000" w:rsidRDefault="00000000" w:rsidRPr="00000000" w14:paraId="0000002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https://www.watermarkinsights.com/resources/blog/course-evaluation-role-in-accreditation/</w:t>
      </w:r>
    </w:p>
  </w:footnote>
  <w:footnote w:id="2">
    <w:p w:rsidR="00000000" w:rsidDel="00000000" w:rsidP="00000000" w:rsidRDefault="00000000" w:rsidRPr="00000000" w14:paraId="0000002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https://www.aaup.org/reports-publications/aaup-policies-reports/policy-statements/statement-teaching-evaluation</w:t>
      </w:r>
    </w:p>
  </w:footnote>
  <w:footnote w:id="3">
    <w:p w:rsidR="00000000" w:rsidDel="00000000" w:rsidP="00000000" w:rsidRDefault="00000000" w:rsidRPr="00000000" w14:paraId="0000002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https://www.sciencedirect.com/science/article/abs/pii/S8755722323001503</w:t>
      </w:r>
    </w:p>
  </w:footnote>
  <w:footnote w:id="4">
    <w:p w:rsidR="00000000" w:rsidDel="00000000" w:rsidP="00000000" w:rsidRDefault="00000000" w:rsidRPr="00000000" w14:paraId="0000002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https://pmc.ncbi.nlm.nih.gov/articles/PMC9514680/</w:t>
      </w:r>
    </w:p>
  </w:footnote>
  <w:footnote w:id="5">
    <w:p w:rsidR="00000000" w:rsidDel="00000000" w:rsidP="00000000" w:rsidRDefault="00000000" w:rsidRPr="00000000" w14:paraId="0000002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https://www.ebsco.com/research-starters/education/hip-high-impact-practices</w:t>
      </w:r>
    </w:p>
  </w:footnote>
  <w:footnote w:id="6">
    <w:p w:rsidR="00000000" w:rsidDel="00000000" w:rsidP="00000000" w:rsidRDefault="00000000" w:rsidRPr="00000000" w14:paraId="0000002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https://pmc.ncbi.nlm.nih.gov/articles/PMC11863847/</w:t>
      </w:r>
    </w:p>
  </w:footnote>
  <w:footnote w:id="8">
    <w:p w:rsidR="00000000" w:rsidDel="00000000" w:rsidP="00000000" w:rsidRDefault="00000000" w:rsidRPr="00000000" w14:paraId="0000002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https://files.eric.ed.gov/fulltext/EJ1184996.pdf</w:t>
      </w:r>
    </w:p>
  </w:footnote>
  <w:footnote w:id="9">
    <w:p w:rsidR="00000000" w:rsidDel="00000000" w:rsidP="00000000" w:rsidRDefault="00000000" w:rsidRPr="00000000" w14:paraId="0000002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https://journals.sagepub.com/doi/10.1177/16094069241231168</w:t>
      </w:r>
    </w:p>
  </w:footnote>
  <w:footnote w:id="10">
    <w:p w:rsidR="00000000" w:rsidDel="00000000" w:rsidP="00000000" w:rsidRDefault="00000000" w:rsidRPr="00000000" w14:paraId="0000002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https://pmc.ncbi.nlm.nih.gov/articles/PMC12675450/</w:t>
      </w:r>
    </w:p>
  </w:footnote>
  <w:footnote w:id="7">
    <w:p w:rsidR="00000000" w:rsidDel="00000000" w:rsidP="00000000" w:rsidRDefault="00000000" w:rsidRPr="00000000" w14:paraId="0000002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https://teaching.ucla.edu/resources/teaching-guides/leveraging-mid-quarter-student-feedback-to-improve-your-teaching/</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