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4DBB" w14:textId="77777777" w:rsidR="00903012" w:rsidRDefault="00903012" w:rsidP="00903012">
      <w:pPr>
        <w:pStyle w:val="Heading2"/>
      </w:pPr>
      <w:r>
        <w:t>Sample background and selection</w:t>
      </w:r>
    </w:p>
    <w:p w14:paraId="17A9F420" w14:textId="77777777" w:rsidR="00903012" w:rsidRPr="003B1646" w:rsidRDefault="00903012" w:rsidP="00903012">
      <w:pPr>
        <w:spacing w:before="100" w:beforeAutospacing="1" w:after="80" w:line="240" w:lineRule="auto"/>
        <w:rPr>
          <w:rFonts w:eastAsia="Times New Roman"/>
        </w:rPr>
      </w:pPr>
      <w:r>
        <w:rPr>
          <w:rFonts w:eastAsia="Times New Roman"/>
        </w:rPr>
        <w:t>Four</w:t>
      </w:r>
      <w:r w:rsidRPr="003B1646">
        <w:rPr>
          <w:rFonts w:eastAsia="Times New Roman"/>
        </w:rPr>
        <w:t xml:space="preserve"> hundred children </w:t>
      </w:r>
      <w:r>
        <w:rPr>
          <w:rFonts w:eastAsia="Times New Roman"/>
        </w:rPr>
        <w:t>were</w:t>
      </w:r>
      <w:r w:rsidRPr="003B1646">
        <w:rPr>
          <w:rFonts w:eastAsia="Times New Roman"/>
        </w:rPr>
        <w:t xml:space="preserve"> recruited from the National Evaluation of Sure Start’s (NESS)</w:t>
      </w:r>
      <w:r>
        <w:rPr>
          <w:rFonts w:eastAsia="Times New Roman"/>
        </w:rPr>
        <w:t xml:space="preserve"> </w:t>
      </w:r>
      <w:r w:rsidRPr="003B1646">
        <w:rPr>
          <w:rFonts w:eastAsia="Times New Roman"/>
        </w:rPr>
        <w:t>cross-sectional study of 150 communities across England</w:t>
      </w:r>
      <w:r>
        <w:rPr>
          <w:rFonts w:eastAsia="Times New Roman"/>
        </w:rPr>
        <w:t>,</w:t>
      </w:r>
      <w:r w:rsidRPr="003B1646">
        <w:rPr>
          <w:rFonts w:eastAsia="Times New Roman"/>
        </w:rPr>
        <w:t xml:space="preserve"> which originally saw children at age 3 years</w:t>
      </w:r>
      <w:r>
        <w:rPr>
          <w:rFonts w:eastAsia="Times New Roman"/>
        </w:rPr>
        <w:t xml:space="preserve"> (</w:t>
      </w:r>
      <w:r w:rsidRPr="00CF5918">
        <w:t xml:space="preserve">Belsky, </w:t>
      </w:r>
      <w:proofErr w:type="spellStart"/>
      <w:r w:rsidRPr="00CF5918">
        <w:t>Melhuish</w:t>
      </w:r>
      <w:proofErr w:type="spellEnd"/>
      <w:r w:rsidRPr="00CF5918">
        <w:t>, Barnes</w:t>
      </w:r>
      <w:r>
        <w:t>, Leyland &amp;</w:t>
      </w:r>
      <w:r w:rsidRPr="00CF5918">
        <w:t xml:space="preserve"> Romaniuk</w:t>
      </w:r>
      <w:r>
        <w:t>, 2006)</w:t>
      </w:r>
      <w:r w:rsidRPr="003B1646">
        <w:rPr>
          <w:rFonts w:eastAsia="Times New Roman"/>
        </w:rPr>
        <w:t xml:space="preserve">. </w:t>
      </w:r>
      <w:r>
        <w:rPr>
          <w:rFonts w:eastAsia="Times New Roman"/>
        </w:rPr>
        <w:t xml:space="preserve">We followed </w:t>
      </w:r>
      <w:r w:rsidRPr="00EA36AB">
        <w:rPr>
          <w:rFonts w:eastAsia="Times New Roman"/>
        </w:rPr>
        <w:t xml:space="preserve">up children who were living in the </w:t>
      </w:r>
      <w:r>
        <w:rPr>
          <w:rFonts w:eastAsia="Times New Roman"/>
        </w:rPr>
        <w:t xml:space="preserve">South (including Greater London, Berkshire, </w:t>
      </w:r>
      <w:proofErr w:type="spellStart"/>
      <w:r>
        <w:rPr>
          <w:rFonts w:eastAsia="Times New Roman"/>
        </w:rPr>
        <w:t>Oxfordshire</w:t>
      </w:r>
      <w:proofErr w:type="spellEnd"/>
      <w:r>
        <w:rPr>
          <w:rFonts w:eastAsia="Times New Roman"/>
        </w:rPr>
        <w:t xml:space="preserve"> and Suffolk)  </w:t>
      </w:r>
      <w:r w:rsidRPr="00EA36AB">
        <w:rPr>
          <w:rFonts w:eastAsia="Times New Roman"/>
        </w:rPr>
        <w:t>or the North</w:t>
      </w:r>
      <w:r>
        <w:rPr>
          <w:rFonts w:eastAsia="Times New Roman"/>
        </w:rPr>
        <w:t xml:space="preserve"> </w:t>
      </w:r>
      <w:r w:rsidRPr="00EA36AB">
        <w:rPr>
          <w:rFonts w:eastAsia="Times New Roman"/>
        </w:rPr>
        <w:t>of England (</w:t>
      </w:r>
      <w:r>
        <w:rPr>
          <w:rFonts w:eastAsia="Times New Roman"/>
        </w:rPr>
        <w:t>including Manchester, Lancashire</w:t>
      </w:r>
      <w:r w:rsidRPr="00EA36AB">
        <w:rPr>
          <w:rFonts w:eastAsia="Times New Roman"/>
        </w:rPr>
        <w:t xml:space="preserve"> and </w:t>
      </w:r>
      <w:r>
        <w:rPr>
          <w:rFonts w:eastAsia="Times New Roman"/>
        </w:rPr>
        <w:t xml:space="preserve">Yorkshire) </w:t>
      </w:r>
      <w:r w:rsidRPr="00BE5BF3">
        <w:rPr>
          <w:rFonts w:eastAsia="Times New Roman"/>
          <w:highlight w:val="yellow"/>
        </w:rPr>
        <w:t>at 3 years and who were 8 to 10 years old in Jan 2009</w:t>
      </w:r>
      <w:r w:rsidRPr="00EA36AB">
        <w:rPr>
          <w:rFonts w:eastAsia="Times New Roman"/>
        </w:rPr>
        <w:t xml:space="preserve"> (</w:t>
      </w:r>
      <w:r>
        <w:rPr>
          <w:rFonts w:eastAsia="Times New Roman"/>
        </w:rPr>
        <w:t xml:space="preserve">Total sample pool: </w:t>
      </w:r>
      <w:r w:rsidRPr="00EA36AB">
        <w:rPr>
          <w:rFonts w:eastAsia="Times New Roman"/>
        </w:rPr>
        <w:t>n = 1,</w:t>
      </w:r>
      <w:r>
        <w:rPr>
          <w:rFonts w:eastAsia="Times New Roman"/>
        </w:rPr>
        <w:t>183</w:t>
      </w:r>
      <w:r w:rsidRPr="00EA36AB">
        <w:rPr>
          <w:rFonts w:eastAsia="Times New Roman"/>
        </w:rPr>
        <w:t xml:space="preserve">). Home visits </w:t>
      </w:r>
      <w:r>
        <w:rPr>
          <w:rFonts w:eastAsia="Times New Roman"/>
        </w:rPr>
        <w:t xml:space="preserve">took </w:t>
      </w:r>
      <w:r w:rsidRPr="00EA36AB">
        <w:rPr>
          <w:rFonts w:eastAsia="Times New Roman"/>
        </w:rPr>
        <w:t xml:space="preserve">approximately </w:t>
      </w:r>
      <w:r>
        <w:rPr>
          <w:rFonts w:eastAsia="Times New Roman"/>
        </w:rPr>
        <w:t>4</w:t>
      </w:r>
      <w:r w:rsidRPr="00EA36AB">
        <w:rPr>
          <w:rFonts w:eastAsia="Times New Roman"/>
        </w:rPr>
        <w:t xml:space="preserve"> hours</w:t>
      </w:r>
      <w:r w:rsidRPr="003B1646">
        <w:rPr>
          <w:rFonts w:eastAsia="Times New Roman"/>
          <w:i/>
        </w:rPr>
        <w:t xml:space="preserve">. </w:t>
      </w:r>
      <w:r w:rsidRPr="003B1646">
        <w:rPr>
          <w:rFonts w:eastAsia="Times New Roman"/>
        </w:rPr>
        <w:t>We ask</w:t>
      </w:r>
      <w:r>
        <w:rPr>
          <w:rFonts w:eastAsia="Times New Roman"/>
        </w:rPr>
        <w:t>ed</w:t>
      </w:r>
      <w:r w:rsidRPr="003B1646">
        <w:rPr>
          <w:rFonts w:eastAsia="Times New Roman"/>
        </w:rPr>
        <w:t xml:space="preserve"> parents’ permission to contact children’s teachers about their </w:t>
      </w:r>
      <w:proofErr w:type="spellStart"/>
      <w:r w:rsidRPr="003B1646">
        <w:rPr>
          <w:rFonts w:eastAsia="Times New Roman"/>
        </w:rPr>
        <w:t>behaviour</w:t>
      </w:r>
      <w:proofErr w:type="spellEnd"/>
      <w:r w:rsidRPr="003B1646">
        <w:rPr>
          <w:rFonts w:eastAsia="Times New Roman"/>
        </w:rPr>
        <w:t>.</w:t>
      </w:r>
      <w:r w:rsidRPr="003B1646">
        <w:rPr>
          <w:rFonts w:eastAsia="Times New Roman"/>
          <w:i/>
        </w:rPr>
        <w:t xml:space="preserve"> </w:t>
      </w:r>
      <w:r w:rsidRPr="003B1646">
        <w:rPr>
          <w:rFonts w:eastAsia="Times New Roman"/>
        </w:rPr>
        <w:t xml:space="preserve">Sure Start Local </w:t>
      </w:r>
      <w:proofErr w:type="spellStart"/>
      <w:r w:rsidRPr="003B1646">
        <w:rPr>
          <w:rFonts w:eastAsia="Times New Roman"/>
        </w:rPr>
        <w:t>Programme</w:t>
      </w:r>
      <w:proofErr w:type="spellEnd"/>
      <w:r w:rsidRPr="003B1646">
        <w:rPr>
          <w:rFonts w:eastAsia="Times New Roman"/>
        </w:rPr>
        <w:t xml:space="preserve"> (SSLP) effects involving the children to be recruited were limited in number and small in magnitude</w:t>
      </w:r>
      <w:r>
        <w:rPr>
          <w:rFonts w:eastAsia="Times New Roman"/>
        </w:rPr>
        <w:t xml:space="preserve"> (Belsky et al., 2006). Families</w:t>
      </w:r>
      <w:r w:rsidRPr="003B1646">
        <w:rPr>
          <w:rFonts w:eastAsia="Times New Roman"/>
        </w:rPr>
        <w:t xml:space="preserve"> </w:t>
      </w:r>
      <w:r>
        <w:rPr>
          <w:rFonts w:eastAsia="Times New Roman"/>
        </w:rPr>
        <w:t xml:space="preserve">were </w:t>
      </w:r>
      <w:r w:rsidRPr="003B1646">
        <w:rPr>
          <w:rFonts w:eastAsia="Times New Roman"/>
        </w:rPr>
        <w:t xml:space="preserve">compensated with up to </w:t>
      </w:r>
      <w:r>
        <w:rPr>
          <w:rFonts w:eastAsia="Times New Roman"/>
        </w:rPr>
        <w:t xml:space="preserve">£35 </w:t>
      </w:r>
      <w:r w:rsidRPr="003B1646">
        <w:rPr>
          <w:rFonts w:eastAsia="Times New Roman"/>
        </w:rPr>
        <w:t>in department store vouchers</w:t>
      </w:r>
      <w:r w:rsidRPr="00FE654F">
        <w:rPr>
          <w:rFonts w:eastAsia="Times New Roman"/>
        </w:rPr>
        <w:t xml:space="preserve"> </w:t>
      </w:r>
      <w:r>
        <w:rPr>
          <w:rFonts w:eastAsia="Times New Roman"/>
        </w:rPr>
        <w:t>and teachers with £10 in the same vouchers.</w:t>
      </w:r>
      <w:r w:rsidRPr="003B1646">
        <w:rPr>
          <w:rFonts w:eastAsia="Times New Roman"/>
        </w:rPr>
        <w:t xml:space="preserve"> </w:t>
      </w:r>
      <w:r w:rsidRPr="00BE5BF3">
        <w:rPr>
          <w:rFonts w:eastAsia="Times New Roman"/>
          <w:highlight w:val="yellow"/>
        </w:rPr>
        <w:t>Data collection started in August 2009 and took two and a half years to complete, with approximately 5 visits taking place per week and a total of number of 400 completed visits.</w:t>
      </w:r>
      <w:r>
        <w:rPr>
          <w:rFonts w:eastAsia="Times New Roman"/>
        </w:rPr>
        <w:t xml:space="preserve"> </w:t>
      </w:r>
    </w:p>
    <w:p w14:paraId="6E072665" w14:textId="77777777" w:rsidR="00903012" w:rsidRDefault="00903012" w:rsidP="00903012">
      <w:pPr>
        <w:spacing w:after="0" w:line="240" w:lineRule="auto"/>
        <w:rPr>
          <w:rFonts w:eastAsia="Times New Roman"/>
        </w:rPr>
      </w:pPr>
    </w:p>
    <w:p w14:paraId="2358E86E" w14:textId="77777777" w:rsidR="00903012" w:rsidRDefault="00903012" w:rsidP="00903012">
      <w:pPr>
        <w:spacing w:after="0" w:line="240" w:lineRule="auto"/>
        <w:rPr>
          <w:rFonts w:eastAsia="Times New Roman"/>
        </w:rPr>
      </w:pPr>
      <w:r w:rsidRPr="003B1646">
        <w:rPr>
          <w:rFonts w:eastAsia="Times New Roman"/>
        </w:rPr>
        <w:t xml:space="preserve">Children </w:t>
      </w:r>
      <w:r>
        <w:rPr>
          <w:rFonts w:eastAsia="Times New Roman"/>
        </w:rPr>
        <w:t>were</w:t>
      </w:r>
      <w:r w:rsidRPr="003B1646">
        <w:rPr>
          <w:rFonts w:eastAsia="Times New Roman"/>
        </w:rPr>
        <w:t xml:space="preserve"> recruited </w:t>
      </w:r>
      <w:r w:rsidRPr="00BE5BF3">
        <w:rPr>
          <w:rFonts w:eastAsia="Times New Roman"/>
          <w:highlight w:val="yellow"/>
        </w:rPr>
        <w:t>based on their experiences of harsh, non-supportive parenting at age 3</w:t>
      </w:r>
      <w:r w:rsidRPr="003B1646">
        <w:rPr>
          <w:rFonts w:eastAsia="Times New Roman"/>
          <w:b/>
        </w:rPr>
        <w:t>.</w:t>
      </w:r>
      <w:r w:rsidRPr="003B1646">
        <w:rPr>
          <w:rFonts w:eastAsia="Times New Roman"/>
        </w:rPr>
        <w:t xml:space="preserve"> </w:t>
      </w:r>
      <w:r w:rsidRPr="003B1646">
        <w:rPr>
          <w:rFonts w:eastAsia="Times New Roman"/>
          <w:i/>
        </w:rPr>
        <w:t>Harsh discipline</w:t>
      </w:r>
      <w:r w:rsidRPr="003B1646">
        <w:rPr>
          <w:rFonts w:eastAsia="Times New Roman"/>
        </w:rPr>
        <w:t xml:space="preserve"> was measured with 8 items from the Parent-Child Conflict Tactics Scale</w:t>
      </w:r>
      <w:r>
        <w:rPr>
          <w:rFonts w:eastAsia="Times New Roman"/>
        </w:rPr>
        <w:t xml:space="preserve"> (</w:t>
      </w:r>
      <w:r>
        <w:t xml:space="preserve">Straus, Hamby, </w:t>
      </w:r>
      <w:proofErr w:type="spellStart"/>
      <w:r>
        <w:t>Finkelhor</w:t>
      </w:r>
      <w:proofErr w:type="spellEnd"/>
      <w:r>
        <w:t>, Moore &amp; Runyan, 1998)</w:t>
      </w:r>
      <w:r>
        <w:rPr>
          <w:rFonts w:eastAsia="Times New Roman"/>
          <w:vertAlign w:val="superscript"/>
        </w:rPr>
        <w:t xml:space="preserve">  </w:t>
      </w:r>
      <w:r w:rsidRPr="003B1646">
        <w:rPr>
          <w:rFonts w:eastAsia="Times New Roman"/>
        </w:rPr>
        <w:t>that asked parents how often in the past year they used verbally or physically harsh disciplinary techniques (e.g., shouting, yelling or screaming; slapping or smacking; alpha=.77)</w:t>
      </w:r>
      <w:r>
        <w:rPr>
          <w:rFonts w:eastAsia="Times New Roman"/>
        </w:rPr>
        <w:t xml:space="preserve">. Each question was rated on an 8-point scale: ‘Never’; ‘once’; ‘twice’; ‘3-5 times’; ‘6-10 times’; ‘11-20 times’; ‘more than 20 times’; ‘not in past year but before’. As part of the </w:t>
      </w:r>
      <w:r w:rsidRPr="003B1646">
        <w:rPr>
          <w:rFonts w:eastAsia="Times New Roman"/>
        </w:rPr>
        <w:t>Home Observation for Measurement of the Environment</w:t>
      </w:r>
      <w:r>
        <w:rPr>
          <w:rFonts w:eastAsia="Times New Roman"/>
        </w:rPr>
        <w:t xml:space="preserve"> (HOME; </w:t>
      </w:r>
      <w:r w:rsidRPr="003F5795">
        <w:t>Caldwell</w:t>
      </w:r>
      <w:r>
        <w:t xml:space="preserve"> &amp; Bradley, 1984</w:t>
      </w:r>
      <w:r>
        <w:rPr>
          <w:rFonts w:eastAsia="Times New Roman"/>
        </w:rPr>
        <w:t>), which</w:t>
      </w:r>
      <w:r w:rsidRPr="003B1646">
        <w:rPr>
          <w:rFonts w:eastAsia="Times New Roman"/>
        </w:rPr>
        <w:t xml:space="preserve"> reflect</w:t>
      </w:r>
      <w:r>
        <w:rPr>
          <w:rFonts w:eastAsia="Times New Roman"/>
        </w:rPr>
        <w:t>s</w:t>
      </w:r>
      <w:r w:rsidRPr="003B1646">
        <w:rPr>
          <w:rFonts w:eastAsia="Times New Roman"/>
        </w:rPr>
        <w:t xml:space="preserve"> observer ratings of parent-child interaction</w:t>
      </w:r>
      <w:r>
        <w:rPr>
          <w:rFonts w:eastAsia="Times New Roman"/>
        </w:rPr>
        <w:t>, r</w:t>
      </w:r>
      <w:r w:rsidRPr="0036428B">
        <w:rPr>
          <w:rFonts w:eastAsia="Times New Roman"/>
        </w:rPr>
        <w:t>esearch workers also observed whether parents enga</w:t>
      </w:r>
      <w:r>
        <w:rPr>
          <w:rFonts w:eastAsia="Times New Roman"/>
        </w:rPr>
        <w:t>ged in three</w:t>
      </w:r>
      <w:r w:rsidRPr="0036428B">
        <w:rPr>
          <w:rFonts w:eastAsia="Times New Roman"/>
        </w:rPr>
        <w:t xml:space="preserve"> verbally or </w:t>
      </w:r>
      <w:r>
        <w:rPr>
          <w:rFonts w:eastAsia="Times New Roman"/>
        </w:rPr>
        <w:t xml:space="preserve">physically punitive </w:t>
      </w:r>
      <w:proofErr w:type="spellStart"/>
      <w:r>
        <w:rPr>
          <w:rFonts w:eastAsia="Times New Roman"/>
        </w:rPr>
        <w:t>behaviours</w:t>
      </w:r>
      <w:proofErr w:type="spellEnd"/>
      <w:r>
        <w:rPr>
          <w:rFonts w:eastAsia="Times New Roman"/>
        </w:rPr>
        <w:t xml:space="preserve"> as part of the Acceptance subscale</w:t>
      </w:r>
      <w:r w:rsidRPr="0036428B">
        <w:rPr>
          <w:rFonts w:eastAsia="Times New Roman"/>
        </w:rPr>
        <w:t>.</w:t>
      </w:r>
      <w:r>
        <w:rPr>
          <w:rFonts w:eastAsia="Times New Roman"/>
        </w:rPr>
        <w:t xml:space="preserve"> These items were reversed (</w:t>
      </w:r>
      <w:r w:rsidRPr="0036428B">
        <w:rPr>
          <w:rFonts w:eastAsia="Times New Roman"/>
        </w:rPr>
        <w:t>parent scolded child at least twice in front of interviewer, parent smacked or slapped child during visit, parent physically restrained child)</w:t>
      </w:r>
      <w:r>
        <w:rPr>
          <w:rFonts w:eastAsia="Times New Roman"/>
        </w:rPr>
        <w:t xml:space="preserve"> and summed</w:t>
      </w:r>
      <w:r w:rsidRPr="003B1646">
        <w:rPr>
          <w:rFonts w:eastAsia="Times New Roman"/>
        </w:rPr>
        <w:t xml:space="preserve">. </w:t>
      </w:r>
      <w:r>
        <w:rPr>
          <w:rFonts w:eastAsia="Times New Roman"/>
        </w:rPr>
        <w:t>Each subscale was then standardized before the two standardized scores were averaged together. The harsh discipline scale score</w:t>
      </w:r>
      <w:r w:rsidRPr="003B1646">
        <w:rPr>
          <w:rFonts w:eastAsia="Times New Roman"/>
        </w:rPr>
        <w:t xml:space="preserve"> was approximately normally distributed; this variable was </w:t>
      </w:r>
      <w:r>
        <w:rPr>
          <w:rFonts w:eastAsia="Times New Roman"/>
        </w:rPr>
        <w:t xml:space="preserve">then </w:t>
      </w:r>
      <w:r w:rsidRPr="003B1646">
        <w:rPr>
          <w:rFonts w:eastAsia="Times New Roman"/>
        </w:rPr>
        <w:t xml:space="preserve">divided into terciles. </w:t>
      </w:r>
    </w:p>
    <w:p w14:paraId="24D9817B" w14:textId="77777777" w:rsidR="00903012" w:rsidRDefault="00903012" w:rsidP="00903012">
      <w:pPr>
        <w:spacing w:after="0" w:line="240" w:lineRule="auto"/>
        <w:rPr>
          <w:rFonts w:eastAsia="Times New Roman"/>
        </w:rPr>
      </w:pPr>
    </w:p>
    <w:p w14:paraId="47490408" w14:textId="77777777" w:rsidR="00903012" w:rsidRPr="00C0403D" w:rsidRDefault="00903012" w:rsidP="00903012">
      <w:pPr>
        <w:spacing w:after="0" w:line="240" w:lineRule="auto"/>
        <w:rPr>
          <w:rFonts w:eastAsia="Times New Roman"/>
        </w:rPr>
      </w:pPr>
      <w:r w:rsidRPr="003B1646">
        <w:rPr>
          <w:rFonts w:eastAsia="Times New Roman"/>
          <w:i/>
        </w:rPr>
        <w:t>Supportive parenting</w:t>
      </w:r>
      <w:r w:rsidRPr="003B1646">
        <w:rPr>
          <w:rFonts w:eastAsia="Times New Roman"/>
        </w:rPr>
        <w:t xml:space="preserve"> was assessed </w:t>
      </w:r>
      <w:r>
        <w:rPr>
          <w:rFonts w:eastAsia="Times New Roman"/>
        </w:rPr>
        <w:t>using the eight questions on the</w:t>
      </w:r>
      <w:r w:rsidRPr="003B1646">
        <w:rPr>
          <w:rFonts w:eastAsia="Times New Roman"/>
        </w:rPr>
        <w:t xml:space="preserve"> Responsive Parenting </w:t>
      </w:r>
      <w:r>
        <w:rPr>
          <w:rFonts w:eastAsia="Times New Roman"/>
        </w:rPr>
        <w:t xml:space="preserve">subscale from the HOME </w:t>
      </w:r>
      <w:r w:rsidRPr="003B1646">
        <w:rPr>
          <w:rFonts w:eastAsia="Times New Roman"/>
        </w:rPr>
        <w:t xml:space="preserve">(e.g., mother showed affection to child at least once during visit; mother usually responded verbally to child talking). </w:t>
      </w:r>
      <w:r>
        <w:rPr>
          <w:rFonts w:eastAsia="Times New Roman"/>
        </w:rPr>
        <w:t xml:space="preserve">Each item was coded as either observed or not observed. </w:t>
      </w:r>
      <w:r w:rsidRPr="003B1646">
        <w:rPr>
          <w:rFonts w:eastAsia="Times New Roman"/>
        </w:rPr>
        <w:t xml:space="preserve">Because scores on the Supportive Parenting variable were heavily positively skewed, </w:t>
      </w:r>
      <w:r>
        <w:rPr>
          <w:rFonts w:eastAsia="Times New Roman"/>
        </w:rPr>
        <w:t>a median split was performed to dichotomize this variable</w:t>
      </w:r>
      <w:r w:rsidRPr="003B1646">
        <w:rPr>
          <w:rFonts w:eastAsia="Times New Roman"/>
        </w:rPr>
        <w:t>.</w:t>
      </w:r>
      <w:r w:rsidRPr="003B1646">
        <w:rPr>
          <w:rFonts w:eastAsia="Times New Roman"/>
          <w:lang w:val="en-GB" w:eastAsia="en-GB"/>
        </w:rPr>
        <w:t xml:space="preserve"> </w:t>
      </w:r>
    </w:p>
    <w:p w14:paraId="572C7129" w14:textId="77777777" w:rsidR="00903012" w:rsidRDefault="00903012" w:rsidP="00903012">
      <w:pPr>
        <w:pStyle w:val="Heading3"/>
        <w:rPr>
          <w:lang w:val="en-GB" w:eastAsia="en-GB"/>
        </w:rPr>
      </w:pPr>
      <w:r>
        <w:rPr>
          <w:lang w:val="en-GB" w:eastAsia="en-GB"/>
        </w:rPr>
        <w:t>Summary:</w:t>
      </w:r>
    </w:p>
    <w:p w14:paraId="5EFE0BF5" w14:textId="77777777" w:rsidR="00903012" w:rsidRDefault="00903012" w:rsidP="00903012">
      <w:pPr>
        <w:spacing w:after="0" w:line="240" w:lineRule="auto"/>
        <w:rPr>
          <w:rFonts w:eastAsia="Times New Roman"/>
          <w:lang w:val="en-GB" w:eastAsia="en-GB"/>
        </w:rPr>
      </w:pPr>
      <w:r w:rsidRPr="000468F3">
        <w:rPr>
          <w:rFonts w:eastAsia="Times New Roman"/>
          <w:i/>
          <w:lang w:val="en-GB" w:eastAsia="en-GB"/>
        </w:rPr>
        <w:t>Harsh parenting</w:t>
      </w:r>
      <w:r>
        <w:rPr>
          <w:rFonts w:eastAsia="Times New Roman"/>
          <w:lang w:val="en-GB" w:eastAsia="en-GB"/>
        </w:rPr>
        <w:t>:  The</w:t>
      </w:r>
      <w:r w:rsidRPr="003B1646">
        <w:rPr>
          <w:rFonts w:eastAsia="Times New Roman"/>
          <w:lang w:val="en-GB" w:eastAsia="en-GB"/>
        </w:rPr>
        <w:t xml:space="preserve"> HOME Acceptance subscale was</w:t>
      </w:r>
      <w:r>
        <w:rPr>
          <w:rFonts w:eastAsia="Times New Roman"/>
          <w:lang w:val="en-GB" w:eastAsia="en-GB"/>
        </w:rPr>
        <w:t xml:space="preserve"> reversed and</w:t>
      </w:r>
      <w:r w:rsidRPr="003B1646">
        <w:rPr>
          <w:rFonts w:eastAsia="Times New Roman"/>
          <w:lang w:val="en-GB" w:eastAsia="en-GB"/>
        </w:rPr>
        <w:t xml:space="preserve"> standardized; Harsh discipline (from CTS-PC) was standardized. These standardized scales were averaged together and then trichotomized (</w:t>
      </w:r>
      <w:r>
        <w:rPr>
          <w:rFonts w:eastAsia="Times New Roman"/>
          <w:lang w:val="en-GB" w:eastAsia="en-GB"/>
        </w:rPr>
        <w:t>‘zharsh3grp’) to form the harsh parenting variable</w:t>
      </w:r>
      <w:r w:rsidRPr="003B1646">
        <w:rPr>
          <w:rFonts w:eastAsia="Times New Roman"/>
          <w:lang w:val="en-GB" w:eastAsia="en-GB"/>
        </w:rPr>
        <w:t>.</w:t>
      </w:r>
    </w:p>
    <w:p w14:paraId="531D9C94" w14:textId="77777777" w:rsidR="00903012" w:rsidRDefault="00903012" w:rsidP="00903012">
      <w:pPr>
        <w:spacing w:after="0" w:line="240" w:lineRule="auto"/>
        <w:rPr>
          <w:rFonts w:eastAsia="Times New Roman"/>
          <w:lang w:val="en-GB" w:eastAsia="en-GB"/>
        </w:rPr>
      </w:pPr>
      <w:r w:rsidRPr="000468F3">
        <w:rPr>
          <w:rFonts w:eastAsia="Times New Roman"/>
          <w:i/>
          <w:lang w:val="en-GB" w:eastAsia="en-GB"/>
        </w:rPr>
        <w:t>Supportive parenting</w:t>
      </w:r>
      <w:r>
        <w:rPr>
          <w:rFonts w:eastAsia="Times New Roman"/>
          <w:lang w:val="en-GB" w:eastAsia="en-GB"/>
        </w:rPr>
        <w:t>: A m</w:t>
      </w:r>
      <w:r w:rsidRPr="003B1646">
        <w:rPr>
          <w:rFonts w:eastAsia="Times New Roman"/>
          <w:lang w:val="en-GB" w:eastAsia="en-GB"/>
        </w:rPr>
        <w:t>edian split on HOME Respons</w:t>
      </w:r>
      <w:r>
        <w:rPr>
          <w:rFonts w:eastAsia="Times New Roman"/>
          <w:lang w:val="en-GB" w:eastAsia="en-GB"/>
        </w:rPr>
        <w:t>ivity subscale was carried out to form the supportive parenting variable (‘</w:t>
      </w:r>
      <w:proofErr w:type="spellStart"/>
      <w:r w:rsidRPr="00043905">
        <w:rPr>
          <w:rFonts w:eastAsia="Times New Roman"/>
          <w:lang w:val="en-GB" w:eastAsia="en-GB"/>
        </w:rPr>
        <w:t>respmed</w:t>
      </w:r>
      <w:proofErr w:type="spellEnd"/>
      <w:r>
        <w:rPr>
          <w:rFonts w:eastAsia="Times New Roman"/>
          <w:lang w:val="en-GB" w:eastAsia="en-GB"/>
        </w:rPr>
        <w:t xml:space="preserve">’). </w:t>
      </w:r>
    </w:p>
    <w:p w14:paraId="320CCD28" w14:textId="77777777" w:rsidR="00903012" w:rsidRDefault="00903012" w:rsidP="00903012">
      <w:pPr>
        <w:spacing w:after="0" w:line="240" w:lineRule="auto"/>
        <w:rPr>
          <w:rFonts w:eastAsia="Times New Roman"/>
          <w:lang w:val="en-GB" w:eastAsia="en-GB"/>
        </w:rPr>
      </w:pPr>
      <w:r w:rsidRPr="000468F3">
        <w:rPr>
          <w:rFonts w:eastAsia="Times New Roman"/>
          <w:i/>
          <w:lang w:val="en-GB" w:eastAsia="en-GB"/>
        </w:rPr>
        <w:t>Sample group selection</w:t>
      </w:r>
      <w:r>
        <w:rPr>
          <w:rFonts w:eastAsia="Times New Roman"/>
          <w:lang w:val="en-GB" w:eastAsia="en-GB"/>
        </w:rPr>
        <w:t>: High risk families</w:t>
      </w:r>
      <w:r w:rsidRPr="003B1646">
        <w:rPr>
          <w:rFonts w:eastAsia="Times New Roman"/>
          <w:lang w:val="en-GB" w:eastAsia="en-GB"/>
        </w:rPr>
        <w:t xml:space="preserve"> were identified if they were in the top tercile of the harsh parenting variable and the bottom half of the res</w:t>
      </w:r>
      <w:r>
        <w:rPr>
          <w:rFonts w:eastAsia="Times New Roman"/>
          <w:lang w:val="en-GB" w:eastAsia="en-GB"/>
        </w:rPr>
        <w:t xml:space="preserve">ponsivity/supportive parenting variable. The Low risk group comprised those </w:t>
      </w:r>
      <w:r w:rsidRPr="003B1646">
        <w:rPr>
          <w:rFonts w:eastAsia="Times New Roman"/>
          <w:lang w:val="en-GB" w:eastAsia="en-GB"/>
        </w:rPr>
        <w:t xml:space="preserve">in the bottom tercile of the harsh discipline variable and the top half of the responsivity variable. </w:t>
      </w:r>
      <w:r>
        <w:rPr>
          <w:rFonts w:eastAsia="Times New Roman"/>
          <w:lang w:val="en-GB" w:eastAsia="en-GB"/>
        </w:rPr>
        <w:t>Medium risk families were selected were in th</w:t>
      </w:r>
      <w:r w:rsidRPr="00EA36AB">
        <w:rPr>
          <w:rFonts w:eastAsia="Times New Roman"/>
          <w:lang w:val="en-GB" w:eastAsia="en-GB"/>
        </w:rPr>
        <w:t>e middle tercile of the harsh discipline variable regardless of their score on the HOME responsivity subscale.</w:t>
      </w:r>
      <w:r>
        <w:rPr>
          <w:rFonts w:eastAsia="Times New Roman"/>
          <w:lang w:val="en-GB" w:eastAsia="en-GB"/>
        </w:rPr>
        <w:t xml:space="preserve"> The Medium and Low Risk families are combined for analyses.</w:t>
      </w:r>
    </w:p>
    <w:p w14:paraId="302746E2" w14:textId="77777777" w:rsidR="00903012" w:rsidRDefault="00903012" w:rsidP="00903012">
      <w:pPr>
        <w:pStyle w:val="Heading3"/>
        <w:rPr>
          <w:lang w:val="en-GB" w:eastAsia="en-GB"/>
        </w:rPr>
      </w:pPr>
      <w:r>
        <w:rPr>
          <w:lang w:val="en-GB" w:eastAsia="en-GB"/>
        </w:rPr>
        <w:lastRenderedPageBreak/>
        <w:t>References:</w:t>
      </w:r>
    </w:p>
    <w:p w14:paraId="6DD70D49" w14:textId="77777777" w:rsidR="00903012" w:rsidRDefault="00903012" w:rsidP="00903012">
      <w:pPr>
        <w:tabs>
          <w:tab w:val="left" w:pos="540"/>
        </w:tabs>
        <w:spacing w:after="240"/>
      </w:pPr>
      <w:r w:rsidRPr="00CF5918">
        <w:t xml:space="preserve">Belsky J, </w:t>
      </w:r>
      <w:proofErr w:type="spellStart"/>
      <w:r w:rsidRPr="00CF5918">
        <w:t>Melhuish</w:t>
      </w:r>
      <w:proofErr w:type="spellEnd"/>
      <w:r w:rsidRPr="00CF5918">
        <w:t xml:space="preserve"> E, Barnes J, Leyland AH, Romaniuk H, </w:t>
      </w:r>
      <w:r>
        <w:t xml:space="preserve">(2006) </w:t>
      </w:r>
      <w:r w:rsidRPr="00CF5918">
        <w:t xml:space="preserve">National Evaluation of </w:t>
      </w:r>
      <w:r>
        <w:t>Sure Start Research Team</w:t>
      </w:r>
      <w:r w:rsidRPr="00CF5918">
        <w:t xml:space="preserve"> </w:t>
      </w:r>
      <w:r w:rsidRPr="00CF5918">
        <w:rPr>
          <w:i/>
        </w:rPr>
        <w:t>Br Med J</w:t>
      </w:r>
      <w:r w:rsidRPr="00CF5918">
        <w:t xml:space="preserve"> 332: 1476-1481.</w:t>
      </w:r>
    </w:p>
    <w:p w14:paraId="6E25AAC5" w14:textId="77777777" w:rsidR="00903012" w:rsidRDefault="00903012" w:rsidP="00903012">
      <w:pPr>
        <w:tabs>
          <w:tab w:val="left" w:pos="540"/>
        </w:tabs>
        <w:spacing w:after="240"/>
      </w:pPr>
      <w:r w:rsidRPr="003F5795">
        <w:t xml:space="preserve">Caldwell, B. &amp; Bradley, R. H. (1984) </w:t>
      </w:r>
      <w:r w:rsidRPr="003F5795">
        <w:rPr>
          <w:i/>
        </w:rPr>
        <w:t>Home Observation for Measurement of the Environment</w:t>
      </w:r>
      <w:r w:rsidRPr="003F5795">
        <w:t xml:space="preserve"> (University of Arkansas at Little Rock, Little Rock, AR).</w:t>
      </w:r>
    </w:p>
    <w:p w14:paraId="36152E25" w14:textId="77777777" w:rsidR="00903012" w:rsidRDefault="00903012" w:rsidP="00903012">
      <w:pPr>
        <w:tabs>
          <w:tab w:val="left" w:pos="540"/>
        </w:tabs>
        <w:spacing w:after="240"/>
      </w:pPr>
      <w:r w:rsidRPr="00CF5918">
        <w:t>Straus</w:t>
      </w:r>
      <w:r>
        <w:t xml:space="preserve">, </w:t>
      </w:r>
      <w:r w:rsidRPr="00CF5918">
        <w:t>M</w:t>
      </w:r>
      <w:r>
        <w:t xml:space="preserve">. </w:t>
      </w:r>
      <w:r w:rsidRPr="00CF5918">
        <w:t>A</w:t>
      </w:r>
      <w:r>
        <w:t>.</w:t>
      </w:r>
      <w:r w:rsidRPr="00CF5918">
        <w:t>, Hamby</w:t>
      </w:r>
      <w:r>
        <w:t>,</w:t>
      </w:r>
      <w:r w:rsidRPr="00CF5918">
        <w:t xml:space="preserve"> S</w:t>
      </w:r>
      <w:r>
        <w:t>. L.</w:t>
      </w:r>
      <w:r w:rsidRPr="00CF5918">
        <w:t xml:space="preserve">, </w:t>
      </w:r>
      <w:proofErr w:type="spellStart"/>
      <w:r w:rsidRPr="00CF5918">
        <w:t>Finkelhor</w:t>
      </w:r>
      <w:proofErr w:type="spellEnd"/>
      <w:r>
        <w:t>,</w:t>
      </w:r>
      <w:r w:rsidRPr="00CF5918">
        <w:t xml:space="preserve"> D</w:t>
      </w:r>
      <w:r>
        <w:t>.</w:t>
      </w:r>
      <w:r w:rsidRPr="00CF5918">
        <w:t>, Moore</w:t>
      </w:r>
      <w:r>
        <w:t>,</w:t>
      </w:r>
      <w:r w:rsidRPr="00CF5918">
        <w:t xml:space="preserve"> D</w:t>
      </w:r>
      <w:r>
        <w:t>. W. &amp;</w:t>
      </w:r>
      <w:r w:rsidRPr="00CF5918">
        <w:t xml:space="preserve"> Runyan</w:t>
      </w:r>
      <w:r>
        <w:t>,</w:t>
      </w:r>
      <w:r w:rsidRPr="00CF5918">
        <w:t xml:space="preserve"> D</w:t>
      </w:r>
      <w:r>
        <w:t>.</w:t>
      </w:r>
      <w:r w:rsidRPr="00CF5918">
        <w:t xml:space="preserve"> (1998)</w:t>
      </w:r>
      <w:r>
        <w:t xml:space="preserve">. </w:t>
      </w:r>
      <w:r w:rsidRPr="00385817">
        <w:rPr>
          <w:lang w:val="en-GB"/>
        </w:rPr>
        <w:t xml:space="preserve">Identification of Child Maltreatment </w:t>
      </w:r>
      <w:proofErr w:type="gramStart"/>
      <w:r w:rsidRPr="00385817">
        <w:rPr>
          <w:lang w:val="en-GB"/>
        </w:rPr>
        <w:t>With</w:t>
      </w:r>
      <w:proofErr w:type="gramEnd"/>
      <w:r w:rsidRPr="00385817">
        <w:rPr>
          <w:lang w:val="en-GB"/>
        </w:rPr>
        <w:t xml:space="preserve"> the Parent-Child Conflict Tactics Scales: Development and Psychometric Data for a National Sample of American Parents</w:t>
      </w:r>
      <w:r>
        <w:rPr>
          <w:lang w:val="en-GB"/>
        </w:rPr>
        <w:t>.</w:t>
      </w:r>
      <w:r w:rsidRPr="00CF5918">
        <w:t xml:space="preserve"> </w:t>
      </w:r>
      <w:r w:rsidRPr="00CF5918">
        <w:rPr>
          <w:i/>
        </w:rPr>
        <w:t>Child Abuse Neglect</w:t>
      </w:r>
      <w:r w:rsidRPr="00CF5918">
        <w:t xml:space="preserve"> 22: 249-270.</w:t>
      </w:r>
    </w:p>
    <w:p w14:paraId="65980E8A" w14:textId="77777777" w:rsidR="00000000" w:rsidRDefault="00000000"/>
    <w:sectPr w:rsidR="0024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012"/>
    <w:rsid w:val="001F63D2"/>
    <w:rsid w:val="00397A10"/>
    <w:rsid w:val="00903012"/>
    <w:rsid w:val="00BE5BF3"/>
    <w:rsid w:val="00E1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C189"/>
  <w15:chartTrackingRefBased/>
  <w15:docId w15:val="{995EB8DD-EED2-4C25-9DB0-83BF7D8F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012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90301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03012"/>
    <w:pPr>
      <w:keepNext/>
      <w:spacing w:before="240" w:after="60"/>
      <w:outlineLvl w:val="2"/>
    </w:pPr>
    <w:rPr>
      <w:rFonts w:cs="Arial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3012"/>
    <w:rPr>
      <w:rFonts w:ascii="Calibri" w:eastAsia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03012"/>
    <w:rPr>
      <w:rFonts w:ascii="Calibri" w:eastAsia="Calibri" w:hAnsi="Calibri" w:cs="Arial"/>
      <w:b/>
      <w:bCs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Jaffee</dc:creator>
  <cp:keywords/>
  <dc:description/>
  <cp:lastModifiedBy>Deng, Hanwen</cp:lastModifiedBy>
  <cp:revision>2</cp:revision>
  <dcterms:created xsi:type="dcterms:W3CDTF">2015-06-10T14:04:00Z</dcterms:created>
  <dcterms:modified xsi:type="dcterms:W3CDTF">2024-05-21T09:13:00Z</dcterms:modified>
</cp:coreProperties>
</file>