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Universidad TECMILENIO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Profesor: </w:t>
      </w:r>
      <w:r w:rsidDel="00000000" w:rsidR="00000000" w:rsidRPr="00000000">
        <w:rPr>
          <w:sz w:val="48"/>
          <w:szCs w:val="48"/>
          <w:rtl w:val="0"/>
        </w:rPr>
        <w:t xml:space="preserve">Eliskar Roger Altamirano Pariente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Materia: Gestión de proyectos de Inteligencia Artificial</w:t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Alumno: Luis Antonio Reza Toledo </w:t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Actividad 4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caso de uso consiste en el procesamiento de lenguaje natural (PLN) enfocado en la clasificación automática de opiniones y reseñas de texto (reseñas de películas en inglés) para determinar si su polaridad emocional es negativa o positiva. Este tipo de solución se aplica típicamente en la monitorización de la satisfacción del cliente, análisis de redes sociales y filtrado automatizado de retroalimentación en plataformas digitales.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la selección y evaluación de los modelos candidatos se consideraron los siguientes criterios: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-Capacidad de generalización: Rendimiento comprobado en tareas de clasificación de opiniones (benchmark SST-2).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-Disponibilidad y accesibilidad: Modelos preentrenados públicos accesibles a través de Hugging Face Hub sin requerir configuraciones de infraestructura privativa.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-Métricas de rendimiento: Evaluación mediante </w:t>
      </w:r>
      <w:r w:rsidDel="00000000" w:rsidR="00000000" w:rsidRPr="00000000">
        <w:rPr>
          <w:i w:val="1"/>
          <w:i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(exactitud), </w:t>
      </w:r>
      <w:r w:rsidDel="00000000" w:rsidR="00000000" w:rsidRPr="00000000">
        <w:rPr>
          <w:i w:val="1"/>
          <w:i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(precisión), 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(exhaustividad), </w:t>
      </w:r>
      <w:r w:rsidDel="00000000" w:rsidR="00000000" w:rsidRPr="00000000">
        <w:rPr>
          <w:i w:val="1"/>
          <w:i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(equilibrio) y latencia de inferencia por muestra. 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-Eficiencia operativa: Relación entre el tiempo de respuesta y los recursos de hardware necesarios (GPU Tesla T4).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partir de la evaluación ejecutada con una muestra equilibrada de 200 ejemplos del conjunto de datos de prueba, se resumen las características y métricas obtenidas: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260"/>
        <w:gridCol w:w="1065"/>
        <w:gridCol w:w="1185"/>
        <w:gridCol w:w="1110"/>
        <w:gridCol w:w="1155"/>
        <w:gridCol w:w="1215"/>
        <w:tblGridChange w:id="0">
          <w:tblGrid>
            <w:gridCol w:w="2070"/>
            <w:gridCol w:w="1260"/>
            <w:gridCol w:w="1065"/>
            <w:gridCol w:w="1185"/>
            <w:gridCol w:w="1110"/>
            <w:gridCol w:w="115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aprox. / Arquitectura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siebert/sentiment-roberta-large-english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Sentimientos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RoBERTa-large (~355M parámetros)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0.9548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 consumo de memoria 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textattack/bert-base-uncased-SST-2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Sentimientos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BERT-base (~110M parámetros)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0.9154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moderado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distilbert/distilbert-base-uncased-finetuned-sst-2-english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Sentimientos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DistilBERT (~66M parámetros)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0.9348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0.8958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 consumo de recursos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siebert/sentiment-roberta-large-english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Ofrece el desempeño predictivo más alto de los tres evaluados (F1-score de 0.9548), gracias a una arquitectura basada en RoBERTa-large. Sin embargo, este incremento en precisión se paga con una mayor latencia y un consumo de recursos computacionales considerablemente mayor.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distilbert/distilbert-base-uncased-finetuned-sst-2-english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Destaca por su alta eficiencia y velocidad de procesamiento (~21.15 ms por ejemplo, logrando unas 47 muestras por segundo), siendo una alternativa ligera ideal para entornos con restricciones de cómputo en tiempo real, aunque con una ligera merma en el Recall y F1-score general frente a los modelos más grandes.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textattack/bert-base-uncased-SST-2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Se posiciona en un punto de equilibrio intermedio, superando a DistilBERT en métricas de exactitud y F1-score (0.9154) con una latencia de 31.22 ms.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Decisiones de ajuste mínimo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Normalización de etiquetas: Se implementó una función de mapeo robusta para estandarizar las diversas etiquetas de salida de los modelos de Hugging Face a un formato numérico binario unificado (0 para negativo, 1 para positivo) 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Control de truncamiento y longitud: Configuración del pipeline de inferencia con un límite estricto de max_length=512 tokens y procesamiento por lotes (batch_size=16) para optimizar el uso de memoria en la GPU.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Fijación de semillas (Seeds): Se estableció una semilla aleatoria (SEED = 42) para garantizar la reproducibilidad en la selección de la muestra de evaluación.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Justificación del modelo recomendado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Se recomienda siebert/sentiment-roberta-large-english para escenarios donde la precisión de negocio es crítica y se pueden tolerar tiempos de latencia cercanos a los 90 milisegundos. Si el proyecto exige una alta concurrencia con restricciones estrictas de latencia y recursos de infraestructura, la alternativa recomendada es textattack/bert-base-uncased-SST-2 o distilbert/distilbert-base-uncased-finetuned-sst-2-english.   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Umbrales y riesgos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Umbral de confianza operativa: Se recomienda establecer un umbral de probabilidad de salida del modelo superior a 0.85 para clasificaciones automáticas sin supervisión humana. Las predicciones con menor confianza deben derivarse a revisión manual.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Riesgos identificados:Sesgo de dominio: Los modelos fueron afinados originalmente con datasets de reseñas de cine en inglés (SST-2 / IMDb). Su aplicación directa en contextos de redes sociales cortas, jerga moderna o dominios comerciales específicos (como banca o retail) podría degradar su precisión.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Descripción del origen del dataset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Origen: Se utiliza el conjunto de datos público IMDb (stanfordnlp/imdb), ampliamente reconocido en tareas de evaluación de análisis de sentimientos en procesamiento de lenguaje natural. Consiste en un conjunto de reseñas de películas altamente polarizadas.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Subconjunto utilizado: División de prueba, de la cual se extrajo una muestra equilibrada de 200 registros (100 opiniones negativas y 100 positivas) para garantizar una evaluación equitativa.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Estructura del dataset 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text (string): El texto completo de la reseña escrita por el usuario.   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label (int): La etiqueta de polaridad original o normalizada, donde 0 representa una reseña de sentimiento negativo y 1 representa una reseña de sentimiento positivo.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