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CFED" w14:textId="77777777" w:rsidR="009B0A54" w:rsidRDefault="009B0A54" w:rsidP="009B0A54">
      <w:pPr>
        <w:pStyle w:val="SPHeading1"/>
      </w:pPr>
      <w:r>
        <w:t>Preparing the Demo Environment for the Role Mining &amp; Maintenance Scenarios</w:t>
      </w:r>
    </w:p>
    <w:p w14:paraId="211F41AC" w14:textId="77777777" w:rsidR="009B0A54" w:rsidRDefault="009B0A54" w:rsidP="009B0A54"/>
    <w:p w14:paraId="66D779D1" w14:textId="77777777" w:rsidR="00357094" w:rsidRDefault="00357094" w:rsidP="00357094">
      <w:pPr>
        <w:pStyle w:val="SPHeading2"/>
      </w:pPr>
      <w:r>
        <w:t>Introduction</w:t>
      </w:r>
    </w:p>
    <w:p w14:paraId="7369246F" w14:textId="77777777" w:rsidR="00357094" w:rsidRPr="00337808" w:rsidRDefault="00357094" w:rsidP="00357094">
      <w:r>
        <w:t>This demonstration is pre-configured on the IdentityIQ 6.1 Partner VM.</w:t>
      </w:r>
    </w:p>
    <w:p w14:paraId="458C3324" w14:textId="0BFE393D" w:rsidR="009B0A54" w:rsidRDefault="00357094" w:rsidP="009B0A54">
      <w:pPr>
        <w:pStyle w:val="SPHeading2"/>
      </w:pPr>
      <w:r>
        <w:t>Configuration</w:t>
      </w:r>
    </w:p>
    <w:p w14:paraId="32E68DD6" w14:textId="6F20C1BF" w:rsidR="00357094" w:rsidRDefault="00357094" w:rsidP="00357094">
      <w:r>
        <w:t>Before you can start with the demo, please verify that the “Business and IT Role Mining” task contains the following applications:</w:t>
      </w:r>
    </w:p>
    <w:p w14:paraId="0EB5CA5B" w14:textId="39F7B2F8" w:rsidR="00357094" w:rsidRPr="00357094" w:rsidRDefault="00357094" w:rsidP="00357094">
      <w:r>
        <w:rPr>
          <w:noProof/>
          <w:lang w:eastAsia="en-US"/>
        </w:rPr>
        <w:drawing>
          <wp:inline distT="0" distB="0" distL="0" distR="0" wp14:anchorId="2C944717" wp14:editId="3B1AB7FC">
            <wp:extent cx="3882452" cy="2320159"/>
            <wp:effectExtent l="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25" cy="23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827A" w14:textId="77777777" w:rsidR="009B0A54" w:rsidRDefault="009B0A54" w:rsidP="009B0A54">
      <w:pPr>
        <w:pStyle w:val="SPHeading1"/>
      </w:pPr>
      <w:r>
        <w:lastRenderedPageBreak/>
        <w:t>The Role Mining &amp; Maintenance Demonstration</w:t>
      </w:r>
    </w:p>
    <w:p w14:paraId="42D33EB6" w14:textId="77777777" w:rsidR="009B0A54" w:rsidRDefault="009B0A54" w:rsidP="009B0A54">
      <w:pPr>
        <w:pStyle w:val="SPHeading2"/>
        <w:spacing w:line="276" w:lineRule="auto"/>
      </w:pPr>
      <w:r>
        <w:t>Demo startup</w:t>
      </w:r>
    </w:p>
    <w:p w14:paraId="1E509F09" w14:textId="77777777" w:rsidR="009B0A54" w:rsidRDefault="009B0A54" w:rsidP="009B0A54">
      <w:pPr>
        <w:numPr>
          <w:ilvl w:val="0"/>
          <w:numId w:val="37"/>
        </w:numPr>
      </w:pPr>
      <w:r>
        <w:t>Open up different Firefox browser sessions and log in as the following players:</w:t>
      </w:r>
    </w:p>
    <w:p w14:paraId="15F1F0B7" w14:textId="77777777" w:rsidR="009B0A54" w:rsidRDefault="009B0A54" w:rsidP="009B0A54">
      <w:pPr>
        <w:numPr>
          <w:ilvl w:val="1"/>
          <w:numId w:val="37"/>
        </w:numPr>
      </w:pPr>
      <w:r>
        <w:t>Jerry Bennett (Go to Analyze / Advanced Analytics)</w:t>
      </w:r>
    </w:p>
    <w:p w14:paraId="7DAC6B27" w14:textId="77777777" w:rsidR="009B0A54" w:rsidRDefault="009B0A54" w:rsidP="009B0A54">
      <w:pPr>
        <w:numPr>
          <w:ilvl w:val="1"/>
          <w:numId w:val="37"/>
        </w:numPr>
      </w:pPr>
      <w:r>
        <w:t>Amanda Ross (leave the session at her Dashboard)</w:t>
      </w:r>
    </w:p>
    <w:p w14:paraId="5A97ACBB" w14:textId="77777777" w:rsidR="009B0A54" w:rsidRDefault="009B0A54" w:rsidP="009B0A54">
      <w:pPr>
        <w:numPr>
          <w:ilvl w:val="0"/>
          <w:numId w:val="37"/>
        </w:numPr>
      </w:pPr>
      <w:r>
        <w:t>Open up “Active Directory Users and Computers” and select the “Groups” container</w:t>
      </w:r>
    </w:p>
    <w:p w14:paraId="07CA5BA0" w14:textId="1AF7DEB4" w:rsidR="009B0A54" w:rsidRDefault="009B0A54" w:rsidP="009B0A54">
      <w:pPr>
        <w:numPr>
          <w:ilvl w:val="0"/>
          <w:numId w:val="37"/>
        </w:numPr>
      </w:pPr>
      <w:r>
        <w:t>Put the following names in you</w:t>
      </w:r>
      <w:r w:rsidR="00C879CB">
        <w:t>r</w:t>
      </w:r>
      <w:r>
        <w:t xml:space="preserve"> copy buffer so you can easily paste the contents later on</w:t>
      </w:r>
      <w:r w:rsidR="00F2280C">
        <w:t xml:space="preserve"> (found in the Role Mining Demo.txt file on the desktop)</w:t>
      </w:r>
      <w:r>
        <w:t>:</w:t>
      </w:r>
      <w:r>
        <w:br/>
      </w:r>
      <w:r>
        <w:br/>
        <w:t>Bobby Stephens; Mike Chapman; Dawn Oliver; Leonard Williamson; Louise Payne; Nathan Banks; Edna McCoy</w:t>
      </w:r>
    </w:p>
    <w:p w14:paraId="7929CCDB" w14:textId="77777777" w:rsidR="009B0A54" w:rsidRDefault="009B0A54" w:rsidP="009B0A54">
      <w:pPr>
        <w:pStyle w:val="SPHeading2"/>
        <w:spacing w:line="276" w:lineRule="auto"/>
      </w:pPr>
      <w:r>
        <w:t>The Role Mining &amp; Maintenance Demo Scenarios</w:t>
      </w:r>
    </w:p>
    <w:p w14:paraId="53A4F58D" w14:textId="77777777" w:rsidR="009B0A54" w:rsidRDefault="009B0A54" w:rsidP="009B0A54">
      <w:pPr>
        <w:pStyle w:val="SPHeading3"/>
      </w:pPr>
      <w:r>
        <w:t>Scenario 1: Initial Role mining</w:t>
      </w:r>
    </w:p>
    <w:p w14:paraId="7A6D1622" w14:textId="77777777" w:rsidR="009B0A54" w:rsidRDefault="009B0A54" w:rsidP="009B0A54">
      <w:pPr>
        <w:numPr>
          <w:ilvl w:val="0"/>
          <w:numId w:val="38"/>
        </w:numPr>
      </w:pPr>
      <w:r>
        <w:t xml:space="preserve">In the Jerry Bennett browser, go to </w:t>
      </w:r>
      <w:r>
        <w:rPr>
          <w:color w:val="F79646" w:themeColor="accent6"/>
        </w:rPr>
        <w:t>Analyze / Advanced Analytics</w:t>
      </w:r>
    </w:p>
    <w:p w14:paraId="45F7167B" w14:textId="77777777" w:rsidR="009B0A54" w:rsidRDefault="009B0A54" w:rsidP="009B0A54">
      <w:pPr>
        <w:numPr>
          <w:ilvl w:val="1"/>
          <w:numId w:val="38"/>
        </w:numPr>
      </w:pPr>
      <w:r>
        <w:t>On the “</w:t>
      </w:r>
      <w:r>
        <w:rPr>
          <w:color w:val="F79646" w:themeColor="accent6"/>
        </w:rPr>
        <w:t>Identity Search</w:t>
      </w:r>
      <w:r>
        <w:t>” tab, enter “</w:t>
      </w:r>
      <w:r>
        <w:rPr>
          <w:color w:val="F79646" w:themeColor="accent6"/>
        </w:rPr>
        <w:t>Tax Accountants</w:t>
      </w:r>
      <w:r>
        <w:t>” into the “</w:t>
      </w:r>
      <w:r>
        <w:rPr>
          <w:color w:val="F79646" w:themeColor="accent6"/>
        </w:rPr>
        <w:t>Job Title</w:t>
      </w:r>
      <w:r>
        <w:t>” selection box and select a few “</w:t>
      </w:r>
      <w:r>
        <w:rPr>
          <w:color w:val="F79646" w:themeColor="accent6"/>
        </w:rPr>
        <w:t>fields to display</w:t>
      </w:r>
      <w:r>
        <w:t>”</w:t>
      </w:r>
    </w:p>
    <w:p w14:paraId="3326378A" w14:textId="77777777" w:rsidR="009B0A54" w:rsidRDefault="009B0A54" w:rsidP="009B0A54">
      <w:pPr>
        <w:numPr>
          <w:ilvl w:val="1"/>
          <w:numId w:val="38"/>
        </w:numPr>
      </w:pPr>
      <w:r>
        <w:t>Click on “</w:t>
      </w:r>
      <w:r>
        <w:rPr>
          <w:color w:val="F79646" w:themeColor="accent6"/>
        </w:rPr>
        <w:t>Run Search</w:t>
      </w:r>
      <w:r>
        <w:t>”</w:t>
      </w:r>
    </w:p>
    <w:p w14:paraId="5C2D6E37" w14:textId="77777777" w:rsidR="009B0A54" w:rsidRDefault="009B0A54" w:rsidP="009B0A54">
      <w:pPr>
        <w:numPr>
          <w:ilvl w:val="1"/>
          <w:numId w:val="38"/>
        </w:numPr>
      </w:pPr>
      <w:r>
        <w:t>You will now see all Tax Accountants.  In the “</w:t>
      </w:r>
      <w:r>
        <w:rPr>
          <w:color w:val="F79646" w:themeColor="accent6"/>
        </w:rPr>
        <w:t>Result Options</w:t>
      </w:r>
      <w:r>
        <w:t>” box, select “</w:t>
      </w:r>
      <w:r>
        <w:rPr>
          <w:color w:val="F79646" w:themeColor="accent6"/>
        </w:rPr>
        <w:t>Show Entitlements</w:t>
      </w:r>
      <w:r>
        <w:t>”</w:t>
      </w:r>
    </w:p>
    <w:p w14:paraId="55EA1FF3" w14:textId="3BD936EE" w:rsidR="009B0A54" w:rsidRDefault="009B0A54" w:rsidP="009B0A54">
      <w:r>
        <w:rPr>
          <w:noProof/>
          <w:lang w:eastAsia="en-US"/>
        </w:rPr>
        <w:drawing>
          <wp:inline distT="0" distB="0" distL="0" distR="0" wp14:anchorId="57F451C5" wp14:editId="2C93C429">
            <wp:extent cx="5261610" cy="1851025"/>
            <wp:effectExtent l="0" t="0" r="0" b="3175"/>
            <wp:docPr id="5" name="Picture 8" descr="Description: Macintosh HD:private:tmp:IdentityIQ 5.5 SE demo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Macintosh HD:private:tmp:IdentityIQ 5.5 SE demo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A3AB" w14:textId="16BF162E" w:rsidR="009B0A54" w:rsidRDefault="009B0A54" w:rsidP="009B0A54">
      <w:pPr>
        <w:numPr>
          <w:ilvl w:val="1"/>
          <w:numId w:val="38"/>
        </w:numPr>
      </w:pPr>
      <w:r>
        <w:t xml:space="preserve">You will now see the entitlements and the overlap or quality. You can click on the </w:t>
      </w:r>
      <w:r w:rsidR="00F2280C">
        <w:rPr>
          <w:color w:val="F79646" w:themeColor="accent6"/>
        </w:rPr>
        <w:t>Compensation</w:t>
      </w:r>
      <w:r>
        <w:t xml:space="preserve"> g</w:t>
      </w:r>
      <w:r w:rsidR="00F2280C">
        <w:t>roup to show the matching and non-</w:t>
      </w:r>
      <w:r>
        <w:t>matching members.</w:t>
      </w:r>
      <w:r>
        <w:br/>
      </w:r>
      <w:r>
        <w:br/>
        <w:t xml:space="preserve">Explain how this entitlement analysis is the </w:t>
      </w:r>
      <w:r>
        <w:rPr>
          <w:color w:val="F79646" w:themeColor="accent6"/>
        </w:rPr>
        <w:t>exact same procedure used to create or update the IT roles</w:t>
      </w:r>
      <w:r>
        <w:t xml:space="preserve"> for every Business role mined later on.</w:t>
      </w:r>
    </w:p>
    <w:p w14:paraId="3F0B8A4C" w14:textId="77777777" w:rsidR="009B0A54" w:rsidRDefault="009B0A54" w:rsidP="009B0A54">
      <w:pPr>
        <w:numPr>
          <w:ilvl w:val="1"/>
          <w:numId w:val="38"/>
        </w:numPr>
      </w:pPr>
      <w:r>
        <w:t>Close the entitlements screen</w:t>
      </w:r>
    </w:p>
    <w:p w14:paraId="38C561C6" w14:textId="77777777" w:rsidR="009B0A54" w:rsidRDefault="009B0A54" w:rsidP="009B0A54">
      <w:pPr>
        <w:numPr>
          <w:ilvl w:val="1"/>
          <w:numId w:val="38"/>
        </w:numPr>
      </w:pPr>
      <w:r>
        <w:t>Click on “</w:t>
      </w:r>
      <w:r>
        <w:rPr>
          <w:color w:val="F79646" w:themeColor="accent6"/>
        </w:rPr>
        <w:t>Leonard Williamson</w:t>
      </w:r>
      <w:r>
        <w:t xml:space="preserve">” and show the Entitlements tab, then focus on the </w:t>
      </w:r>
      <w:r>
        <w:rPr>
          <w:color w:val="F79646" w:themeColor="accent6"/>
        </w:rPr>
        <w:t xml:space="preserve">Additional Entitlements / </w:t>
      </w:r>
      <w:proofErr w:type="spellStart"/>
      <w:r>
        <w:rPr>
          <w:color w:val="F79646" w:themeColor="accent6"/>
        </w:rPr>
        <w:t>Active_Directory</w:t>
      </w:r>
      <w:proofErr w:type="spellEnd"/>
      <w:r>
        <w:rPr>
          <w:color w:val="F79646" w:themeColor="accent6"/>
        </w:rPr>
        <w:br/>
      </w:r>
      <w:r>
        <w:rPr>
          <w:color w:val="F79646" w:themeColor="accent6"/>
        </w:rPr>
        <w:br/>
      </w:r>
      <w:r>
        <w:rPr>
          <w:color w:val="C0504D" w:themeColor="accent2"/>
        </w:rPr>
        <w:t xml:space="preserve">Tell how we will now “Roll up” these entitlements into roles, using role mining. </w:t>
      </w:r>
      <w:r>
        <w:rPr>
          <w:color w:val="C0504D" w:themeColor="accent2"/>
        </w:rPr>
        <w:br/>
        <w:t>As Role mining uses current data “Who has access to what” that current data should be clean and appropriate!</w:t>
      </w:r>
    </w:p>
    <w:p w14:paraId="0744AC72" w14:textId="77777777" w:rsidR="009B0A54" w:rsidRDefault="009B0A54" w:rsidP="009B0A54">
      <w:pPr>
        <w:numPr>
          <w:ilvl w:val="0"/>
          <w:numId w:val="38"/>
        </w:numPr>
      </w:pPr>
      <w:r>
        <w:t xml:space="preserve">Go to </w:t>
      </w:r>
      <w:r>
        <w:rPr>
          <w:color w:val="F79646" w:themeColor="accent6"/>
        </w:rPr>
        <w:t>Define / Roles</w:t>
      </w:r>
      <w:r>
        <w:t xml:space="preserve"> and click on the </w:t>
      </w:r>
      <w:r>
        <w:rPr>
          <w:color w:val="F79646" w:themeColor="accent6"/>
        </w:rPr>
        <w:t>Role Mining</w:t>
      </w:r>
      <w:r>
        <w:t xml:space="preserve"> tab</w:t>
      </w:r>
    </w:p>
    <w:p w14:paraId="709837C6" w14:textId="5363EDD4" w:rsidR="009B0A54" w:rsidRDefault="009B0A54" w:rsidP="009B0A54">
      <w:pPr>
        <w:numPr>
          <w:ilvl w:val="1"/>
          <w:numId w:val="38"/>
        </w:numPr>
      </w:pPr>
      <w:r>
        <w:t>Right-click on the “</w:t>
      </w:r>
      <w:r w:rsidR="00F2280C">
        <w:rPr>
          <w:color w:val="F79646" w:themeColor="accent6"/>
        </w:rPr>
        <w:t>Business and IT role mining</w:t>
      </w:r>
      <w:r>
        <w:t>” task and select “</w:t>
      </w:r>
      <w:r>
        <w:rPr>
          <w:color w:val="F79646" w:themeColor="accent6"/>
        </w:rPr>
        <w:t>Execute</w:t>
      </w:r>
      <w:r>
        <w:t>”</w:t>
      </w:r>
    </w:p>
    <w:p w14:paraId="1AA0A722" w14:textId="77777777" w:rsidR="009B0A54" w:rsidRDefault="009B0A54" w:rsidP="009B0A54">
      <w:pPr>
        <w:numPr>
          <w:ilvl w:val="1"/>
          <w:numId w:val="38"/>
        </w:numPr>
      </w:pPr>
      <w:r>
        <w:t>Go to the “</w:t>
      </w:r>
      <w:r>
        <w:rPr>
          <w:color w:val="F79646" w:themeColor="accent6"/>
        </w:rPr>
        <w:t>Role Mining Result</w:t>
      </w:r>
      <w:r>
        <w:t xml:space="preserve">” tab and click </w:t>
      </w:r>
      <w:r>
        <w:rPr>
          <w:color w:val="F79646" w:themeColor="accent6"/>
        </w:rPr>
        <w:t>refresh</w:t>
      </w:r>
      <w:r>
        <w:t xml:space="preserve"> to verify if the task has finished.</w:t>
      </w:r>
      <w:r>
        <w:br/>
      </w:r>
      <w:r>
        <w:br/>
        <w:t xml:space="preserve">Explain how the </w:t>
      </w:r>
      <w:proofErr w:type="gramStart"/>
      <w:r>
        <w:t>role mining</w:t>
      </w:r>
      <w:proofErr w:type="gramEnd"/>
      <w:r>
        <w:t xml:space="preserve"> task will now use the exact same “Entitlement Analysis” to create IT roles for all mined business roles. </w:t>
      </w:r>
    </w:p>
    <w:p w14:paraId="2038951A" w14:textId="77777777" w:rsidR="009B0A54" w:rsidRDefault="009B0A54" w:rsidP="009B0A54">
      <w:pPr>
        <w:numPr>
          <w:ilvl w:val="0"/>
          <w:numId w:val="38"/>
        </w:numPr>
      </w:pPr>
      <w:r>
        <w:t xml:space="preserve">Go back to </w:t>
      </w:r>
      <w:r>
        <w:rPr>
          <w:color w:val="F79646" w:themeColor="accent6"/>
        </w:rPr>
        <w:t>Advanced Analytics</w:t>
      </w:r>
      <w:r>
        <w:t xml:space="preserve"> and search for the </w:t>
      </w:r>
      <w:r>
        <w:rPr>
          <w:color w:val="F79646" w:themeColor="accent6"/>
        </w:rPr>
        <w:t>Tax Accountants</w:t>
      </w:r>
      <w:r>
        <w:t xml:space="preserve"> again.</w:t>
      </w:r>
    </w:p>
    <w:p w14:paraId="35BCC071" w14:textId="77777777" w:rsidR="009B0A54" w:rsidRDefault="009B0A54" w:rsidP="009B0A54">
      <w:pPr>
        <w:numPr>
          <w:ilvl w:val="1"/>
          <w:numId w:val="38"/>
        </w:numPr>
      </w:pPr>
      <w:r>
        <w:t>Click on “</w:t>
      </w:r>
      <w:r>
        <w:rPr>
          <w:color w:val="F79646" w:themeColor="accent6"/>
        </w:rPr>
        <w:t>Leonard Williamson</w:t>
      </w:r>
      <w:r>
        <w:t xml:space="preserve">” again and show the </w:t>
      </w:r>
      <w:r>
        <w:rPr>
          <w:color w:val="F79646" w:themeColor="accent6"/>
        </w:rPr>
        <w:t>Entitlements</w:t>
      </w:r>
      <w:r>
        <w:t xml:space="preserve"> tab</w:t>
      </w:r>
    </w:p>
    <w:p w14:paraId="252F7928" w14:textId="77777777" w:rsidR="009B0A54" w:rsidRDefault="009B0A54" w:rsidP="009B0A54">
      <w:pPr>
        <w:numPr>
          <w:ilvl w:val="1"/>
          <w:numId w:val="38"/>
        </w:numPr>
      </w:pPr>
      <w:r>
        <w:t>See how the “</w:t>
      </w:r>
      <w:r>
        <w:rPr>
          <w:color w:val="F79646" w:themeColor="accent6"/>
        </w:rPr>
        <w:t>Additional Entitlement</w:t>
      </w:r>
      <w:r>
        <w:t xml:space="preserve">” for AD is now gone. </w:t>
      </w:r>
    </w:p>
    <w:p w14:paraId="2947BFA9" w14:textId="2CEBD6BB" w:rsidR="009B0A54" w:rsidRDefault="009B0A54" w:rsidP="009B0A54">
      <w:pPr>
        <w:numPr>
          <w:ilvl w:val="1"/>
          <w:numId w:val="38"/>
        </w:numPr>
      </w:pPr>
      <w:r>
        <w:t>Click on the “</w:t>
      </w:r>
      <w:r>
        <w:rPr>
          <w:color w:val="F79646" w:themeColor="accent6"/>
        </w:rPr>
        <w:t xml:space="preserve">IT Role for </w:t>
      </w:r>
      <w:proofErr w:type="spellStart"/>
      <w:r w:rsidR="00F2280C">
        <w:rPr>
          <w:color w:val="F79646" w:themeColor="accent6"/>
        </w:rPr>
        <w:t>MiningDemo</w:t>
      </w:r>
      <w:r>
        <w:rPr>
          <w:color w:val="F79646" w:themeColor="accent6"/>
        </w:rPr>
        <w:t>.Accounting.Tax</w:t>
      </w:r>
      <w:proofErr w:type="spellEnd"/>
      <w:r>
        <w:rPr>
          <w:color w:val="F79646" w:themeColor="accent6"/>
        </w:rPr>
        <w:t xml:space="preserve"> Accountant</w:t>
      </w:r>
      <w:r>
        <w:t>” role and show the Entitlement is now a part of this role.</w:t>
      </w:r>
    </w:p>
    <w:p w14:paraId="40907EDA" w14:textId="77777777" w:rsidR="009B0A54" w:rsidRDefault="009B0A54" w:rsidP="009B0A54"/>
    <w:p w14:paraId="025F3D7A" w14:textId="77777777" w:rsidR="009B0A54" w:rsidRDefault="009B0A54" w:rsidP="009B0A54">
      <w:pPr>
        <w:pStyle w:val="SPHeading3"/>
      </w:pPr>
      <w:r>
        <w:t>Scenario 2: Update your previous Role mining results</w:t>
      </w:r>
    </w:p>
    <w:p w14:paraId="1AC6215A" w14:textId="77777777" w:rsidR="009B0A54" w:rsidRDefault="009B0A54" w:rsidP="009B0A54">
      <w:r>
        <w:rPr>
          <w:b/>
        </w:rPr>
        <w:t>Optional:</w:t>
      </w:r>
      <w:r>
        <w:t xml:space="preserve"> If you just want to show how IdentityIQ can update mined roles, you can prepare scenario 1 upfront and only deliver scenario 2 in front of the customer.</w:t>
      </w:r>
    </w:p>
    <w:p w14:paraId="3DFA3DBC" w14:textId="77777777" w:rsidR="009B0A54" w:rsidRDefault="009B0A54" w:rsidP="009B0A54">
      <w:r>
        <w:rPr>
          <w:b/>
        </w:rPr>
        <w:t xml:space="preserve">Note: </w:t>
      </w:r>
      <w:r>
        <w:t>Skip to step 2 if you just performed scenario 1 in front of the customer</w:t>
      </w:r>
    </w:p>
    <w:p w14:paraId="441F1D14" w14:textId="77777777" w:rsidR="009B0A54" w:rsidRDefault="009B0A54" w:rsidP="009B0A54">
      <w:r>
        <w:rPr>
          <w:b/>
        </w:rPr>
        <w:t xml:space="preserve">Note: </w:t>
      </w:r>
      <w:r>
        <w:t>You can prepare all the actions in Step 2 if this is your “first” scenario. In that case, just show the additional entitlements and how they roll up into the existing roles.</w:t>
      </w:r>
    </w:p>
    <w:p w14:paraId="78AB628D" w14:textId="77777777" w:rsidR="009B0A54" w:rsidRDefault="009B0A54" w:rsidP="009B0A54">
      <w:pPr>
        <w:numPr>
          <w:ilvl w:val="0"/>
          <w:numId w:val="39"/>
        </w:numPr>
      </w:pPr>
      <w:r>
        <w:t xml:space="preserve">In the Jerry Bennett browser, go to </w:t>
      </w:r>
      <w:r>
        <w:rPr>
          <w:color w:val="F79646" w:themeColor="accent6"/>
        </w:rPr>
        <w:t>Analyze / Advanced Analytics</w:t>
      </w:r>
    </w:p>
    <w:p w14:paraId="61F0B6B4" w14:textId="77777777" w:rsidR="009B0A54" w:rsidRDefault="009B0A54" w:rsidP="009B0A54">
      <w:pPr>
        <w:numPr>
          <w:ilvl w:val="1"/>
          <w:numId w:val="39"/>
        </w:numPr>
      </w:pPr>
      <w:r>
        <w:t>On the “</w:t>
      </w:r>
      <w:r>
        <w:rPr>
          <w:color w:val="F79646" w:themeColor="accent6"/>
        </w:rPr>
        <w:t>Identity Search</w:t>
      </w:r>
      <w:r>
        <w:t>” tab, enter “</w:t>
      </w:r>
      <w:r>
        <w:rPr>
          <w:color w:val="F79646" w:themeColor="accent6"/>
        </w:rPr>
        <w:t>Tax Accountants</w:t>
      </w:r>
      <w:r>
        <w:t>” into the “</w:t>
      </w:r>
      <w:r>
        <w:rPr>
          <w:color w:val="F79646" w:themeColor="accent6"/>
        </w:rPr>
        <w:t>Job Title</w:t>
      </w:r>
      <w:r>
        <w:t>” selection box and select a few “</w:t>
      </w:r>
      <w:r>
        <w:rPr>
          <w:color w:val="F79646" w:themeColor="accent6"/>
        </w:rPr>
        <w:t>fields to display</w:t>
      </w:r>
      <w:r>
        <w:t>”</w:t>
      </w:r>
    </w:p>
    <w:p w14:paraId="6A9DFE6A" w14:textId="77777777" w:rsidR="009B0A54" w:rsidRDefault="009B0A54" w:rsidP="009B0A54">
      <w:pPr>
        <w:numPr>
          <w:ilvl w:val="1"/>
          <w:numId w:val="39"/>
        </w:numPr>
      </w:pPr>
      <w:r>
        <w:t>Click on “</w:t>
      </w:r>
      <w:r>
        <w:rPr>
          <w:color w:val="F79646" w:themeColor="accent6"/>
        </w:rPr>
        <w:t>Run Search</w:t>
      </w:r>
      <w:r>
        <w:t>”</w:t>
      </w:r>
    </w:p>
    <w:p w14:paraId="2BD12D71" w14:textId="61F35460" w:rsidR="009B0A54" w:rsidRDefault="004C0F3E" w:rsidP="004C0F3E">
      <w:pPr>
        <w:numPr>
          <w:ilvl w:val="1"/>
          <w:numId w:val="39"/>
        </w:numPr>
      </w:pPr>
      <w:r>
        <w:rPr>
          <w:b/>
        </w:rPr>
        <w:t>Note: Skip this step if you have performed Scenario 1 in front of the audience.</w:t>
      </w:r>
      <w:r>
        <w:rPr>
          <w:b/>
        </w:rPr>
        <w:br/>
      </w:r>
      <w:r w:rsidR="009B0A54">
        <w:t>You will now see all Tax Accountants.  In the “</w:t>
      </w:r>
      <w:r w:rsidR="009B0A54">
        <w:rPr>
          <w:color w:val="F79646" w:themeColor="accent6"/>
        </w:rPr>
        <w:t>Result Options</w:t>
      </w:r>
      <w:r w:rsidR="009B0A54">
        <w:t>” box, select “</w:t>
      </w:r>
      <w:r w:rsidR="009B0A54">
        <w:rPr>
          <w:color w:val="F79646" w:themeColor="accent6"/>
        </w:rPr>
        <w:t>Show Entitlements</w:t>
      </w:r>
      <w:r>
        <w:t>”</w:t>
      </w:r>
      <w:r>
        <w:br/>
      </w:r>
      <w:r>
        <w:br/>
      </w:r>
      <w:r w:rsidR="009B0A54">
        <w:t xml:space="preserve">You will now see the entitlements and the commonality or quality. </w:t>
      </w:r>
      <w:r w:rsidR="009B0A54">
        <w:br/>
      </w:r>
      <w:r w:rsidR="009B0A54">
        <w:br/>
      </w:r>
      <w:r w:rsidR="009B0A54" w:rsidRPr="004C0F3E">
        <w:rPr>
          <w:color w:val="F79646" w:themeColor="accent6"/>
        </w:rPr>
        <w:t>Explain:</w:t>
      </w:r>
      <w:r w:rsidR="009B0A54">
        <w:t xml:space="preserve"> how this entitlement analysis is the exact same procedure used to create or update the IT roles for every Business role mined.</w:t>
      </w:r>
      <w:r>
        <w:br/>
      </w:r>
      <w:r>
        <w:br/>
      </w:r>
      <w:r w:rsidR="009B0A54">
        <w:t>Close the entitlements screen</w:t>
      </w:r>
    </w:p>
    <w:p w14:paraId="12C90DD0" w14:textId="77777777" w:rsidR="009B0A54" w:rsidRDefault="009B0A54" w:rsidP="009B0A54">
      <w:pPr>
        <w:numPr>
          <w:ilvl w:val="0"/>
          <w:numId w:val="39"/>
        </w:numPr>
      </w:pPr>
      <w:r>
        <w:t>Add all the Tax accountants to the “</w:t>
      </w:r>
      <w:r>
        <w:rPr>
          <w:color w:val="F79646" w:themeColor="accent6"/>
        </w:rPr>
        <w:t>Tax Authority</w:t>
      </w:r>
      <w:r>
        <w:t>” group in AD</w:t>
      </w:r>
    </w:p>
    <w:p w14:paraId="46239C29" w14:textId="77777777" w:rsidR="009B0A54" w:rsidRDefault="009B0A54" w:rsidP="009B0A54">
      <w:pPr>
        <w:numPr>
          <w:ilvl w:val="1"/>
          <w:numId w:val="39"/>
        </w:numPr>
      </w:pPr>
      <w:r>
        <w:t>Go to “</w:t>
      </w:r>
      <w:r>
        <w:rPr>
          <w:color w:val="F79646" w:themeColor="accent6"/>
        </w:rPr>
        <w:t>Active Directory Users and Computers</w:t>
      </w:r>
      <w:r>
        <w:t>” and add the following list of users to the “</w:t>
      </w:r>
      <w:r>
        <w:rPr>
          <w:color w:val="F79646" w:themeColor="accent6"/>
        </w:rPr>
        <w:t>Tax Authority</w:t>
      </w:r>
      <w:r>
        <w:t>” group.</w:t>
      </w:r>
      <w:r>
        <w:br/>
      </w:r>
      <w:r>
        <w:br/>
        <w:t>Bobby Stephens; Mike Chapman; Dawn Oliver; Leonard Williamson; Louise Payne; Nathan Banks; Edna McCoy</w:t>
      </w:r>
    </w:p>
    <w:p w14:paraId="5F2AA231" w14:textId="44C50D7C" w:rsidR="009B0A54" w:rsidRDefault="009B0A54" w:rsidP="009B0A54">
      <w:pPr>
        <w:numPr>
          <w:ilvl w:val="1"/>
          <w:numId w:val="39"/>
        </w:numPr>
      </w:pPr>
      <w:r>
        <w:t xml:space="preserve">Re- aggregate AD and refresh the Identity cubes for the changes to be registered on the cube. </w:t>
      </w:r>
      <w:r w:rsidR="00E90477">
        <w:t xml:space="preserve">Hit the keys </w:t>
      </w:r>
      <w:r w:rsidR="00E90477" w:rsidRPr="00E90477">
        <w:rPr>
          <w:color w:val="F79646" w:themeColor="accent6"/>
        </w:rPr>
        <w:t>CTRL-ALT-1</w:t>
      </w:r>
      <w:r w:rsidR="00E90477">
        <w:t xml:space="preserve"> to start the refresh</w:t>
      </w:r>
    </w:p>
    <w:p w14:paraId="019D0EB7" w14:textId="77777777" w:rsidR="009B0A54" w:rsidRDefault="009B0A54" w:rsidP="009B0A54">
      <w:pPr>
        <w:numPr>
          <w:ilvl w:val="0"/>
          <w:numId w:val="39"/>
        </w:numPr>
      </w:pPr>
      <w:r>
        <w:t>Go back to Advanced Analytics, re-run the “Tax Accountants” search and check the cube for “</w:t>
      </w:r>
      <w:r>
        <w:rPr>
          <w:color w:val="F79646" w:themeColor="accent6"/>
        </w:rPr>
        <w:t>Leonard Williamson</w:t>
      </w:r>
      <w:r>
        <w:t>” Note that “</w:t>
      </w:r>
      <w:r>
        <w:rPr>
          <w:color w:val="F79646" w:themeColor="accent6"/>
        </w:rPr>
        <w:t>Tax Authority</w:t>
      </w:r>
      <w:r>
        <w:t xml:space="preserve">” shows up as an </w:t>
      </w:r>
      <w:r>
        <w:rPr>
          <w:color w:val="F79646" w:themeColor="accent6"/>
        </w:rPr>
        <w:t>Additional Entitlement on AD</w:t>
      </w:r>
      <w:r>
        <w:t>.</w:t>
      </w:r>
      <w:r>
        <w:br/>
      </w:r>
      <w:r>
        <w:br/>
        <w:t>As this is true for all Tax Accountants, we need to “Update” our role model to reflect these changes.</w:t>
      </w:r>
    </w:p>
    <w:p w14:paraId="014A3EF4" w14:textId="77777777" w:rsidR="009B0A54" w:rsidRDefault="009B0A54" w:rsidP="00EB0A14">
      <w:pPr>
        <w:numPr>
          <w:ilvl w:val="0"/>
          <w:numId w:val="38"/>
        </w:numPr>
      </w:pPr>
      <w:r>
        <w:t>Click on the “</w:t>
      </w:r>
      <w:r>
        <w:rPr>
          <w:color w:val="F79646" w:themeColor="accent6"/>
        </w:rPr>
        <w:t xml:space="preserve">IT Role for </w:t>
      </w:r>
      <w:proofErr w:type="spellStart"/>
      <w:r>
        <w:rPr>
          <w:color w:val="F79646" w:themeColor="accent6"/>
        </w:rPr>
        <w:t>DemoRole.Accounting.Tax</w:t>
      </w:r>
      <w:proofErr w:type="spellEnd"/>
      <w:r>
        <w:rPr>
          <w:color w:val="F79646" w:themeColor="accent6"/>
        </w:rPr>
        <w:t xml:space="preserve"> Accountant</w:t>
      </w:r>
      <w:r>
        <w:t xml:space="preserve">” role and show the Entitlements that are part of this role. Note that the “Tax </w:t>
      </w:r>
      <w:proofErr w:type="spellStart"/>
      <w:r>
        <w:t>Auhority</w:t>
      </w:r>
      <w:proofErr w:type="spellEnd"/>
      <w:r>
        <w:t xml:space="preserve">” group is </w:t>
      </w:r>
      <w:r>
        <w:rPr>
          <w:color w:val="F79646" w:themeColor="accent6"/>
        </w:rPr>
        <w:t>not a part of the role</w:t>
      </w:r>
      <w:r>
        <w:t>.</w:t>
      </w:r>
    </w:p>
    <w:p w14:paraId="185DBA29" w14:textId="77777777" w:rsidR="009B0A54" w:rsidRDefault="009B0A54" w:rsidP="009B0A54">
      <w:pPr>
        <w:numPr>
          <w:ilvl w:val="0"/>
          <w:numId w:val="38"/>
        </w:numPr>
      </w:pPr>
      <w:r>
        <w:t xml:space="preserve">Go to </w:t>
      </w:r>
      <w:r>
        <w:rPr>
          <w:color w:val="F79646" w:themeColor="accent6"/>
        </w:rPr>
        <w:t>Define / Roles</w:t>
      </w:r>
      <w:r>
        <w:t xml:space="preserve"> and click on the </w:t>
      </w:r>
      <w:r>
        <w:rPr>
          <w:color w:val="F79646" w:themeColor="accent6"/>
        </w:rPr>
        <w:t>Role Mining</w:t>
      </w:r>
      <w:r>
        <w:t xml:space="preserve"> tab</w:t>
      </w:r>
    </w:p>
    <w:p w14:paraId="5EBB799D" w14:textId="3331C8FC" w:rsidR="009B0A54" w:rsidRDefault="009B0A54" w:rsidP="009B0A54">
      <w:pPr>
        <w:numPr>
          <w:ilvl w:val="1"/>
          <w:numId w:val="38"/>
        </w:numPr>
      </w:pPr>
      <w:r>
        <w:t>Right-click on the “</w:t>
      </w:r>
      <w:r w:rsidR="00F2280C">
        <w:rPr>
          <w:color w:val="F79646" w:themeColor="accent6"/>
        </w:rPr>
        <w:t>Business and IT role mining</w:t>
      </w:r>
      <w:r>
        <w:t>” task and select “</w:t>
      </w:r>
      <w:r>
        <w:rPr>
          <w:color w:val="F79646" w:themeColor="accent6"/>
        </w:rPr>
        <w:t>Execute</w:t>
      </w:r>
      <w:r>
        <w:t>”</w:t>
      </w:r>
    </w:p>
    <w:p w14:paraId="59356EDD" w14:textId="6A1638A3" w:rsidR="009B0A54" w:rsidRDefault="009B0A54" w:rsidP="009B0A54">
      <w:pPr>
        <w:numPr>
          <w:ilvl w:val="1"/>
          <w:numId w:val="38"/>
        </w:numPr>
      </w:pPr>
      <w:r>
        <w:t>Go to the “</w:t>
      </w:r>
      <w:r>
        <w:rPr>
          <w:color w:val="F79646" w:themeColor="accent6"/>
        </w:rPr>
        <w:t>Role Mining Result</w:t>
      </w:r>
      <w:r>
        <w:t xml:space="preserve">” tab and click </w:t>
      </w:r>
      <w:r>
        <w:rPr>
          <w:color w:val="F79646" w:themeColor="accent6"/>
        </w:rPr>
        <w:t>refresh</w:t>
      </w:r>
      <w:r>
        <w:t xml:space="preserve"> to verify if the task has finished.</w:t>
      </w:r>
      <w:r>
        <w:br/>
      </w:r>
      <w:r>
        <w:br/>
        <w:t xml:space="preserve">Explain how the </w:t>
      </w:r>
      <w:proofErr w:type="gramStart"/>
      <w:r>
        <w:t>role mining</w:t>
      </w:r>
      <w:proofErr w:type="gramEnd"/>
      <w:r>
        <w:t xml:space="preserve"> task will now </w:t>
      </w:r>
      <w:r>
        <w:rPr>
          <w:color w:val="F79646" w:themeColor="accent6"/>
        </w:rPr>
        <w:t>update</w:t>
      </w:r>
      <w:r>
        <w:t xml:space="preserve"> the roles using again, all current access</w:t>
      </w:r>
      <w:r w:rsidR="00487984">
        <w:t xml:space="preserve"> and as a result, </w:t>
      </w:r>
      <w:r w:rsidR="00487984" w:rsidRPr="00487984">
        <w:rPr>
          <w:color w:val="F79646" w:themeColor="accent6"/>
        </w:rPr>
        <w:t>add</w:t>
      </w:r>
      <w:r w:rsidR="00487984">
        <w:t xml:space="preserve"> this specific entitlement to an </w:t>
      </w:r>
      <w:r w:rsidR="00487984" w:rsidRPr="00487984">
        <w:rPr>
          <w:color w:val="F79646" w:themeColor="accent6"/>
        </w:rPr>
        <w:t>existing role</w:t>
      </w:r>
      <w:r>
        <w:t xml:space="preserve">. </w:t>
      </w:r>
    </w:p>
    <w:p w14:paraId="71EAE8F4" w14:textId="77777777" w:rsidR="009B0A54" w:rsidRDefault="009B0A54" w:rsidP="009B0A54">
      <w:pPr>
        <w:numPr>
          <w:ilvl w:val="0"/>
          <w:numId w:val="38"/>
        </w:numPr>
      </w:pPr>
      <w:r>
        <w:t xml:space="preserve">Go back to </w:t>
      </w:r>
      <w:r>
        <w:rPr>
          <w:color w:val="F79646" w:themeColor="accent6"/>
        </w:rPr>
        <w:t>Advanced Analytics</w:t>
      </w:r>
      <w:r>
        <w:t xml:space="preserve"> and search for the </w:t>
      </w:r>
      <w:r>
        <w:rPr>
          <w:color w:val="F79646" w:themeColor="accent6"/>
        </w:rPr>
        <w:t>Tax Accountants</w:t>
      </w:r>
      <w:r>
        <w:t xml:space="preserve"> again.</w:t>
      </w:r>
    </w:p>
    <w:p w14:paraId="5BF7BC38" w14:textId="77777777" w:rsidR="009B0A54" w:rsidRDefault="009B0A54" w:rsidP="009B0A54">
      <w:pPr>
        <w:numPr>
          <w:ilvl w:val="1"/>
          <w:numId w:val="38"/>
        </w:numPr>
      </w:pPr>
      <w:r>
        <w:t>Click on “</w:t>
      </w:r>
      <w:r>
        <w:rPr>
          <w:color w:val="F79646" w:themeColor="accent6"/>
        </w:rPr>
        <w:t>Leonard Williamson</w:t>
      </w:r>
      <w:r>
        <w:t xml:space="preserve">” again and show the </w:t>
      </w:r>
      <w:r>
        <w:rPr>
          <w:color w:val="F79646" w:themeColor="accent6"/>
        </w:rPr>
        <w:t>Entitlements</w:t>
      </w:r>
      <w:r>
        <w:t xml:space="preserve"> tab</w:t>
      </w:r>
    </w:p>
    <w:p w14:paraId="49FC999E" w14:textId="77777777" w:rsidR="009B0A54" w:rsidRDefault="009B0A54" w:rsidP="009B0A54">
      <w:pPr>
        <w:numPr>
          <w:ilvl w:val="1"/>
          <w:numId w:val="38"/>
        </w:numPr>
      </w:pPr>
      <w:r>
        <w:t>See how the “</w:t>
      </w:r>
      <w:r>
        <w:rPr>
          <w:color w:val="F79646" w:themeColor="accent6"/>
        </w:rPr>
        <w:t>Additional Entitlement</w:t>
      </w:r>
      <w:r>
        <w:t xml:space="preserve">” for AD is now gone. </w:t>
      </w:r>
    </w:p>
    <w:p w14:paraId="7A9E241A" w14:textId="6FF8D8EE" w:rsidR="009B0A54" w:rsidRDefault="009B0A54" w:rsidP="009B0A54">
      <w:pPr>
        <w:numPr>
          <w:ilvl w:val="1"/>
          <w:numId w:val="38"/>
        </w:numPr>
      </w:pPr>
      <w:r>
        <w:t>Click on the “</w:t>
      </w:r>
      <w:r>
        <w:rPr>
          <w:color w:val="F79646" w:themeColor="accent6"/>
        </w:rPr>
        <w:t xml:space="preserve">IT Role for </w:t>
      </w:r>
      <w:proofErr w:type="spellStart"/>
      <w:r w:rsidR="00EB0A14">
        <w:rPr>
          <w:color w:val="F79646" w:themeColor="accent6"/>
        </w:rPr>
        <w:t>MiningDemo</w:t>
      </w:r>
      <w:r>
        <w:rPr>
          <w:color w:val="F79646" w:themeColor="accent6"/>
        </w:rPr>
        <w:t>.Accounting.Tax</w:t>
      </w:r>
      <w:proofErr w:type="spellEnd"/>
      <w:r>
        <w:rPr>
          <w:color w:val="F79646" w:themeColor="accent6"/>
        </w:rPr>
        <w:t xml:space="preserve"> Accountant</w:t>
      </w:r>
      <w:r>
        <w:t>” role and show the “</w:t>
      </w:r>
      <w:bookmarkStart w:id="0" w:name="_GoBack"/>
      <w:proofErr w:type="spellStart"/>
      <w:r w:rsidR="00EB0A14" w:rsidRPr="00EB0A14">
        <w:rPr>
          <w:color w:val="F79646" w:themeColor="accent6"/>
        </w:rPr>
        <w:t>TaxAuthority</w:t>
      </w:r>
      <w:bookmarkEnd w:id="0"/>
      <w:proofErr w:type="spellEnd"/>
      <w:r>
        <w:t>” Entitlement is now a part of this role.</w:t>
      </w:r>
    </w:p>
    <w:p w14:paraId="622CA6DB" w14:textId="77777777" w:rsidR="009B0A54" w:rsidRDefault="009B0A54" w:rsidP="009B0A54"/>
    <w:p w14:paraId="660A01CA" w14:textId="77777777" w:rsidR="009B0A54" w:rsidRDefault="009B0A54" w:rsidP="009B0A54"/>
    <w:p w14:paraId="28F3813E" w14:textId="702FE1DC" w:rsidR="009B0A54" w:rsidRDefault="00187163" w:rsidP="00187163">
      <w:pPr>
        <w:pStyle w:val="SPHeading2"/>
      </w:pPr>
      <w:r>
        <w:br w:type="page"/>
        <w:t>History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4"/>
        <w:gridCol w:w="3443"/>
        <w:gridCol w:w="2839"/>
      </w:tblGrid>
      <w:tr w:rsidR="00187163" w14:paraId="18CDABC0" w14:textId="77777777" w:rsidTr="002A0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1C129552" w14:textId="77777777" w:rsidR="00187163" w:rsidRDefault="00187163" w:rsidP="002A0FED">
            <w:pPr>
              <w:tabs>
                <w:tab w:val="right" w:pos="2019"/>
              </w:tabs>
            </w:pPr>
            <w:r>
              <w:t>Date</w:t>
            </w:r>
            <w:r>
              <w:tab/>
            </w:r>
          </w:p>
        </w:tc>
        <w:tc>
          <w:tcPr>
            <w:tcW w:w="3446" w:type="dxa"/>
            <w:hideMark/>
          </w:tcPr>
          <w:p w14:paraId="0FF7374B" w14:textId="77777777" w:rsidR="00187163" w:rsidRDefault="00187163" w:rsidP="002A0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2841" w:type="dxa"/>
            <w:hideMark/>
          </w:tcPr>
          <w:p w14:paraId="1A10FD2F" w14:textId="77777777" w:rsidR="00187163" w:rsidRDefault="00187163" w:rsidP="002A0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87163" w14:paraId="01F2F07B" w14:textId="77777777" w:rsidTr="002A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14:paraId="254296A7" w14:textId="77777777" w:rsidR="00187163" w:rsidRDefault="00187163" w:rsidP="002A0FE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August 13th 2012</w:t>
            </w:r>
          </w:p>
        </w:tc>
        <w:tc>
          <w:tcPr>
            <w:tcW w:w="3446" w:type="dxa"/>
            <w:hideMark/>
          </w:tcPr>
          <w:p w14:paraId="069A5D76" w14:textId="77777777" w:rsidR="00187163" w:rsidRDefault="00187163" w:rsidP="002A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version</w:t>
            </w:r>
          </w:p>
        </w:tc>
        <w:tc>
          <w:tcPr>
            <w:tcW w:w="2841" w:type="dxa"/>
          </w:tcPr>
          <w:p w14:paraId="6B0034B5" w14:textId="77777777" w:rsidR="00187163" w:rsidRDefault="00187163" w:rsidP="002A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7163" w14:paraId="3AD62947" w14:textId="77777777" w:rsidTr="002A0F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004160" w14:textId="5BB4568C" w:rsidR="00187163" w:rsidRDefault="00187163" w:rsidP="002A0FED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October 30, 2013</w:t>
            </w:r>
          </w:p>
        </w:tc>
        <w:tc>
          <w:tcPr>
            <w:tcW w:w="3446" w:type="dxa"/>
          </w:tcPr>
          <w:p w14:paraId="04D8DD8B" w14:textId="30691CF7" w:rsidR="00187163" w:rsidRDefault="00187163" w:rsidP="002A0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to SERI 6.1 standard</w:t>
            </w:r>
          </w:p>
        </w:tc>
        <w:tc>
          <w:tcPr>
            <w:tcW w:w="2841" w:type="dxa"/>
          </w:tcPr>
          <w:p w14:paraId="0EB7C390" w14:textId="77777777" w:rsidR="00187163" w:rsidRDefault="00187163" w:rsidP="002A0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7163" w14:paraId="1DBC7F46" w14:textId="77777777" w:rsidTr="002A0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FA6AF3" w14:textId="77777777" w:rsidR="00187163" w:rsidRDefault="00187163" w:rsidP="002A0FE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46" w:type="dxa"/>
          </w:tcPr>
          <w:p w14:paraId="55E5C42B" w14:textId="77777777" w:rsidR="00187163" w:rsidRDefault="00187163" w:rsidP="002A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14:paraId="6AA381EE" w14:textId="77777777" w:rsidR="00187163" w:rsidRDefault="00187163" w:rsidP="002A0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7163" w14:paraId="15B63D2A" w14:textId="77777777" w:rsidTr="002A0F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6B64EA" w14:textId="77777777" w:rsidR="00187163" w:rsidRDefault="00187163" w:rsidP="002A0FE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3446" w:type="dxa"/>
          </w:tcPr>
          <w:p w14:paraId="2A0B3F99" w14:textId="77777777" w:rsidR="00187163" w:rsidRDefault="00187163" w:rsidP="002A0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14:paraId="0C939B37" w14:textId="77777777" w:rsidR="00187163" w:rsidRDefault="00187163" w:rsidP="002A0F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F8BA5E" w14:textId="77777777" w:rsidR="00187163" w:rsidRPr="00187163" w:rsidRDefault="00187163" w:rsidP="00187163"/>
    <w:p w14:paraId="485B6C78" w14:textId="5B4574C0" w:rsidR="005E7598" w:rsidRPr="009B0A54" w:rsidRDefault="005E7598" w:rsidP="009B0A54"/>
    <w:sectPr w:rsidR="005E7598" w:rsidRPr="009B0A54" w:rsidSect="00E31A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8B652C"/>
    <w:multiLevelType w:val="hybridMultilevel"/>
    <w:tmpl w:val="4D18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62A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C90649"/>
    <w:multiLevelType w:val="hybridMultilevel"/>
    <w:tmpl w:val="B4F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F69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1D670F"/>
    <w:multiLevelType w:val="hybridMultilevel"/>
    <w:tmpl w:val="D678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D0BE8"/>
    <w:multiLevelType w:val="hybridMultilevel"/>
    <w:tmpl w:val="FB5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F7F2A"/>
    <w:multiLevelType w:val="multilevel"/>
    <w:tmpl w:val="AE2C7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alIndent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F57D93"/>
    <w:multiLevelType w:val="hybridMultilevel"/>
    <w:tmpl w:val="ADC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C7195D"/>
    <w:multiLevelType w:val="hybridMultilevel"/>
    <w:tmpl w:val="52DC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B4BC5"/>
    <w:multiLevelType w:val="hybridMultilevel"/>
    <w:tmpl w:val="F282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67929"/>
    <w:multiLevelType w:val="hybridMultilevel"/>
    <w:tmpl w:val="FAF2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52282"/>
    <w:multiLevelType w:val="hybridMultilevel"/>
    <w:tmpl w:val="370E8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54D85"/>
    <w:multiLevelType w:val="hybridMultilevel"/>
    <w:tmpl w:val="63A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60DB3"/>
    <w:multiLevelType w:val="hybridMultilevel"/>
    <w:tmpl w:val="C1C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A74F5"/>
    <w:multiLevelType w:val="hybridMultilevel"/>
    <w:tmpl w:val="637A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54737"/>
    <w:multiLevelType w:val="hybridMultilevel"/>
    <w:tmpl w:val="B834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C2596"/>
    <w:multiLevelType w:val="hybridMultilevel"/>
    <w:tmpl w:val="4380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24FC3"/>
    <w:multiLevelType w:val="hybridMultilevel"/>
    <w:tmpl w:val="55C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E2F0F"/>
    <w:multiLevelType w:val="hybridMultilevel"/>
    <w:tmpl w:val="3064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7FF"/>
    <w:multiLevelType w:val="hybridMultilevel"/>
    <w:tmpl w:val="EAE8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77D4F"/>
    <w:multiLevelType w:val="hybridMultilevel"/>
    <w:tmpl w:val="4D52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E567B"/>
    <w:multiLevelType w:val="hybridMultilevel"/>
    <w:tmpl w:val="076C0260"/>
    <w:lvl w:ilvl="0" w:tplc="64ACBB56">
      <w:start w:val="1"/>
      <w:numFmt w:val="decimal"/>
      <w:pStyle w:val="1HRV-Answer"/>
      <w:lvlText w:val="%1."/>
      <w:lvlJc w:val="left"/>
      <w:pPr>
        <w:ind w:left="36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5811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FA58BC"/>
    <w:multiLevelType w:val="hybridMultilevel"/>
    <w:tmpl w:val="52DC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891572"/>
    <w:multiLevelType w:val="hybridMultilevel"/>
    <w:tmpl w:val="C1C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5D34DD"/>
    <w:multiLevelType w:val="hybridMultilevel"/>
    <w:tmpl w:val="7262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73DC8"/>
    <w:multiLevelType w:val="hybridMultilevel"/>
    <w:tmpl w:val="B58A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D4108"/>
    <w:multiLevelType w:val="hybridMultilevel"/>
    <w:tmpl w:val="0C94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4"/>
  </w:num>
  <w:num w:numId="3">
    <w:abstractNumId w:val="13"/>
  </w:num>
  <w:num w:numId="4">
    <w:abstractNumId w:val="28"/>
  </w:num>
  <w:num w:numId="5">
    <w:abstractNumId w:val="21"/>
  </w:num>
  <w:num w:numId="6">
    <w:abstractNumId w:val="17"/>
  </w:num>
  <w:num w:numId="7">
    <w:abstractNumId w:val="14"/>
  </w:num>
  <w:num w:numId="8">
    <w:abstractNumId w:val="26"/>
  </w:num>
  <w:num w:numId="9">
    <w:abstractNumId w:val="4"/>
  </w:num>
  <w:num w:numId="10">
    <w:abstractNumId w:val="22"/>
  </w:num>
  <w:num w:numId="11">
    <w:abstractNumId w:val="9"/>
  </w:num>
  <w:num w:numId="12">
    <w:abstractNumId w:val="29"/>
  </w:num>
  <w:num w:numId="13">
    <w:abstractNumId w:val="19"/>
  </w:num>
  <w:num w:numId="14">
    <w:abstractNumId w:val="16"/>
  </w:num>
  <w:num w:numId="15">
    <w:abstractNumId w:val="23"/>
  </w:num>
  <w:num w:numId="16">
    <w:abstractNumId w:val="27"/>
  </w:num>
  <w:num w:numId="17">
    <w:abstractNumId w:val="11"/>
  </w:num>
  <w:num w:numId="18">
    <w:abstractNumId w:val="8"/>
  </w:num>
  <w:num w:numId="19">
    <w:abstractNumId w:val="6"/>
  </w:num>
  <w:num w:numId="20">
    <w:abstractNumId w:val="30"/>
  </w:num>
  <w:num w:numId="21">
    <w:abstractNumId w:val="7"/>
  </w:num>
  <w:num w:numId="22">
    <w:abstractNumId w:val="2"/>
  </w:num>
  <w:num w:numId="23">
    <w:abstractNumId w:val="12"/>
  </w:num>
  <w:num w:numId="24">
    <w:abstractNumId w:val="15"/>
  </w:num>
  <w:num w:numId="25">
    <w:abstractNumId w:val="18"/>
  </w:num>
  <w:num w:numId="26">
    <w:abstractNumId w:val="0"/>
  </w:num>
  <w:num w:numId="27">
    <w:abstractNumId w:val="1"/>
  </w:num>
  <w:num w:numId="28">
    <w:abstractNumId w:val="20"/>
  </w:num>
  <w:num w:numId="29">
    <w:abstractNumId w:val="3"/>
  </w:num>
  <w:num w:numId="30">
    <w:abstractNumId w:val="10"/>
  </w:num>
  <w:num w:numId="31">
    <w:abstractNumId w:val="25"/>
  </w:num>
  <w:num w:numId="32">
    <w:abstractNumId w:val="5"/>
  </w:num>
  <w:num w:numId="33">
    <w:abstractNumId w:val="15"/>
  </w:num>
  <w:num w:numId="34">
    <w:abstractNumId w:val="4"/>
  </w:num>
  <w:num w:numId="35">
    <w:abstractNumId w:val="20"/>
  </w:num>
  <w:num w:numId="36">
    <w:abstractNumId w:val="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047043"/>
    <w:rsid w:val="00031EEB"/>
    <w:rsid w:val="00047043"/>
    <w:rsid w:val="000602C0"/>
    <w:rsid w:val="00065F08"/>
    <w:rsid w:val="00071B50"/>
    <w:rsid w:val="00084C4B"/>
    <w:rsid w:val="000909F9"/>
    <w:rsid w:val="000A1C10"/>
    <w:rsid w:val="000A6AB2"/>
    <w:rsid w:val="000A71C4"/>
    <w:rsid w:val="000B1C56"/>
    <w:rsid w:val="000B5414"/>
    <w:rsid w:val="000B5E7A"/>
    <w:rsid w:val="000D2FC2"/>
    <w:rsid w:val="000F0ECD"/>
    <w:rsid w:val="000F26D2"/>
    <w:rsid w:val="000F37CB"/>
    <w:rsid w:val="00110ED4"/>
    <w:rsid w:val="00113F98"/>
    <w:rsid w:val="001342AC"/>
    <w:rsid w:val="00147FD1"/>
    <w:rsid w:val="00177D02"/>
    <w:rsid w:val="00187163"/>
    <w:rsid w:val="00195BB5"/>
    <w:rsid w:val="001A78AB"/>
    <w:rsid w:val="001B121D"/>
    <w:rsid w:val="001D08AF"/>
    <w:rsid w:val="001D1908"/>
    <w:rsid w:val="001E042A"/>
    <w:rsid w:val="001E2102"/>
    <w:rsid w:val="00224F07"/>
    <w:rsid w:val="00255115"/>
    <w:rsid w:val="0027024A"/>
    <w:rsid w:val="0028163E"/>
    <w:rsid w:val="002B5CBB"/>
    <w:rsid w:val="002C6914"/>
    <w:rsid w:val="002E44F3"/>
    <w:rsid w:val="002F029B"/>
    <w:rsid w:val="0032197B"/>
    <w:rsid w:val="003340D9"/>
    <w:rsid w:val="00342792"/>
    <w:rsid w:val="0034288E"/>
    <w:rsid w:val="0034413E"/>
    <w:rsid w:val="00344877"/>
    <w:rsid w:val="00344910"/>
    <w:rsid w:val="00346629"/>
    <w:rsid w:val="00355AB9"/>
    <w:rsid w:val="00356EEE"/>
    <w:rsid w:val="00357094"/>
    <w:rsid w:val="0036656D"/>
    <w:rsid w:val="00376D8C"/>
    <w:rsid w:val="00381B88"/>
    <w:rsid w:val="00382776"/>
    <w:rsid w:val="00395930"/>
    <w:rsid w:val="003A0AA1"/>
    <w:rsid w:val="003A22E2"/>
    <w:rsid w:val="003A2E75"/>
    <w:rsid w:val="003B3FFE"/>
    <w:rsid w:val="003D0E34"/>
    <w:rsid w:val="003E6CEB"/>
    <w:rsid w:val="003F0641"/>
    <w:rsid w:val="003F4E4B"/>
    <w:rsid w:val="00405402"/>
    <w:rsid w:val="00413447"/>
    <w:rsid w:val="0043347F"/>
    <w:rsid w:val="004823F1"/>
    <w:rsid w:val="00487984"/>
    <w:rsid w:val="00492673"/>
    <w:rsid w:val="004B7F61"/>
    <w:rsid w:val="004C0F3E"/>
    <w:rsid w:val="004C1A36"/>
    <w:rsid w:val="004C639A"/>
    <w:rsid w:val="004D1C32"/>
    <w:rsid w:val="004E527B"/>
    <w:rsid w:val="005018F6"/>
    <w:rsid w:val="0050702F"/>
    <w:rsid w:val="00522A16"/>
    <w:rsid w:val="00525373"/>
    <w:rsid w:val="00526D0D"/>
    <w:rsid w:val="0054070C"/>
    <w:rsid w:val="00555FE3"/>
    <w:rsid w:val="00560CB0"/>
    <w:rsid w:val="00581165"/>
    <w:rsid w:val="00594169"/>
    <w:rsid w:val="00595C25"/>
    <w:rsid w:val="005B024A"/>
    <w:rsid w:val="005B6068"/>
    <w:rsid w:val="005B669F"/>
    <w:rsid w:val="005C4310"/>
    <w:rsid w:val="005D3FAE"/>
    <w:rsid w:val="005E0B92"/>
    <w:rsid w:val="005E2466"/>
    <w:rsid w:val="005E7598"/>
    <w:rsid w:val="00611A2B"/>
    <w:rsid w:val="00616917"/>
    <w:rsid w:val="00627BD8"/>
    <w:rsid w:val="00651E4D"/>
    <w:rsid w:val="00692893"/>
    <w:rsid w:val="00697E20"/>
    <w:rsid w:val="006A3C7C"/>
    <w:rsid w:val="006A6733"/>
    <w:rsid w:val="006B224A"/>
    <w:rsid w:val="006C0E5F"/>
    <w:rsid w:val="006D733E"/>
    <w:rsid w:val="006E2A89"/>
    <w:rsid w:val="006E5C33"/>
    <w:rsid w:val="006E6E96"/>
    <w:rsid w:val="006F00E7"/>
    <w:rsid w:val="00705FBD"/>
    <w:rsid w:val="00712258"/>
    <w:rsid w:val="00736A62"/>
    <w:rsid w:val="00773F28"/>
    <w:rsid w:val="00776EC6"/>
    <w:rsid w:val="007815B6"/>
    <w:rsid w:val="00783853"/>
    <w:rsid w:val="007A7386"/>
    <w:rsid w:val="007C5FF7"/>
    <w:rsid w:val="007D133A"/>
    <w:rsid w:val="007E067D"/>
    <w:rsid w:val="00800DD2"/>
    <w:rsid w:val="008022FA"/>
    <w:rsid w:val="008216A3"/>
    <w:rsid w:val="0082180F"/>
    <w:rsid w:val="00823725"/>
    <w:rsid w:val="00824273"/>
    <w:rsid w:val="00837701"/>
    <w:rsid w:val="008408DA"/>
    <w:rsid w:val="00843DDA"/>
    <w:rsid w:val="00846B2F"/>
    <w:rsid w:val="008475D0"/>
    <w:rsid w:val="00851F02"/>
    <w:rsid w:val="008530C1"/>
    <w:rsid w:val="008614A2"/>
    <w:rsid w:val="008668A2"/>
    <w:rsid w:val="008A106C"/>
    <w:rsid w:val="008B2AD0"/>
    <w:rsid w:val="008B3153"/>
    <w:rsid w:val="008C349F"/>
    <w:rsid w:val="008E0462"/>
    <w:rsid w:val="008F2564"/>
    <w:rsid w:val="008F5792"/>
    <w:rsid w:val="00913617"/>
    <w:rsid w:val="009207CC"/>
    <w:rsid w:val="00934755"/>
    <w:rsid w:val="00945119"/>
    <w:rsid w:val="00963297"/>
    <w:rsid w:val="0096728D"/>
    <w:rsid w:val="009716CE"/>
    <w:rsid w:val="009722D4"/>
    <w:rsid w:val="00996FF2"/>
    <w:rsid w:val="009A10F1"/>
    <w:rsid w:val="009A500D"/>
    <w:rsid w:val="009A5EFF"/>
    <w:rsid w:val="009A74BE"/>
    <w:rsid w:val="009B0A54"/>
    <w:rsid w:val="009B2294"/>
    <w:rsid w:val="009C5A61"/>
    <w:rsid w:val="009D7FF7"/>
    <w:rsid w:val="009F000C"/>
    <w:rsid w:val="009F2AF7"/>
    <w:rsid w:val="009F546F"/>
    <w:rsid w:val="00A13442"/>
    <w:rsid w:val="00A205A5"/>
    <w:rsid w:val="00A22708"/>
    <w:rsid w:val="00A324B0"/>
    <w:rsid w:val="00A56029"/>
    <w:rsid w:val="00A82140"/>
    <w:rsid w:val="00A84B4A"/>
    <w:rsid w:val="00A92FD2"/>
    <w:rsid w:val="00AB345E"/>
    <w:rsid w:val="00AB4206"/>
    <w:rsid w:val="00AC347F"/>
    <w:rsid w:val="00AC534D"/>
    <w:rsid w:val="00AC7E52"/>
    <w:rsid w:val="00AF2868"/>
    <w:rsid w:val="00B022C3"/>
    <w:rsid w:val="00B10A5C"/>
    <w:rsid w:val="00B23FE1"/>
    <w:rsid w:val="00B250E3"/>
    <w:rsid w:val="00B25ABC"/>
    <w:rsid w:val="00B47E03"/>
    <w:rsid w:val="00B54F22"/>
    <w:rsid w:val="00B71FED"/>
    <w:rsid w:val="00B7200A"/>
    <w:rsid w:val="00BA2120"/>
    <w:rsid w:val="00BA2501"/>
    <w:rsid w:val="00BA714C"/>
    <w:rsid w:val="00BB0FF6"/>
    <w:rsid w:val="00BD720A"/>
    <w:rsid w:val="00BE0489"/>
    <w:rsid w:val="00BE34E4"/>
    <w:rsid w:val="00BE3B9B"/>
    <w:rsid w:val="00BF5095"/>
    <w:rsid w:val="00BF50D9"/>
    <w:rsid w:val="00BF7AF1"/>
    <w:rsid w:val="00BF7B1E"/>
    <w:rsid w:val="00C053A8"/>
    <w:rsid w:val="00C15C95"/>
    <w:rsid w:val="00C30542"/>
    <w:rsid w:val="00C363CC"/>
    <w:rsid w:val="00C43A35"/>
    <w:rsid w:val="00C72771"/>
    <w:rsid w:val="00C748B8"/>
    <w:rsid w:val="00C81D22"/>
    <w:rsid w:val="00C87493"/>
    <w:rsid w:val="00C879CB"/>
    <w:rsid w:val="00C9737F"/>
    <w:rsid w:val="00CA2B11"/>
    <w:rsid w:val="00CA3E76"/>
    <w:rsid w:val="00CA4078"/>
    <w:rsid w:val="00CF5FF2"/>
    <w:rsid w:val="00D03796"/>
    <w:rsid w:val="00D0645D"/>
    <w:rsid w:val="00D40C3B"/>
    <w:rsid w:val="00D73E6A"/>
    <w:rsid w:val="00D9419E"/>
    <w:rsid w:val="00D97824"/>
    <w:rsid w:val="00DA0079"/>
    <w:rsid w:val="00DA00A2"/>
    <w:rsid w:val="00DA3627"/>
    <w:rsid w:val="00DB7D4F"/>
    <w:rsid w:val="00DC1EB5"/>
    <w:rsid w:val="00DD3656"/>
    <w:rsid w:val="00DE5E80"/>
    <w:rsid w:val="00DF1333"/>
    <w:rsid w:val="00DF4520"/>
    <w:rsid w:val="00E00C1A"/>
    <w:rsid w:val="00E03EBA"/>
    <w:rsid w:val="00E17A42"/>
    <w:rsid w:val="00E17BA2"/>
    <w:rsid w:val="00E201AC"/>
    <w:rsid w:val="00E26165"/>
    <w:rsid w:val="00E31A44"/>
    <w:rsid w:val="00E32410"/>
    <w:rsid w:val="00E32877"/>
    <w:rsid w:val="00E5050F"/>
    <w:rsid w:val="00E62C26"/>
    <w:rsid w:val="00E67391"/>
    <w:rsid w:val="00E85EC0"/>
    <w:rsid w:val="00E85FEB"/>
    <w:rsid w:val="00E90477"/>
    <w:rsid w:val="00EA7783"/>
    <w:rsid w:val="00EB0A14"/>
    <w:rsid w:val="00EC1CDA"/>
    <w:rsid w:val="00EF0FA1"/>
    <w:rsid w:val="00EF3E64"/>
    <w:rsid w:val="00F13A90"/>
    <w:rsid w:val="00F155E9"/>
    <w:rsid w:val="00F2280C"/>
    <w:rsid w:val="00F3673D"/>
    <w:rsid w:val="00F50B68"/>
    <w:rsid w:val="00F730E9"/>
    <w:rsid w:val="00F7420F"/>
    <w:rsid w:val="00F83D27"/>
    <w:rsid w:val="00F85C19"/>
    <w:rsid w:val="00F92A9A"/>
    <w:rsid w:val="00FA6E34"/>
    <w:rsid w:val="00FA75D2"/>
    <w:rsid w:val="00FB18E3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247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B6"/>
    <w:pPr>
      <w:spacing w:after="20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RV-Answer">
    <w:name w:val="1_HRV-Answer"/>
    <w:basedOn w:val="BodyText"/>
    <w:qFormat/>
    <w:rsid w:val="004B7F61"/>
    <w:pPr>
      <w:numPr>
        <w:numId w:val="2"/>
      </w:numPr>
      <w:spacing w:line="276" w:lineRule="auto"/>
    </w:pPr>
    <w:rPr>
      <w:rFonts w:ascii="Calibri" w:eastAsia="Calibri" w:hAnsi="Calibri" w:cs="Times New Roman"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B7F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7F61"/>
  </w:style>
  <w:style w:type="paragraph" w:customStyle="1" w:styleId="SPHeading2">
    <w:name w:val="SP Heading 2"/>
    <w:basedOn w:val="Heading1"/>
    <w:next w:val="Normal"/>
    <w:link w:val="SPHeading2Char"/>
    <w:autoRedefine/>
    <w:qFormat/>
    <w:rsid w:val="00047043"/>
    <w:pPr>
      <w:spacing w:after="200"/>
    </w:pPr>
    <w:rPr>
      <w:rFonts w:ascii="Arial" w:hAnsi="Arial"/>
      <w:lang w:eastAsia="en-US"/>
    </w:rPr>
  </w:style>
  <w:style w:type="character" w:customStyle="1" w:styleId="SPHeading2Char">
    <w:name w:val="SP Heading 2 Char"/>
    <w:basedOn w:val="DefaultParagraphFont"/>
    <w:link w:val="SPHeading2"/>
    <w:rsid w:val="00047043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eastAsia="en-US"/>
    </w:rPr>
  </w:style>
  <w:style w:type="paragraph" w:customStyle="1" w:styleId="SPHeading3">
    <w:name w:val="SP Heading 3"/>
    <w:basedOn w:val="SPHeading2"/>
    <w:next w:val="Normal"/>
    <w:link w:val="SPHeading3Char"/>
    <w:autoRedefine/>
    <w:qFormat/>
    <w:rsid w:val="00B47E03"/>
    <w:pPr>
      <w:spacing w:before="360" w:after="120"/>
    </w:pPr>
    <w:rPr>
      <w:b w:val="0"/>
      <w:sz w:val="28"/>
    </w:rPr>
  </w:style>
  <w:style w:type="character" w:customStyle="1" w:styleId="SPHeading3Char">
    <w:name w:val="SP Heading 3 Char"/>
    <w:basedOn w:val="SPHeading2Char"/>
    <w:link w:val="SPHeading3"/>
    <w:rsid w:val="00B47E03"/>
    <w:rPr>
      <w:rFonts w:ascii="Arial" w:eastAsiaTheme="majorEastAsia" w:hAnsi="Arial" w:cstheme="majorBidi"/>
      <w:b w:val="0"/>
      <w:bCs/>
      <w:color w:val="345A8A" w:themeColor="accent1" w:themeShade="B5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70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7043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043"/>
    <w:rPr>
      <w:rFonts w:ascii="Lucida Grande" w:eastAsiaTheme="minorHAnsi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48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89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5ABC"/>
    <w:rPr>
      <w:rFonts w:ascii="Times New Roman" w:hAnsi="Times New Roman" w:cs="Times New Roman"/>
    </w:rPr>
  </w:style>
  <w:style w:type="paragraph" w:customStyle="1" w:styleId="SPHeading1">
    <w:name w:val="SP Heading 1"/>
    <w:basedOn w:val="SPHeading2"/>
    <w:next w:val="Normal"/>
    <w:link w:val="SPHeading1Char"/>
    <w:autoRedefine/>
    <w:qFormat/>
    <w:rsid w:val="000A71C4"/>
    <w:pPr>
      <w:pageBreakBefore/>
      <w:spacing w:line="276" w:lineRule="auto"/>
      <w:jc w:val="center"/>
    </w:pPr>
    <w:rPr>
      <w:sz w:val="40"/>
    </w:rPr>
  </w:style>
  <w:style w:type="character" w:customStyle="1" w:styleId="SPHeading1Char">
    <w:name w:val="SP Heading 1 Char"/>
    <w:basedOn w:val="SPHeading2Char"/>
    <w:link w:val="SPHeading1"/>
    <w:rsid w:val="000A71C4"/>
    <w:rPr>
      <w:rFonts w:ascii="Arial" w:eastAsiaTheme="majorEastAsia" w:hAnsi="Arial" w:cstheme="majorBidi"/>
      <w:b/>
      <w:bCs/>
      <w:color w:val="345A8A" w:themeColor="accent1" w:themeShade="B5"/>
      <w:sz w:val="40"/>
      <w:szCs w:val="32"/>
      <w:lang w:eastAsia="en-US"/>
    </w:rPr>
  </w:style>
  <w:style w:type="paragraph" w:styleId="NoSpacing">
    <w:name w:val="No Spacing"/>
    <w:uiPriority w:val="1"/>
    <w:qFormat/>
    <w:rsid w:val="00C053A8"/>
    <w:rPr>
      <w:rFonts w:ascii="Arial" w:eastAsiaTheme="minorHAnsi" w:hAnsi="Arial"/>
    </w:rPr>
  </w:style>
  <w:style w:type="paragraph" w:styleId="NormalIndent">
    <w:name w:val="Normal Indent"/>
    <w:basedOn w:val="Normal"/>
    <w:autoRedefine/>
    <w:qFormat/>
    <w:rsid w:val="005B6068"/>
    <w:pPr>
      <w:numPr>
        <w:ilvl w:val="1"/>
        <w:numId w:val="18"/>
      </w:numPr>
      <w:spacing w:after="0" w:line="360" w:lineRule="auto"/>
    </w:pPr>
    <w:rPr>
      <w:rFonts w:eastAsia="Times New Roman" w:cs="Times New Roman"/>
      <w:lang w:eastAsia="en-US"/>
    </w:rPr>
  </w:style>
  <w:style w:type="character" w:styleId="CommentReference">
    <w:name w:val="annotation reference"/>
    <w:basedOn w:val="DefaultParagraphFont"/>
    <w:rsid w:val="005B60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B6068"/>
    <w:pPr>
      <w:spacing w:after="0"/>
    </w:pPr>
    <w:rPr>
      <w:rFonts w:eastAsia="Times New Roman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5B6068"/>
    <w:rPr>
      <w:rFonts w:ascii="Arial" w:eastAsia="Times New Roman" w:hAnsi="Arial" w:cs="Times New Roman"/>
      <w:lang w:eastAsia="en-US"/>
    </w:rPr>
  </w:style>
  <w:style w:type="paragraph" w:styleId="ListParagraph">
    <w:name w:val="List Paragraph"/>
    <w:basedOn w:val="Normal"/>
    <w:uiPriority w:val="72"/>
    <w:rsid w:val="001A78AB"/>
    <w:pPr>
      <w:spacing w:after="0"/>
      <w:ind w:left="720"/>
      <w:contextualSpacing/>
    </w:pPr>
    <w:rPr>
      <w:rFonts w:eastAsia="Times New Roman" w:cs="Times New Roman"/>
      <w:lang w:eastAsia="en-US"/>
    </w:rPr>
  </w:style>
  <w:style w:type="table" w:styleId="LightGrid-Accent5">
    <w:name w:val="Light Grid Accent 5"/>
    <w:basedOn w:val="TableNormal"/>
    <w:uiPriority w:val="62"/>
    <w:rsid w:val="00B250E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B6"/>
    <w:pPr>
      <w:spacing w:after="20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RV-Answer">
    <w:name w:val="1_HRV-Answer"/>
    <w:basedOn w:val="BodyText"/>
    <w:qFormat/>
    <w:rsid w:val="004B7F61"/>
    <w:pPr>
      <w:numPr>
        <w:numId w:val="2"/>
      </w:numPr>
      <w:spacing w:line="276" w:lineRule="auto"/>
    </w:pPr>
    <w:rPr>
      <w:rFonts w:ascii="Calibri" w:eastAsia="Calibri" w:hAnsi="Calibri" w:cs="Times New Roman"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B7F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7F61"/>
  </w:style>
  <w:style w:type="paragraph" w:customStyle="1" w:styleId="SPHeading2">
    <w:name w:val="SP Heading 2"/>
    <w:basedOn w:val="Heading1"/>
    <w:next w:val="Normal"/>
    <w:link w:val="SPHeading2Char"/>
    <w:autoRedefine/>
    <w:qFormat/>
    <w:rsid w:val="00047043"/>
    <w:pPr>
      <w:spacing w:after="200"/>
    </w:pPr>
    <w:rPr>
      <w:rFonts w:ascii="Arial" w:hAnsi="Arial"/>
      <w:lang w:eastAsia="en-US"/>
    </w:rPr>
  </w:style>
  <w:style w:type="character" w:customStyle="1" w:styleId="SPHeading2Char">
    <w:name w:val="SP Heading 2 Char"/>
    <w:basedOn w:val="DefaultParagraphFont"/>
    <w:link w:val="SPHeading2"/>
    <w:rsid w:val="00047043"/>
    <w:rPr>
      <w:rFonts w:ascii="Arial" w:eastAsiaTheme="majorEastAsia" w:hAnsi="Arial" w:cstheme="majorBidi"/>
      <w:b/>
      <w:bCs/>
      <w:color w:val="345A8A" w:themeColor="accent1" w:themeShade="B5"/>
      <w:sz w:val="32"/>
      <w:szCs w:val="32"/>
      <w:lang w:eastAsia="en-US"/>
    </w:rPr>
  </w:style>
  <w:style w:type="paragraph" w:customStyle="1" w:styleId="SPHeading3">
    <w:name w:val="SP Heading 3"/>
    <w:basedOn w:val="SPHeading2"/>
    <w:next w:val="Normal"/>
    <w:link w:val="SPHeading3Char"/>
    <w:autoRedefine/>
    <w:qFormat/>
    <w:rsid w:val="00B47E03"/>
    <w:pPr>
      <w:spacing w:before="360" w:after="120"/>
    </w:pPr>
    <w:rPr>
      <w:b w:val="0"/>
      <w:sz w:val="28"/>
    </w:rPr>
  </w:style>
  <w:style w:type="character" w:customStyle="1" w:styleId="SPHeading3Char">
    <w:name w:val="SP Heading 3 Char"/>
    <w:basedOn w:val="SPHeading2Char"/>
    <w:link w:val="SPHeading3"/>
    <w:rsid w:val="00B47E03"/>
    <w:rPr>
      <w:rFonts w:ascii="Arial" w:eastAsiaTheme="majorEastAsia" w:hAnsi="Arial" w:cstheme="majorBidi"/>
      <w:b w:val="0"/>
      <w:bCs/>
      <w:color w:val="345A8A" w:themeColor="accent1" w:themeShade="B5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70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7043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043"/>
    <w:rPr>
      <w:rFonts w:ascii="Lucida Grande" w:eastAsiaTheme="minorHAnsi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48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489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5ABC"/>
    <w:rPr>
      <w:rFonts w:ascii="Times New Roman" w:hAnsi="Times New Roman" w:cs="Times New Roman"/>
    </w:rPr>
  </w:style>
  <w:style w:type="paragraph" w:customStyle="1" w:styleId="SPHeading1">
    <w:name w:val="SP Heading 1"/>
    <w:basedOn w:val="SPHeading2"/>
    <w:next w:val="Normal"/>
    <w:link w:val="SPHeading1Char"/>
    <w:autoRedefine/>
    <w:qFormat/>
    <w:rsid w:val="000A71C4"/>
    <w:pPr>
      <w:pageBreakBefore/>
      <w:spacing w:line="276" w:lineRule="auto"/>
      <w:jc w:val="center"/>
    </w:pPr>
    <w:rPr>
      <w:sz w:val="40"/>
    </w:rPr>
  </w:style>
  <w:style w:type="character" w:customStyle="1" w:styleId="SPHeading1Char">
    <w:name w:val="SP Heading 1 Char"/>
    <w:basedOn w:val="SPHeading2Char"/>
    <w:link w:val="SPHeading1"/>
    <w:rsid w:val="000A71C4"/>
    <w:rPr>
      <w:rFonts w:ascii="Arial" w:eastAsiaTheme="majorEastAsia" w:hAnsi="Arial" w:cstheme="majorBidi"/>
      <w:b/>
      <w:bCs/>
      <w:color w:val="345A8A" w:themeColor="accent1" w:themeShade="B5"/>
      <w:sz w:val="40"/>
      <w:szCs w:val="32"/>
      <w:lang w:eastAsia="en-US"/>
    </w:rPr>
  </w:style>
  <w:style w:type="paragraph" w:styleId="NoSpacing">
    <w:name w:val="No Spacing"/>
    <w:uiPriority w:val="1"/>
    <w:qFormat/>
    <w:rsid w:val="00C053A8"/>
    <w:rPr>
      <w:rFonts w:ascii="Arial" w:eastAsiaTheme="minorHAnsi" w:hAnsi="Arial"/>
    </w:rPr>
  </w:style>
  <w:style w:type="paragraph" w:styleId="NormalIndent">
    <w:name w:val="Normal Indent"/>
    <w:basedOn w:val="Normal"/>
    <w:autoRedefine/>
    <w:qFormat/>
    <w:rsid w:val="005B6068"/>
    <w:pPr>
      <w:numPr>
        <w:ilvl w:val="1"/>
        <w:numId w:val="18"/>
      </w:numPr>
      <w:spacing w:after="0" w:line="360" w:lineRule="auto"/>
    </w:pPr>
    <w:rPr>
      <w:rFonts w:eastAsia="Times New Roman" w:cs="Times New Roman"/>
      <w:lang w:eastAsia="en-US"/>
    </w:rPr>
  </w:style>
  <w:style w:type="character" w:styleId="CommentReference">
    <w:name w:val="annotation reference"/>
    <w:basedOn w:val="DefaultParagraphFont"/>
    <w:rsid w:val="005B60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5B6068"/>
    <w:pPr>
      <w:spacing w:after="0"/>
    </w:pPr>
    <w:rPr>
      <w:rFonts w:eastAsia="Times New Roman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5B6068"/>
    <w:rPr>
      <w:rFonts w:ascii="Arial" w:eastAsia="Times New Roman" w:hAnsi="Arial" w:cs="Times New Roman"/>
      <w:lang w:eastAsia="en-US"/>
    </w:rPr>
  </w:style>
  <w:style w:type="paragraph" w:styleId="ListParagraph">
    <w:name w:val="List Paragraph"/>
    <w:basedOn w:val="Normal"/>
    <w:uiPriority w:val="72"/>
    <w:rsid w:val="001A78AB"/>
    <w:pPr>
      <w:spacing w:after="0"/>
      <w:ind w:left="720"/>
      <w:contextualSpacing/>
    </w:pPr>
    <w:rPr>
      <w:rFonts w:eastAsia="Times New Roman" w:cs="Times New Roman"/>
      <w:lang w:eastAsia="en-US"/>
    </w:rPr>
  </w:style>
  <w:style w:type="table" w:styleId="LightGrid-Accent5">
    <w:name w:val="Light Grid Accent 5"/>
    <w:basedOn w:val="TableNormal"/>
    <w:uiPriority w:val="62"/>
    <w:rsid w:val="00B250E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emf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A7343A98FC748AAD185D70E8E41DE" ma:contentTypeVersion="0" ma:contentTypeDescription="Create a new document." ma:contentTypeScope="" ma:versionID="68f50f5413f774843191383d0b48a6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C1E05-92DD-4BE0-A1F6-528ED872D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E5679-CAE4-4BA6-8BBA-CF0FBCCA9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984157-8E59-4B6D-AA3E-81D70BA3A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848</Words>
  <Characters>4547</Characters>
  <Application>Microsoft Macintosh Word</Application>
  <DocSecurity>0</DocSecurity>
  <Lines>189</Lines>
  <Paragraphs>131</Paragraphs>
  <ScaleCrop>false</ScaleCrop>
  <Company>SailPoint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Hans-Robert Vermeulen</dc:creator>
  <cp:keywords/>
  <dc:description/>
  <cp:lastModifiedBy>Hans-Robert Vermeulen</cp:lastModifiedBy>
  <cp:revision>14</cp:revision>
  <dcterms:created xsi:type="dcterms:W3CDTF">2012-08-13T12:15:00Z</dcterms:created>
  <dcterms:modified xsi:type="dcterms:W3CDTF">2013-10-31T10:03:00Z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0x0101004B6A7343A98FC748AAD185D70E8E41DE</vt:lpwstr>
  </property>
</Properties>
</file>