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D3372" w14:textId="2146BF25" w:rsidR="006B5AAE" w:rsidRPr="006B5AAE" w:rsidRDefault="00615C7A" w:rsidP="00615C7A">
      <w:pPr>
        <w:pStyle w:val="SPHeading1"/>
      </w:pPr>
      <w:r>
        <w:t>The Risk demonstration</w:t>
      </w:r>
    </w:p>
    <w:p w14:paraId="16FB18D4" w14:textId="77777777" w:rsidR="00615C7A" w:rsidRDefault="00615C7A" w:rsidP="00615C7A">
      <w:pPr>
        <w:pStyle w:val="SPHeading2"/>
      </w:pPr>
      <w:r>
        <w:t>Introduction</w:t>
      </w:r>
    </w:p>
    <w:p w14:paraId="39F42A20" w14:textId="77777777" w:rsidR="00615C7A" w:rsidRPr="00337808" w:rsidRDefault="00615C7A" w:rsidP="00615C7A">
      <w:r>
        <w:t>This demonstration is pre-configured on the IdentityIQ 6.1 Partner VM.</w:t>
      </w:r>
    </w:p>
    <w:p w14:paraId="38847A04" w14:textId="543173BC" w:rsidR="00F85C19" w:rsidRDefault="00F85C19" w:rsidP="007815B6">
      <w:pPr>
        <w:pStyle w:val="SPHeading2"/>
        <w:spacing w:line="276" w:lineRule="auto"/>
      </w:pPr>
      <w:r>
        <w:t xml:space="preserve">Demo </w:t>
      </w:r>
      <w:r w:rsidR="005D3FAE">
        <w:t>startup</w:t>
      </w:r>
    </w:p>
    <w:p w14:paraId="0281F8CF" w14:textId="7D561AF9" w:rsidR="00F85C19" w:rsidRDefault="00DA3627" w:rsidP="00F85C19">
      <w:pPr>
        <w:numPr>
          <w:ilvl w:val="0"/>
          <w:numId w:val="10"/>
        </w:numPr>
      </w:pPr>
      <w:r>
        <w:t xml:space="preserve">Open up different Firefox browser sessions </w:t>
      </w:r>
      <w:r w:rsidR="005D3FAE">
        <w:t>and log in as the following players:</w:t>
      </w:r>
    </w:p>
    <w:p w14:paraId="71C7100B" w14:textId="77777777" w:rsidR="00615C7A" w:rsidRDefault="00615C7A" w:rsidP="00615C7A">
      <w:pPr>
        <w:numPr>
          <w:ilvl w:val="1"/>
          <w:numId w:val="10"/>
        </w:numPr>
      </w:pPr>
      <w:r>
        <w:t>Amanda Ross (</w:t>
      </w:r>
      <w:r w:rsidRPr="00A31637">
        <w:rPr>
          <w:color w:val="F79646" w:themeColor="accent6"/>
        </w:rPr>
        <w:t>leave at Dashboard</w:t>
      </w:r>
      <w:r>
        <w:t>).</w:t>
      </w:r>
    </w:p>
    <w:p w14:paraId="6B55B339" w14:textId="4C9E9E82" w:rsidR="005D3FAE" w:rsidRDefault="005D3FAE" w:rsidP="005D3FAE">
      <w:pPr>
        <w:numPr>
          <w:ilvl w:val="1"/>
          <w:numId w:val="10"/>
        </w:numPr>
      </w:pPr>
      <w:r>
        <w:t>Jerry Bennett</w:t>
      </w:r>
      <w:r w:rsidR="00615C7A">
        <w:t xml:space="preserve"> (</w:t>
      </w:r>
      <w:r w:rsidR="00615C7A" w:rsidRPr="00A31637">
        <w:rPr>
          <w:color w:val="F79646" w:themeColor="accent6"/>
        </w:rPr>
        <w:t xml:space="preserve">navigate to </w:t>
      </w:r>
      <w:r w:rsidR="00615C7A">
        <w:rPr>
          <w:color w:val="F79646" w:themeColor="accent6"/>
        </w:rPr>
        <w:t>Manage</w:t>
      </w:r>
      <w:r w:rsidR="00615C7A" w:rsidRPr="00A31637">
        <w:rPr>
          <w:color w:val="F79646" w:themeColor="accent6"/>
        </w:rPr>
        <w:t xml:space="preserve"> / </w:t>
      </w:r>
      <w:r w:rsidR="00615C7A">
        <w:rPr>
          <w:color w:val="F79646" w:themeColor="accent6"/>
        </w:rPr>
        <w:t>Identity Risk Scores / High Risk</w:t>
      </w:r>
      <w:r w:rsidR="00615C7A">
        <w:t>)</w:t>
      </w:r>
      <w:r w:rsidR="009411FA">
        <w:t>.</w:t>
      </w:r>
    </w:p>
    <w:p w14:paraId="226DFD0B" w14:textId="35EDF0AA" w:rsidR="003D0E34" w:rsidRDefault="003D0E34" w:rsidP="00C87493">
      <w:pPr>
        <w:numPr>
          <w:ilvl w:val="0"/>
          <w:numId w:val="10"/>
        </w:numPr>
      </w:pPr>
      <w:r>
        <w:t xml:space="preserve">Open up “Active Directory Users and Computers” and </w:t>
      </w:r>
      <w:r w:rsidR="00E85892">
        <w:t>select</w:t>
      </w:r>
      <w:r w:rsidR="001A0821">
        <w:t xml:space="preserve"> the “</w:t>
      </w:r>
      <w:proofErr w:type="spellStart"/>
      <w:r w:rsidR="00E85892" w:rsidRPr="00E85892">
        <w:rPr>
          <w:color w:val="F79646" w:themeColor="accent6"/>
        </w:rPr>
        <w:t>TreasuryMgmt</w:t>
      </w:r>
      <w:proofErr w:type="spellEnd"/>
      <w:r>
        <w:t>” group</w:t>
      </w:r>
      <w:r w:rsidR="009411FA">
        <w:t>.</w:t>
      </w:r>
    </w:p>
    <w:p w14:paraId="341053AD" w14:textId="1FBEE977" w:rsidR="002A63D1" w:rsidRDefault="002A63D1" w:rsidP="002A63D1">
      <w:pPr>
        <w:ind w:left="360"/>
      </w:pPr>
      <w:r w:rsidRPr="00A4471C">
        <w:rPr>
          <w:b/>
        </w:rPr>
        <w:t>Tip:</w:t>
      </w:r>
      <w:r>
        <w:t xml:space="preserve"> Open up a DOS box. This way, the new DOS window will appear largely behind the existing one and your task is completely hidden. You will be able to tell the task has finished by the small change in the icon.</w:t>
      </w:r>
    </w:p>
    <w:p w14:paraId="7166EBE3" w14:textId="77777777" w:rsidR="002A63D1" w:rsidRDefault="002A63D1" w:rsidP="002A63D1">
      <w:pPr>
        <w:ind w:left="720"/>
      </w:pPr>
      <w:r>
        <w:rPr>
          <w:noProof/>
          <w:lang w:eastAsia="en-US"/>
        </w:rPr>
        <w:drawing>
          <wp:inline distT="0" distB="0" distL="0" distR="0" wp14:anchorId="14744DB7" wp14:editId="4CD62ED6">
            <wp:extent cx="1916430" cy="572770"/>
            <wp:effectExtent l="0" t="0" r="0" b="1143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6430" cy="572770"/>
                    </a:xfrm>
                    <a:prstGeom prst="rect">
                      <a:avLst/>
                    </a:prstGeom>
                    <a:noFill/>
                    <a:ln>
                      <a:noFill/>
                    </a:ln>
                  </pic:spPr>
                </pic:pic>
              </a:graphicData>
            </a:graphic>
          </wp:inline>
        </w:drawing>
      </w:r>
      <w:r>
        <w:t xml:space="preserve"> </w:t>
      </w:r>
      <w:proofErr w:type="gramStart"/>
      <w:r>
        <w:t>versus</w:t>
      </w:r>
      <w:proofErr w:type="gramEnd"/>
      <w:r>
        <w:t xml:space="preserve"> </w:t>
      </w:r>
      <w:r>
        <w:rPr>
          <w:noProof/>
          <w:lang w:eastAsia="en-US"/>
        </w:rPr>
        <w:drawing>
          <wp:inline distT="0" distB="0" distL="0" distR="0" wp14:anchorId="4FCF9AE9" wp14:editId="6A76CE4F">
            <wp:extent cx="2019935" cy="580390"/>
            <wp:effectExtent l="0" t="0" r="12065" b="38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580390"/>
                    </a:xfrm>
                    <a:prstGeom prst="rect">
                      <a:avLst/>
                    </a:prstGeom>
                    <a:noFill/>
                    <a:ln>
                      <a:noFill/>
                    </a:ln>
                  </pic:spPr>
                </pic:pic>
              </a:graphicData>
            </a:graphic>
          </wp:inline>
        </w:drawing>
      </w:r>
    </w:p>
    <w:p w14:paraId="715A6638" w14:textId="77777777" w:rsidR="002A63D1" w:rsidRPr="00F85C19" w:rsidRDefault="002A63D1" w:rsidP="002A63D1"/>
    <w:p w14:paraId="7A7A021D" w14:textId="20A9B3A4" w:rsidR="00047043" w:rsidRDefault="00825315" w:rsidP="007815B6">
      <w:pPr>
        <w:pStyle w:val="SPHeading2"/>
        <w:spacing w:line="276" w:lineRule="auto"/>
      </w:pPr>
      <w:r>
        <w:br w:type="page"/>
      </w:r>
      <w:r w:rsidR="00E17A42">
        <w:lastRenderedPageBreak/>
        <w:t>The Risk Demo Scenarios</w:t>
      </w:r>
    </w:p>
    <w:p w14:paraId="06C36962" w14:textId="541AA990" w:rsidR="00381B88" w:rsidRDefault="00627BD8" w:rsidP="00AD486E">
      <w:pPr>
        <w:numPr>
          <w:ilvl w:val="0"/>
          <w:numId w:val="8"/>
        </w:numPr>
        <w:spacing w:line="276" w:lineRule="auto"/>
      </w:pPr>
      <w:r>
        <w:t>Go to the Browser session for Jerry Bennett</w:t>
      </w:r>
      <w:r w:rsidR="00AD486E">
        <w:t xml:space="preserve"> and s</w:t>
      </w:r>
      <w:r w:rsidR="00B47E03">
        <w:t xml:space="preserve">how the </w:t>
      </w:r>
      <w:r w:rsidR="00AD486E">
        <w:t>current high-risk users. Note that H</w:t>
      </w:r>
      <w:r w:rsidR="00E67391">
        <w:t>enry Butler</w:t>
      </w:r>
      <w:r w:rsidR="0034288E">
        <w:t xml:space="preserve"> </w:t>
      </w:r>
      <w:r w:rsidR="00AD486E">
        <w:t>is not amongst them.</w:t>
      </w:r>
      <w:r w:rsidR="0050702F">
        <w:t xml:space="preserve"> </w:t>
      </w:r>
    </w:p>
    <w:p w14:paraId="33BE8A09" w14:textId="783B1CDD" w:rsidR="00B47E03" w:rsidRDefault="0034288E" w:rsidP="00AD486E">
      <w:pPr>
        <w:numPr>
          <w:ilvl w:val="0"/>
          <w:numId w:val="18"/>
        </w:numPr>
        <w:spacing w:line="276" w:lineRule="auto"/>
      </w:pPr>
      <w:r>
        <w:t xml:space="preserve">Add </w:t>
      </w:r>
      <w:r w:rsidR="00BF7B1E">
        <w:t>Henry Butler</w:t>
      </w:r>
      <w:r>
        <w:t xml:space="preserve"> </w:t>
      </w:r>
      <w:r w:rsidR="00B47E03">
        <w:t xml:space="preserve">to the </w:t>
      </w:r>
      <w:r w:rsidR="00AD486E">
        <w:t>“</w:t>
      </w:r>
      <w:proofErr w:type="spellStart"/>
      <w:r w:rsidR="00AD486E" w:rsidRPr="00E85892">
        <w:rPr>
          <w:color w:val="F79646" w:themeColor="accent6"/>
        </w:rPr>
        <w:t>TreasuryMgmt</w:t>
      </w:r>
      <w:proofErr w:type="spellEnd"/>
      <w:r w:rsidR="00AD486E">
        <w:t xml:space="preserve">” </w:t>
      </w:r>
      <w:r w:rsidR="00B47E03">
        <w:t>group in AD</w:t>
      </w:r>
      <w:r w:rsidR="002C6914">
        <w:t xml:space="preserve"> using “Active</w:t>
      </w:r>
      <w:r w:rsidR="009411FA">
        <w:t xml:space="preserve"> Directory Users and Computers”.</w:t>
      </w:r>
    </w:p>
    <w:p w14:paraId="568D1918" w14:textId="65FB3FCE" w:rsidR="0034288E" w:rsidRPr="009A10F1" w:rsidRDefault="00AD486E" w:rsidP="00AD486E">
      <w:pPr>
        <w:numPr>
          <w:ilvl w:val="0"/>
          <w:numId w:val="18"/>
        </w:numPr>
        <w:spacing w:line="276" w:lineRule="auto"/>
      </w:pPr>
      <w:r>
        <w:t>Save the change in AD</w:t>
      </w:r>
      <w:r w:rsidR="00224F07">
        <w:t xml:space="preserve"> </w:t>
      </w:r>
      <w:r>
        <w:t>and then</w:t>
      </w:r>
      <w:r w:rsidR="00224F07">
        <w:t xml:space="preserve"> h</w:t>
      </w:r>
      <w:r w:rsidR="0034288E" w:rsidRPr="009A10F1">
        <w:t xml:space="preserve">it the key combination </w:t>
      </w:r>
      <w:r w:rsidR="00825315">
        <w:t>“</w:t>
      </w:r>
      <w:r w:rsidR="0034288E" w:rsidRPr="00E62C26">
        <w:rPr>
          <w:color w:val="F79646" w:themeColor="accent6"/>
        </w:rPr>
        <w:t>Ctrl-Alt-1</w:t>
      </w:r>
      <w:r w:rsidR="00825315" w:rsidRPr="00825315">
        <w:t>”</w:t>
      </w:r>
      <w:r w:rsidR="0034288E" w:rsidRPr="009A10F1">
        <w:t xml:space="preserve"> to start t</w:t>
      </w:r>
      <w:r w:rsidR="00224F07">
        <w:t>he aggregation and cube refresh</w:t>
      </w:r>
      <w:r w:rsidR="009411FA">
        <w:t>.</w:t>
      </w:r>
    </w:p>
    <w:p w14:paraId="4E74315F" w14:textId="3F94E42A" w:rsidR="00A82140" w:rsidRDefault="00A82140" w:rsidP="00342792">
      <w:pPr>
        <w:spacing w:line="276" w:lineRule="auto"/>
        <w:ind w:left="1440"/>
      </w:pPr>
      <w:r w:rsidRPr="009A10F1">
        <w:rPr>
          <w:b/>
        </w:rPr>
        <w:t>Note</w:t>
      </w:r>
      <w:r w:rsidR="009A10F1">
        <w:rPr>
          <w:b/>
        </w:rPr>
        <w:t>:</w:t>
      </w:r>
      <w:r w:rsidRPr="009A10F1">
        <w:rPr>
          <w:b/>
        </w:rPr>
        <w:t xml:space="preserve"> </w:t>
      </w:r>
      <w:r w:rsidR="009A10F1">
        <w:t xml:space="preserve">The </w:t>
      </w:r>
      <w:r w:rsidR="00AD486E">
        <w:t>minimized</w:t>
      </w:r>
      <w:r w:rsidR="001A0821">
        <w:t xml:space="preserve"> “DOS</w:t>
      </w:r>
      <w:r w:rsidR="009A10F1">
        <w:t xml:space="preserve"> </w:t>
      </w:r>
      <w:r w:rsidR="00E00C1A">
        <w:t>B</w:t>
      </w:r>
      <w:r w:rsidRPr="009A10F1">
        <w:t>ox</w:t>
      </w:r>
      <w:r w:rsidR="009A10F1">
        <w:t>”</w:t>
      </w:r>
      <w:r w:rsidRPr="009A10F1">
        <w:t xml:space="preserve"> in the task bar</w:t>
      </w:r>
      <w:r w:rsidR="009A10F1">
        <w:t xml:space="preserve"> will </w:t>
      </w:r>
      <w:r w:rsidR="00224F07">
        <w:t xml:space="preserve">open while running, and </w:t>
      </w:r>
      <w:r w:rsidR="009A10F1">
        <w:t>disappear when t</w:t>
      </w:r>
      <w:r w:rsidRPr="009A10F1">
        <w:t>he task is finished.</w:t>
      </w:r>
      <w:r w:rsidR="00342792">
        <w:t xml:space="preserve"> You will need to discuss the follow</w:t>
      </w:r>
      <w:r w:rsidR="009411FA">
        <w:t>ing while the task is executing.</w:t>
      </w:r>
    </w:p>
    <w:p w14:paraId="2EC4E1D1" w14:textId="77777777" w:rsidR="00AD486E" w:rsidRDefault="00AD486E" w:rsidP="00342792">
      <w:pPr>
        <w:spacing w:line="276" w:lineRule="auto"/>
        <w:ind w:left="1260" w:firstLine="180"/>
        <w:rPr>
          <w:b/>
        </w:rPr>
      </w:pPr>
    </w:p>
    <w:p w14:paraId="411C51D4" w14:textId="0B562771" w:rsidR="000B1C56" w:rsidRPr="009A10F1" w:rsidRDefault="00342792" w:rsidP="00342792">
      <w:pPr>
        <w:spacing w:line="276" w:lineRule="auto"/>
        <w:ind w:left="1260" w:firstLine="180"/>
      </w:pPr>
      <w:r>
        <w:rPr>
          <w:b/>
        </w:rPr>
        <w:t>Talking Points During T</w:t>
      </w:r>
      <w:r w:rsidR="000B1C56">
        <w:rPr>
          <w:b/>
        </w:rPr>
        <w:t>ask</w:t>
      </w:r>
      <w:r>
        <w:rPr>
          <w:b/>
        </w:rPr>
        <w:t xml:space="preserve"> Execution</w:t>
      </w:r>
      <w:r w:rsidR="000B1C56">
        <w:rPr>
          <w:b/>
        </w:rPr>
        <w:t>:</w:t>
      </w:r>
    </w:p>
    <w:p w14:paraId="166F7E34" w14:textId="4C0A2C0F" w:rsidR="0082180F" w:rsidRDefault="00B25ABC" w:rsidP="00AD486E">
      <w:pPr>
        <w:numPr>
          <w:ilvl w:val="0"/>
          <w:numId w:val="19"/>
        </w:numPr>
        <w:spacing w:line="276" w:lineRule="auto"/>
      </w:pPr>
      <w:r>
        <w:t xml:space="preserve">Talk about why static risk tagging does not work. For example: </w:t>
      </w:r>
      <w:r w:rsidRPr="00B25ABC">
        <w:t xml:space="preserve">Person 1 </w:t>
      </w:r>
      <w:r>
        <w:t>has</w:t>
      </w:r>
      <w:r w:rsidRPr="00B25ABC">
        <w:t xml:space="preserve"> 10 </w:t>
      </w:r>
      <w:r w:rsidR="00AD486E">
        <w:t>entitlements</w:t>
      </w:r>
      <w:r w:rsidRPr="00B25ABC">
        <w:t xml:space="preserve"> with risk 100 each an</w:t>
      </w:r>
      <w:r>
        <w:t>d</w:t>
      </w:r>
      <w:r w:rsidRPr="00B25ABC">
        <w:t xml:space="preserve"> become</w:t>
      </w:r>
      <w:r w:rsidR="00342792">
        <w:t>s</w:t>
      </w:r>
      <w:r w:rsidRPr="00B25ABC">
        <w:t xml:space="preserve"> a risky person with a risk score of 1000</w:t>
      </w:r>
      <w:r>
        <w:t xml:space="preserve"> in total</w:t>
      </w:r>
      <w:r w:rsidRPr="00B25ABC">
        <w:t>. But Person 1 needs this access to perform his/her job and all access is approved</w:t>
      </w:r>
      <w:r>
        <w:t xml:space="preserve"> through a certification or approval process</w:t>
      </w:r>
      <w:r w:rsidR="009411FA">
        <w:t>.</w:t>
      </w:r>
      <w:r w:rsidR="00627BD8">
        <w:br/>
      </w:r>
      <w:r w:rsidR="00627BD8">
        <w:br/>
      </w:r>
      <w:r w:rsidRPr="00B25ABC">
        <w:t xml:space="preserve">Person 2 </w:t>
      </w:r>
      <w:r>
        <w:t>has</w:t>
      </w:r>
      <w:r w:rsidRPr="00B25ABC">
        <w:t xml:space="preserve"> only two </w:t>
      </w:r>
      <w:r w:rsidR="00AD486E">
        <w:t>entitlements</w:t>
      </w:r>
      <w:r w:rsidRPr="00B25ABC">
        <w:t xml:space="preserve">, </w:t>
      </w:r>
      <w:r w:rsidR="00342792">
        <w:t>and as a result</w:t>
      </w:r>
      <w:r>
        <w:t xml:space="preserve"> person 2 has a </w:t>
      </w:r>
      <w:r w:rsidR="00AD486E">
        <w:t xml:space="preserve">risk score of 200. But because entitlement </w:t>
      </w:r>
      <w:r>
        <w:t>2 is not required and has not been approved, this person actuall</w:t>
      </w:r>
      <w:r w:rsidR="00342792">
        <w:t>y is the more risky of the two users</w:t>
      </w:r>
      <w:r w:rsidR="009411FA">
        <w:t>.</w:t>
      </w:r>
      <w:r w:rsidR="00627BD8">
        <w:br/>
      </w:r>
      <w:r w:rsidR="0082180F">
        <w:br/>
        <w:t>That entitlement in itself only has a risk score of 100. But thanks to the model, it grows out into high risk, as access has not yet been approv</w:t>
      </w:r>
      <w:r w:rsidR="00342792">
        <w:t>ed</w:t>
      </w:r>
      <w:r w:rsidR="009411FA">
        <w:t>.</w:t>
      </w:r>
    </w:p>
    <w:p w14:paraId="6AC85106" w14:textId="2B4B6616" w:rsidR="00824273" w:rsidRDefault="00627BD8" w:rsidP="00AD486E">
      <w:pPr>
        <w:numPr>
          <w:ilvl w:val="0"/>
          <w:numId w:val="19"/>
        </w:numPr>
        <w:spacing w:line="276" w:lineRule="auto"/>
      </w:pPr>
      <w:r>
        <w:t>T</w:t>
      </w:r>
      <w:r w:rsidR="00824273">
        <w:t>alk about the risk model</w:t>
      </w:r>
      <w:r w:rsidR="000602C0">
        <w:t xml:space="preserve"> and how it will now detect a change and because a</w:t>
      </w:r>
      <w:r w:rsidR="00B25ABC">
        <w:t>ccess has not yet been approved, this risk level of the entitlement we just added to the user is actually multi</w:t>
      </w:r>
      <w:r w:rsidR="00342792">
        <w:t>plied, resulting in a high risk</w:t>
      </w:r>
      <w:r w:rsidR="009411FA">
        <w:t>.</w:t>
      </w:r>
    </w:p>
    <w:p w14:paraId="19033C3B" w14:textId="72FEADD1" w:rsidR="00AD486E" w:rsidRDefault="00AD486E" w:rsidP="00AD486E">
      <w:pPr>
        <w:numPr>
          <w:ilvl w:val="0"/>
          <w:numId w:val="18"/>
        </w:numPr>
        <w:spacing w:line="276" w:lineRule="auto"/>
      </w:pPr>
      <w:r>
        <w:t xml:space="preserve">Refresh the </w:t>
      </w:r>
      <w:r w:rsidR="00177934">
        <w:t>High Risk</w:t>
      </w:r>
      <w:r>
        <w:t xml:space="preserve"> window using the refresh button and show how Henry has now become a high-risk user.</w:t>
      </w:r>
      <w:r w:rsidR="00177934">
        <w:br/>
      </w:r>
      <w:r w:rsidR="00177934">
        <w:br/>
      </w:r>
      <w:r w:rsidR="00177934">
        <w:rPr>
          <w:b/>
        </w:rPr>
        <w:t>Note:</w:t>
      </w:r>
      <w:r w:rsidR="00177934">
        <w:t xml:space="preserve"> It is good to highlight that the Risk model can be tuned to your liking without any impact. Out of the box, you have to take manual action. </w:t>
      </w:r>
      <w:r w:rsidR="00177934">
        <w:br/>
        <w:t>For this demo, we tied Risk into the Policy Model, using a Risk Policy to trigger a newly created workflow. The workflow is simple. It merely asks the manager to perform an access certification for the user.</w:t>
      </w:r>
    </w:p>
    <w:p w14:paraId="2C06C6FD" w14:textId="724CBDD8" w:rsidR="00FA6E34" w:rsidRDefault="00FA6E34" w:rsidP="00177934">
      <w:pPr>
        <w:numPr>
          <w:ilvl w:val="0"/>
          <w:numId w:val="8"/>
        </w:numPr>
      </w:pPr>
      <w:r>
        <w:t>Go to the Amanda Ross browse</w:t>
      </w:r>
      <w:r w:rsidR="00342792">
        <w:t>r session and refresh her inbox</w:t>
      </w:r>
      <w:r w:rsidR="0020383E">
        <w:t xml:space="preserve"> (Click on the Dashboard link)</w:t>
      </w:r>
      <w:r w:rsidR="009411FA">
        <w:t>.</w:t>
      </w:r>
    </w:p>
    <w:p w14:paraId="1DB1BD52" w14:textId="76C1E5A7" w:rsidR="00651E4D" w:rsidRDefault="00FA6E34" w:rsidP="0020383E">
      <w:pPr>
        <w:numPr>
          <w:ilvl w:val="0"/>
          <w:numId w:val="8"/>
        </w:numPr>
      </w:pPr>
      <w:r>
        <w:t>Go into t</w:t>
      </w:r>
      <w:r w:rsidR="00342792">
        <w:t>he Risk Review for Henry Butler</w:t>
      </w:r>
      <w:r w:rsidR="0020383E">
        <w:t xml:space="preserve"> and certify his access</w:t>
      </w:r>
      <w:r w:rsidR="009411FA">
        <w:t>.</w:t>
      </w:r>
    </w:p>
    <w:p w14:paraId="0771340E" w14:textId="3BE0EAE1" w:rsidR="00342792" w:rsidRDefault="0020383E" w:rsidP="0020383E">
      <w:pPr>
        <w:numPr>
          <w:ilvl w:val="1"/>
          <w:numId w:val="22"/>
        </w:numPr>
      </w:pPr>
      <w:r>
        <w:t>Approve the two roles</w:t>
      </w:r>
      <w:r w:rsidR="009411FA">
        <w:t xml:space="preserve">, but revoke the </w:t>
      </w:r>
      <w:proofErr w:type="spellStart"/>
      <w:r>
        <w:t>TreasusryMgmt</w:t>
      </w:r>
      <w:proofErr w:type="spellEnd"/>
      <w:r w:rsidR="009411FA">
        <w:t xml:space="preserve"> </w:t>
      </w:r>
      <w:r>
        <w:t>entitlement,</w:t>
      </w:r>
      <w:r w:rsidR="009411FA">
        <w:t xml:space="preserve"> as this is not appropriate.</w:t>
      </w:r>
    </w:p>
    <w:p w14:paraId="29CB15FA" w14:textId="77777777" w:rsidR="0020383E" w:rsidRDefault="00BA2120" w:rsidP="0020383E">
      <w:pPr>
        <w:numPr>
          <w:ilvl w:val="1"/>
          <w:numId w:val="22"/>
        </w:numPr>
      </w:pPr>
      <w:r>
        <w:t>After approval / revo</w:t>
      </w:r>
      <w:r w:rsidR="00342792">
        <w:t>cation go back to the identity view</w:t>
      </w:r>
      <w:r>
        <w:t xml:space="preserve"> and click the sign-off button</w:t>
      </w:r>
      <w:r w:rsidR="009411FA">
        <w:t>.</w:t>
      </w:r>
    </w:p>
    <w:p w14:paraId="71AAFC59" w14:textId="457CFF27" w:rsidR="00E62C26" w:rsidRDefault="00E62C26" w:rsidP="0020383E">
      <w:pPr>
        <w:numPr>
          <w:ilvl w:val="1"/>
          <w:numId w:val="22"/>
        </w:numPr>
      </w:pPr>
      <w:r w:rsidRPr="009A10F1">
        <w:t>Hi</w:t>
      </w:r>
      <w:r>
        <w:t xml:space="preserve">t the key combination </w:t>
      </w:r>
      <w:r w:rsidR="00825315">
        <w:t>“</w:t>
      </w:r>
      <w:r w:rsidRPr="0020383E">
        <w:rPr>
          <w:color w:val="F79646" w:themeColor="accent6"/>
        </w:rPr>
        <w:t>Ctrl-Alt-2</w:t>
      </w:r>
      <w:r w:rsidR="00825315">
        <w:t xml:space="preserve">“ </w:t>
      </w:r>
      <w:r w:rsidRPr="009A10F1">
        <w:t xml:space="preserve">to start the </w:t>
      </w:r>
      <w:r>
        <w:t>maintenance task (to close off the certification after sign-off) and refresh</w:t>
      </w:r>
      <w:r w:rsidR="00342792">
        <w:t xml:space="preserve"> the cubes</w:t>
      </w:r>
      <w:r w:rsidR="009411FA">
        <w:t>.</w:t>
      </w:r>
    </w:p>
    <w:p w14:paraId="3484E540" w14:textId="141FD7C1" w:rsidR="0020383E" w:rsidRDefault="0020383E" w:rsidP="00177934">
      <w:pPr>
        <w:numPr>
          <w:ilvl w:val="0"/>
          <w:numId w:val="8"/>
        </w:numPr>
      </w:pPr>
      <w:r>
        <w:t>Show in AD how Henry’s access has now been revoked (no longer a member of the group)</w:t>
      </w:r>
    </w:p>
    <w:p w14:paraId="5C33C426" w14:textId="27A3085F" w:rsidR="003A0AA1" w:rsidRDefault="0020383E" w:rsidP="00177934">
      <w:pPr>
        <w:numPr>
          <w:ilvl w:val="0"/>
          <w:numId w:val="8"/>
        </w:numPr>
      </w:pPr>
      <w:r>
        <w:t>After the task has finished, a</w:t>
      </w:r>
      <w:r w:rsidR="00342792">
        <w:t>s Jerry, s</w:t>
      </w:r>
      <w:r w:rsidR="003A0AA1">
        <w:t>how how Henry is no longer a risky user</w:t>
      </w:r>
      <w:r>
        <w:t xml:space="preserve"> by refreshing the High-risk view.</w:t>
      </w:r>
    </w:p>
    <w:p w14:paraId="0C0BF407" w14:textId="77777777" w:rsidR="000F0ECD" w:rsidRPr="000F0ECD" w:rsidRDefault="000F0ECD" w:rsidP="000F0ECD"/>
    <w:p w14:paraId="1B3E08E7" w14:textId="045E8E3C" w:rsidR="009207CC" w:rsidRDefault="003E6CEB" w:rsidP="009207CC">
      <w:pPr>
        <w:pStyle w:val="SPHeading2"/>
      </w:pPr>
      <w:r>
        <w:t>Other Options for the R</w:t>
      </w:r>
      <w:r w:rsidR="009207CC">
        <w:t>isk Demo</w:t>
      </w:r>
    </w:p>
    <w:p w14:paraId="2A971ED0" w14:textId="31ED5671" w:rsidR="001A0821" w:rsidRDefault="001A0821" w:rsidP="009207CC">
      <w:pPr>
        <w:numPr>
          <w:ilvl w:val="3"/>
          <w:numId w:val="17"/>
        </w:numPr>
        <w:ind w:left="426" w:hanging="426"/>
      </w:pPr>
      <w:r>
        <w:t>Run the Policy Violation report immediately after the Ctrl-Alt-1 task has completed, to show the outstanding violati</w:t>
      </w:r>
      <w:r w:rsidR="009411FA">
        <w:t>on as a result of the demo rule.</w:t>
      </w:r>
    </w:p>
    <w:p w14:paraId="5F5EAE47" w14:textId="01CDB370" w:rsidR="00A56029" w:rsidRDefault="0020383E" w:rsidP="009207CC">
      <w:pPr>
        <w:numPr>
          <w:ilvl w:val="3"/>
          <w:numId w:val="17"/>
        </w:numPr>
        <w:ind w:left="426" w:hanging="426"/>
      </w:pPr>
      <w:r>
        <w:t xml:space="preserve">Create </w:t>
      </w:r>
      <w:proofErr w:type="gramStart"/>
      <w:r>
        <w:t>a</w:t>
      </w:r>
      <w:proofErr w:type="gramEnd"/>
      <w:r>
        <w:t xml:space="preserve"> “Identity Risk Live report” to show High Risk users before and after the remediation</w:t>
      </w:r>
      <w:r w:rsidR="009411FA">
        <w:t>.</w:t>
      </w:r>
    </w:p>
    <w:p w14:paraId="07B3A281" w14:textId="1A735826" w:rsidR="00110ED4" w:rsidRDefault="00A56029" w:rsidP="009207CC">
      <w:pPr>
        <w:numPr>
          <w:ilvl w:val="3"/>
          <w:numId w:val="17"/>
        </w:numPr>
        <w:ind w:left="426" w:hanging="426"/>
      </w:pPr>
      <w:r>
        <w:t>After the demo, s</w:t>
      </w:r>
      <w:r w:rsidR="00110ED4">
        <w:t xml:space="preserve">how the snapshots on the Identity Cube for </w:t>
      </w:r>
      <w:proofErr w:type="spellStart"/>
      <w:r w:rsidR="00110ED4">
        <w:t>Henry.Butler</w:t>
      </w:r>
      <w:proofErr w:type="spellEnd"/>
      <w:r w:rsidR="00110ED4">
        <w:t>. The latest snapshot should indicate he was previou</w:t>
      </w:r>
      <w:r w:rsidR="001A0821">
        <w:t xml:space="preserve">sly a member of the </w:t>
      </w:r>
      <w:proofErr w:type="spellStart"/>
      <w:r w:rsidR="001A0821">
        <w:t>Payroll</w:t>
      </w:r>
      <w:r w:rsidR="00110ED4">
        <w:t>M</w:t>
      </w:r>
      <w:r w:rsidR="001A0821">
        <w:t>ana</w:t>
      </w:r>
      <w:r w:rsidR="00110ED4">
        <w:t>g</w:t>
      </w:r>
      <w:r w:rsidR="001A0821">
        <w:t>erAccess</w:t>
      </w:r>
      <w:proofErr w:type="spellEnd"/>
      <w:r w:rsidR="001A0821">
        <w:t xml:space="preserve"> g</w:t>
      </w:r>
      <w:r w:rsidR="009411FA">
        <w:t>roup.</w:t>
      </w:r>
    </w:p>
    <w:p w14:paraId="321FB0FB" w14:textId="02C289B4" w:rsidR="00615C7A" w:rsidRDefault="0068284F" w:rsidP="00615C7A">
      <w:pPr>
        <w:pStyle w:val="SPHeading2"/>
      </w:pPr>
      <w:r>
        <w:rPr>
          <w:b w:val="0"/>
          <w:sz w:val="28"/>
        </w:rPr>
        <w:br w:type="page"/>
      </w:r>
      <w:r w:rsidR="00615C7A">
        <w:t>History</w:t>
      </w:r>
    </w:p>
    <w:tbl>
      <w:tblPr>
        <w:tblStyle w:val="LightGrid-Accent5"/>
        <w:tblW w:w="0" w:type="auto"/>
        <w:tblLook w:val="04A0" w:firstRow="1" w:lastRow="0" w:firstColumn="1" w:lastColumn="0" w:noHBand="0" w:noVBand="1"/>
      </w:tblPr>
      <w:tblGrid>
        <w:gridCol w:w="2234"/>
        <w:gridCol w:w="3443"/>
        <w:gridCol w:w="2839"/>
      </w:tblGrid>
      <w:tr w:rsidR="00615C7A" w14:paraId="1091F7C3" w14:textId="77777777" w:rsidTr="00275A42">
        <w:trPr>
          <w:cnfStyle w:val="100000000000" w:firstRow="1" w:lastRow="0" w:firstColumn="0" w:lastColumn="0" w:oddVBand="0" w:evenVBand="0" w:oddHBand="0" w:evenHBand="0" w:firstRowFirstColumn="0" w:firstRowLastColumn="0" w:lastRowFirstColumn="0" w:lastRowLastColumn="0"/>
          <w:trHeight w:hRule="exact" w:val="397"/>
        </w:trPr>
        <w:tc>
          <w:tcPr>
            <w:cnfStyle w:val="001000000000" w:firstRow="0" w:lastRow="0" w:firstColumn="1" w:lastColumn="0" w:oddVBand="0" w:evenVBand="0" w:oddHBand="0" w:evenHBand="0" w:firstRowFirstColumn="0" w:firstRowLastColumn="0" w:lastRowFirstColumn="0" w:lastRowLastColumn="0"/>
            <w:tcW w:w="2234" w:type="dxa"/>
          </w:tcPr>
          <w:p w14:paraId="05D3516A" w14:textId="77777777" w:rsidR="00615C7A" w:rsidRDefault="00615C7A" w:rsidP="00AD486E">
            <w:pPr>
              <w:tabs>
                <w:tab w:val="right" w:pos="2019"/>
              </w:tabs>
            </w:pPr>
            <w:r>
              <w:t>Date</w:t>
            </w:r>
            <w:r>
              <w:tab/>
            </w:r>
          </w:p>
        </w:tc>
        <w:tc>
          <w:tcPr>
            <w:tcW w:w="3443" w:type="dxa"/>
          </w:tcPr>
          <w:p w14:paraId="16E6F5F3" w14:textId="77777777" w:rsidR="00615C7A" w:rsidRDefault="00615C7A" w:rsidP="00AD486E">
            <w:pPr>
              <w:cnfStyle w:val="100000000000" w:firstRow="1" w:lastRow="0" w:firstColumn="0" w:lastColumn="0" w:oddVBand="0" w:evenVBand="0" w:oddHBand="0" w:evenHBand="0" w:firstRowFirstColumn="0" w:firstRowLastColumn="0" w:lastRowFirstColumn="0" w:lastRowLastColumn="0"/>
            </w:pPr>
            <w:r>
              <w:t>Changes</w:t>
            </w:r>
          </w:p>
        </w:tc>
        <w:tc>
          <w:tcPr>
            <w:tcW w:w="2839" w:type="dxa"/>
          </w:tcPr>
          <w:p w14:paraId="357625B9" w14:textId="77777777" w:rsidR="00615C7A" w:rsidRDefault="00615C7A" w:rsidP="00AD486E">
            <w:pPr>
              <w:cnfStyle w:val="100000000000" w:firstRow="1" w:lastRow="0" w:firstColumn="0" w:lastColumn="0" w:oddVBand="0" w:evenVBand="0" w:oddHBand="0" w:evenHBand="0" w:firstRowFirstColumn="0" w:firstRowLastColumn="0" w:lastRowFirstColumn="0" w:lastRowLastColumn="0"/>
            </w:pPr>
            <w:r>
              <w:t>Comments</w:t>
            </w:r>
          </w:p>
        </w:tc>
      </w:tr>
      <w:tr w:rsidR="00615C7A" w14:paraId="4FA077FB" w14:textId="77777777" w:rsidTr="00275A42">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4ADAA73E" w14:textId="77777777" w:rsidR="00615C7A" w:rsidRPr="005E4EBA" w:rsidRDefault="00615C7A" w:rsidP="00AD486E">
            <w:pPr>
              <w:rPr>
                <w:b w:val="0"/>
                <w:sz w:val="20"/>
                <w:szCs w:val="20"/>
              </w:rPr>
            </w:pPr>
            <w:r>
              <w:rPr>
                <w:b w:val="0"/>
                <w:sz w:val="20"/>
                <w:szCs w:val="20"/>
              </w:rPr>
              <w:t>June 23rd</w:t>
            </w:r>
            <w:r w:rsidRPr="005E4EBA">
              <w:rPr>
                <w:b w:val="0"/>
                <w:sz w:val="20"/>
                <w:szCs w:val="20"/>
              </w:rPr>
              <w:t xml:space="preserve"> 2012</w:t>
            </w:r>
          </w:p>
        </w:tc>
        <w:tc>
          <w:tcPr>
            <w:tcW w:w="3443" w:type="dxa"/>
            <w:shd w:val="clear" w:color="auto" w:fill="auto"/>
          </w:tcPr>
          <w:p w14:paraId="414EC03A" w14:textId="77777777" w:rsidR="00615C7A" w:rsidRPr="005E4EBA" w:rsidRDefault="00615C7A" w:rsidP="00AD486E">
            <w:pPr>
              <w:cnfStyle w:val="000000100000" w:firstRow="0" w:lastRow="0" w:firstColumn="0" w:lastColumn="0" w:oddVBand="0" w:evenVBand="0" w:oddHBand="1" w:evenHBand="0" w:firstRowFirstColumn="0" w:firstRowLastColumn="0" w:lastRowFirstColumn="0" w:lastRowLastColumn="0"/>
              <w:rPr>
                <w:sz w:val="20"/>
                <w:szCs w:val="20"/>
              </w:rPr>
            </w:pPr>
            <w:r w:rsidRPr="005E4EBA">
              <w:rPr>
                <w:sz w:val="20"/>
                <w:szCs w:val="20"/>
              </w:rPr>
              <w:t>Initial version</w:t>
            </w:r>
          </w:p>
        </w:tc>
        <w:tc>
          <w:tcPr>
            <w:tcW w:w="2839" w:type="dxa"/>
            <w:shd w:val="clear" w:color="auto" w:fill="auto"/>
          </w:tcPr>
          <w:p w14:paraId="05314E96" w14:textId="77777777" w:rsidR="00615C7A" w:rsidRPr="005E4EBA" w:rsidRDefault="00615C7A" w:rsidP="00AD486E">
            <w:pPr>
              <w:cnfStyle w:val="000000100000" w:firstRow="0" w:lastRow="0" w:firstColumn="0" w:lastColumn="0" w:oddVBand="0" w:evenVBand="0" w:oddHBand="1" w:evenHBand="0" w:firstRowFirstColumn="0" w:firstRowLastColumn="0" w:lastRowFirstColumn="0" w:lastRowLastColumn="0"/>
              <w:rPr>
                <w:sz w:val="20"/>
                <w:szCs w:val="20"/>
              </w:rPr>
            </w:pPr>
          </w:p>
        </w:tc>
      </w:tr>
      <w:tr w:rsidR="00615C7A" w14:paraId="4DF23920" w14:textId="77777777" w:rsidTr="00275A42">
        <w:trPr>
          <w:cnfStyle w:val="000000010000" w:firstRow="0" w:lastRow="0" w:firstColumn="0" w:lastColumn="0" w:oddVBand="0" w:evenVBand="0" w:oddHBand="0" w:evenHBand="1"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5A27A775" w14:textId="77777777" w:rsidR="00615C7A" w:rsidRPr="005E4EBA" w:rsidRDefault="00615C7A" w:rsidP="00AD486E">
            <w:pPr>
              <w:rPr>
                <w:b w:val="0"/>
                <w:sz w:val="20"/>
                <w:szCs w:val="20"/>
              </w:rPr>
            </w:pPr>
            <w:r>
              <w:rPr>
                <w:b w:val="0"/>
                <w:sz w:val="20"/>
                <w:szCs w:val="20"/>
              </w:rPr>
              <w:t>August 12</w:t>
            </w:r>
            <w:r w:rsidRPr="006B5AAE">
              <w:rPr>
                <w:b w:val="0"/>
                <w:sz w:val="20"/>
                <w:szCs w:val="20"/>
                <w:vertAlign w:val="superscript"/>
              </w:rPr>
              <w:t>th</w:t>
            </w:r>
            <w:r>
              <w:rPr>
                <w:b w:val="0"/>
                <w:sz w:val="20"/>
                <w:szCs w:val="20"/>
              </w:rPr>
              <w:t xml:space="preserve"> 2012</w:t>
            </w:r>
          </w:p>
        </w:tc>
        <w:tc>
          <w:tcPr>
            <w:tcW w:w="3443" w:type="dxa"/>
            <w:shd w:val="clear" w:color="auto" w:fill="auto"/>
          </w:tcPr>
          <w:p w14:paraId="3E501416" w14:textId="77777777" w:rsidR="00615C7A" w:rsidRPr="005E4EBA" w:rsidRDefault="00615C7A" w:rsidP="00AD486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Aligned to naming convention</w:t>
            </w:r>
          </w:p>
        </w:tc>
        <w:tc>
          <w:tcPr>
            <w:tcW w:w="2839" w:type="dxa"/>
            <w:shd w:val="clear" w:color="auto" w:fill="auto"/>
          </w:tcPr>
          <w:p w14:paraId="211F6F01" w14:textId="77777777" w:rsidR="00615C7A" w:rsidRPr="005E4EBA" w:rsidRDefault="00615C7A" w:rsidP="00AD486E">
            <w:pPr>
              <w:cnfStyle w:val="000000010000" w:firstRow="0" w:lastRow="0" w:firstColumn="0" w:lastColumn="0" w:oddVBand="0" w:evenVBand="0" w:oddHBand="0" w:evenHBand="1" w:firstRowFirstColumn="0" w:firstRowLastColumn="0" w:lastRowFirstColumn="0" w:lastRowLastColumn="0"/>
              <w:rPr>
                <w:sz w:val="20"/>
                <w:szCs w:val="20"/>
              </w:rPr>
            </w:pPr>
          </w:p>
        </w:tc>
      </w:tr>
      <w:tr w:rsidR="00615C7A" w14:paraId="207F63BE" w14:textId="77777777" w:rsidTr="00275A42">
        <w:trPr>
          <w:cnfStyle w:val="000000100000" w:firstRow="0" w:lastRow="0" w:firstColumn="0" w:lastColumn="0" w:oddVBand="0" w:evenVBand="0" w:oddHBand="1" w:evenHBand="0" w:firstRowFirstColumn="0" w:firstRowLastColumn="0" w:lastRowFirstColumn="0" w:lastRowLastColumn="0"/>
          <w:trHeight w:hRule="exact" w:val="599"/>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60867091" w14:textId="77777777" w:rsidR="00615C7A" w:rsidRPr="005E4EBA" w:rsidRDefault="00615C7A" w:rsidP="00AD486E">
            <w:pPr>
              <w:rPr>
                <w:b w:val="0"/>
                <w:sz w:val="20"/>
                <w:szCs w:val="20"/>
              </w:rPr>
            </w:pPr>
            <w:r>
              <w:rPr>
                <w:b w:val="0"/>
                <w:sz w:val="20"/>
                <w:szCs w:val="20"/>
              </w:rPr>
              <w:t>December 4</w:t>
            </w:r>
            <w:r w:rsidRPr="00AB37B2">
              <w:rPr>
                <w:b w:val="0"/>
                <w:sz w:val="20"/>
                <w:szCs w:val="20"/>
                <w:vertAlign w:val="superscript"/>
              </w:rPr>
              <w:t>th</w:t>
            </w:r>
            <w:r>
              <w:rPr>
                <w:b w:val="0"/>
                <w:sz w:val="20"/>
                <w:szCs w:val="20"/>
              </w:rPr>
              <w:t xml:space="preserve"> 2012</w:t>
            </w:r>
          </w:p>
        </w:tc>
        <w:tc>
          <w:tcPr>
            <w:tcW w:w="3443" w:type="dxa"/>
            <w:shd w:val="clear" w:color="auto" w:fill="auto"/>
          </w:tcPr>
          <w:p w14:paraId="209952C1" w14:textId="77777777" w:rsidR="00615C7A" w:rsidRPr="005E4EBA" w:rsidRDefault="00615C7A" w:rsidP="00AD48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for IIQ 6.0p1 and latest demo environment</w:t>
            </w:r>
          </w:p>
        </w:tc>
        <w:tc>
          <w:tcPr>
            <w:tcW w:w="2839" w:type="dxa"/>
            <w:shd w:val="clear" w:color="auto" w:fill="auto"/>
          </w:tcPr>
          <w:p w14:paraId="3508750E" w14:textId="77777777" w:rsidR="00615C7A" w:rsidRPr="005E4EBA" w:rsidRDefault="00615C7A" w:rsidP="00AD486E">
            <w:pPr>
              <w:cnfStyle w:val="000000100000" w:firstRow="0" w:lastRow="0" w:firstColumn="0" w:lastColumn="0" w:oddVBand="0" w:evenVBand="0" w:oddHBand="1" w:evenHBand="0" w:firstRowFirstColumn="0" w:firstRowLastColumn="0" w:lastRowFirstColumn="0" w:lastRowLastColumn="0"/>
              <w:rPr>
                <w:sz w:val="20"/>
                <w:szCs w:val="20"/>
              </w:rPr>
            </w:pPr>
          </w:p>
        </w:tc>
      </w:tr>
      <w:tr w:rsidR="00275A42" w14:paraId="0470967D" w14:textId="77777777" w:rsidTr="00275A42">
        <w:trPr>
          <w:cnfStyle w:val="000000010000" w:firstRow="0" w:lastRow="0" w:firstColumn="0" w:lastColumn="0" w:oddVBand="0" w:evenVBand="0" w:oddHBand="0" w:evenHBand="1" w:firstRowFirstColumn="0" w:firstRowLastColumn="0" w:lastRowFirstColumn="0" w:lastRowLastColumn="0"/>
          <w:trHeight w:hRule="exact" w:val="878"/>
        </w:trPr>
        <w:tc>
          <w:tcPr>
            <w:cnfStyle w:val="001000000000" w:firstRow="0" w:lastRow="0" w:firstColumn="1" w:lastColumn="0" w:oddVBand="0" w:evenVBand="0" w:oddHBand="0" w:evenHBand="0" w:firstRowFirstColumn="0" w:firstRowLastColumn="0" w:lastRowFirstColumn="0" w:lastRowLastColumn="0"/>
            <w:tcW w:w="2234" w:type="dxa"/>
            <w:shd w:val="clear" w:color="auto" w:fill="auto"/>
          </w:tcPr>
          <w:p w14:paraId="522238B4" w14:textId="2F163901" w:rsidR="00275A42" w:rsidRPr="005E4EBA" w:rsidRDefault="00275A42" w:rsidP="00AD486E">
            <w:pPr>
              <w:rPr>
                <w:b w:val="0"/>
                <w:sz w:val="20"/>
                <w:szCs w:val="20"/>
              </w:rPr>
            </w:pPr>
            <w:r>
              <w:rPr>
                <w:b w:val="0"/>
                <w:sz w:val="20"/>
                <w:szCs w:val="20"/>
              </w:rPr>
              <w:t>October 30, 2013</w:t>
            </w:r>
          </w:p>
        </w:tc>
        <w:tc>
          <w:tcPr>
            <w:tcW w:w="3443" w:type="dxa"/>
            <w:shd w:val="clear" w:color="auto" w:fill="auto"/>
          </w:tcPr>
          <w:p w14:paraId="05E63294" w14:textId="0295B32F" w:rsidR="00275A42" w:rsidRPr="005E4EBA" w:rsidRDefault="00275A42" w:rsidP="00AD486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Updated for 6.1 Demo scenario</w:t>
            </w:r>
          </w:p>
        </w:tc>
        <w:tc>
          <w:tcPr>
            <w:tcW w:w="2839" w:type="dxa"/>
            <w:shd w:val="clear" w:color="auto" w:fill="auto"/>
          </w:tcPr>
          <w:p w14:paraId="6B2EFB6E" w14:textId="4407C10E" w:rsidR="00275A42" w:rsidRPr="005E4EBA" w:rsidRDefault="00275A42" w:rsidP="00AD486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Removed set-up instructions as this is part of the shipping image</w:t>
            </w:r>
          </w:p>
        </w:tc>
      </w:tr>
    </w:tbl>
    <w:p w14:paraId="04D54C0D" w14:textId="77777777" w:rsidR="00615C7A" w:rsidRPr="009411FA" w:rsidRDefault="00615C7A" w:rsidP="00615C7A">
      <w:bookmarkStart w:id="0" w:name="_GoBack"/>
      <w:bookmarkEnd w:id="0"/>
    </w:p>
    <w:sectPr w:rsidR="00615C7A" w:rsidRPr="009411FA" w:rsidSect="00E31A4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72B"/>
    <w:multiLevelType w:val="hybridMultilevel"/>
    <w:tmpl w:val="C1C08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90649"/>
    <w:multiLevelType w:val="hybridMultilevel"/>
    <w:tmpl w:val="B4F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87E50"/>
    <w:multiLevelType w:val="hybridMultilevel"/>
    <w:tmpl w:val="0C7C4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EED6483"/>
    <w:multiLevelType w:val="hybridMultilevel"/>
    <w:tmpl w:val="2BDCE9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F57D93"/>
    <w:multiLevelType w:val="hybridMultilevel"/>
    <w:tmpl w:val="ADC4E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7195D"/>
    <w:multiLevelType w:val="hybridMultilevel"/>
    <w:tmpl w:val="52DC3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9F087D"/>
    <w:multiLevelType w:val="hybridMultilevel"/>
    <w:tmpl w:val="AD9E03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467929"/>
    <w:multiLevelType w:val="hybridMultilevel"/>
    <w:tmpl w:val="FAF2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152282"/>
    <w:multiLevelType w:val="hybridMultilevel"/>
    <w:tmpl w:val="370E8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060DB3"/>
    <w:multiLevelType w:val="hybridMultilevel"/>
    <w:tmpl w:val="C1C08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A74F5"/>
    <w:multiLevelType w:val="hybridMultilevel"/>
    <w:tmpl w:val="637AD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9C2596"/>
    <w:multiLevelType w:val="hybridMultilevel"/>
    <w:tmpl w:val="4380E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E2F0F"/>
    <w:multiLevelType w:val="hybridMultilevel"/>
    <w:tmpl w:val="3064C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6237FF"/>
    <w:multiLevelType w:val="hybridMultilevel"/>
    <w:tmpl w:val="EAE86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77D4F"/>
    <w:multiLevelType w:val="hybridMultilevel"/>
    <w:tmpl w:val="4D52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7E567B"/>
    <w:multiLevelType w:val="hybridMultilevel"/>
    <w:tmpl w:val="076C0260"/>
    <w:lvl w:ilvl="0" w:tplc="64ACBB56">
      <w:start w:val="1"/>
      <w:numFmt w:val="decimal"/>
      <w:pStyle w:val="1HRV-Answer"/>
      <w:lvlText w:val="%1."/>
      <w:lvlJc w:val="left"/>
      <w:pPr>
        <w:ind w:left="360" w:hanging="360"/>
      </w:pPr>
      <w:rPr>
        <w:rFonts w:cs="Times New Roman" w:hint="default"/>
      </w:rPr>
    </w:lvl>
    <w:lvl w:ilvl="1" w:tplc="08130019" w:tentative="1">
      <w:start w:val="1"/>
      <w:numFmt w:val="lowerLetter"/>
      <w:lvlText w:val="%2."/>
      <w:lvlJc w:val="left"/>
      <w:pPr>
        <w:ind w:left="1080" w:hanging="360"/>
      </w:pPr>
      <w:rPr>
        <w:rFonts w:cs="Times New Roman"/>
      </w:rPr>
    </w:lvl>
    <w:lvl w:ilvl="2" w:tplc="0813001B" w:tentative="1">
      <w:start w:val="1"/>
      <w:numFmt w:val="lowerRoman"/>
      <w:lvlText w:val="%3."/>
      <w:lvlJc w:val="right"/>
      <w:pPr>
        <w:ind w:left="1800" w:hanging="180"/>
      </w:pPr>
      <w:rPr>
        <w:rFonts w:cs="Times New Roman"/>
      </w:rPr>
    </w:lvl>
    <w:lvl w:ilvl="3" w:tplc="0813000F" w:tentative="1">
      <w:start w:val="1"/>
      <w:numFmt w:val="decimal"/>
      <w:lvlText w:val="%4."/>
      <w:lvlJc w:val="left"/>
      <w:pPr>
        <w:ind w:left="2520" w:hanging="360"/>
      </w:pPr>
      <w:rPr>
        <w:rFonts w:cs="Times New Roman"/>
      </w:rPr>
    </w:lvl>
    <w:lvl w:ilvl="4" w:tplc="08130019" w:tentative="1">
      <w:start w:val="1"/>
      <w:numFmt w:val="lowerLetter"/>
      <w:lvlText w:val="%5."/>
      <w:lvlJc w:val="left"/>
      <w:pPr>
        <w:ind w:left="3240" w:hanging="360"/>
      </w:pPr>
      <w:rPr>
        <w:rFonts w:cs="Times New Roman"/>
      </w:rPr>
    </w:lvl>
    <w:lvl w:ilvl="5" w:tplc="0813001B" w:tentative="1">
      <w:start w:val="1"/>
      <w:numFmt w:val="lowerRoman"/>
      <w:lvlText w:val="%6."/>
      <w:lvlJc w:val="right"/>
      <w:pPr>
        <w:ind w:left="3960" w:hanging="180"/>
      </w:pPr>
      <w:rPr>
        <w:rFonts w:cs="Times New Roman"/>
      </w:rPr>
    </w:lvl>
    <w:lvl w:ilvl="6" w:tplc="0813000F" w:tentative="1">
      <w:start w:val="1"/>
      <w:numFmt w:val="decimal"/>
      <w:lvlText w:val="%7."/>
      <w:lvlJc w:val="left"/>
      <w:pPr>
        <w:ind w:left="4680" w:hanging="360"/>
      </w:pPr>
      <w:rPr>
        <w:rFonts w:cs="Times New Roman"/>
      </w:rPr>
    </w:lvl>
    <w:lvl w:ilvl="7" w:tplc="08130019" w:tentative="1">
      <w:start w:val="1"/>
      <w:numFmt w:val="lowerLetter"/>
      <w:lvlText w:val="%8."/>
      <w:lvlJc w:val="left"/>
      <w:pPr>
        <w:ind w:left="5400" w:hanging="360"/>
      </w:pPr>
      <w:rPr>
        <w:rFonts w:cs="Times New Roman"/>
      </w:rPr>
    </w:lvl>
    <w:lvl w:ilvl="8" w:tplc="0813001B" w:tentative="1">
      <w:start w:val="1"/>
      <w:numFmt w:val="lowerRoman"/>
      <w:lvlText w:val="%9."/>
      <w:lvlJc w:val="right"/>
      <w:pPr>
        <w:ind w:left="6120" w:hanging="180"/>
      </w:pPr>
      <w:rPr>
        <w:rFonts w:cs="Times New Roman"/>
      </w:rPr>
    </w:lvl>
  </w:abstractNum>
  <w:abstractNum w:abstractNumId="16">
    <w:nsid w:val="713C64D5"/>
    <w:multiLevelType w:val="hybridMultilevel"/>
    <w:tmpl w:val="0B3E90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FA58BC"/>
    <w:multiLevelType w:val="hybridMultilevel"/>
    <w:tmpl w:val="594AF232"/>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891572"/>
    <w:multiLevelType w:val="hybridMultilevel"/>
    <w:tmpl w:val="C1C08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D34DD"/>
    <w:multiLevelType w:val="hybridMultilevel"/>
    <w:tmpl w:val="7262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BF0053"/>
    <w:multiLevelType w:val="hybridMultilevel"/>
    <w:tmpl w:val="B9ACA560"/>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A73DC8"/>
    <w:multiLevelType w:val="hybridMultilevel"/>
    <w:tmpl w:val="B58A2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5"/>
  </w:num>
  <w:num w:numId="3">
    <w:abstractNumId w:val="7"/>
  </w:num>
  <w:num w:numId="4">
    <w:abstractNumId w:val="19"/>
  </w:num>
  <w:num w:numId="5">
    <w:abstractNumId w:val="12"/>
  </w:num>
  <w:num w:numId="6">
    <w:abstractNumId w:val="10"/>
  </w:num>
  <w:num w:numId="7">
    <w:abstractNumId w:val="8"/>
  </w:num>
  <w:num w:numId="8">
    <w:abstractNumId w:val="17"/>
  </w:num>
  <w:num w:numId="9">
    <w:abstractNumId w:val="1"/>
  </w:num>
  <w:num w:numId="10">
    <w:abstractNumId w:val="13"/>
  </w:num>
  <w:num w:numId="11">
    <w:abstractNumId w:val="4"/>
  </w:num>
  <w:num w:numId="12">
    <w:abstractNumId w:val="21"/>
  </w:num>
  <w:num w:numId="13">
    <w:abstractNumId w:val="11"/>
  </w:num>
  <w:num w:numId="14">
    <w:abstractNumId w:val="9"/>
  </w:num>
  <w:num w:numId="15">
    <w:abstractNumId w:val="14"/>
  </w:num>
  <w:num w:numId="16">
    <w:abstractNumId w:val="18"/>
  </w:num>
  <w:num w:numId="17">
    <w:abstractNumId w:val="5"/>
  </w:num>
  <w:num w:numId="18">
    <w:abstractNumId w:val="3"/>
  </w:num>
  <w:num w:numId="19">
    <w:abstractNumId w:val="2"/>
  </w:num>
  <w:num w:numId="20">
    <w:abstractNumId w:val="16"/>
  </w:num>
  <w:num w:numId="21">
    <w:abstractNumId w:val="0"/>
  </w:num>
  <w:num w:numId="22">
    <w:abstractNumId w:val="2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047043"/>
    <w:rsid w:val="00011E4D"/>
    <w:rsid w:val="00031EEB"/>
    <w:rsid w:val="00047043"/>
    <w:rsid w:val="000602C0"/>
    <w:rsid w:val="00065F08"/>
    <w:rsid w:val="00084C4B"/>
    <w:rsid w:val="000909F9"/>
    <w:rsid w:val="000A1C10"/>
    <w:rsid w:val="000A71C4"/>
    <w:rsid w:val="000B1C56"/>
    <w:rsid w:val="000B5414"/>
    <w:rsid w:val="000B5E7A"/>
    <w:rsid w:val="000D2FC2"/>
    <w:rsid w:val="000F0ECD"/>
    <w:rsid w:val="000F37CB"/>
    <w:rsid w:val="00110ED4"/>
    <w:rsid w:val="00113F98"/>
    <w:rsid w:val="001342AC"/>
    <w:rsid w:val="00177934"/>
    <w:rsid w:val="00195BB5"/>
    <w:rsid w:val="001A0821"/>
    <w:rsid w:val="001B121D"/>
    <w:rsid w:val="001D08AF"/>
    <w:rsid w:val="001E2102"/>
    <w:rsid w:val="0020383E"/>
    <w:rsid w:val="00224F07"/>
    <w:rsid w:val="0027024A"/>
    <w:rsid w:val="00275A42"/>
    <w:rsid w:val="00283B6E"/>
    <w:rsid w:val="002A60FE"/>
    <w:rsid w:val="002A63D1"/>
    <w:rsid w:val="002C6914"/>
    <w:rsid w:val="002E44F3"/>
    <w:rsid w:val="002F029B"/>
    <w:rsid w:val="00307B97"/>
    <w:rsid w:val="00315278"/>
    <w:rsid w:val="0032197B"/>
    <w:rsid w:val="003340D9"/>
    <w:rsid w:val="00342792"/>
    <w:rsid w:val="0034288E"/>
    <w:rsid w:val="0034413E"/>
    <w:rsid w:val="00344877"/>
    <w:rsid w:val="00344910"/>
    <w:rsid w:val="00346629"/>
    <w:rsid w:val="00355AB9"/>
    <w:rsid w:val="00356EEE"/>
    <w:rsid w:val="0036656D"/>
    <w:rsid w:val="00381B88"/>
    <w:rsid w:val="00382776"/>
    <w:rsid w:val="00395930"/>
    <w:rsid w:val="003A0AA1"/>
    <w:rsid w:val="003A22E2"/>
    <w:rsid w:val="003A2E75"/>
    <w:rsid w:val="003D0E34"/>
    <w:rsid w:val="003E6CEB"/>
    <w:rsid w:val="003F0641"/>
    <w:rsid w:val="003F4E4B"/>
    <w:rsid w:val="00405402"/>
    <w:rsid w:val="00413447"/>
    <w:rsid w:val="004823F1"/>
    <w:rsid w:val="00492673"/>
    <w:rsid w:val="004B7F61"/>
    <w:rsid w:val="004C639A"/>
    <w:rsid w:val="004D1C32"/>
    <w:rsid w:val="005018F6"/>
    <w:rsid w:val="0050702F"/>
    <w:rsid w:val="00522A16"/>
    <w:rsid w:val="00526D0D"/>
    <w:rsid w:val="00555FE3"/>
    <w:rsid w:val="00581165"/>
    <w:rsid w:val="00594169"/>
    <w:rsid w:val="00595C25"/>
    <w:rsid w:val="005A6367"/>
    <w:rsid w:val="005C4310"/>
    <w:rsid w:val="005D3FAE"/>
    <w:rsid w:val="005E0B92"/>
    <w:rsid w:val="005E2466"/>
    <w:rsid w:val="005E7598"/>
    <w:rsid w:val="00611A2B"/>
    <w:rsid w:val="00615C7A"/>
    <w:rsid w:val="00616917"/>
    <w:rsid w:val="00627BD8"/>
    <w:rsid w:val="00651E4D"/>
    <w:rsid w:val="0068284F"/>
    <w:rsid w:val="00697E20"/>
    <w:rsid w:val="006A6733"/>
    <w:rsid w:val="006B224A"/>
    <w:rsid w:val="006B5AAE"/>
    <w:rsid w:val="006C0E5F"/>
    <w:rsid w:val="006C2BDD"/>
    <w:rsid w:val="006D733E"/>
    <w:rsid w:val="006E5C33"/>
    <w:rsid w:val="006E6E96"/>
    <w:rsid w:val="00705FBD"/>
    <w:rsid w:val="00712258"/>
    <w:rsid w:val="00773F28"/>
    <w:rsid w:val="007750CF"/>
    <w:rsid w:val="007815B6"/>
    <w:rsid w:val="00783853"/>
    <w:rsid w:val="00792D32"/>
    <w:rsid w:val="007C5FF7"/>
    <w:rsid w:val="007D133A"/>
    <w:rsid w:val="008022FA"/>
    <w:rsid w:val="0082180F"/>
    <w:rsid w:val="00823725"/>
    <w:rsid w:val="00824273"/>
    <w:rsid w:val="00825315"/>
    <w:rsid w:val="00837701"/>
    <w:rsid w:val="008408DA"/>
    <w:rsid w:val="00843DDA"/>
    <w:rsid w:val="00846B2F"/>
    <w:rsid w:val="008475D0"/>
    <w:rsid w:val="00851F02"/>
    <w:rsid w:val="008530C1"/>
    <w:rsid w:val="008614A2"/>
    <w:rsid w:val="008668A2"/>
    <w:rsid w:val="008B2AD0"/>
    <w:rsid w:val="008B3153"/>
    <w:rsid w:val="008C349F"/>
    <w:rsid w:val="008E0462"/>
    <w:rsid w:val="008F2564"/>
    <w:rsid w:val="008F5792"/>
    <w:rsid w:val="00913617"/>
    <w:rsid w:val="009207CC"/>
    <w:rsid w:val="00934755"/>
    <w:rsid w:val="009411FA"/>
    <w:rsid w:val="00945119"/>
    <w:rsid w:val="00963297"/>
    <w:rsid w:val="0096728D"/>
    <w:rsid w:val="009716CE"/>
    <w:rsid w:val="00996FF2"/>
    <w:rsid w:val="009A10F1"/>
    <w:rsid w:val="009A500D"/>
    <w:rsid w:val="009A5EFF"/>
    <w:rsid w:val="009A74BE"/>
    <w:rsid w:val="009C5A61"/>
    <w:rsid w:val="009D0DC9"/>
    <w:rsid w:val="009F000C"/>
    <w:rsid w:val="009F2AF7"/>
    <w:rsid w:val="009F546F"/>
    <w:rsid w:val="00A13442"/>
    <w:rsid w:val="00A205A5"/>
    <w:rsid w:val="00A324B0"/>
    <w:rsid w:val="00A56029"/>
    <w:rsid w:val="00A82140"/>
    <w:rsid w:val="00A84B4A"/>
    <w:rsid w:val="00A92FD2"/>
    <w:rsid w:val="00AB345E"/>
    <w:rsid w:val="00AB37B2"/>
    <w:rsid w:val="00AB4206"/>
    <w:rsid w:val="00AC347F"/>
    <w:rsid w:val="00AC534D"/>
    <w:rsid w:val="00AC7E52"/>
    <w:rsid w:val="00AD486E"/>
    <w:rsid w:val="00AF2868"/>
    <w:rsid w:val="00B022C3"/>
    <w:rsid w:val="00B10A5C"/>
    <w:rsid w:val="00B23FE1"/>
    <w:rsid w:val="00B25ABC"/>
    <w:rsid w:val="00B47E03"/>
    <w:rsid w:val="00B54F22"/>
    <w:rsid w:val="00B71FED"/>
    <w:rsid w:val="00B72487"/>
    <w:rsid w:val="00BA2120"/>
    <w:rsid w:val="00BA2501"/>
    <w:rsid w:val="00BA714C"/>
    <w:rsid w:val="00BD720A"/>
    <w:rsid w:val="00BE0489"/>
    <w:rsid w:val="00BF5095"/>
    <w:rsid w:val="00BF50D9"/>
    <w:rsid w:val="00BF7B1E"/>
    <w:rsid w:val="00C053A8"/>
    <w:rsid w:val="00C15C95"/>
    <w:rsid w:val="00C30542"/>
    <w:rsid w:val="00C43A35"/>
    <w:rsid w:val="00C748B8"/>
    <w:rsid w:val="00C81D22"/>
    <w:rsid w:val="00C87493"/>
    <w:rsid w:val="00C9737F"/>
    <w:rsid w:val="00CA4078"/>
    <w:rsid w:val="00CF5FF2"/>
    <w:rsid w:val="00D0645D"/>
    <w:rsid w:val="00D40C3B"/>
    <w:rsid w:val="00D415E7"/>
    <w:rsid w:val="00D4480E"/>
    <w:rsid w:val="00DA0079"/>
    <w:rsid w:val="00DA00A2"/>
    <w:rsid w:val="00DA3627"/>
    <w:rsid w:val="00DC1EB5"/>
    <w:rsid w:val="00DD3656"/>
    <w:rsid w:val="00DE5E80"/>
    <w:rsid w:val="00E00C1A"/>
    <w:rsid w:val="00E17A42"/>
    <w:rsid w:val="00E26165"/>
    <w:rsid w:val="00E31A44"/>
    <w:rsid w:val="00E32410"/>
    <w:rsid w:val="00E5050F"/>
    <w:rsid w:val="00E62C26"/>
    <w:rsid w:val="00E67386"/>
    <w:rsid w:val="00E67391"/>
    <w:rsid w:val="00E85892"/>
    <w:rsid w:val="00E85EC0"/>
    <w:rsid w:val="00E85FEB"/>
    <w:rsid w:val="00EA7783"/>
    <w:rsid w:val="00EC1CDA"/>
    <w:rsid w:val="00EF0FA1"/>
    <w:rsid w:val="00F155E9"/>
    <w:rsid w:val="00F50B68"/>
    <w:rsid w:val="00F53573"/>
    <w:rsid w:val="00F730E9"/>
    <w:rsid w:val="00F7420F"/>
    <w:rsid w:val="00F85C19"/>
    <w:rsid w:val="00FA6E34"/>
    <w:rsid w:val="00FA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247A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B6"/>
    <w:pPr>
      <w:spacing w:after="200"/>
    </w:pPr>
    <w:rPr>
      <w:rFonts w:ascii="Arial" w:eastAsiaTheme="minorHAnsi" w:hAnsi="Arial"/>
    </w:rPr>
  </w:style>
  <w:style w:type="paragraph" w:styleId="Heading1">
    <w:name w:val="heading 1"/>
    <w:basedOn w:val="Normal"/>
    <w:next w:val="Normal"/>
    <w:link w:val="Heading1Char"/>
    <w:uiPriority w:val="9"/>
    <w:qFormat/>
    <w:rsid w:val="0004704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HRV-Answer">
    <w:name w:val="1_HRV-Answer"/>
    <w:basedOn w:val="BodyText"/>
    <w:qFormat/>
    <w:rsid w:val="004B7F61"/>
    <w:pPr>
      <w:numPr>
        <w:numId w:val="2"/>
      </w:numPr>
      <w:spacing w:line="276" w:lineRule="auto"/>
    </w:pPr>
    <w:rPr>
      <w:rFonts w:ascii="Calibri" w:eastAsia="Calibri" w:hAnsi="Calibri" w:cs="Times New Roman"/>
      <w:color w:val="4F81BD" w:themeColor="accent1"/>
      <w:sz w:val="22"/>
      <w:szCs w:val="22"/>
    </w:rPr>
  </w:style>
  <w:style w:type="paragraph" w:styleId="BodyText">
    <w:name w:val="Body Text"/>
    <w:basedOn w:val="Normal"/>
    <w:link w:val="BodyTextChar"/>
    <w:uiPriority w:val="99"/>
    <w:semiHidden/>
    <w:unhideWhenUsed/>
    <w:rsid w:val="004B7F61"/>
    <w:pPr>
      <w:spacing w:after="120"/>
    </w:pPr>
  </w:style>
  <w:style w:type="character" w:customStyle="1" w:styleId="BodyTextChar">
    <w:name w:val="Body Text Char"/>
    <w:basedOn w:val="DefaultParagraphFont"/>
    <w:link w:val="BodyText"/>
    <w:uiPriority w:val="99"/>
    <w:semiHidden/>
    <w:rsid w:val="004B7F61"/>
  </w:style>
  <w:style w:type="paragraph" w:customStyle="1" w:styleId="SPHeading2">
    <w:name w:val="SP Heading 2"/>
    <w:basedOn w:val="Heading1"/>
    <w:next w:val="Normal"/>
    <w:link w:val="SPHeading2Char"/>
    <w:autoRedefine/>
    <w:qFormat/>
    <w:rsid w:val="00047043"/>
    <w:pPr>
      <w:spacing w:after="200"/>
    </w:pPr>
    <w:rPr>
      <w:rFonts w:ascii="Arial" w:hAnsi="Arial"/>
      <w:lang w:eastAsia="en-US"/>
    </w:rPr>
  </w:style>
  <w:style w:type="character" w:customStyle="1" w:styleId="SPHeading2Char">
    <w:name w:val="SP Heading 2 Char"/>
    <w:basedOn w:val="DefaultParagraphFont"/>
    <w:link w:val="SPHeading2"/>
    <w:rsid w:val="00047043"/>
    <w:rPr>
      <w:rFonts w:ascii="Arial" w:eastAsiaTheme="majorEastAsia" w:hAnsi="Arial" w:cstheme="majorBidi"/>
      <w:b/>
      <w:bCs/>
      <w:color w:val="345A8A" w:themeColor="accent1" w:themeShade="B5"/>
      <w:sz w:val="32"/>
      <w:szCs w:val="32"/>
      <w:lang w:eastAsia="en-US"/>
    </w:rPr>
  </w:style>
  <w:style w:type="paragraph" w:customStyle="1" w:styleId="SPHeading3">
    <w:name w:val="SP Heading 3"/>
    <w:basedOn w:val="SPHeading2"/>
    <w:next w:val="Normal"/>
    <w:link w:val="SPHeading3Char"/>
    <w:autoRedefine/>
    <w:qFormat/>
    <w:rsid w:val="00B47E03"/>
    <w:pPr>
      <w:spacing w:before="360" w:after="120"/>
    </w:pPr>
    <w:rPr>
      <w:b w:val="0"/>
      <w:sz w:val="28"/>
    </w:rPr>
  </w:style>
  <w:style w:type="character" w:customStyle="1" w:styleId="SPHeading3Char">
    <w:name w:val="SP Heading 3 Char"/>
    <w:basedOn w:val="SPHeading2Char"/>
    <w:link w:val="SPHeading3"/>
    <w:rsid w:val="00B47E03"/>
    <w:rPr>
      <w:rFonts w:ascii="Arial" w:eastAsiaTheme="majorEastAsia" w:hAnsi="Arial" w:cstheme="majorBidi"/>
      <w:b w:val="0"/>
      <w:bCs/>
      <w:color w:val="345A8A" w:themeColor="accent1" w:themeShade="B5"/>
      <w:sz w:val="28"/>
      <w:szCs w:val="32"/>
      <w:lang w:eastAsia="en-US"/>
    </w:rPr>
  </w:style>
  <w:style w:type="character" w:customStyle="1" w:styleId="Heading1Char">
    <w:name w:val="Heading 1 Char"/>
    <w:basedOn w:val="DefaultParagraphFont"/>
    <w:link w:val="Heading1"/>
    <w:uiPriority w:val="9"/>
    <w:rsid w:val="0004704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047043"/>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47043"/>
    <w:rPr>
      <w:rFonts w:ascii="Lucida Grande" w:eastAsiaTheme="minorHAnsi" w:hAnsi="Lucida Grande" w:cs="Lucida Grande"/>
    </w:rPr>
  </w:style>
  <w:style w:type="paragraph" w:styleId="BalloonText">
    <w:name w:val="Balloon Text"/>
    <w:basedOn w:val="Normal"/>
    <w:link w:val="BalloonTextChar"/>
    <w:uiPriority w:val="99"/>
    <w:semiHidden/>
    <w:unhideWhenUsed/>
    <w:rsid w:val="00BE04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0489"/>
    <w:rPr>
      <w:rFonts w:ascii="Lucida Grande" w:eastAsiaTheme="minorHAnsi" w:hAnsi="Lucida Grande" w:cs="Lucida Grande"/>
      <w:sz w:val="18"/>
      <w:szCs w:val="18"/>
    </w:rPr>
  </w:style>
  <w:style w:type="paragraph" w:styleId="NormalWeb">
    <w:name w:val="Normal (Web)"/>
    <w:basedOn w:val="Normal"/>
    <w:uiPriority w:val="99"/>
    <w:semiHidden/>
    <w:unhideWhenUsed/>
    <w:rsid w:val="00B25ABC"/>
    <w:rPr>
      <w:rFonts w:ascii="Times New Roman" w:hAnsi="Times New Roman" w:cs="Times New Roman"/>
    </w:rPr>
  </w:style>
  <w:style w:type="paragraph" w:customStyle="1" w:styleId="SPHeading1">
    <w:name w:val="SP Heading 1"/>
    <w:basedOn w:val="SPHeading2"/>
    <w:next w:val="Normal"/>
    <w:link w:val="SPHeading1Char"/>
    <w:autoRedefine/>
    <w:qFormat/>
    <w:rsid w:val="000A71C4"/>
    <w:pPr>
      <w:pageBreakBefore/>
      <w:spacing w:line="276" w:lineRule="auto"/>
      <w:jc w:val="center"/>
    </w:pPr>
    <w:rPr>
      <w:sz w:val="40"/>
    </w:rPr>
  </w:style>
  <w:style w:type="character" w:customStyle="1" w:styleId="SPHeading1Char">
    <w:name w:val="SP Heading 1 Char"/>
    <w:basedOn w:val="SPHeading2Char"/>
    <w:link w:val="SPHeading1"/>
    <w:rsid w:val="000A71C4"/>
    <w:rPr>
      <w:rFonts w:ascii="Arial" w:eastAsiaTheme="majorEastAsia" w:hAnsi="Arial" w:cstheme="majorBidi"/>
      <w:b/>
      <w:bCs/>
      <w:color w:val="345A8A" w:themeColor="accent1" w:themeShade="B5"/>
      <w:sz w:val="40"/>
      <w:szCs w:val="32"/>
      <w:lang w:eastAsia="en-US"/>
    </w:rPr>
  </w:style>
  <w:style w:type="paragraph" w:styleId="NoSpacing">
    <w:name w:val="No Spacing"/>
    <w:uiPriority w:val="1"/>
    <w:qFormat/>
    <w:rsid w:val="00C053A8"/>
    <w:rPr>
      <w:rFonts w:ascii="Arial" w:eastAsiaTheme="minorHAnsi" w:hAnsi="Arial"/>
    </w:rPr>
  </w:style>
  <w:style w:type="table" w:styleId="LightGrid-Accent5">
    <w:name w:val="Light Grid Accent 5"/>
    <w:basedOn w:val="TableNormal"/>
    <w:uiPriority w:val="62"/>
    <w:rsid w:val="006B5A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5B6"/>
    <w:pPr>
      <w:spacing w:after="200"/>
    </w:pPr>
    <w:rPr>
      <w:rFonts w:ascii="Arial" w:eastAsiaTheme="minorHAnsi" w:hAnsi="Arial"/>
    </w:rPr>
  </w:style>
  <w:style w:type="paragraph" w:styleId="Heading1">
    <w:name w:val="heading 1"/>
    <w:basedOn w:val="Normal"/>
    <w:next w:val="Normal"/>
    <w:link w:val="Heading1Char"/>
    <w:uiPriority w:val="9"/>
    <w:qFormat/>
    <w:rsid w:val="0004704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HRV-Answer">
    <w:name w:val="1_HRV-Answer"/>
    <w:basedOn w:val="BodyText"/>
    <w:qFormat/>
    <w:rsid w:val="004B7F61"/>
    <w:pPr>
      <w:numPr>
        <w:numId w:val="2"/>
      </w:numPr>
      <w:spacing w:line="276" w:lineRule="auto"/>
    </w:pPr>
    <w:rPr>
      <w:rFonts w:ascii="Calibri" w:eastAsia="Calibri" w:hAnsi="Calibri" w:cs="Times New Roman"/>
      <w:color w:val="4F81BD" w:themeColor="accent1"/>
      <w:sz w:val="22"/>
      <w:szCs w:val="22"/>
    </w:rPr>
  </w:style>
  <w:style w:type="paragraph" w:styleId="BodyText">
    <w:name w:val="Body Text"/>
    <w:basedOn w:val="Normal"/>
    <w:link w:val="BodyTextChar"/>
    <w:uiPriority w:val="99"/>
    <w:semiHidden/>
    <w:unhideWhenUsed/>
    <w:rsid w:val="004B7F61"/>
    <w:pPr>
      <w:spacing w:after="120"/>
    </w:pPr>
  </w:style>
  <w:style w:type="character" w:customStyle="1" w:styleId="BodyTextChar">
    <w:name w:val="Body Text Char"/>
    <w:basedOn w:val="DefaultParagraphFont"/>
    <w:link w:val="BodyText"/>
    <w:uiPriority w:val="99"/>
    <w:semiHidden/>
    <w:rsid w:val="004B7F61"/>
  </w:style>
  <w:style w:type="paragraph" w:customStyle="1" w:styleId="SPHeading2">
    <w:name w:val="SP Heading 2"/>
    <w:basedOn w:val="Heading1"/>
    <w:next w:val="Normal"/>
    <w:link w:val="SPHeading2Char"/>
    <w:autoRedefine/>
    <w:qFormat/>
    <w:rsid w:val="00047043"/>
    <w:pPr>
      <w:spacing w:after="200"/>
    </w:pPr>
    <w:rPr>
      <w:rFonts w:ascii="Arial" w:hAnsi="Arial"/>
      <w:lang w:eastAsia="en-US"/>
    </w:rPr>
  </w:style>
  <w:style w:type="character" w:customStyle="1" w:styleId="SPHeading2Char">
    <w:name w:val="SP Heading 2 Char"/>
    <w:basedOn w:val="DefaultParagraphFont"/>
    <w:link w:val="SPHeading2"/>
    <w:rsid w:val="00047043"/>
    <w:rPr>
      <w:rFonts w:ascii="Arial" w:eastAsiaTheme="majorEastAsia" w:hAnsi="Arial" w:cstheme="majorBidi"/>
      <w:b/>
      <w:bCs/>
      <w:color w:val="345A8A" w:themeColor="accent1" w:themeShade="B5"/>
      <w:sz w:val="32"/>
      <w:szCs w:val="32"/>
      <w:lang w:eastAsia="en-US"/>
    </w:rPr>
  </w:style>
  <w:style w:type="paragraph" w:customStyle="1" w:styleId="SPHeading3">
    <w:name w:val="SP Heading 3"/>
    <w:basedOn w:val="SPHeading2"/>
    <w:next w:val="Normal"/>
    <w:link w:val="SPHeading3Char"/>
    <w:autoRedefine/>
    <w:qFormat/>
    <w:rsid w:val="00B47E03"/>
    <w:pPr>
      <w:spacing w:before="360" w:after="120"/>
    </w:pPr>
    <w:rPr>
      <w:b w:val="0"/>
      <w:sz w:val="28"/>
    </w:rPr>
  </w:style>
  <w:style w:type="character" w:customStyle="1" w:styleId="SPHeading3Char">
    <w:name w:val="SP Heading 3 Char"/>
    <w:basedOn w:val="SPHeading2Char"/>
    <w:link w:val="SPHeading3"/>
    <w:rsid w:val="00B47E03"/>
    <w:rPr>
      <w:rFonts w:ascii="Arial" w:eastAsiaTheme="majorEastAsia" w:hAnsi="Arial" w:cstheme="majorBidi"/>
      <w:b w:val="0"/>
      <w:bCs/>
      <w:color w:val="345A8A" w:themeColor="accent1" w:themeShade="B5"/>
      <w:sz w:val="28"/>
      <w:szCs w:val="32"/>
      <w:lang w:eastAsia="en-US"/>
    </w:rPr>
  </w:style>
  <w:style w:type="character" w:customStyle="1" w:styleId="Heading1Char">
    <w:name w:val="Heading 1 Char"/>
    <w:basedOn w:val="DefaultParagraphFont"/>
    <w:link w:val="Heading1"/>
    <w:uiPriority w:val="9"/>
    <w:rsid w:val="00047043"/>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047043"/>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47043"/>
    <w:rPr>
      <w:rFonts w:ascii="Lucida Grande" w:eastAsiaTheme="minorHAnsi" w:hAnsi="Lucida Grande" w:cs="Lucida Grande"/>
    </w:rPr>
  </w:style>
  <w:style w:type="paragraph" w:styleId="BalloonText">
    <w:name w:val="Balloon Text"/>
    <w:basedOn w:val="Normal"/>
    <w:link w:val="BalloonTextChar"/>
    <w:uiPriority w:val="99"/>
    <w:semiHidden/>
    <w:unhideWhenUsed/>
    <w:rsid w:val="00BE048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0489"/>
    <w:rPr>
      <w:rFonts w:ascii="Lucida Grande" w:eastAsiaTheme="minorHAnsi" w:hAnsi="Lucida Grande" w:cs="Lucida Grande"/>
      <w:sz w:val="18"/>
      <w:szCs w:val="18"/>
    </w:rPr>
  </w:style>
  <w:style w:type="paragraph" w:styleId="NormalWeb">
    <w:name w:val="Normal (Web)"/>
    <w:basedOn w:val="Normal"/>
    <w:uiPriority w:val="99"/>
    <w:semiHidden/>
    <w:unhideWhenUsed/>
    <w:rsid w:val="00B25ABC"/>
    <w:rPr>
      <w:rFonts w:ascii="Times New Roman" w:hAnsi="Times New Roman" w:cs="Times New Roman"/>
    </w:rPr>
  </w:style>
  <w:style w:type="paragraph" w:customStyle="1" w:styleId="SPHeading1">
    <w:name w:val="SP Heading 1"/>
    <w:basedOn w:val="SPHeading2"/>
    <w:next w:val="Normal"/>
    <w:link w:val="SPHeading1Char"/>
    <w:autoRedefine/>
    <w:qFormat/>
    <w:rsid w:val="000A71C4"/>
    <w:pPr>
      <w:pageBreakBefore/>
      <w:spacing w:line="276" w:lineRule="auto"/>
      <w:jc w:val="center"/>
    </w:pPr>
    <w:rPr>
      <w:sz w:val="40"/>
    </w:rPr>
  </w:style>
  <w:style w:type="character" w:customStyle="1" w:styleId="SPHeading1Char">
    <w:name w:val="SP Heading 1 Char"/>
    <w:basedOn w:val="SPHeading2Char"/>
    <w:link w:val="SPHeading1"/>
    <w:rsid w:val="000A71C4"/>
    <w:rPr>
      <w:rFonts w:ascii="Arial" w:eastAsiaTheme="majorEastAsia" w:hAnsi="Arial" w:cstheme="majorBidi"/>
      <w:b/>
      <w:bCs/>
      <w:color w:val="345A8A" w:themeColor="accent1" w:themeShade="B5"/>
      <w:sz w:val="40"/>
      <w:szCs w:val="32"/>
      <w:lang w:eastAsia="en-US"/>
    </w:rPr>
  </w:style>
  <w:style w:type="paragraph" w:styleId="NoSpacing">
    <w:name w:val="No Spacing"/>
    <w:uiPriority w:val="1"/>
    <w:qFormat/>
    <w:rsid w:val="00C053A8"/>
    <w:rPr>
      <w:rFonts w:ascii="Arial" w:eastAsiaTheme="minorHAnsi" w:hAnsi="Arial"/>
    </w:rPr>
  </w:style>
  <w:style w:type="table" w:styleId="LightGrid-Accent5">
    <w:name w:val="Light Grid Accent 5"/>
    <w:basedOn w:val="TableNormal"/>
    <w:uiPriority w:val="62"/>
    <w:rsid w:val="006B5AA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91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6A7343A98FC748AAD185D70E8E41DE" ma:contentTypeVersion="0" ma:contentTypeDescription="Create a new document." ma:contentTypeScope="" ma:versionID="68f50f5413f774843191383d0b48a66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84157-8E59-4B6D-AA3E-81D70BA3A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5AC1E05-92DD-4BE0-A1F6-528ED872DED6}">
  <ds:schemaRefs>
    <ds:schemaRef ds:uri="http://schemas.microsoft.com/sharepoint/v3/contenttype/forms"/>
  </ds:schemaRefs>
</ds:datastoreItem>
</file>

<file path=customXml/itemProps3.xml><?xml version="1.0" encoding="utf-8"?>
<ds:datastoreItem xmlns:ds="http://schemas.openxmlformats.org/officeDocument/2006/customXml" ds:itemID="{D64E5679-CAE4-4BA6-8BBA-CF0FBCCA99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622</Words>
  <Characters>3336</Characters>
  <Application>Microsoft Macintosh Word</Application>
  <DocSecurity>0</DocSecurity>
  <Lines>139</Lines>
  <Paragraphs>96</Paragraphs>
  <ScaleCrop>false</ScaleCrop>
  <Company>SailPoint</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Hans-Robert Vermeulen</dc:creator>
  <cp:keywords/>
  <dc:description/>
  <cp:lastModifiedBy>Hans-Robert Vermeulen</cp:lastModifiedBy>
  <cp:revision>25</cp:revision>
  <dcterms:created xsi:type="dcterms:W3CDTF">2012-08-13T07:36:00Z</dcterms:created>
  <dcterms:modified xsi:type="dcterms:W3CDTF">2013-10-30T15:13:00Z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0x0101004B6A7343A98FC748AAD185D70E8E41DE</vt:lpwstr>
  </property>
</Properties>
</file>