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17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Nr.: EBL-007</w:t>
            </w:r>
          </w:p>
        </w:tc>
        <w:tc>
          <w:tcPr>
            <w:tcW w:w="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3"/>
            <w:vMerge w:val="restart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Tækniskólinn</w:t>
            </w:r>
          </w:p>
        </w:tc>
        <w:tc>
          <w:tcPr>
            <w:tcW w:w="25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Útgáfa: 21.0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Dags: 20.05.2020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Eig: GJG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60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VEFÞ2VH05BU H20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740" w:type="dxa"/>
            <w:vAlign w:val="bottom"/>
            <w:tcBorders>
              <w:left w:val="single" w:sz="8" w:color="auto"/>
              <w:bottom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Ábm: Skólastjóri</w:t>
            </w: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8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74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Síða 1 af 2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Kennarar: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60" w:type="dxa"/>
            <w:vAlign w:val="bottom"/>
            <w:tcBorders>
              <w:top w:val="single" w:sz="8" w:color="auto"/>
              <w:right w:val="single" w:sz="8" w:color="auto"/>
            </w:tcBorders>
            <w:gridSpan w:val="6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Daníel Símon Galvez (DSG), Guðmundur Jón Guðjónsson (GJG)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Skóli: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Upplýsingatækniskólinn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Skólastjóri:</w:t>
            </w:r>
          </w:p>
        </w:tc>
        <w:tc>
          <w:tcPr>
            <w:tcW w:w="31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Kristín Þóra B. Kristjánsdóttir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8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Áfangalýsing: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VEFÞ2VH05BU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Vefhönnun II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4393565</wp:posOffset>
            </wp:positionH>
            <wp:positionV relativeFrom="paragraph">
              <wp:posOffset>-2599690</wp:posOffset>
            </wp:positionV>
            <wp:extent cx="1628775" cy="457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-327025</wp:posOffset>
                </wp:positionV>
                <wp:extent cx="0" cy="162433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24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05pt,-25.7499pt" to="17.05pt,102.15pt" o:allowincell="f" strokecolor="#000000" strokeweight="1.43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1287780</wp:posOffset>
                </wp:positionV>
                <wp:extent cx="579882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.3pt,101.4pt" to="472.9pt,101.4pt" o:allowincell="f" strokecolor="#000000" strokeweight="1.4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5996305</wp:posOffset>
                </wp:positionH>
                <wp:positionV relativeFrom="paragraph">
                  <wp:posOffset>-327025</wp:posOffset>
                </wp:positionV>
                <wp:extent cx="0" cy="162433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243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2.15pt,-25.7499pt" to="472.15pt,102.15pt" o:allowincell="f" strokecolor="#000000" strokeweight="1.44pt"/>
            </w:pict>
          </mc:Fallback>
        </mc:AlternateConten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Lýsing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440" w:right="28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4292E"/>
        </w:rPr>
        <w:t>Nemendur vinna með kvikun (</w:t>
      </w:r>
      <w:r>
        <w:rPr>
          <w:rFonts w:ascii="Arial" w:cs="Arial" w:eastAsia="Arial" w:hAnsi="Arial"/>
          <w:sz w:val="20"/>
          <w:szCs w:val="20"/>
          <w:i w:val="1"/>
          <w:iCs w:val="1"/>
          <w:color w:val="24292E"/>
        </w:rPr>
        <w:t>Animation</w:t>
      </w:r>
      <w:r>
        <w:rPr>
          <w:rFonts w:ascii="Arial" w:cs="Arial" w:eastAsia="Arial" w:hAnsi="Arial"/>
          <w:sz w:val="20"/>
          <w:szCs w:val="20"/>
          <w:color w:val="24292E"/>
        </w:rPr>
        <w:t>) til að lífga upp á vefsíður og setja upp samskiptaform og töflu. Unnið er með flæðiskipulag (</w:t>
      </w:r>
      <w:r>
        <w:rPr>
          <w:rFonts w:ascii="Arial" w:cs="Arial" w:eastAsia="Arial" w:hAnsi="Arial"/>
          <w:sz w:val="20"/>
          <w:szCs w:val="20"/>
          <w:i w:val="1"/>
          <w:iCs w:val="1"/>
          <w:color w:val="24292E"/>
        </w:rPr>
        <w:t>Liquid layout</w:t>
      </w:r>
      <w:r>
        <w:rPr>
          <w:rFonts w:ascii="Arial" w:cs="Arial" w:eastAsia="Arial" w:hAnsi="Arial"/>
          <w:sz w:val="20"/>
          <w:szCs w:val="20"/>
          <w:color w:val="24292E"/>
        </w:rPr>
        <w:t>) og forritun stílsíðna. Nemendur skoða hvernig er hægt að nota leturtákn (</w:t>
      </w:r>
      <w:r>
        <w:rPr>
          <w:rFonts w:ascii="Arial" w:cs="Arial" w:eastAsia="Arial" w:hAnsi="Arial"/>
          <w:sz w:val="20"/>
          <w:szCs w:val="20"/>
          <w:i w:val="1"/>
          <w:iCs w:val="1"/>
          <w:color w:val="24292E"/>
        </w:rPr>
        <w:t>Icon-fonts</w:t>
      </w:r>
      <w:r>
        <w:rPr>
          <w:rFonts w:ascii="Arial" w:cs="Arial" w:eastAsia="Arial" w:hAnsi="Arial"/>
          <w:sz w:val="20"/>
          <w:szCs w:val="20"/>
          <w:color w:val="24292E"/>
        </w:rPr>
        <w:t>) í vefsíðuhönnun. Í lokaverkefninu er lögð áhersla á GIT verkefnastjórnun og skipulagsvinnu ásamt því að nýta þá verkkunnáttu sem nemendur hafa öðlast í áfanganum.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360" w:right="28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Um markmið, kennslubúnað og kennslufyrirkomulag vísast í námskrá. Um vikudaga og tímasetningu innan hverrar viku vísast til stundatöflu í Innu.</w:t>
      </w: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Námsmat: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5977890</wp:posOffset>
                </wp:positionH>
                <wp:positionV relativeFrom="paragraph">
                  <wp:posOffset>3175</wp:posOffset>
                </wp:positionV>
                <wp:extent cx="0" cy="302831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283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0.7pt,0.25pt" to="470.7pt,238.7pt" o:allowincell="f" strokecolor="#000000" strokeweight="1.44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3175</wp:posOffset>
                </wp:positionV>
                <wp:extent cx="0" cy="304736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47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05pt,0.25pt" to="17.05pt,240.2pt" o:allowincell="f" strokecolor="#000000" strokeweight="1.4399pt"/>
            </w:pict>
          </mc:Fallback>
        </mc:AlternateContent>
      </w: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"/>
        </w:trPr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</w:tcBorders>
            <w:vMerge w:val="restart"/>
            <w:shd w:val="clear" w:color="auto" w:fill="F2F2F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Matshlutar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80" w:type="dxa"/>
            <w:vAlign w:val="bottom"/>
            <w:tcBorders>
              <w:top w:val="single" w:sz="8" w:color="auto"/>
            </w:tcBorders>
            <w:vMerge w:val="restart"/>
            <w:shd w:val="clear" w:color="auto" w:fill="F2F2F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Lýsing matshluta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</w:tcBorders>
            <w:vMerge w:val="restart"/>
            <w:shd w:val="clear" w:color="auto" w:fill="F2F2F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Vægi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Verkefni 1 til 6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 x 12%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72%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2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Lokaverkefni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Hópverkefni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28%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Samtals:</w:t>
            </w:r>
          </w:p>
        </w:tc>
        <w:tc>
          <w:tcPr>
            <w:tcW w:w="10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100%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Annað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520" w:right="2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Allir matsþættir eru lagðir fyrir í Innu. Úrlausnum og sundurliðuðum einkunnum verður skilað í Innu á því formi sem best hentar.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440" w:right="5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Nemendur þurfa að ljúka lykilmatsþáttum 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með lágmarkseinkunn 4.0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til að standast áfangann. Nái nemandi ekki lágmarkseinkunn er boðið upp á endurtöku á matsþætti í samráði við kennara.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1819275</wp:posOffset>
            </wp:positionH>
            <wp:positionV relativeFrom="paragraph">
              <wp:posOffset>73660</wp:posOffset>
            </wp:positionV>
            <wp:extent cx="2550160" cy="3771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37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Lykilmatsþáttur: </w:t>
      </w:r>
      <w:r>
        <w:rPr>
          <w:sz w:val="1"/>
          <w:szCs w:val="1"/>
          <w:color w:val="auto"/>
        </w:rPr>
        <w:drawing>
          <wp:inline distT="0" distB="0" distL="0" distR="0">
            <wp:extent cx="189865" cy="10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Lokaverkefni.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1845945</wp:posOffset>
                </wp:positionV>
                <wp:extent cx="5796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pt,145.35pt" to="465.9pt,145.3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1864360</wp:posOffset>
                </wp:positionV>
                <wp:extent cx="5796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pt,146.8pt" to="465.9pt,146.8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299085</wp:posOffset>
                </wp:positionV>
                <wp:extent cx="5780405" cy="1841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16.3pt;margin-top:23.55pt;width:455.15pt;height:1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Gæðahandbók 4.9.2 Gerð námsáætlana</w:t>
      </w:r>
    </w:p>
    <w:p>
      <w:pPr>
        <w:sectPr>
          <w:pgSz w:w="11900" w:h="16838" w:orient="portrait"/>
          <w:cols w:equalWidth="0" w:num="1">
            <w:col w:w="9500"/>
          </w:cols>
          <w:pgMar w:left="1200" w:top="687" w:right="1206" w:bottom="419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1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Nr.: EBL-007</w:t>
            </w:r>
          </w:p>
        </w:tc>
        <w:tc>
          <w:tcPr>
            <w:tcW w:w="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  <w:w w:val="99"/>
              </w:rPr>
              <w:t>Tækniskólinn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680" w:type="dxa"/>
            <w:vAlign w:val="bottom"/>
            <w:tcBorders>
              <w:left w:val="single" w:sz="8" w:color="auto"/>
            </w:tcBorders>
            <w:gridSpan w:val="4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Útgáfa: 21.0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680" w:type="dxa"/>
            <w:vAlign w:val="bottom"/>
            <w:tcBorders>
              <w:left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Dags: 20.05.2020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96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Eig: GJG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restart"/>
          </w:tcPr>
          <w:p>
            <w:pPr>
              <w:ind w:left="36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</w:rPr>
              <w:t>VEFÞ2VH05BU H20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680" w:type="dxa"/>
            <w:vAlign w:val="bottom"/>
            <w:tcBorders>
              <w:left w:val="single" w:sz="8" w:color="auto"/>
              <w:bottom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Ábm: Skólastjóri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1680" w:type="dxa"/>
            <w:vAlign w:val="bottom"/>
            <w:tcBorders>
              <w:left w:val="single" w:sz="8" w:color="auto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Síða 2 af 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"/>
        </w:trPr>
        <w:tc>
          <w:tcPr>
            <w:tcW w:w="3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0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Áætlun: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  <w:shd w:val="clear" w:color="auto" w:fill="F2F2F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7"/>
              </w:rPr>
              <w:t>Tímabil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  <w:vMerge w:val="restart"/>
            <w:shd w:val="clear" w:color="auto" w:fill="F2F2F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Námsefni (verklegt og bóklegt)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F2F2F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Heimavinna/verkefni</w:t>
            </w:r>
          </w:p>
        </w:tc>
        <w:tc>
          <w:tcPr>
            <w:tcW w:w="60" w:type="dxa"/>
            <w:vAlign w:val="bottom"/>
            <w:shd w:val="clear" w:color="auto" w:fill="F2F2F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Vægi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  <w:vMerge w:val="continue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  <w:shd w:val="clear" w:color="auto" w:fill="F2F2F2"/>
          </w:tcPr>
          <w:p>
            <w:pPr>
              <w:jc w:val="center"/>
              <w:ind w:right="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shd w:val="clear" w:color="auto" w:fill="F2F2F2"/>
              </w:rPr>
              <w:t>matshl.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F2F2F2"/>
              <w:right w:val="single" w:sz="8" w:color="auto"/>
            </w:tcBorders>
            <w:gridSpan w:val="3"/>
            <w:vMerge w:val="continue"/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F2F2F2"/>
              <w:right w:val="single" w:sz="8" w:color="auto"/>
            </w:tcBorders>
            <w:gridSpan w:val="2"/>
            <w:vMerge w:val="continue"/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F2F2F2"/>
              <w:right w:val="single" w:sz="8" w:color="auto"/>
            </w:tcBorders>
            <w:vMerge w:val="continue"/>
            <w:shd w:val="clear" w:color="auto" w:fill="F2F2F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shd w:val="clear" w:color="auto" w:fill="F2F2F2"/>
          </w:tcPr>
          <w:p>
            <w:pPr>
              <w:jc w:val="center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Vika</w:t>
            </w: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vMerge w:val="restart"/>
            <w:shd w:val="clear" w:color="auto" w:fill="F2F2F2"/>
          </w:tcPr>
          <w:p>
            <w:pPr>
              <w:jc w:val="right"/>
              <w:ind w:right="380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Dags.</w:t>
            </w:r>
          </w:p>
        </w:tc>
        <w:tc>
          <w:tcPr>
            <w:tcW w:w="60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jc w:val="right"/>
              <w:ind w:right="225"/>
              <w:spacing w:after="0" w:line="1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%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vMerge w:val="continue"/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34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17.08.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23.08.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35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24.08.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30.08.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CSS kvikun </w:t>
            </w: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  <w:t>(animation)</w:t>
            </w: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   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808080"/>
              </w:rPr>
              <w:t>Kennsla hefst 25.08.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1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36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31.08.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06.09.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CSS kvikun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1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12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37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07.09.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13.09.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SVG myndvinnsla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2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38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14.09.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20.09.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SVG Kvikun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2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12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39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21.09.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27.09.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SVG leturtákn – </w:t>
            </w: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Icon fonts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3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40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28.09.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04.10.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Fellilisti </w:t>
            </w:r>
            <w:r>
              <w:rPr>
                <w:rFonts w:ascii="Calibri" w:cs="Calibri" w:eastAsia="Calibri" w:hAnsi="Calibri"/>
                <w:sz w:val="20"/>
                <w:szCs w:val="20"/>
                <w:i w:val="1"/>
                <w:iCs w:val="1"/>
                <w:color w:val="auto"/>
              </w:rPr>
              <w:t>–</w:t>
            </w: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Drop down menu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3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12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41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05.10.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11.10.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Töflur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4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42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12.10.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18.10.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Form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4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12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43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19.10.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25.10.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Forritun stíla – </w:t>
            </w: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SCSS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808080"/>
              </w:rPr>
              <w:t>Vetrarfrí frá 22.10.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5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44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26.10.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01.11.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Forritun stíla – </w:t>
            </w: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SCSS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808080"/>
                <w:w w:val="99"/>
              </w:rPr>
              <w:t>lýkur 26.10.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5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45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02.11.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08.11.</w:t>
            </w:r>
          </w:p>
        </w:tc>
        <w:tc>
          <w:tcPr>
            <w:tcW w:w="6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-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Super Cascading Style Sheet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5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12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46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09.11.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15.11.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 xml:space="preserve">Flæðiskipulag – </w:t>
            </w: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Liquid layout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47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22.11.</w:t>
            </w:r>
          </w:p>
        </w:tc>
        <w:tc>
          <w:tcPr>
            <w:tcW w:w="6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-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Python static website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6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12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48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23.11.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29.11.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Hópverkefni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7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49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30.11.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06.12.</w:t>
            </w:r>
          </w:p>
        </w:tc>
        <w:tc>
          <w:tcPr>
            <w:tcW w:w="6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-</w:t>
            </w: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Vefsíða með flæðiskipulagi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7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50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07.12.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13.12.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 xml:space="preserve">-    Git samvinna – </w:t>
            </w:r>
            <w:r>
              <w:rPr>
                <w:rFonts w:ascii="Calibri" w:cs="Calibri" w:eastAsia="Calibri" w:hAnsi="Calibri"/>
                <w:sz w:val="18"/>
                <w:szCs w:val="18"/>
                <w:i w:val="1"/>
                <w:iCs w:val="1"/>
                <w:color w:val="auto"/>
              </w:rPr>
              <w:t>Team members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Verkefni 7</w:t>
            </w:r>
          </w:p>
        </w:tc>
        <w:tc>
          <w:tcPr>
            <w:tcW w:w="6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color w:val="auto"/>
              </w:rPr>
              <w:t>28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51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14.12. -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20.12.</w:t>
            </w:r>
          </w:p>
        </w:tc>
        <w:tc>
          <w:tcPr>
            <w:tcW w:w="4060" w:type="dxa"/>
            <w:vAlign w:val="bottom"/>
            <w:tcBorders>
              <w:top w:val="single" w:sz="8" w:color="F2F2F2"/>
              <w:right w:val="single" w:sz="8" w:color="auto"/>
            </w:tcBorders>
            <w:gridSpan w:val="3"/>
            <w:shd w:val="clear" w:color="auto" w:fill="F2F2F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808080"/>
              </w:rPr>
              <w:t>Lokanámsmatsdagur fimmtudaginn 17.12.</w:t>
            </w:r>
          </w:p>
        </w:tc>
        <w:tc>
          <w:tcPr>
            <w:tcW w:w="8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F2F2F2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4393565</wp:posOffset>
            </wp:positionH>
            <wp:positionV relativeFrom="paragraph">
              <wp:posOffset>-5537200</wp:posOffset>
            </wp:positionV>
            <wp:extent cx="1628775" cy="4572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4656455</wp:posOffset>
            </wp:positionH>
            <wp:positionV relativeFrom="paragraph">
              <wp:posOffset>-472440</wp:posOffset>
            </wp:positionV>
            <wp:extent cx="189865" cy="1079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Athugið: Með vikunúmeri er átt við vikur ársins (eins og á dagatalinu)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tbl>
      <w:tblPr>
        <w:tblLayout w:type="fixed"/>
        <w:tblInd w:w="3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6"/>
        </w:trPr>
        <w:tc>
          <w:tcPr>
            <w:tcW w:w="21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6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Námsgögn</w:t>
            </w: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Upplýsingar um námsgögn er að finna í Innu.</w:t>
            </w:r>
          </w:p>
        </w:tc>
      </w:tr>
      <w:tr>
        <w:trPr>
          <w:trHeight w:val="286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Æskilegt er að nemendur séu með fartölvu.</w:t>
            </w:r>
          </w:p>
        </w:tc>
      </w:tr>
      <w:tr>
        <w:trPr>
          <w:trHeight w:val="306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Annað,</w:t>
            </w: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6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t.d. öryggisbúnaður</w:t>
            </w:r>
          </w:p>
        </w:tc>
        <w:tc>
          <w:tcPr>
            <w:tcW w:w="6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7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1911350</wp:posOffset>
                </wp:positionV>
                <wp:extent cx="5796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pt,150.5pt" to="465.9pt,150.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1929130</wp:posOffset>
                </wp:positionV>
                <wp:extent cx="5796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pt,151.9pt" to="465.9pt,151.9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Gæðahandbók 4.9.2 Gerð námsáætlana</w:t>
      </w:r>
    </w:p>
    <w:sectPr>
      <w:pgSz w:w="11900" w:h="16838" w:orient="portrait"/>
      <w:cols w:equalWidth="0" w:num="1">
        <w:col w:w="9500"/>
      </w:cols>
      <w:pgMar w:left="1200" w:top="687" w:right="1206" w:bottom="41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2020-09-09T14:04:38Z</dcterms:created>
  <dcterms:modified xsi:type="dcterms:W3CDTF">2020-09-09T14:04:38Z</dcterms:modified>
</cp:coreProperties>
</file>